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95" w:rsidRDefault="009126B5" w:rsidP="00816895">
      <w:pPr>
        <w:pStyle w:val="Zkladntext"/>
        <w:spacing w:line="240" w:lineRule="auto"/>
        <w:jc w:val="left"/>
        <w:rPr>
          <w:rFonts w:ascii="Times New Roman" w:hAnsi="Times New Roman"/>
          <w:noProof/>
          <w:sz w:val="24"/>
        </w:rPr>
      </w:pPr>
      <w:bookmarkStart w:id="0" w:name="_GoBack"/>
      <w:bookmarkEnd w:id="0"/>
      <w:r>
        <w:rPr>
          <w:b w:val="0"/>
          <w:i/>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05pt;margin-top:1.15pt;width:100.6pt;height:78.85pt;z-index:-251658752;mso-wrap-edited:f" wrapcoords="-126 0 -126 21439 21600 21439 21600 0 -126 0" o:allowincell="f">
            <v:imagedata r:id="rId9" o:title=""/>
            <w10:wrap type="tight"/>
          </v:shape>
          <o:OLEObject Type="Embed" ProgID="AmiProDocument" ShapeID="_x0000_s1027" DrawAspect="Content" ObjectID="_1488350568" r:id="rId10"/>
        </w:pict>
      </w:r>
      <w:r w:rsidR="00F73785">
        <w:rPr>
          <w:b w:val="0"/>
          <w:i/>
          <w:noProof/>
          <w:sz w:val="32"/>
        </w:rPr>
        <w:tab/>
      </w:r>
      <w:r w:rsidR="00DF4632">
        <w:rPr>
          <w:b w:val="0"/>
          <w:i/>
          <w:noProof/>
          <w:sz w:val="32"/>
        </w:rPr>
        <w:t xml:space="preserve">          </w:t>
      </w:r>
    </w:p>
    <w:tbl>
      <w:tblPr>
        <w:tblpPr w:leftFromText="141" w:rightFromText="141" w:vertAnchor="page" w:horzAnchor="margin" w:tblpXSpec="right" w:tblpY="1604"/>
        <w:tblW w:w="69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912"/>
      </w:tblGrid>
      <w:tr w:rsidR="00816895" w:rsidRPr="006C6F70" w:rsidTr="00816895">
        <w:tc>
          <w:tcPr>
            <w:tcW w:w="6912" w:type="dxa"/>
          </w:tcPr>
          <w:p w:rsidR="00816895" w:rsidRPr="00002B63" w:rsidRDefault="00816895" w:rsidP="00816895">
            <w:pPr>
              <w:tabs>
                <w:tab w:val="left" w:pos="3232"/>
                <w:tab w:val="left" w:pos="7484"/>
              </w:tabs>
              <w:spacing w:line="264" w:lineRule="auto"/>
              <w:rPr>
                <w:rFonts w:asciiTheme="minorHAnsi" w:hAnsiTheme="minorHAnsi" w:cstheme="minorHAnsi"/>
                <w:b/>
                <w:bCs/>
                <w:color w:val="0000FF"/>
                <w:sz w:val="28"/>
                <w:szCs w:val="28"/>
              </w:rPr>
            </w:pPr>
            <w:r w:rsidRPr="00002B63">
              <w:rPr>
                <w:rFonts w:asciiTheme="minorHAnsi" w:hAnsiTheme="minorHAnsi" w:cstheme="minorHAnsi"/>
                <w:b/>
                <w:bCs/>
                <w:color w:val="0000FF"/>
                <w:sz w:val="28"/>
                <w:szCs w:val="28"/>
              </w:rPr>
              <w:t>ÚŘAD PRÁCE ČESKÉ REPUBLIKY</w:t>
            </w:r>
          </w:p>
          <w:p w:rsidR="00816895" w:rsidRPr="00002B63" w:rsidRDefault="00816895" w:rsidP="00816895">
            <w:pPr>
              <w:tabs>
                <w:tab w:val="left" w:pos="3232"/>
                <w:tab w:val="left" w:pos="7484"/>
              </w:tabs>
              <w:spacing w:line="264" w:lineRule="auto"/>
              <w:rPr>
                <w:rFonts w:asciiTheme="minorHAnsi" w:hAnsiTheme="minorHAnsi" w:cstheme="minorHAnsi"/>
                <w:b/>
                <w:bCs/>
                <w:color w:val="0000FF"/>
                <w:sz w:val="28"/>
                <w:szCs w:val="28"/>
              </w:rPr>
            </w:pPr>
            <w:r w:rsidRPr="00002B63">
              <w:rPr>
                <w:rFonts w:asciiTheme="minorHAnsi" w:hAnsiTheme="minorHAnsi" w:cstheme="minorHAnsi"/>
                <w:b/>
                <w:bCs/>
                <w:color w:val="0000FF"/>
                <w:sz w:val="28"/>
                <w:szCs w:val="28"/>
              </w:rPr>
              <w:t>Krajská pobočka v Olomouci</w:t>
            </w:r>
          </w:p>
          <w:p w:rsidR="00816895" w:rsidRPr="006C6F70" w:rsidRDefault="00816895" w:rsidP="00816895">
            <w:pPr>
              <w:tabs>
                <w:tab w:val="left" w:pos="3232"/>
                <w:tab w:val="left" w:pos="7484"/>
              </w:tabs>
              <w:spacing w:line="264" w:lineRule="auto"/>
              <w:rPr>
                <w:rFonts w:cs="Arial"/>
                <w:b/>
                <w:color w:val="0000FF"/>
                <w:sz w:val="26"/>
                <w:szCs w:val="26"/>
              </w:rPr>
            </w:pPr>
            <w:r w:rsidRPr="006C6F70">
              <w:rPr>
                <w:rFonts w:cs="Arial"/>
                <w:b/>
                <w:bCs/>
                <w:color w:val="0000FF"/>
                <w:sz w:val="26"/>
                <w:szCs w:val="26"/>
              </w:rPr>
              <w:tab/>
            </w:r>
          </w:p>
        </w:tc>
      </w:tr>
    </w:tbl>
    <w:p w:rsidR="00F73785" w:rsidRDefault="00F73785" w:rsidP="00816895">
      <w:pPr>
        <w:pStyle w:val="Zkladntext"/>
        <w:spacing w:line="240" w:lineRule="auto"/>
        <w:jc w:val="left"/>
        <w:rPr>
          <w:rFonts w:ascii="Times New Roman" w:hAnsi="Times New Roman"/>
          <w:noProof/>
          <w:sz w:val="24"/>
        </w:rPr>
      </w:pPr>
    </w:p>
    <w:p w:rsidR="00F73785" w:rsidRDefault="00F73785" w:rsidP="00F73785">
      <w:pPr>
        <w:pStyle w:val="Zkladntext"/>
        <w:rPr>
          <w:b w:val="0"/>
          <w:i/>
          <w:sz w:val="32"/>
        </w:rPr>
      </w:pPr>
    </w:p>
    <w:p w:rsidR="00F73785" w:rsidRDefault="00F73785" w:rsidP="00F73785">
      <w:pPr>
        <w:pStyle w:val="Zkladntext"/>
        <w:rPr>
          <w:b w:val="0"/>
          <w:i/>
          <w:sz w:val="32"/>
        </w:rPr>
      </w:pPr>
    </w:p>
    <w:p w:rsidR="00F73785" w:rsidRDefault="00F73785" w:rsidP="00F73785">
      <w:pPr>
        <w:pStyle w:val="Zkladntext"/>
        <w:rPr>
          <w:b w:val="0"/>
          <w:sz w:val="40"/>
          <w:u w:val="single"/>
        </w:rPr>
      </w:pPr>
    </w:p>
    <w:p w:rsidR="00816895" w:rsidRDefault="00816895" w:rsidP="00F73785">
      <w:pPr>
        <w:pStyle w:val="Zkladntext"/>
        <w:rPr>
          <w:b w:val="0"/>
          <w:sz w:val="40"/>
          <w:u w:val="single"/>
        </w:rPr>
      </w:pPr>
    </w:p>
    <w:p w:rsidR="00F73785" w:rsidRDefault="00F73785" w:rsidP="00F73785">
      <w:pPr>
        <w:pStyle w:val="Zkladntext"/>
        <w:rPr>
          <w:b w:val="0"/>
          <w:sz w:val="40"/>
          <w:u w:val="single"/>
        </w:rPr>
      </w:pPr>
    </w:p>
    <w:p w:rsidR="00F73785" w:rsidRPr="00002B63" w:rsidRDefault="00F73785" w:rsidP="00F73785">
      <w:pPr>
        <w:pStyle w:val="Zkladntext"/>
        <w:rPr>
          <w:rFonts w:asciiTheme="minorHAnsi" w:hAnsiTheme="minorHAnsi" w:cstheme="minorHAnsi"/>
          <w:color w:val="0000FF"/>
          <w:sz w:val="40"/>
        </w:rPr>
      </w:pPr>
      <w:r w:rsidRPr="00002B63">
        <w:rPr>
          <w:rFonts w:asciiTheme="minorHAnsi" w:hAnsiTheme="minorHAnsi" w:cstheme="minorHAnsi"/>
          <w:color w:val="0000FF"/>
          <w:sz w:val="40"/>
        </w:rPr>
        <w:t>Zpráva o situaci na trhu práce v Olomouckém kraji v roce 20</w:t>
      </w:r>
      <w:r w:rsidR="007E64DA">
        <w:rPr>
          <w:rFonts w:asciiTheme="minorHAnsi" w:hAnsiTheme="minorHAnsi" w:cstheme="minorHAnsi"/>
          <w:color w:val="0000FF"/>
          <w:sz w:val="40"/>
        </w:rPr>
        <w:t>1</w:t>
      </w:r>
      <w:r w:rsidR="00101E8F">
        <w:rPr>
          <w:rFonts w:asciiTheme="minorHAnsi" w:hAnsiTheme="minorHAnsi" w:cstheme="minorHAnsi"/>
          <w:color w:val="0000FF"/>
          <w:sz w:val="40"/>
        </w:rPr>
        <w:t>4</w:t>
      </w:r>
    </w:p>
    <w:p w:rsidR="00F73785" w:rsidRPr="00F6639A" w:rsidRDefault="00F73785" w:rsidP="00F73785">
      <w:pPr>
        <w:pStyle w:val="Zkladntext"/>
        <w:rPr>
          <w:b w:val="0"/>
          <w:i/>
          <w:sz w:val="48"/>
          <w:szCs w:val="48"/>
        </w:rPr>
      </w:pPr>
    </w:p>
    <w:p w:rsidR="007311B0" w:rsidRPr="00002B63" w:rsidRDefault="0073224C" w:rsidP="00374816">
      <w:pPr>
        <w:pStyle w:val="Zkladntext"/>
        <w:spacing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Podíl nezaměstnanosti osob</w:t>
      </w:r>
      <w:r w:rsidR="00374816" w:rsidRPr="00002B63">
        <w:rPr>
          <w:rFonts w:asciiTheme="minorHAnsi" w:hAnsiTheme="minorHAnsi" w:cstheme="minorHAnsi"/>
          <w:color w:val="000000" w:themeColor="text1"/>
          <w:sz w:val="24"/>
        </w:rPr>
        <w:t xml:space="preserve"> v ČR a Olomouckém kraji</w:t>
      </w:r>
    </w:p>
    <w:p w:rsidR="00374816" w:rsidRPr="0004508D" w:rsidRDefault="0004508D" w:rsidP="00374816">
      <w:pPr>
        <w:pStyle w:val="Zkladntext"/>
        <w:spacing w:line="240" w:lineRule="auto"/>
        <w:rPr>
          <w:rFonts w:asciiTheme="minorHAnsi" w:hAnsiTheme="minorHAnsi" w:cstheme="minorHAnsi"/>
          <w:color w:val="000000" w:themeColor="text1"/>
          <w:sz w:val="24"/>
        </w:rPr>
      </w:pPr>
      <w:r w:rsidRPr="0004508D">
        <w:rPr>
          <w:rFonts w:asciiTheme="minorHAnsi" w:hAnsiTheme="minorHAnsi" w:cstheme="minorHAnsi"/>
          <w:color w:val="000000" w:themeColor="text1"/>
          <w:sz w:val="24"/>
        </w:rPr>
        <w:t>(leden 2007 – prosinec 2014</w:t>
      </w:r>
      <w:r w:rsidR="00374816" w:rsidRPr="0004508D">
        <w:rPr>
          <w:rFonts w:asciiTheme="minorHAnsi" w:hAnsiTheme="minorHAnsi" w:cstheme="minorHAnsi"/>
          <w:color w:val="000000" w:themeColor="text1"/>
          <w:sz w:val="24"/>
        </w:rPr>
        <w:t>)</w:t>
      </w:r>
    </w:p>
    <w:p w:rsidR="00E57545" w:rsidRDefault="00E57545" w:rsidP="00374816">
      <w:pPr>
        <w:pStyle w:val="Zkladntext"/>
        <w:spacing w:line="240" w:lineRule="auto"/>
        <w:rPr>
          <w:rFonts w:ascii="Times New Roman" w:hAnsi="Times New Roman"/>
          <w:color w:val="FF0000"/>
          <w:sz w:val="24"/>
        </w:rPr>
      </w:pPr>
    </w:p>
    <w:p w:rsidR="004059A4" w:rsidRPr="00E57545" w:rsidRDefault="0004508D" w:rsidP="00374816">
      <w:pPr>
        <w:pStyle w:val="Zkladntext"/>
        <w:spacing w:line="240" w:lineRule="auto"/>
        <w:rPr>
          <w:rFonts w:ascii="Times New Roman" w:hAnsi="Times New Roman"/>
          <w:color w:val="FF0000"/>
          <w:sz w:val="24"/>
        </w:rPr>
      </w:pPr>
      <w:r>
        <w:rPr>
          <w:noProof/>
        </w:rPr>
        <w:drawing>
          <wp:inline distT="0" distB="0" distL="0" distR="0" wp14:anchorId="64CEACE3" wp14:editId="67CB6132">
            <wp:extent cx="5974080" cy="3870960"/>
            <wp:effectExtent l="0" t="0" r="762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42C1" w:rsidRDefault="002942C1" w:rsidP="002942C1">
      <w:pPr>
        <w:pStyle w:val="Nadpis1"/>
        <w:jc w:val="center"/>
        <w:rPr>
          <w:b/>
          <w:color w:val="FF0000"/>
          <w:szCs w:val="28"/>
        </w:rPr>
      </w:pPr>
    </w:p>
    <w:p w:rsidR="00AA1A60" w:rsidRPr="00002B63" w:rsidRDefault="002942C1" w:rsidP="0008330B">
      <w:pPr>
        <w:pStyle w:val="Nadpis1"/>
        <w:jc w:val="center"/>
        <w:rPr>
          <w:rFonts w:asciiTheme="minorHAnsi" w:hAnsiTheme="minorHAnsi" w:cstheme="minorHAnsi"/>
          <w:color w:val="000000"/>
        </w:rPr>
      </w:pPr>
      <w:bookmarkStart w:id="1" w:name="_Toc321296393"/>
      <w:bookmarkStart w:id="2" w:name="_Toc321296511"/>
      <w:r w:rsidRPr="00002B63">
        <w:rPr>
          <w:rFonts w:asciiTheme="minorHAnsi" w:hAnsiTheme="minorHAnsi" w:cstheme="minorHAnsi"/>
          <w:b/>
          <w:color w:val="FF0000"/>
          <w:szCs w:val="28"/>
        </w:rPr>
        <w:t>INTERNÍ MATERIÁ</w:t>
      </w:r>
      <w:r w:rsidR="00194F09" w:rsidRPr="00002B63">
        <w:rPr>
          <w:rFonts w:asciiTheme="minorHAnsi" w:hAnsiTheme="minorHAnsi" w:cstheme="minorHAnsi"/>
          <w:b/>
          <w:color w:val="FF0000"/>
          <w:szCs w:val="28"/>
        </w:rPr>
        <w:t>L</w:t>
      </w:r>
      <w:bookmarkEnd w:id="1"/>
      <w:bookmarkEnd w:id="2"/>
      <w:r w:rsidR="00F73785" w:rsidRPr="00002B63">
        <w:rPr>
          <w:rFonts w:asciiTheme="minorHAnsi" w:hAnsiTheme="minorHAnsi" w:cstheme="minorHAnsi"/>
          <w:color w:val="FF0000"/>
        </w:rPr>
        <w:br w:type="page"/>
      </w:r>
    </w:p>
    <w:sdt>
      <w:sdtPr>
        <w:rPr>
          <w:rFonts w:asciiTheme="minorHAnsi" w:hAnsiTheme="minorHAnsi" w:cstheme="minorHAnsi"/>
          <w:smallCaps/>
          <w:sz w:val="24"/>
          <w:szCs w:val="24"/>
        </w:rPr>
        <w:id w:val="-1550829910"/>
        <w:docPartObj>
          <w:docPartGallery w:val="Table of Contents"/>
          <w:docPartUnique/>
        </w:docPartObj>
      </w:sdtPr>
      <w:sdtEndPr>
        <w:rPr>
          <w:sz w:val="20"/>
          <w:szCs w:val="20"/>
        </w:rPr>
      </w:sdtEndPr>
      <w:sdtContent>
        <w:p w:rsidR="00AC049F" w:rsidRPr="00002B63" w:rsidRDefault="0008330B" w:rsidP="00AA1A60">
          <w:pPr>
            <w:pStyle w:val="Nadpis1"/>
            <w:rPr>
              <w:rFonts w:asciiTheme="minorHAnsi" w:hAnsiTheme="minorHAnsi" w:cstheme="minorHAnsi"/>
              <w:b/>
              <w:smallCaps/>
              <w:color w:val="0000FF"/>
            </w:rPr>
          </w:pPr>
          <w:r w:rsidRPr="00002B63">
            <w:rPr>
              <w:rFonts w:asciiTheme="minorHAnsi" w:hAnsiTheme="minorHAnsi" w:cstheme="minorHAnsi"/>
              <w:b/>
              <w:smallCaps/>
              <w:color w:val="0000FF"/>
            </w:rPr>
            <w:t>OBSAH</w:t>
          </w:r>
        </w:p>
        <w:p w:rsidR="0008330B" w:rsidRPr="00002B63" w:rsidRDefault="0008330B" w:rsidP="0008330B">
          <w:pPr>
            <w:rPr>
              <w:rFonts w:asciiTheme="minorHAnsi" w:hAnsiTheme="minorHAnsi" w:cstheme="minorHAnsi"/>
            </w:rPr>
          </w:pPr>
        </w:p>
        <w:p w:rsidR="00AC049F" w:rsidRPr="00002B63" w:rsidRDefault="00D86C41" w:rsidP="00F06A6D">
          <w:pPr>
            <w:pStyle w:val="Obsah1"/>
            <w:spacing w:line="360" w:lineRule="auto"/>
            <w:jc w:val="both"/>
            <w:rPr>
              <w:sz w:val="24"/>
              <w:szCs w:val="24"/>
            </w:rPr>
          </w:pPr>
          <w:r w:rsidRPr="00002B63">
            <w:rPr>
              <w:bCs w:val="0"/>
              <w:color w:val="FF0000"/>
              <w:sz w:val="24"/>
              <w:szCs w:val="24"/>
            </w:rPr>
            <w:t>1</w:t>
          </w:r>
          <w:r w:rsidR="00F06A6D" w:rsidRPr="00002B63">
            <w:rPr>
              <w:bCs w:val="0"/>
              <w:color w:val="FF0000"/>
              <w:sz w:val="24"/>
              <w:szCs w:val="24"/>
            </w:rPr>
            <w:t xml:space="preserve">. </w:t>
          </w:r>
          <w:r w:rsidR="00AC049F" w:rsidRPr="00002B63">
            <w:rPr>
              <w:bCs w:val="0"/>
              <w:color w:val="FF0000"/>
              <w:sz w:val="24"/>
              <w:szCs w:val="24"/>
            </w:rPr>
            <w:t>ZAMĚSTNANOST</w:t>
          </w:r>
          <w:r w:rsidR="00AC049F" w:rsidRPr="00002B63">
            <w:rPr>
              <w:sz w:val="24"/>
              <w:szCs w:val="24"/>
            </w:rPr>
            <w:ptab w:relativeTo="margin" w:alignment="right" w:leader="dot"/>
          </w:r>
          <w:r w:rsidR="00F06A6D" w:rsidRPr="00002B63">
            <w:rPr>
              <w:sz w:val="24"/>
              <w:szCs w:val="24"/>
            </w:rPr>
            <w:t>3</w:t>
          </w:r>
        </w:p>
        <w:p w:rsidR="00AC049F" w:rsidRPr="00002B63" w:rsidRDefault="00D86C41" w:rsidP="00F06A6D">
          <w:pPr>
            <w:pStyle w:val="Obsah2"/>
            <w:spacing w:line="360" w:lineRule="auto"/>
            <w:ind w:left="216"/>
            <w:outlineLvl w:val="1"/>
            <w:rPr>
              <w:smallCaps w:val="0"/>
              <w:sz w:val="24"/>
              <w:szCs w:val="24"/>
            </w:rPr>
          </w:pPr>
          <w:r w:rsidRPr="00002B63">
            <w:rPr>
              <w:smallCaps w:val="0"/>
              <w:sz w:val="24"/>
              <w:szCs w:val="24"/>
            </w:rPr>
            <w:t>1</w:t>
          </w:r>
          <w:r w:rsidR="00F06A6D" w:rsidRPr="00002B63">
            <w:rPr>
              <w:smallCaps w:val="0"/>
              <w:sz w:val="24"/>
              <w:szCs w:val="24"/>
            </w:rPr>
            <w:t xml:space="preserve">.1 </w:t>
          </w:r>
          <w:r w:rsidR="00AC049F" w:rsidRPr="00002B63">
            <w:rPr>
              <w:smallCaps w:val="0"/>
              <w:sz w:val="24"/>
              <w:szCs w:val="24"/>
            </w:rPr>
            <w:t>Celková zaměstnanost</w:t>
          </w:r>
          <w:r w:rsidRPr="00002B63">
            <w:rPr>
              <w:smallCaps w:val="0"/>
              <w:sz w:val="24"/>
              <w:szCs w:val="24"/>
            </w:rPr>
            <w:t xml:space="preserve"> v Olomouckém kraji</w:t>
          </w:r>
          <w:r w:rsidR="00AC049F" w:rsidRPr="00002B63">
            <w:rPr>
              <w:smallCaps w:val="0"/>
              <w:sz w:val="24"/>
              <w:szCs w:val="24"/>
            </w:rPr>
            <w:ptab w:relativeTo="margin" w:alignment="right" w:leader="dot"/>
          </w:r>
          <w:r w:rsidR="00F06A6D" w:rsidRPr="00002B63">
            <w:rPr>
              <w:smallCaps w:val="0"/>
              <w:sz w:val="24"/>
              <w:szCs w:val="24"/>
            </w:rPr>
            <w:t>3</w:t>
          </w:r>
        </w:p>
        <w:p w:rsidR="00F06A6D" w:rsidRPr="00002B63" w:rsidRDefault="00D86C41" w:rsidP="00F06A6D">
          <w:pPr>
            <w:pStyle w:val="Obsah2"/>
            <w:spacing w:line="360" w:lineRule="auto"/>
            <w:ind w:left="216"/>
            <w:outlineLvl w:val="1"/>
            <w:rPr>
              <w:smallCaps w:val="0"/>
              <w:sz w:val="24"/>
              <w:szCs w:val="24"/>
            </w:rPr>
          </w:pPr>
          <w:r w:rsidRPr="00002B63">
            <w:rPr>
              <w:smallCaps w:val="0"/>
              <w:sz w:val="24"/>
              <w:szCs w:val="24"/>
            </w:rPr>
            <w:t>1</w:t>
          </w:r>
          <w:r w:rsidR="00F06A6D" w:rsidRPr="00002B63">
            <w:rPr>
              <w:smallCaps w:val="0"/>
              <w:sz w:val="24"/>
              <w:szCs w:val="24"/>
            </w:rPr>
            <w:t>.2 Zaměstnanost u nejvýznamnějších zaměstnavatelů</w:t>
          </w:r>
          <w:r w:rsidR="00207B4D" w:rsidRPr="00002B63">
            <w:rPr>
              <w:smallCaps w:val="0"/>
              <w:sz w:val="24"/>
              <w:szCs w:val="24"/>
            </w:rPr>
            <w:t xml:space="preserve"> a největší personální pohyby</w:t>
          </w:r>
          <w:r w:rsidR="00F06A6D" w:rsidRPr="00002B63">
            <w:rPr>
              <w:smallCaps w:val="0"/>
              <w:sz w:val="24"/>
              <w:szCs w:val="24"/>
            </w:rPr>
            <w:t xml:space="preserve"> </w:t>
          </w:r>
          <w:r w:rsidR="00F06A6D" w:rsidRPr="00002B63">
            <w:rPr>
              <w:smallCaps w:val="0"/>
              <w:sz w:val="24"/>
              <w:szCs w:val="24"/>
            </w:rPr>
            <w:ptab w:relativeTo="margin" w:alignment="right" w:leader="dot"/>
          </w:r>
          <w:r w:rsidR="00600C3A">
            <w:rPr>
              <w:smallCaps w:val="0"/>
              <w:sz w:val="24"/>
              <w:szCs w:val="24"/>
            </w:rPr>
            <w:t>5</w:t>
          </w:r>
        </w:p>
        <w:p w:rsidR="00F06A6D" w:rsidRPr="00002B63" w:rsidRDefault="00D86C41" w:rsidP="00F06A6D">
          <w:pPr>
            <w:pStyle w:val="Obsah2"/>
            <w:spacing w:line="360" w:lineRule="auto"/>
            <w:ind w:left="216"/>
            <w:outlineLvl w:val="1"/>
            <w:rPr>
              <w:sz w:val="24"/>
              <w:szCs w:val="24"/>
            </w:rPr>
          </w:pPr>
          <w:r w:rsidRPr="00002B63">
            <w:rPr>
              <w:smallCaps w:val="0"/>
              <w:sz w:val="24"/>
              <w:szCs w:val="24"/>
            </w:rPr>
            <w:t>1</w:t>
          </w:r>
          <w:r w:rsidR="00F06A6D" w:rsidRPr="00002B63">
            <w:rPr>
              <w:smallCaps w:val="0"/>
              <w:sz w:val="24"/>
              <w:szCs w:val="24"/>
            </w:rPr>
            <w:t>.3 Volná pracovní místa</w:t>
          </w:r>
          <w:r w:rsidR="00F06A6D" w:rsidRPr="00002B63">
            <w:rPr>
              <w:sz w:val="24"/>
              <w:szCs w:val="24"/>
            </w:rPr>
            <w:t xml:space="preserve"> </w:t>
          </w:r>
          <w:r w:rsidR="00F06A6D" w:rsidRPr="00002B63">
            <w:rPr>
              <w:sz w:val="24"/>
              <w:szCs w:val="24"/>
            </w:rPr>
            <w:ptab w:relativeTo="margin" w:alignment="right" w:leader="dot"/>
          </w:r>
          <w:r w:rsidR="002416F7">
            <w:rPr>
              <w:sz w:val="24"/>
              <w:szCs w:val="24"/>
            </w:rPr>
            <w:t>13</w:t>
          </w:r>
        </w:p>
        <w:p w:rsidR="008E44B6" w:rsidRPr="002416F7" w:rsidRDefault="008E44B6" w:rsidP="008E44B6">
          <w:pPr>
            <w:rPr>
              <w:rFonts w:asciiTheme="minorHAnsi" w:hAnsiTheme="minorHAnsi" w:cstheme="minorHAnsi"/>
              <w:sz w:val="16"/>
              <w:szCs w:val="16"/>
            </w:rPr>
          </w:pPr>
        </w:p>
        <w:p w:rsidR="00F06A6D" w:rsidRPr="00002B63" w:rsidRDefault="00D86C41" w:rsidP="00F06A6D">
          <w:pPr>
            <w:pStyle w:val="Obsah1"/>
            <w:spacing w:line="360" w:lineRule="auto"/>
            <w:jc w:val="both"/>
            <w:rPr>
              <w:sz w:val="24"/>
              <w:szCs w:val="24"/>
            </w:rPr>
          </w:pPr>
          <w:r w:rsidRPr="00002B63">
            <w:rPr>
              <w:bCs w:val="0"/>
              <w:color w:val="FF0000"/>
              <w:sz w:val="24"/>
              <w:szCs w:val="24"/>
            </w:rPr>
            <w:t>2</w:t>
          </w:r>
          <w:r w:rsidR="00F06A6D" w:rsidRPr="00002B63">
            <w:rPr>
              <w:bCs w:val="0"/>
              <w:color w:val="FF0000"/>
              <w:sz w:val="24"/>
              <w:szCs w:val="24"/>
            </w:rPr>
            <w:t>. NEZAMĚSTNANOST</w:t>
          </w:r>
          <w:r w:rsidR="00F06A6D" w:rsidRPr="00002B63">
            <w:rPr>
              <w:sz w:val="24"/>
              <w:szCs w:val="24"/>
            </w:rPr>
            <w:ptab w:relativeTo="margin" w:alignment="right" w:leader="dot"/>
          </w:r>
          <w:r w:rsidR="00B50304" w:rsidRPr="00002B63">
            <w:rPr>
              <w:sz w:val="24"/>
              <w:szCs w:val="24"/>
            </w:rPr>
            <w:t>15</w:t>
          </w:r>
        </w:p>
        <w:p w:rsidR="00F06A6D" w:rsidRPr="00002B63" w:rsidRDefault="00D86C41" w:rsidP="00F06A6D">
          <w:pPr>
            <w:pStyle w:val="Obsah2"/>
            <w:spacing w:line="360" w:lineRule="auto"/>
            <w:ind w:left="216"/>
            <w:outlineLvl w:val="1"/>
            <w:rPr>
              <w:smallCaps w:val="0"/>
              <w:sz w:val="24"/>
              <w:szCs w:val="24"/>
            </w:rPr>
          </w:pPr>
          <w:r w:rsidRPr="00002B63">
            <w:rPr>
              <w:smallCaps w:val="0"/>
              <w:sz w:val="24"/>
              <w:szCs w:val="24"/>
            </w:rPr>
            <w:t>2</w:t>
          </w:r>
          <w:r w:rsidR="00F06A6D" w:rsidRPr="00002B63">
            <w:rPr>
              <w:smallCaps w:val="0"/>
              <w:sz w:val="24"/>
              <w:szCs w:val="24"/>
            </w:rPr>
            <w:t>.1 Vývoj nezaměstnanosti</w:t>
          </w:r>
          <w:r w:rsidRPr="00002B63">
            <w:rPr>
              <w:smallCaps w:val="0"/>
              <w:sz w:val="24"/>
              <w:szCs w:val="24"/>
            </w:rPr>
            <w:t xml:space="preserve"> v Olomouckém kraji a její struktura</w:t>
          </w:r>
          <w:r w:rsidR="00F06A6D" w:rsidRPr="00002B63">
            <w:rPr>
              <w:smallCaps w:val="0"/>
              <w:sz w:val="24"/>
              <w:szCs w:val="24"/>
            </w:rPr>
            <w:tab/>
          </w:r>
          <w:r w:rsidR="00F06A6D" w:rsidRPr="00002B63">
            <w:rPr>
              <w:smallCaps w:val="0"/>
              <w:sz w:val="24"/>
              <w:szCs w:val="24"/>
            </w:rPr>
            <w:tab/>
            <w:t xml:space="preserve"> </w:t>
          </w:r>
          <w:r w:rsidR="00F06A6D" w:rsidRPr="00002B63">
            <w:rPr>
              <w:smallCaps w:val="0"/>
              <w:sz w:val="24"/>
              <w:szCs w:val="24"/>
            </w:rPr>
            <w:ptab w:relativeTo="margin" w:alignment="right" w:leader="dot"/>
          </w:r>
          <w:r w:rsidR="00B50304" w:rsidRPr="00002B63">
            <w:rPr>
              <w:smallCaps w:val="0"/>
              <w:sz w:val="24"/>
              <w:szCs w:val="24"/>
            </w:rPr>
            <w:t>15</w:t>
          </w:r>
        </w:p>
        <w:p w:rsidR="00F06A6D" w:rsidRDefault="00D86C41" w:rsidP="00F06A6D">
          <w:pPr>
            <w:pStyle w:val="Obsah2"/>
            <w:spacing w:line="360" w:lineRule="auto"/>
            <w:ind w:left="216"/>
            <w:outlineLvl w:val="1"/>
            <w:rPr>
              <w:smallCaps w:val="0"/>
              <w:sz w:val="24"/>
              <w:szCs w:val="24"/>
            </w:rPr>
          </w:pPr>
          <w:r w:rsidRPr="00002B63">
            <w:rPr>
              <w:smallCaps w:val="0"/>
              <w:sz w:val="24"/>
              <w:szCs w:val="24"/>
            </w:rPr>
            <w:t>2</w:t>
          </w:r>
          <w:r w:rsidR="00F06A6D" w:rsidRPr="00002B63">
            <w:rPr>
              <w:smallCaps w:val="0"/>
              <w:sz w:val="24"/>
              <w:szCs w:val="24"/>
            </w:rPr>
            <w:t xml:space="preserve">.2 </w:t>
          </w:r>
          <w:r w:rsidRPr="00002B63">
            <w:rPr>
              <w:smallCaps w:val="0"/>
              <w:sz w:val="24"/>
              <w:szCs w:val="24"/>
            </w:rPr>
            <w:t xml:space="preserve">Územní rozložení nezaměstnanosti </w:t>
          </w:r>
          <w:r w:rsidR="00F06A6D" w:rsidRPr="00002B63">
            <w:rPr>
              <w:smallCaps w:val="0"/>
              <w:sz w:val="24"/>
              <w:szCs w:val="24"/>
            </w:rPr>
            <w:t xml:space="preserve"> </w:t>
          </w:r>
          <w:r w:rsidR="00F06A6D" w:rsidRPr="00002B63">
            <w:rPr>
              <w:smallCaps w:val="0"/>
              <w:sz w:val="24"/>
              <w:szCs w:val="24"/>
            </w:rPr>
            <w:ptab w:relativeTo="margin" w:alignment="right" w:leader="dot"/>
          </w:r>
          <w:r w:rsidR="00600C3A">
            <w:rPr>
              <w:smallCaps w:val="0"/>
              <w:sz w:val="24"/>
              <w:szCs w:val="24"/>
            </w:rPr>
            <w:t>20</w:t>
          </w:r>
        </w:p>
        <w:p w:rsidR="002416F7" w:rsidRPr="002416F7" w:rsidRDefault="002416F7" w:rsidP="002416F7">
          <w:pPr>
            <w:rPr>
              <w:sz w:val="16"/>
              <w:szCs w:val="16"/>
            </w:rPr>
          </w:pPr>
        </w:p>
        <w:p w:rsidR="00571D36" w:rsidRPr="00002B63" w:rsidRDefault="00571D36" w:rsidP="00571D36">
          <w:pPr>
            <w:pStyle w:val="Obsah1"/>
            <w:spacing w:line="360" w:lineRule="auto"/>
            <w:jc w:val="both"/>
            <w:rPr>
              <w:sz w:val="24"/>
              <w:szCs w:val="24"/>
            </w:rPr>
          </w:pPr>
          <w:r w:rsidRPr="00002B63">
            <w:rPr>
              <w:bCs w:val="0"/>
              <w:color w:val="FF0000"/>
              <w:sz w:val="24"/>
              <w:szCs w:val="24"/>
            </w:rPr>
            <w:t>3. PROBLÉMOVÉ SKUPINY A REGIONY V oLOMOUCKÉM KRAJI</w:t>
          </w:r>
          <w:r w:rsidRPr="00002B63">
            <w:rPr>
              <w:sz w:val="24"/>
              <w:szCs w:val="24"/>
            </w:rPr>
            <w:ptab w:relativeTo="margin" w:alignment="right" w:leader="dot"/>
          </w:r>
          <w:r w:rsidR="00600C3A">
            <w:rPr>
              <w:sz w:val="24"/>
              <w:szCs w:val="24"/>
            </w:rPr>
            <w:t>22</w:t>
          </w:r>
        </w:p>
        <w:p w:rsidR="00A94004" w:rsidRPr="00002B63" w:rsidRDefault="003D37EB" w:rsidP="00A94004">
          <w:pPr>
            <w:pStyle w:val="Obsah2"/>
            <w:spacing w:line="360" w:lineRule="auto"/>
            <w:ind w:left="216"/>
            <w:outlineLvl w:val="1"/>
            <w:rPr>
              <w:smallCaps w:val="0"/>
              <w:sz w:val="24"/>
              <w:szCs w:val="24"/>
            </w:rPr>
          </w:pPr>
          <w:r w:rsidRPr="00002B63">
            <w:rPr>
              <w:smallCaps w:val="0"/>
              <w:sz w:val="24"/>
              <w:szCs w:val="24"/>
            </w:rPr>
            <w:t>3.1</w:t>
          </w:r>
          <w:r w:rsidR="00A94004" w:rsidRPr="00002B63">
            <w:rPr>
              <w:smallCaps w:val="0"/>
              <w:sz w:val="24"/>
              <w:szCs w:val="24"/>
            </w:rPr>
            <w:t xml:space="preserve"> </w:t>
          </w:r>
          <w:r w:rsidR="00BD7C28" w:rsidRPr="00002B63">
            <w:rPr>
              <w:smallCaps w:val="0"/>
              <w:sz w:val="24"/>
              <w:szCs w:val="24"/>
            </w:rPr>
            <w:t>Problémové skupiny na trhu práce v Olomouckém kraji</w:t>
          </w:r>
          <w:r w:rsidR="00A94004" w:rsidRPr="00002B63">
            <w:rPr>
              <w:smallCaps w:val="0"/>
              <w:sz w:val="24"/>
              <w:szCs w:val="24"/>
            </w:rPr>
            <w:t xml:space="preserve"> </w:t>
          </w:r>
          <w:r w:rsidRPr="00002B63">
            <w:rPr>
              <w:smallCaps w:val="0"/>
              <w:sz w:val="24"/>
              <w:szCs w:val="24"/>
            </w:rPr>
            <w:t>…………………………………</w:t>
          </w:r>
          <w:r w:rsidR="002416F7">
            <w:rPr>
              <w:smallCaps w:val="0"/>
              <w:sz w:val="24"/>
              <w:szCs w:val="24"/>
            </w:rPr>
            <w:t>…………….</w:t>
          </w:r>
          <w:r w:rsidRPr="00002B63">
            <w:rPr>
              <w:smallCaps w:val="0"/>
              <w:sz w:val="24"/>
              <w:szCs w:val="24"/>
            </w:rPr>
            <w:t>..</w:t>
          </w:r>
          <w:r w:rsidR="00600C3A">
            <w:rPr>
              <w:smallCaps w:val="0"/>
              <w:sz w:val="24"/>
              <w:szCs w:val="24"/>
            </w:rPr>
            <w:t>22</w:t>
          </w:r>
        </w:p>
        <w:p w:rsidR="003D37EB" w:rsidRPr="00002B63" w:rsidRDefault="003D37EB" w:rsidP="003D37EB">
          <w:pPr>
            <w:pStyle w:val="Obsah2"/>
            <w:spacing w:line="360" w:lineRule="auto"/>
            <w:ind w:left="216"/>
            <w:outlineLvl w:val="1"/>
            <w:rPr>
              <w:smallCaps w:val="0"/>
              <w:sz w:val="24"/>
              <w:szCs w:val="24"/>
            </w:rPr>
          </w:pPr>
          <w:r w:rsidRPr="00002B63">
            <w:rPr>
              <w:smallCaps w:val="0"/>
              <w:sz w:val="24"/>
              <w:szCs w:val="24"/>
            </w:rPr>
            <w:t>3.2 Problémové regiony v Olomouckém kraji ………………………..……………</w:t>
          </w:r>
          <w:r w:rsidR="002416F7">
            <w:rPr>
              <w:smallCaps w:val="0"/>
              <w:sz w:val="24"/>
              <w:szCs w:val="24"/>
            </w:rPr>
            <w:t>…………………….…</w:t>
          </w:r>
          <w:r w:rsidRPr="00002B63">
            <w:rPr>
              <w:smallCaps w:val="0"/>
              <w:sz w:val="24"/>
              <w:szCs w:val="24"/>
            </w:rPr>
            <w:t>……</w:t>
          </w:r>
          <w:r w:rsidR="00600C3A">
            <w:rPr>
              <w:smallCaps w:val="0"/>
              <w:sz w:val="24"/>
              <w:szCs w:val="24"/>
            </w:rPr>
            <w:t>….24</w:t>
          </w:r>
        </w:p>
        <w:p w:rsidR="003D37EB" w:rsidRPr="002416F7" w:rsidRDefault="003D37EB" w:rsidP="003D37EB">
          <w:pPr>
            <w:rPr>
              <w:rFonts w:asciiTheme="minorHAnsi" w:hAnsiTheme="minorHAnsi" w:cstheme="minorHAnsi"/>
              <w:sz w:val="16"/>
              <w:szCs w:val="16"/>
            </w:rPr>
          </w:pPr>
        </w:p>
        <w:p w:rsidR="00BD7C28" w:rsidRPr="00002B63" w:rsidRDefault="003D37EB" w:rsidP="00BD7C28">
          <w:pPr>
            <w:pStyle w:val="Obsah1"/>
            <w:spacing w:line="360" w:lineRule="auto"/>
            <w:jc w:val="both"/>
            <w:rPr>
              <w:sz w:val="24"/>
              <w:szCs w:val="24"/>
            </w:rPr>
          </w:pPr>
          <w:r w:rsidRPr="00002B63">
            <w:rPr>
              <w:bCs w:val="0"/>
              <w:color w:val="FF0000"/>
              <w:sz w:val="24"/>
              <w:szCs w:val="24"/>
            </w:rPr>
            <w:t>4</w:t>
          </w:r>
          <w:r w:rsidR="00BD7C28" w:rsidRPr="00002B63">
            <w:rPr>
              <w:bCs w:val="0"/>
              <w:color w:val="FF0000"/>
              <w:sz w:val="24"/>
              <w:szCs w:val="24"/>
            </w:rPr>
            <w:t>. CIZINCI NA TRHU PRÁCE</w:t>
          </w:r>
          <w:r w:rsidR="00BD7C28" w:rsidRPr="00002B63">
            <w:rPr>
              <w:sz w:val="24"/>
              <w:szCs w:val="24"/>
            </w:rPr>
            <w:ptab w:relativeTo="margin" w:alignment="right" w:leader="dot"/>
          </w:r>
          <w:r w:rsidR="002416F7">
            <w:rPr>
              <w:sz w:val="24"/>
              <w:szCs w:val="24"/>
            </w:rPr>
            <w:t>27</w:t>
          </w:r>
        </w:p>
        <w:p w:rsidR="00BD7C28" w:rsidRPr="002416F7" w:rsidRDefault="00BD7C28" w:rsidP="00BD7C28">
          <w:pPr>
            <w:rPr>
              <w:rFonts w:asciiTheme="minorHAnsi" w:hAnsiTheme="minorHAnsi" w:cstheme="minorHAnsi"/>
              <w:sz w:val="16"/>
              <w:szCs w:val="16"/>
            </w:rPr>
          </w:pPr>
        </w:p>
        <w:p w:rsidR="00BD7C28" w:rsidRPr="00002B63" w:rsidRDefault="003D37EB" w:rsidP="00BD7C28">
          <w:pPr>
            <w:pStyle w:val="Obsah1"/>
            <w:spacing w:line="360" w:lineRule="auto"/>
            <w:jc w:val="both"/>
            <w:rPr>
              <w:sz w:val="24"/>
              <w:szCs w:val="24"/>
            </w:rPr>
          </w:pPr>
          <w:r w:rsidRPr="00002B63">
            <w:rPr>
              <w:bCs w:val="0"/>
              <w:color w:val="FF0000"/>
              <w:sz w:val="24"/>
              <w:szCs w:val="24"/>
            </w:rPr>
            <w:t>5</w:t>
          </w:r>
          <w:r w:rsidR="00BD7C28" w:rsidRPr="00002B63">
            <w:rPr>
              <w:bCs w:val="0"/>
              <w:color w:val="FF0000"/>
              <w:sz w:val="24"/>
              <w:szCs w:val="24"/>
            </w:rPr>
            <w:t>. PROGNÓZA VÝVOJE TRHU PRÁCE</w:t>
          </w:r>
          <w:r w:rsidR="007E64DA">
            <w:rPr>
              <w:bCs w:val="0"/>
              <w:color w:val="FF0000"/>
              <w:sz w:val="24"/>
              <w:szCs w:val="24"/>
            </w:rPr>
            <w:t xml:space="preserve"> na rok 2015</w:t>
          </w:r>
          <w:r w:rsidR="00BD7C28" w:rsidRPr="00002B63">
            <w:rPr>
              <w:bCs w:val="0"/>
              <w:color w:val="FF0000"/>
              <w:sz w:val="24"/>
              <w:szCs w:val="24"/>
            </w:rPr>
            <w:t xml:space="preserve"> </w:t>
          </w:r>
          <w:r w:rsidR="00BD7C28" w:rsidRPr="00002B63">
            <w:rPr>
              <w:sz w:val="24"/>
              <w:szCs w:val="24"/>
            </w:rPr>
            <w:ptab w:relativeTo="margin" w:alignment="right" w:leader="dot"/>
          </w:r>
          <w:r w:rsidR="002416F7">
            <w:rPr>
              <w:sz w:val="24"/>
              <w:szCs w:val="24"/>
            </w:rPr>
            <w:t>28</w:t>
          </w:r>
        </w:p>
        <w:p w:rsidR="0042638D" w:rsidRPr="002416F7" w:rsidRDefault="0042638D" w:rsidP="0042638D">
          <w:pPr>
            <w:rPr>
              <w:rFonts w:asciiTheme="minorHAnsi" w:hAnsiTheme="minorHAnsi" w:cstheme="minorHAnsi"/>
              <w:sz w:val="16"/>
              <w:szCs w:val="16"/>
            </w:rPr>
          </w:pPr>
        </w:p>
        <w:p w:rsidR="00A94004" w:rsidRPr="00002B63" w:rsidRDefault="003D37EB" w:rsidP="00A94004">
          <w:pPr>
            <w:pStyle w:val="Obsah1"/>
            <w:spacing w:line="360" w:lineRule="auto"/>
            <w:jc w:val="both"/>
            <w:rPr>
              <w:sz w:val="24"/>
              <w:szCs w:val="24"/>
            </w:rPr>
          </w:pPr>
          <w:r w:rsidRPr="00002B63">
            <w:rPr>
              <w:bCs w:val="0"/>
              <w:color w:val="FF0000"/>
              <w:sz w:val="24"/>
              <w:szCs w:val="24"/>
            </w:rPr>
            <w:t>6</w:t>
          </w:r>
          <w:r w:rsidR="00A94004" w:rsidRPr="00002B63">
            <w:rPr>
              <w:bCs w:val="0"/>
              <w:color w:val="FF0000"/>
              <w:sz w:val="24"/>
              <w:szCs w:val="24"/>
            </w:rPr>
            <w:t>. AKTIVNÍ POLITIKA ZAMĚSTNANOSTI</w:t>
          </w:r>
          <w:r w:rsidR="00A94004" w:rsidRPr="00002B63">
            <w:rPr>
              <w:sz w:val="24"/>
              <w:szCs w:val="24"/>
            </w:rPr>
            <w:ptab w:relativeTo="margin" w:alignment="right" w:leader="dot"/>
          </w:r>
          <w:r w:rsidR="002416F7">
            <w:rPr>
              <w:sz w:val="24"/>
              <w:szCs w:val="24"/>
            </w:rPr>
            <w:t>29</w:t>
          </w:r>
        </w:p>
        <w:p w:rsidR="00A94004" w:rsidRPr="00002B63" w:rsidRDefault="0028603C" w:rsidP="00A94004">
          <w:pPr>
            <w:pStyle w:val="Obsah2"/>
            <w:spacing w:line="360" w:lineRule="auto"/>
            <w:ind w:left="216"/>
            <w:outlineLvl w:val="1"/>
            <w:rPr>
              <w:smallCaps w:val="0"/>
              <w:sz w:val="24"/>
              <w:szCs w:val="24"/>
            </w:rPr>
          </w:pPr>
          <w:r>
            <w:rPr>
              <w:smallCaps w:val="0"/>
              <w:sz w:val="24"/>
              <w:szCs w:val="24"/>
            </w:rPr>
            <w:t>6</w:t>
          </w:r>
          <w:r w:rsidR="00A5353F" w:rsidRPr="00002B63">
            <w:rPr>
              <w:smallCaps w:val="0"/>
              <w:sz w:val="24"/>
              <w:szCs w:val="24"/>
            </w:rPr>
            <w:t xml:space="preserve">.1 </w:t>
          </w:r>
          <w:r w:rsidR="00BD7C28" w:rsidRPr="00002B63">
            <w:rPr>
              <w:smallCaps w:val="0"/>
              <w:sz w:val="24"/>
              <w:szCs w:val="24"/>
            </w:rPr>
            <w:t>Realizace jedno</w:t>
          </w:r>
          <w:r w:rsidR="007E64DA">
            <w:rPr>
              <w:smallCaps w:val="0"/>
              <w:sz w:val="24"/>
              <w:szCs w:val="24"/>
            </w:rPr>
            <w:t>tlivých nástrojů APZ v roce 2014</w:t>
          </w:r>
          <w:r w:rsidR="00A94004" w:rsidRPr="00002B63">
            <w:rPr>
              <w:smallCaps w:val="0"/>
              <w:sz w:val="24"/>
              <w:szCs w:val="24"/>
            </w:rPr>
            <w:t xml:space="preserve"> </w:t>
          </w:r>
          <w:r w:rsidR="00A94004" w:rsidRPr="00002B63">
            <w:rPr>
              <w:smallCaps w:val="0"/>
              <w:sz w:val="24"/>
              <w:szCs w:val="24"/>
            </w:rPr>
            <w:ptab w:relativeTo="margin" w:alignment="right" w:leader="dot"/>
          </w:r>
          <w:r w:rsidR="002416F7">
            <w:rPr>
              <w:smallCaps w:val="0"/>
              <w:sz w:val="24"/>
              <w:szCs w:val="24"/>
            </w:rPr>
            <w:t>29</w:t>
          </w:r>
        </w:p>
        <w:p w:rsidR="00A94004" w:rsidRPr="00002B63" w:rsidRDefault="0028603C" w:rsidP="00A94004">
          <w:pPr>
            <w:pStyle w:val="Obsah2"/>
            <w:spacing w:line="360" w:lineRule="auto"/>
            <w:ind w:left="216"/>
            <w:outlineLvl w:val="1"/>
            <w:rPr>
              <w:smallCaps w:val="0"/>
              <w:sz w:val="24"/>
              <w:szCs w:val="24"/>
            </w:rPr>
          </w:pPr>
          <w:r>
            <w:rPr>
              <w:smallCaps w:val="0"/>
              <w:sz w:val="24"/>
              <w:szCs w:val="24"/>
            </w:rPr>
            <w:t>6</w:t>
          </w:r>
          <w:r w:rsidR="00A5353F" w:rsidRPr="00002B63">
            <w:rPr>
              <w:smallCaps w:val="0"/>
              <w:sz w:val="24"/>
              <w:szCs w:val="24"/>
            </w:rPr>
            <w:t>.2 Rekvalifikace</w:t>
          </w:r>
          <w:r w:rsidR="007952EE">
            <w:rPr>
              <w:smallCaps w:val="0"/>
              <w:sz w:val="24"/>
              <w:szCs w:val="24"/>
            </w:rPr>
            <w:t xml:space="preserve"> a poradenské činnosti</w:t>
          </w:r>
          <w:r w:rsidR="00A94004" w:rsidRPr="00002B63">
            <w:rPr>
              <w:smallCaps w:val="0"/>
              <w:sz w:val="24"/>
              <w:szCs w:val="24"/>
            </w:rPr>
            <w:t xml:space="preserve"> </w:t>
          </w:r>
          <w:r w:rsidR="00A94004" w:rsidRPr="00002B63">
            <w:rPr>
              <w:smallCaps w:val="0"/>
              <w:sz w:val="24"/>
              <w:szCs w:val="24"/>
            </w:rPr>
            <w:ptab w:relativeTo="margin" w:alignment="right" w:leader="dot"/>
          </w:r>
          <w:r w:rsidR="00600C3A">
            <w:rPr>
              <w:smallCaps w:val="0"/>
              <w:sz w:val="24"/>
              <w:szCs w:val="24"/>
            </w:rPr>
            <w:t>33</w:t>
          </w:r>
        </w:p>
        <w:p w:rsidR="00A94004" w:rsidRPr="00002B63" w:rsidRDefault="0028603C" w:rsidP="00A94004">
          <w:pPr>
            <w:pStyle w:val="Obsah2"/>
            <w:spacing w:line="360" w:lineRule="auto"/>
            <w:ind w:left="216"/>
            <w:outlineLvl w:val="1"/>
            <w:rPr>
              <w:smallCaps w:val="0"/>
              <w:sz w:val="24"/>
              <w:szCs w:val="24"/>
            </w:rPr>
          </w:pPr>
          <w:r>
            <w:rPr>
              <w:smallCaps w:val="0"/>
              <w:sz w:val="24"/>
              <w:szCs w:val="24"/>
            </w:rPr>
            <w:t>6</w:t>
          </w:r>
          <w:r w:rsidR="00A94004" w:rsidRPr="00002B63">
            <w:rPr>
              <w:smallCaps w:val="0"/>
              <w:sz w:val="24"/>
              <w:szCs w:val="24"/>
            </w:rPr>
            <w:t xml:space="preserve">.3 </w:t>
          </w:r>
          <w:r w:rsidR="00BD7C28" w:rsidRPr="00002B63">
            <w:rPr>
              <w:smallCaps w:val="0"/>
              <w:color w:val="000000"/>
              <w:sz w:val="24"/>
              <w:szCs w:val="24"/>
            </w:rPr>
            <w:t>Projekty</w:t>
          </w:r>
          <w:r w:rsidR="00AD5203" w:rsidRPr="00002B63">
            <w:rPr>
              <w:smallCaps w:val="0"/>
              <w:color w:val="000000"/>
              <w:sz w:val="24"/>
              <w:szCs w:val="24"/>
            </w:rPr>
            <w:t xml:space="preserve"> ESF</w:t>
          </w:r>
          <w:r w:rsidR="00A94004" w:rsidRPr="00002B63">
            <w:rPr>
              <w:smallCaps w:val="0"/>
              <w:sz w:val="24"/>
              <w:szCs w:val="24"/>
            </w:rPr>
            <w:tab/>
            <w:t xml:space="preserve"> </w:t>
          </w:r>
          <w:r w:rsidR="00A94004" w:rsidRPr="00002B63">
            <w:rPr>
              <w:smallCaps w:val="0"/>
              <w:sz w:val="24"/>
              <w:szCs w:val="24"/>
            </w:rPr>
            <w:ptab w:relativeTo="margin" w:alignment="right" w:leader="dot"/>
          </w:r>
          <w:r w:rsidR="002416F7">
            <w:rPr>
              <w:smallCaps w:val="0"/>
              <w:sz w:val="24"/>
              <w:szCs w:val="24"/>
            </w:rPr>
            <w:t>35</w:t>
          </w:r>
        </w:p>
        <w:p w:rsidR="008E44B6" w:rsidRPr="002416F7" w:rsidRDefault="008E44B6" w:rsidP="008E44B6">
          <w:pPr>
            <w:rPr>
              <w:rFonts w:asciiTheme="minorHAnsi" w:hAnsiTheme="minorHAnsi" w:cstheme="minorHAnsi"/>
              <w:sz w:val="16"/>
              <w:szCs w:val="16"/>
            </w:rPr>
          </w:pPr>
        </w:p>
        <w:p w:rsidR="00AA1A60" w:rsidRPr="00002B63" w:rsidRDefault="003D37EB" w:rsidP="00AA1A60">
          <w:pPr>
            <w:pStyle w:val="Obsah1"/>
            <w:spacing w:line="360" w:lineRule="auto"/>
            <w:jc w:val="both"/>
            <w:rPr>
              <w:sz w:val="24"/>
              <w:szCs w:val="24"/>
            </w:rPr>
          </w:pPr>
          <w:r w:rsidRPr="00002B63">
            <w:rPr>
              <w:bCs w:val="0"/>
              <w:color w:val="FF0000"/>
              <w:sz w:val="24"/>
              <w:szCs w:val="24"/>
            </w:rPr>
            <w:t>7</w:t>
          </w:r>
          <w:r w:rsidR="00AA1A60" w:rsidRPr="00002B63">
            <w:rPr>
              <w:bCs w:val="0"/>
              <w:color w:val="FF0000"/>
              <w:sz w:val="24"/>
              <w:szCs w:val="24"/>
            </w:rPr>
            <w:t xml:space="preserve">. </w:t>
          </w:r>
          <w:r w:rsidR="007E64DA">
            <w:rPr>
              <w:bCs w:val="0"/>
              <w:color w:val="FF0000"/>
              <w:sz w:val="24"/>
              <w:szCs w:val="24"/>
            </w:rPr>
            <w:t>CÍLE APZ PRO ROK 2015</w:t>
          </w:r>
          <w:r w:rsidR="00AA1A60" w:rsidRPr="00002B63">
            <w:rPr>
              <w:sz w:val="24"/>
              <w:szCs w:val="24"/>
            </w:rPr>
            <w:ptab w:relativeTo="margin" w:alignment="right" w:leader="dot"/>
          </w:r>
          <w:r w:rsidR="002416F7">
            <w:rPr>
              <w:sz w:val="24"/>
              <w:szCs w:val="24"/>
            </w:rPr>
            <w:t>39</w:t>
          </w:r>
        </w:p>
        <w:p w:rsidR="008E44B6" w:rsidRPr="002416F7" w:rsidRDefault="008E44B6" w:rsidP="008E44B6">
          <w:pPr>
            <w:rPr>
              <w:rFonts w:asciiTheme="minorHAnsi" w:hAnsiTheme="minorHAnsi" w:cstheme="minorHAnsi"/>
              <w:sz w:val="16"/>
              <w:szCs w:val="16"/>
            </w:rPr>
          </w:pPr>
        </w:p>
        <w:p w:rsidR="00AA1A60" w:rsidRPr="00002B63" w:rsidRDefault="003D37EB" w:rsidP="00AA1A60">
          <w:pPr>
            <w:pStyle w:val="Obsah1"/>
            <w:spacing w:line="360" w:lineRule="auto"/>
            <w:ind w:left="1" w:firstLine="1"/>
            <w:jc w:val="both"/>
            <w:rPr>
              <w:sz w:val="24"/>
              <w:szCs w:val="24"/>
            </w:rPr>
          </w:pPr>
          <w:r w:rsidRPr="00002B63">
            <w:rPr>
              <w:bCs w:val="0"/>
              <w:color w:val="FF0000"/>
              <w:sz w:val="24"/>
              <w:szCs w:val="24"/>
            </w:rPr>
            <w:t>8</w:t>
          </w:r>
          <w:r w:rsidR="00BD7C28" w:rsidRPr="00002B63">
            <w:rPr>
              <w:bCs w:val="0"/>
              <w:color w:val="FF0000"/>
              <w:sz w:val="24"/>
              <w:szCs w:val="24"/>
            </w:rPr>
            <w:t xml:space="preserve">. </w:t>
          </w:r>
          <w:r w:rsidR="00AA1A60" w:rsidRPr="00002B63">
            <w:rPr>
              <w:bCs w:val="0"/>
              <w:color w:val="FF0000"/>
              <w:sz w:val="24"/>
              <w:szCs w:val="24"/>
            </w:rPr>
            <w:t>PŘÍLOHY</w:t>
          </w:r>
          <w:r w:rsidR="00AA1A60" w:rsidRPr="00002B63">
            <w:rPr>
              <w:sz w:val="24"/>
              <w:szCs w:val="24"/>
            </w:rPr>
            <w:ptab w:relativeTo="margin" w:alignment="right" w:leader="dot"/>
          </w:r>
          <w:r w:rsidR="002416F7">
            <w:rPr>
              <w:sz w:val="24"/>
              <w:szCs w:val="24"/>
            </w:rPr>
            <w:t>40</w:t>
          </w:r>
        </w:p>
        <w:p w:rsidR="00AA1A60" w:rsidRPr="00002B63" w:rsidRDefault="00AA1A60" w:rsidP="00AA1A60">
          <w:pPr>
            <w:pStyle w:val="Obsah2"/>
            <w:numPr>
              <w:ilvl w:val="0"/>
              <w:numId w:val="18"/>
            </w:numPr>
            <w:spacing w:line="360" w:lineRule="auto"/>
            <w:outlineLvl w:val="1"/>
            <w:rPr>
              <w:smallCaps w:val="0"/>
              <w:sz w:val="24"/>
              <w:szCs w:val="24"/>
            </w:rPr>
          </w:pPr>
          <w:r w:rsidRPr="00002B63">
            <w:rPr>
              <w:smallCaps w:val="0"/>
              <w:sz w:val="24"/>
              <w:szCs w:val="24"/>
            </w:rPr>
            <w:t xml:space="preserve">Nejvýznamnější zaměstnavatelé Olomouckého kraje </w:t>
          </w:r>
          <w:r w:rsidRPr="00002B63">
            <w:rPr>
              <w:smallCaps w:val="0"/>
              <w:sz w:val="24"/>
              <w:szCs w:val="24"/>
            </w:rPr>
            <w:ptab w:relativeTo="margin" w:alignment="right" w:leader="dot"/>
          </w:r>
          <w:r w:rsidR="002416F7">
            <w:rPr>
              <w:smallCaps w:val="0"/>
              <w:sz w:val="24"/>
              <w:szCs w:val="24"/>
            </w:rPr>
            <w:t>40</w:t>
          </w:r>
        </w:p>
        <w:p w:rsidR="00AA1A60" w:rsidRPr="00002B63" w:rsidRDefault="00AA1A60" w:rsidP="00AA1A60">
          <w:pPr>
            <w:pStyle w:val="Obsah2"/>
            <w:numPr>
              <w:ilvl w:val="0"/>
              <w:numId w:val="18"/>
            </w:numPr>
            <w:spacing w:line="360" w:lineRule="auto"/>
            <w:outlineLvl w:val="1"/>
            <w:rPr>
              <w:smallCaps w:val="0"/>
              <w:sz w:val="24"/>
              <w:szCs w:val="24"/>
            </w:rPr>
          </w:pPr>
          <w:r w:rsidRPr="00002B63">
            <w:rPr>
              <w:smallCaps w:val="0"/>
              <w:sz w:val="24"/>
              <w:szCs w:val="24"/>
            </w:rPr>
            <w:t xml:space="preserve">Nezaměstnanost v krajích ČR k 31. </w:t>
          </w:r>
          <w:r w:rsidR="007E64DA">
            <w:rPr>
              <w:smallCaps w:val="0"/>
              <w:sz w:val="24"/>
              <w:szCs w:val="24"/>
            </w:rPr>
            <w:t>12. 2014</w:t>
          </w:r>
          <w:r w:rsidRPr="00002B63">
            <w:rPr>
              <w:smallCaps w:val="0"/>
              <w:sz w:val="24"/>
              <w:szCs w:val="24"/>
            </w:rPr>
            <w:t xml:space="preserve"> </w:t>
          </w:r>
          <w:r w:rsidRPr="00002B63">
            <w:rPr>
              <w:smallCaps w:val="0"/>
              <w:sz w:val="24"/>
              <w:szCs w:val="24"/>
            </w:rPr>
            <w:ptab w:relativeTo="margin" w:alignment="right" w:leader="dot"/>
          </w:r>
          <w:r w:rsidR="002416F7">
            <w:rPr>
              <w:smallCaps w:val="0"/>
              <w:sz w:val="24"/>
              <w:szCs w:val="24"/>
            </w:rPr>
            <w:t>44</w:t>
          </w:r>
        </w:p>
        <w:p w:rsidR="00AA1A60" w:rsidRPr="00002B63" w:rsidRDefault="003D37EB" w:rsidP="00AA1A60">
          <w:pPr>
            <w:pStyle w:val="Obsah2"/>
            <w:numPr>
              <w:ilvl w:val="0"/>
              <w:numId w:val="18"/>
            </w:numPr>
            <w:spacing w:line="360" w:lineRule="auto"/>
            <w:outlineLvl w:val="1"/>
            <w:rPr>
              <w:smallCaps w:val="0"/>
              <w:sz w:val="24"/>
              <w:szCs w:val="24"/>
            </w:rPr>
          </w:pPr>
          <w:r w:rsidRPr="00002B63">
            <w:rPr>
              <w:smallCaps w:val="0"/>
              <w:sz w:val="24"/>
              <w:szCs w:val="24"/>
            </w:rPr>
            <w:t xml:space="preserve">Vývoj </w:t>
          </w:r>
          <w:r w:rsidR="00AA1A60" w:rsidRPr="00002B63">
            <w:rPr>
              <w:smallCaps w:val="0"/>
              <w:sz w:val="24"/>
              <w:szCs w:val="24"/>
            </w:rPr>
            <w:t>nezaměstnanosti v jednotlivých okresech</w:t>
          </w:r>
          <w:r w:rsidR="00AA1A60" w:rsidRPr="00002B63">
            <w:rPr>
              <w:smallCaps w:val="0"/>
              <w:sz w:val="24"/>
              <w:szCs w:val="24"/>
            </w:rPr>
            <w:tab/>
            <w:t xml:space="preserve"> </w:t>
          </w:r>
          <w:r w:rsidR="00AA1A60" w:rsidRPr="00002B63">
            <w:rPr>
              <w:smallCaps w:val="0"/>
              <w:sz w:val="24"/>
              <w:szCs w:val="24"/>
            </w:rPr>
            <w:ptab w:relativeTo="margin" w:alignment="right" w:leader="dot"/>
          </w:r>
          <w:r w:rsidR="002416F7">
            <w:rPr>
              <w:smallCaps w:val="0"/>
              <w:sz w:val="24"/>
              <w:szCs w:val="24"/>
            </w:rPr>
            <w:t>44</w:t>
          </w:r>
        </w:p>
        <w:p w:rsidR="00AC049F" w:rsidRPr="00002B63" w:rsidRDefault="002416F7" w:rsidP="003D37EB">
          <w:pPr>
            <w:pStyle w:val="Obsah2"/>
            <w:numPr>
              <w:ilvl w:val="0"/>
              <w:numId w:val="18"/>
            </w:numPr>
            <w:spacing w:line="360" w:lineRule="auto"/>
            <w:outlineLvl w:val="1"/>
            <w:rPr>
              <w:smallCaps w:val="0"/>
              <w:sz w:val="24"/>
              <w:szCs w:val="24"/>
            </w:rPr>
          </w:pPr>
          <w:r>
            <w:rPr>
              <w:smallCaps w:val="0"/>
              <w:color w:val="000000"/>
              <w:sz w:val="24"/>
              <w:szCs w:val="24"/>
            </w:rPr>
            <w:t>Kartogram podílu nezaměstnaných osob</w:t>
          </w:r>
          <w:r w:rsidR="003D37EB" w:rsidRPr="00002B63">
            <w:rPr>
              <w:smallCaps w:val="0"/>
              <w:color w:val="000000"/>
              <w:sz w:val="24"/>
              <w:szCs w:val="24"/>
            </w:rPr>
            <w:t xml:space="preserve"> na </w:t>
          </w:r>
          <w:r w:rsidR="007E64DA">
            <w:rPr>
              <w:smallCaps w:val="0"/>
              <w:color w:val="000000"/>
              <w:sz w:val="24"/>
              <w:szCs w:val="24"/>
            </w:rPr>
            <w:t>území POÚ OC kraje (k 31.12.2014</w:t>
          </w:r>
          <w:r w:rsidR="00E1533A" w:rsidRPr="00002B63">
            <w:rPr>
              <w:smallCaps w:val="0"/>
              <w:color w:val="000000"/>
              <w:sz w:val="24"/>
              <w:szCs w:val="24"/>
            </w:rPr>
            <w:t>)</w:t>
          </w:r>
          <w:r w:rsidR="00E1533A" w:rsidRPr="00002B63">
            <w:rPr>
              <w:smallCaps w:val="0"/>
              <w:color w:val="000000"/>
              <w:sz w:val="24"/>
              <w:szCs w:val="24"/>
            </w:rPr>
            <w:tab/>
          </w:r>
          <w:r w:rsidR="00E1533A" w:rsidRPr="00002B63">
            <w:rPr>
              <w:smallCaps w:val="0"/>
              <w:color w:val="000000"/>
              <w:sz w:val="24"/>
              <w:szCs w:val="24"/>
            </w:rPr>
            <w:tab/>
          </w:r>
          <w:r w:rsidR="00E1533A" w:rsidRPr="00002B63">
            <w:rPr>
              <w:smallCaps w:val="0"/>
              <w:color w:val="000000"/>
              <w:sz w:val="24"/>
              <w:szCs w:val="24"/>
            </w:rPr>
            <w:tab/>
          </w:r>
          <w:r w:rsidR="00E1533A" w:rsidRPr="00002B63">
            <w:rPr>
              <w:smallCaps w:val="0"/>
              <w:color w:val="000000"/>
              <w:sz w:val="24"/>
              <w:szCs w:val="24"/>
            </w:rPr>
            <w:tab/>
          </w:r>
          <w:r w:rsidR="00E1533A" w:rsidRPr="00002B63">
            <w:rPr>
              <w:smallCaps w:val="0"/>
              <w:sz w:val="24"/>
              <w:szCs w:val="24"/>
            </w:rPr>
            <w:t xml:space="preserve"> </w:t>
          </w:r>
          <w:r w:rsidR="00E1533A" w:rsidRPr="00002B63">
            <w:rPr>
              <w:smallCaps w:val="0"/>
              <w:sz w:val="24"/>
              <w:szCs w:val="24"/>
            </w:rPr>
            <w:ptab w:relativeTo="margin" w:alignment="right" w:leader="dot"/>
          </w:r>
          <w:r w:rsidR="00B50304" w:rsidRPr="00002B63">
            <w:rPr>
              <w:smallCaps w:val="0"/>
              <w:sz w:val="24"/>
              <w:szCs w:val="24"/>
            </w:rPr>
            <w:t>4</w:t>
          </w:r>
          <w:r w:rsidR="00600C3A">
            <w:rPr>
              <w:smallCaps w:val="0"/>
              <w:sz w:val="24"/>
              <w:szCs w:val="24"/>
            </w:rPr>
            <w:t>7</w:t>
          </w:r>
        </w:p>
      </w:sdtContent>
    </w:sdt>
    <w:p w:rsidR="00F73785" w:rsidRPr="00002B63" w:rsidRDefault="00207B4D" w:rsidP="00EC59E8">
      <w:pPr>
        <w:pStyle w:val="Nadpis2"/>
        <w:tabs>
          <w:tab w:val="left" w:pos="993"/>
        </w:tabs>
        <w:spacing w:line="360" w:lineRule="auto"/>
        <w:jc w:val="both"/>
        <w:rPr>
          <w:rFonts w:asciiTheme="minorHAnsi" w:hAnsiTheme="minorHAnsi" w:cstheme="minorHAnsi"/>
          <w:b/>
          <w:color w:val="FF0000"/>
          <w:sz w:val="28"/>
        </w:rPr>
      </w:pPr>
      <w:bookmarkStart w:id="3" w:name="_I._Celková_charakteristika_Olomouck"/>
      <w:bookmarkStart w:id="4" w:name="_I.2_Ekonomická,_sociální_a_demograf"/>
      <w:bookmarkStart w:id="5" w:name="_II.__Zaměstnanost"/>
      <w:bookmarkStart w:id="6" w:name="_Toc321296395"/>
      <w:bookmarkStart w:id="7" w:name="_Toc321296512"/>
      <w:bookmarkEnd w:id="3"/>
      <w:bookmarkEnd w:id="4"/>
      <w:bookmarkEnd w:id="5"/>
      <w:r w:rsidRPr="00002B63">
        <w:rPr>
          <w:rFonts w:asciiTheme="minorHAnsi" w:hAnsiTheme="minorHAnsi" w:cstheme="minorHAnsi"/>
          <w:b/>
          <w:color w:val="FF0000"/>
          <w:sz w:val="28"/>
        </w:rPr>
        <w:lastRenderedPageBreak/>
        <w:t>1</w:t>
      </w:r>
      <w:r w:rsidR="00F73785" w:rsidRPr="00002B63">
        <w:rPr>
          <w:rFonts w:asciiTheme="minorHAnsi" w:hAnsiTheme="minorHAnsi" w:cstheme="minorHAnsi"/>
          <w:b/>
          <w:color w:val="FF0000"/>
          <w:sz w:val="28"/>
        </w:rPr>
        <w:t>.</w:t>
      </w:r>
      <w:r w:rsidR="00F06A6D" w:rsidRPr="00002B63">
        <w:rPr>
          <w:rFonts w:asciiTheme="minorHAnsi" w:hAnsiTheme="minorHAnsi" w:cstheme="minorHAnsi"/>
          <w:b/>
          <w:color w:val="FF0000"/>
          <w:sz w:val="28"/>
        </w:rPr>
        <w:t xml:space="preserve"> </w:t>
      </w:r>
      <w:r w:rsidR="00F73785" w:rsidRPr="00002B63">
        <w:rPr>
          <w:rFonts w:asciiTheme="minorHAnsi" w:hAnsiTheme="minorHAnsi" w:cstheme="minorHAnsi"/>
          <w:b/>
          <w:caps/>
          <w:color w:val="FF0000"/>
          <w:sz w:val="28"/>
        </w:rPr>
        <w:t>Zaměstnanost</w:t>
      </w:r>
      <w:bookmarkEnd w:id="6"/>
      <w:bookmarkEnd w:id="7"/>
    </w:p>
    <w:p w:rsidR="00F73785" w:rsidRPr="00002B63" w:rsidRDefault="00207B4D" w:rsidP="00F73785">
      <w:pPr>
        <w:pStyle w:val="Nadpis6"/>
        <w:spacing w:line="360" w:lineRule="auto"/>
        <w:jc w:val="both"/>
        <w:rPr>
          <w:rFonts w:asciiTheme="minorHAnsi" w:hAnsiTheme="minorHAnsi" w:cstheme="minorHAnsi"/>
          <w:i w:val="0"/>
          <w:color w:val="0000FF"/>
        </w:rPr>
      </w:pPr>
      <w:bookmarkStart w:id="8" w:name="_II.1_Celková_zaměstnanost"/>
      <w:bookmarkEnd w:id="8"/>
      <w:r w:rsidRPr="00002B63">
        <w:rPr>
          <w:rFonts w:asciiTheme="minorHAnsi" w:hAnsiTheme="minorHAnsi" w:cstheme="minorHAnsi"/>
          <w:i w:val="0"/>
          <w:color w:val="0000FF"/>
        </w:rPr>
        <w:t>1</w:t>
      </w:r>
      <w:r w:rsidR="00F73785" w:rsidRPr="00002B63">
        <w:rPr>
          <w:rFonts w:asciiTheme="minorHAnsi" w:hAnsiTheme="minorHAnsi" w:cstheme="minorHAnsi"/>
          <w:i w:val="0"/>
          <w:color w:val="0000FF"/>
        </w:rPr>
        <w:t>.1 Celková zaměstnanost</w:t>
      </w:r>
      <w:r w:rsidRPr="00002B63">
        <w:rPr>
          <w:rFonts w:asciiTheme="minorHAnsi" w:hAnsiTheme="minorHAnsi" w:cstheme="minorHAnsi"/>
          <w:i w:val="0"/>
          <w:color w:val="0000FF"/>
        </w:rPr>
        <w:t xml:space="preserve"> v Olomouckém kraji</w:t>
      </w:r>
    </w:p>
    <w:p w:rsidR="00DE5660" w:rsidRPr="00002B63" w:rsidRDefault="00E53465" w:rsidP="00DE5660">
      <w:pPr>
        <w:pStyle w:val="Zkladntext"/>
        <w:spacing w:line="240" w:lineRule="atLeast"/>
        <w:ind w:firstLine="708"/>
        <w:jc w:val="both"/>
        <w:rPr>
          <w:rFonts w:asciiTheme="minorHAnsi" w:hAnsiTheme="minorHAnsi" w:cstheme="minorHAnsi"/>
          <w:b w:val="0"/>
          <w:color w:val="000000"/>
          <w:sz w:val="24"/>
        </w:rPr>
      </w:pPr>
      <w:r w:rsidRPr="00002B63">
        <w:rPr>
          <w:rFonts w:asciiTheme="minorHAnsi" w:hAnsiTheme="minorHAnsi" w:cstheme="minorHAnsi"/>
          <w:b w:val="0"/>
          <w:color w:val="000000"/>
          <w:sz w:val="24"/>
        </w:rPr>
        <w:t>Kraj Olomoucký, který jako VÚSC vznikl spolu s ostatními kraji k 1. 1. 2001, se rozkládá ve střední a severní části Moravy. Zahrnuje území 5 okresů – Jeseník, Olomouc, Prostějov, Přerov a Šumperk. Olomoucký kraj sousedí s krajem Moravskoslezským, Pardubickým, Zlínským a Jihomoravským. Severní část kraje (okres Jeseník) hraničí s Polskem.</w:t>
      </w:r>
    </w:p>
    <w:p w:rsidR="00E53465" w:rsidRPr="00002B63" w:rsidRDefault="00E53465" w:rsidP="00E53465">
      <w:pPr>
        <w:pStyle w:val="Zkladntext"/>
        <w:spacing w:line="240" w:lineRule="atLeast"/>
        <w:ind w:firstLine="708"/>
        <w:jc w:val="both"/>
        <w:rPr>
          <w:rFonts w:asciiTheme="minorHAnsi" w:hAnsiTheme="minorHAnsi" w:cstheme="minorHAnsi"/>
          <w:b w:val="0"/>
          <w:color w:val="000000"/>
          <w:sz w:val="24"/>
        </w:rPr>
      </w:pPr>
      <w:r w:rsidRPr="00002B63">
        <w:rPr>
          <w:rFonts w:asciiTheme="minorHAnsi" w:hAnsiTheme="minorHAnsi" w:cstheme="minorHAnsi"/>
          <w:b w:val="0"/>
          <w:color w:val="000000"/>
          <w:sz w:val="24"/>
        </w:rPr>
        <w:t>Z ekonomického hlediska je kraj oblastí průmyslovou s rozvinutými službami (silněji v místech větší koncentrace obyvatelstva a v rekreačních oblastech); ekonomika kraje je relativně diverzifikovaná (což však vždy neplatí pro jednotlivé okresy a mikroregiony) s rozhodující zaměstnaností ve strojírenství, elektrotechnice, potravinářském průmyslu, textilní výrobě, dřevozpracujícím a chemickém průmyslu, zemědělství, lesnictví a stavebnictví; ze služeb se rozvíjejí hlavně osobní služby, služby pro podnikatele, komunikační služby, školství a zdravotnictví apod.</w:t>
      </w:r>
      <w:r w:rsidR="00DE5660" w:rsidRPr="00002B63">
        <w:rPr>
          <w:rFonts w:asciiTheme="minorHAnsi" w:hAnsiTheme="minorHAnsi" w:cstheme="minorHAnsi"/>
          <w:b w:val="0"/>
          <w:color w:val="000000"/>
          <w:sz w:val="24"/>
        </w:rPr>
        <w:t xml:space="preserve"> </w:t>
      </w:r>
      <w:r w:rsidRPr="00002B63">
        <w:rPr>
          <w:rFonts w:asciiTheme="minorHAnsi" w:hAnsiTheme="minorHAnsi" w:cstheme="minorHAnsi"/>
          <w:color w:val="000000"/>
          <w:sz w:val="24"/>
        </w:rPr>
        <w:t>Kraj není možné charakterizovat jako jednotný trh práce.</w:t>
      </w:r>
      <w:r w:rsidRPr="00002B63">
        <w:rPr>
          <w:rFonts w:asciiTheme="minorHAnsi" w:hAnsiTheme="minorHAnsi" w:cstheme="minorHAnsi"/>
          <w:b w:val="0"/>
          <w:color w:val="000000"/>
          <w:sz w:val="24"/>
        </w:rPr>
        <w:t xml:space="preserve"> Hranice trhu práce jsou dány zejména možnostmi denního dojíždění do zaměstnání. </w:t>
      </w:r>
    </w:p>
    <w:p w:rsidR="00AA5059" w:rsidRPr="00CE2EE3" w:rsidRDefault="0004508D" w:rsidP="00AA5059">
      <w:pPr>
        <w:pStyle w:val="Zkladntext"/>
        <w:spacing w:line="240" w:lineRule="atLeast"/>
        <w:ind w:firstLine="708"/>
        <w:jc w:val="both"/>
        <w:rPr>
          <w:rFonts w:asciiTheme="minorHAnsi" w:hAnsiTheme="minorHAnsi" w:cstheme="minorHAnsi"/>
          <w:color w:val="000000" w:themeColor="text1"/>
          <w:sz w:val="24"/>
        </w:rPr>
      </w:pPr>
      <w:r w:rsidRPr="009E52F5">
        <w:rPr>
          <w:rFonts w:asciiTheme="minorHAnsi" w:hAnsiTheme="minorHAnsi" w:cstheme="minorHAnsi"/>
          <w:b w:val="0"/>
          <w:color w:val="000000" w:themeColor="text1"/>
          <w:sz w:val="24"/>
        </w:rPr>
        <w:t>V posledních šesti</w:t>
      </w:r>
      <w:r w:rsidR="004A2C40" w:rsidRPr="009E52F5">
        <w:rPr>
          <w:rFonts w:asciiTheme="minorHAnsi" w:hAnsiTheme="minorHAnsi" w:cstheme="minorHAnsi"/>
          <w:b w:val="0"/>
          <w:color w:val="000000" w:themeColor="text1"/>
          <w:sz w:val="24"/>
        </w:rPr>
        <w:t xml:space="preserve"> letech prochází trh práce v Olomouckém kraji výraznými výkyvy (ne)zaměstnanosti. Rok 2009 byl ve znamení masového propouštění z důvodu výrazného poklesu zakázek a ekonomických potíží v důsledku světové finanční krize. Pokles zaměstnanosti v některých velkých společnostech činil řádově i stovky zaměstnanců, nezaměstnanost prakti</w:t>
      </w:r>
      <w:r w:rsidR="000F6288" w:rsidRPr="009E52F5">
        <w:rPr>
          <w:rFonts w:asciiTheme="minorHAnsi" w:hAnsiTheme="minorHAnsi" w:cstheme="minorHAnsi"/>
          <w:b w:val="0"/>
          <w:color w:val="000000" w:themeColor="text1"/>
          <w:sz w:val="24"/>
        </w:rPr>
        <w:t>cky celý rok nepřetržitě rostla a v únoru 2010 kulminovala.</w:t>
      </w:r>
      <w:r w:rsidR="004A2C40" w:rsidRPr="009E52F5">
        <w:rPr>
          <w:rFonts w:asciiTheme="minorHAnsi" w:hAnsiTheme="minorHAnsi" w:cstheme="minorHAnsi"/>
          <w:b w:val="0"/>
          <w:color w:val="000000" w:themeColor="text1"/>
          <w:sz w:val="24"/>
        </w:rPr>
        <w:t xml:space="preserve"> Od 2. čtvrtletí </w:t>
      </w:r>
      <w:r w:rsidR="001724D4" w:rsidRPr="009E52F5">
        <w:rPr>
          <w:rFonts w:asciiTheme="minorHAnsi" w:hAnsiTheme="minorHAnsi" w:cstheme="minorHAnsi"/>
          <w:b w:val="0"/>
          <w:color w:val="000000" w:themeColor="text1"/>
          <w:sz w:val="24"/>
        </w:rPr>
        <w:t>roku</w:t>
      </w:r>
      <w:r w:rsidR="004A2C40" w:rsidRPr="009E52F5">
        <w:rPr>
          <w:rFonts w:asciiTheme="minorHAnsi" w:hAnsiTheme="minorHAnsi" w:cstheme="minorHAnsi"/>
          <w:b w:val="0"/>
          <w:color w:val="000000" w:themeColor="text1"/>
          <w:sz w:val="24"/>
        </w:rPr>
        <w:t xml:space="preserve"> 2010 začala nezaměstnanost výrazně klesat</w:t>
      </w:r>
      <w:r w:rsidR="00F25111" w:rsidRPr="009E52F5">
        <w:rPr>
          <w:rFonts w:asciiTheme="minorHAnsi" w:hAnsiTheme="minorHAnsi" w:cstheme="minorHAnsi"/>
          <w:b w:val="0"/>
          <w:color w:val="000000" w:themeColor="text1"/>
          <w:sz w:val="24"/>
        </w:rPr>
        <w:t>, v závěru roku se opět projevila</w:t>
      </w:r>
      <w:r w:rsidR="001724D4" w:rsidRPr="009E52F5">
        <w:rPr>
          <w:rFonts w:asciiTheme="minorHAnsi" w:hAnsiTheme="minorHAnsi" w:cstheme="minorHAnsi"/>
          <w:b w:val="0"/>
          <w:color w:val="000000" w:themeColor="text1"/>
          <w:sz w:val="24"/>
        </w:rPr>
        <w:t xml:space="preserve"> nervozita zaměstnavatelů z dalšího ekonomického vývoje i snaha lidí registrovat se na úřadu práce podle starých pravidel. V prosinci 2010 tedy došlo </w:t>
      </w:r>
      <w:r w:rsidR="004A2C40" w:rsidRPr="009E52F5">
        <w:rPr>
          <w:rFonts w:asciiTheme="minorHAnsi" w:hAnsiTheme="minorHAnsi" w:cstheme="minorHAnsi"/>
          <w:b w:val="0"/>
          <w:color w:val="000000" w:themeColor="text1"/>
          <w:sz w:val="24"/>
        </w:rPr>
        <w:t xml:space="preserve">opět </w:t>
      </w:r>
      <w:r w:rsidR="001724D4" w:rsidRPr="009E52F5">
        <w:rPr>
          <w:rFonts w:asciiTheme="minorHAnsi" w:hAnsiTheme="minorHAnsi" w:cstheme="minorHAnsi"/>
          <w:b w:val="0"/>
          <w:color w:val="000000" w:themeColor="text1"/>
          <w:sz w:val="24"/>
        </w:rPr>
        <w:t xml:space="preserve">k prudkému nárůstu nezaměstnanosti a v lednu roku 2011 bylo dosaženo druhého dlouhodobého maxima. </w:t>
      </w:r>
      <w:r w:rsidR="00840170">
        <w:rPr>
          <w:rFonts w:asciiTheme="minorHAnsi" w:hAnsiTheme="minorHAnsi" w:cstheme="minorHAnsi"/>
          <w:b w:val="0"/>
          <w:color w:val="000000" w:themeColor="text1"/>
          <w:sz w:val="24"/>
        </w:rPr>
        <w:t>V letech 2011 – 2013 docházelo k výraznému kolísání nezaměstnanosti – řada zaměstnavatelů uzavírala se svými zaměstnanci pracovní smlouvy na dobu určitou a přes zimní sezónu je posílala registrovat se na ÚP. T</w:t>
      </w:r>
      <w:r w:rsidRPr="009E52F5">
        <w:rPr>
          <w:rFonts w:asciiTheme="minorHAnsi" w:hAnsiTheme="minorHAnsi" w:cstheme="minorHAnsi"/>
          <w:b w:val="0"/>
          <w:color w:val="000000" w:themeColor="text1"/>
          <w:sz w:val="24"/>
        </w:rPr>
        <w:t xml:space="preserve">aké rok 2014 byl ve znamení výrazných zvratů ve vývoji nezaměstnanosti – hned v lednu byla překonána dosavadní maxima </w:t>
      </w:r>
      <w:r w:rsidR="00840170">
        <w:rPr>
          <w:rFonts w:asciiTheme="minorHAnsi" w:hAnsiTheme="minorHAnsi" w:cstheme="minorHAnsi"/>
          <w:b w:val="0"/>
          <w:color w:val="000000" w:themeColor="text1"/>
          <w:sz w:val="24"/>
        </w:rPr>
        <w:t>nezaměstnanosti</w:t>
      </w:r>
      <w:r w:rsidR="009E52F5" w:rsidRPr="009E52F5">
        <w:rPr>
          <w:rFonts w:asciiTheme="minorHAnsi" w:hAnsiTheme="minorHAnsi" w:cstheme="minorHAnsi"/>
          <w:b w:val="0"/>
          <w:color w:val="000000" w:themeColor="text1"/>
          <w:sz w:val="24"/>
        </w:rPr>
        <w:t>, a</w:t>
      </w:r>
      <w:r w:rsidR="00840170">
        <w:rPr>
          <w:rFonts w:asciiTheme="minorHAnsi" w:hAnsiTheme="minorHAnsi" w:cstheme="minorHAnsi"/>
          <w:b w:val="0"/>
          <w:color w:val="000000" w:themeColor="text1"/>
          <w:sz w:val="24"/>
        </w:rPr>
        <w:t>le na konci roku 2014 nezaměstnanost klesla na úroveň roku</w:t>
      </w:r>
      <w:r w:rsidR="00AA5059">
        <w:rPr>
          <w:rFonts w:asciiTheme="minorHAnsi" w:hAnsiTheme="minorHAnsi" w:cstheme="minorHAnsi"/>
          <w:b w:val="0"/>
          <w:color w:val="000000" w:themeColor="text1"/>
          <w:sz w:val="24"/>
        </w:rPr>
        <w:t xml:space="preserve"> 2012</w:t>
      </w:r>
      <w:r w:rsidR="009E52F5" w:rsidRPr="009E52F5">
        <w:rPr>
          <w:rFonts w:asciiTheme="minorHAnsi" w:hAnsiTheme="minorHAnsi" w:cstheme="minorHAnsi"/>
          <w:b w:val="0"/>
          <w:color w:val="000000" w:themeColor="text1"/>
          <w:sz w:val="24"/>
        </w:rPr>
        <w:t xml:space="preserve">. </w:t>
      </w:r>
      <w:r w:rsidR="004B79F7" w:rsidRPr="009E52F5">
        <w:rPr>
          <w:rFonts w:asciiTheme="minorHAnsi" w:hAnsiTheme="minorHAnsi" w:cstheme="minorHAnsi"/>
          <w:b w:val="0"/>
          <w:color w:val="000000" w:themeColor="text1"/>
          <w:sz w:val="24"/>
        </w:rPr>
        <w:t xml:space="preserve"> </w:t>
      </w:r>
      <w:r w:rsidR="00AA5059">
        <w:rPr>
          <w:rFonts w:asciiTheme="minorHAnsi" w:hAnsiTheme="minorHAnsi" w:cstheme="minorHAnsi"/>
          <w:color w:val="000000" w:themeColor="text1"/>
          <w:sz w:val="24"/>
        </w:rPr>
        <w:t xml:space="preserve">Vývoj nezaměstnanosti v Olomouckém </w:t>
      </w:r>
      <w:r w:rsidR="00AA5059" w:rsidRPr="00CE2EE3">
        <w:rPr>
          <w:rFonts w:asciiTheme="minorHAnsi" w:hAnsiTheme="minorHAnsi" w:cstheme="minorHAnsi"/>
          <w:color w:val="000000" w:themeColor="text1"/>
          <w:sz w:val="24"/>
        </w:rPr>
        <w:t>kraj</w:t>
      </w:r>
      <w:r w:rsidR="00AA5059">
        <w:rPr>
          <w:rFonts w:asciiTheme="minorHAnsi" w:hAnsiTheme="minorHAnsi" w:cstheme="minorHAnsi"/>
          <w:color w:val="000000" w:themeColor="text1"/>
          <w:sz w:val="24"/>
        </w:rPr>
        <w:t>i</w:t>
      </w:r>
      <w:r w:rsidR="00AA5059" w:rsidRPr="00CE2EE3">
        <w:rPr>
          <w:rFonts w:asciiTheme="minorHAnsi" w:hAnsiTheme="minorHAnsi" w:cstheme="minorHAnsi"/>
          <w:color w:val="000000" w:themeColor="text1"/>
          <w:sz w:val="24"/>
        </w:rPr>
        <w:t xml:space="preserve"> je</w:t>
      </w:r>
      <w:r w:rsidR="00AA5059">
        <w:rPr>
          <w:rFonts w:asciiTheme="minorHAnsi" w:hAnsiTheme="minorHAnsi" w:cstheme="minorHAnsi"/>
          <w:color w:val="000000" w:themeColor="text1"/>
          <w:sz w:val="24"/>
        </w:rPr>
        <w:t xml:space="preserve"> podrobně</w:t>
      </w:r>
      <w:r w:rsidR="00AA5059" w:rsidRPr="00CE2EE3">
        <w:rPr>
          <w:rFonts w:asciiTheme="minorHAnsi" w:hAnsiTheme="minorHAnsi" w:cstheme="minorHAnsi"/>
          <w:color w:val="000000" w:themeColor="text1"/>
          <w:sz w:val="24"/>
        </w:rPr>
        <w:t xml:space="preserve"> p</w:t>
      </w:r>
      <w:r w:rsidR="00AA5059">
        <w:rPr>
          <w:rFonts w:asciiTheme="minorHAnsi" w:hAnsiTheme="minorHAnsi" w:cstheme="minorHAnsi"/>
          <w:color w:val="000000" w:themeColor="text1"/>
          <w:sz w:val="24"/>
        </w:rPr>
        <w:t>opsán v kapitole 2.1</w:t>
      </w:r>
      <w:r w:rsidR="00AA5059" w:rsidRPr="00CE2EE3">
        <w:rPr>
          <w:rFonts w:asciiTheme="minorHAnsi" w:hAnsiTheme="minorHAnsi" w:cstheme="minorHAnsi"/>
          <w:color w:val="000000" w:themeColor="text1"/>
          <w:sz w:val="24"/>
        </w:rPr>
        <w:t>.</w:t>
      </w:r>
    </w:p>
    <w:p w:rsidR="00750CFF" w:rsidRPr="00BE5154" w:rsidRDefault="00835F82" w:rsidP="00750CFF">
      <w:pPr>
        <w:ind w:firstLine="709"/>
        <w:jc w:val="both"/>
        <w:rPr>
          <w:rFonts w:asciiTheme="minorHAnsi" w:hAnsiTheme="minorHAnsi" w:cstheme="minorHAnsi"/>
          <w:color w:val="FF0000"/>
        </w:rPr>
      </w:pPr>
      <w:r w:rsidRPr="00E22BEF">
        <w:rPr>
          <w:rFonts w:asciiTheme="minorHAnsi" w:hAnsiTheme="minorHAnsi" w:cstheme="minorHAnsi"/>
          <w:b/>
          <w:color w:val="000000" w:themeColor="text1"/>
        </w:rPr>
        <w:t xml:space="preserve">V žádné sledované společnosti se meziročně nesnížil počet zaměstnanců o více než 100 osob. </w:t>
      </w:r>
      <w:r w:rsidRPr="00E22BEF">
        <w:rPr>
          <w:rFonts w:asciiTheme="minorHAnsi" w:hAnsiTheme="minorHAnsi" w:cstheme="minorHAnsi"/>
          <w:color w:val="000000" w:themeColor="text1"/>
        </w:rPr>
        <w:t xml:space="preserve">Výrazný </w:t>
      </w:r>
      <w:r w:rsidRPr="00E22BEF">
        <w:rPr>
          <w:rFonts w:asciiTheme="minorHAnsi" w:hAnsiTheme="minorHAnsi" w:cstheme="minorHAnsi"/>
          <w:b/>
          <w:color w:val="000000" w:themeColor="text1"/>
        </w:rPr>
        <w:t>pokles zaměstnanosti (o více než 50 osob) vykázal</w:t>
      </w:r>
      <w:r w:rsidR="00E22BEF" w:rsidRPr="00E22BEF">
        <w:rPr>
          <w:rFonts w:asciiTheme="minorHAnsi" w:hAnsiTheme="minorHAnsi" w:cstheme="minorHAnsi"/>
          <w:b/>
          <w:color w:val="000000" w:themeColor="text1"/>
        </w:rPr>
        <w:t xml:space="preserve">y </w:t>
      </w:r>
      <w:r w:rsidRPr="00E22BEF">
        <w:rPr>
          <w:rFonts w:asciiTheme="minorHAnsi" w:hAnsiTheme="minorHAnsi" w:cstheme="minorHAnsi"/>
          <w:color w:val="000000" w:themeColor="text1"/>
        </w:rPr>
        <w:t>olomoucká elektrotechnická společnost</w:t>
      </w:r>
      <w:r w:rsidR="0014360C" w:rsidRPr="00E22BEF">
        <w:rPr>
          <w:rFonts w:asciiTheme="minorHAnsi" w:hAnsiTheme="minorHAnsi" w:cstheme="minorHAnsi"/>
          <w:color w:val="000000" w:themeColor="text1"/>
        </w:rPr>
        <w:t xml:space="preserve"> M.L.S. Holice spol.</w:t>
      </w:r>
      <w:r w:rsidR="00CC1F3E" w:rsidRPr="00E22BEF">
        <w:rPr>
          <w:rFonts w:asciiTheme="minorHAnsi" w:hAnsiTheme="minorHAnsi" w:cstheme="minorHAnsi"/>
          <w:color w:val="000000" w:themeColor="text1"/>
        </w:rPr>
        <w:t xml:space="preserve"> s r.o</w:t>
      </w:r>
      <w:r w:rsidRPr="00E22BEF">
        <w:rPr>
          <w:rFonts w:asciiTheme="minorHAnsi" w:hAnsiTheme="minorHAnsi" w:cstheme="minorHAnsi"/>
          <w:color w:val="000000" w:themeColor="text1"/>
        </w:rPr>
        <w:t>., přerovská společnost na montáž a balení krevních hadiček Gambro Czech Republic s.r.o.</w:t>
      </w:r>
      <w:r w:rsidR="00E22BEF" w:rsidRPr="00E22BEF">
        <w:rPr>
          <w:rFonts w:asciiTheme="minorHAnsi" w:hAnsiTheme="minorHAnsi" w:cstheme="minorHAnsi"/>
          <w:color w:val="000000" w:themeColor="text1"/>
        </w:rPr>
        <w:t xml:space="preserve"> a Nemocnice Hranice a.s.</w:t>
      </w:r>
      <w:r w:rsidR="00750CFF">
        <w:rPr>
          <w:rFonts w:asciiTheme="minorHAnsi" w:hAnsiTheme="minorHAnsi" w:cstheme="minorHAnsi"/>
          <w:color w:val="000000" w:themeColor="text1"/>
        </w:rPr>
        <w:t xml:space="preserve"> </w:t>
      </w:r>
    </w:p>
    <w:p w:rsidR="00EE5779" w:rsidRPr="003A7E37" w:rsidRDefault="00E22BEF" w:rsidP="004E09D0">
      <w:pPr>
        <w:ind w:firstLine="709"/>
        <w:jc w:val="both"/>
        <w:rPr>
          <w:rFonts w:asciiTheme="minorHAnsi" w:hAnsiTheme="minorHAnsi" w:cstheme="minorHAnsi"/>
          <w:color w:val="000000" w:themeColor="text1"/>
        </w:rPr>
      </w:pPr>
      <w:r w:rsidRPr="003A7E37">
        <w:rPr>
          <w:rFonts w:asciiTheme="minorHAnsi" w:hAnsiTheme="minorHAnsi" w:cstheme="minorHAnsi"/>
          <w:color w:val="000000" w:themeColor="text1"/>
        </w:rPr>
        <w:t>K </w:t>
      </w:r>
      <w:r w:rsidRPr="003A7E37">
        <w:rPr>
          <w:rFonts w:asciiTheme="minorHAnsi" w:hAnsiTheme="minorHAnsi" w:cstheme="minorHAnsi"/>
          <w:b/>
          <w:color w:val="000000" w:themeColor="text1"/>
        </w:rPr>
        <w:t>mírné redukci zaměstnanosti (o 2 až 4 desítky osob)</w:t>
      </w:r>
      <w:r w:rsidRPr="003A7E37">
        <w:rPr>
          <w:rFonts w:asciiTheme="minorHAnsi" w:hAnsiTheme="minorHAnsi" w:cstheme="minorHAnsi"/>
          <w:color w:val="000000" w:themeColor="text1"/>
        </w:rPr>
        <w:t xml:space="preserve"> </w:t>
      </w:r>
      <w:r w:rsidR="00336EC7" w:rsidRPr="003A7E37">
        <w:rPr>
          <w:rFonts w:asciiTheme="minorHAnsi" w:hAnsiTheme="minorHAnsi" w:cstheme="minorHAnsi"/>
          <w:color w:val="000000" w:themeColor="text1"/>
        </w:rPr>
        <w:t xml:space="preserve">došlo i </w:t>
      </w:r>
      <w:r w:rsidRPr="003A7E37">
        <w:rPr>
          <w:rFonts w:asciiTheme="minorHAnsi" w:hAnsiTheme="minorHAnsi" w:cstheme="minorHAnsi"/>
          <w:color w:val="000000" w:themeColor="text1"/>
        </w:rPr>
        <w:t>v uničovském závodě společnosti MIELE technika s.r.o., v družstvu Mechanika Prostějov 97, u stavební společnosti IP systém a.s.</w:t>
      </w:r>
      <w:r w:rsidR="003A7E37" w:rsidRPr="003A7E37">
        <w:rPr>
          <w:rFonts w:asciiTheme="minorHAnsi" w:hAnsiTheme="minorHAnsi" w:cstheme="minorHAnsi"/>
          <w:color w:val="000000" w:themeColor="text1"/>
        </w:rPr>
        <w:t xml:space="preserve"> a dále u prostějovského zpracovatele a prodejce masa a masných výrobků MAKOVEC a.s. Pokles zaměstnanosti vykázaly i dopravní společnosti HOPI s.r.o. a FTL –First Transport Lines, a.s. </w:t>
      </w:r>
      <w:r w:rsidR="00A04A17">
        <w:rPr>
          <w:rFonts w:asciiTheme="minorHAnsi" w:hAnsiTheme="minorHAnsi" w:cstheme="minorHAnsi"/>
          <w:color w:val="000000" w:themeColor="text1"/>
        </w:rPr>
        <w:t>(obě z Prostějovska) a elektrotechnická společnost E-TECHNIK s.r.o. z Milotic nad Bečvou.</w:t>
      </w:r>
    </w:p>
    <w:p w:rsidR="00BE5154" w:rsidRDefault="00BE5154" w:rsidP="00BE5154">
      <w:pPr>
        <w:ind w:firstLine="426"/>
        <w:jc w:val="both"/>
        <w:rPr>
          <w:rFonts w:asciiTheme="minorHAnsi" w:hAnsiTheme="minorHAnsi" w:cstheme="minorHAnsi"/>
          <w:color w:val="000000"/>
        </w:rPr>
      </w:pPr>
      <w:r w:rsidRPr="00BE5154">
        <w:rPr>
          <w:rFonts w:asciiTheme="minorHAnsi" w:hAnsiTheme="minorHAnsi" w:cstheme="minorHAnsi"/>
          <w:color w:val="000000"/>
        </w:rPr>
        <w:t>Exekutorský úřad Olomouc (Mgr. Ing. Radim Opletal) z důvodu zániku pověření k provádění exekuční činnosti ukončil svou činnost a propustil tři desítky zaměstnanců. Na konci roku společnost BILLA, spol. s r.o. z důvodu nerentability zavřela supermarket ve Šternberku s 24 zaměstnanci.</w:t>
      </w:r>
    </w:p>
    <w:p w:rsidR="000F7A94" w:rsidRPr="000F7A94" w:rsidRDefault="000F7A94" w:rsidP="000F7A94">
      <w:pPr>
        <w:ind w:firstLine="709"/>
        <w:jc w:val="both"/>
        <w:rPr>
          <w:rFonts w:asciiTheme="minorHAnsi" w:hAnsiTheme="minorHAnsi" w:cstheme="minorHAnsi"/>
          <w:color w:val="000000" w:themeColor="text1"/>
        </w:rPr>
      </w:pPr>
      <w:r w:rsidRPr="000F7A94">
        <w:rPr>
          <w:rFonts w:asciiTheme="minorHAnsi" w:hAnsiTheme="minorHAnsi" w:cstheme="minorHAnsi"/>
          <w:color w:val="000000" w:themeColor="text1"/>
        </w:rPr>
        <w:t>Jesenická společnost na výrobu stavebních materiálů Slezský kámen a.s. se dostala do insolvence a koncem srpna byl na ni soudem vyhlášen konkurz. Několik desítek zaměstnanců rozvázalo pracovní poměr a zaregistrovalo se na ÚP, ale po konsolidaci se řada z nich vrátila k tomuto zaměstnavateli.</w:t>
      </w:r>
    </w:p>
    <w:p w:rsidR="00895015" w:rsidRPr="0084459E" w:rsidRDefault="00692C90" w:rsidP="00692C90">
      <w:pPr>
        <w:ind w:firstLine="720"/>
        <w:jc w:val="both"/>
        <w:rPr>
          <w:rFonts w:asciiTheme="minorHAnsi" w:hAnsiTheme="minorHAnsi" w:cstheme="minorHAnsi"/>
          <w:b/>
          <w:color w:val="000000" w:themeColor="text1"/>
        </w:rPr>
      </w:pPr>
      <w:r w:rsidRPr="007E64DA">
        <w:rPr>
          <w:rFonts w:asciiTheme="minorHAnsi" w:hAnsiTheme="minorHAnsi" w:cstheme="minorHAnsi"/>
          <w:i/>
          <w:color w:val="FF0000"/>
        </w:rPr>
        <w:lastRenderedPageBreak/>
        <w:tab/>
      </w:r>
      <w:r w:rsidRPr="007E64DA">
        <w:rPr>
          <w:rFonts w:asciiTheme="minorHAnsi" w:hAnsiTheme="minorHAnsi" w:cstheme="minorHAnsi"/>
          <w:i/>
          <w:color w:val="FF0000"/>
        </w:rPr>
        <w:tab/>
      </w:r>
      <w:r w:rsidRPr="0084459E">
        <w:rPr>
          <w:rFonts w:asciiTheme="minorHAnsi" w:hAnsiTheme="minorHAnsi" w:cstheme="minorHAnsi"/>
          <w:color w:val="000000" w:themeColor="text1"/>
        </w:rPr>
        <w:t>Na druhé straně</w:t>
      </w:r>
      <w:r w:rsidR="00895015" w:rsidRPr="0084459E">
        <w:rPr>
          <w:rFonts w:asciiTheme="minorHAnsi" w:hAnsiTheme="minorHAnsi" w:cstheme="minorHAnsi"/>
          <w:color w:val="000000" w:themeColor="text1"/>
        </w:rPr>
        <w:t xml:space="preserve"> </w:t>
      </w:r>
      <w:r w:rsidR="00895015" w:rsidRPr="0084459E">
        <w:rPr>
          <w:rFonts w:asciiTheme="minorHAnsi" w:hAnsiTheme="minorHAnsi" w:cstheme="minorHAnsi"/>
          <w:b/>
          <w:color w:val="000000" w:themeColor="text1"/>
        </w:rPr>
        <w:t xml:space="preserve">některé organizace vykázaly výrazný nárůst zaměstnanosti. </w:t>
      </w:r>
    </w:p>
    <w:p w:rsidR="00DB2259" w:rsidRPr="0084459E" w:rsidRDefault="00DB2259" w:rsidP="002B696B">
      <w:pPr>
        <w:pStyle w:val="Zkladntext"/>
        <w:spacing w:line="240" w:lineRule="atLeast"/>
        <w:ind w:left="1" w:firstLine="707"/>
        <w:jc w:val="both"/>
        <w:rPr>
          <w:rFonts w:asciiTheme="minorHAnsi" w:hAnsiTheme="minorHAnsi" w:cstheme="minorHAnsi"/>
          <w:b w:val="0"/>
          <w:color w:val="000000" w:themeColor="text1"/>
          <w:sz w:val="24"/>
        </w:rPr>
      </w:pPr>
      <w:r w:rsidRPr="0084459E">
        <w:rPr>
          <w:rFonts w:asciiTheme="minorHAnsi" w:hAnsiTheme="minorHAnsi" w:cstheme="minorHAnsi"/>
          <w:color w:val="000000" w:themeColor="text1"/>
          <w:sz w:val="24"/>
        </w:rPr>
        <w:t>O více než stovku</w:t>
      </w:r>
      <w:r w:rsidR="0011674C" w:rsidRPr="0084459E">
        <w:rPr>
          <w:rFonts w:asciiTheme="minorHAnsi" w:hAnsiTheme="minorHAnsi" w:cstheme="minorHAnsi"/>
          <w:color w:val="000000" w:themeColor="text1"/>
          <w:sz w:val="24"/>
        </w:rPr>
        <w:t xml:space="preserve"> osob</w:t>
      </w:r>
      <w:r w:rsidR="00895015" w:rsidRPr="0084459E">
        <w:rPr>
          <w:rFonts w:asciiTheme="minorHAnsi" w:hAnsiTheme="minorHAnsi" w:cstheme="minorHAnsi"/>
          <w:color w:val="000000" w:themeColor="text1"/>
          <w:sz w:val="24"/>
        </w:rPr>
        <w:t xml:space="preserve"> se zvýšil</w:t>
      </w:r>
      <w:r w:rsidR="0011674C" w:rsidRPr="0084459E">
        <w:rPr>
          <w:rFonts w:asciiTheme="minorHAnsi" w:hAnsiTheme="minorHAnsi" w:cstheme="minorHAnsi"/>
          <w:color w:val="000000" w:themeColor="text1"/>
          <w:sz w:val="24"/>
        </w:rPr>
        <w:t>a zaměstnanost</w:t>
      </w:r>
      <w:r w:rsidR="0011674C" w:rsidRPr="0084459E">
        <w:rPr>
          <w:rFonts w:asciiTheme="minorHAnsi" w:hAnsiTheme="minorHAnsi" w:cstheme="minorHAnsi"/>
          <w:b w:val="0"/>
          <w:color w:val="000000" w:themeColor="text1"/>
          <w:sz w:val="24"/>
        </w:rPr>
        <w:t xml:space="preserve"> </w:t>
      </w:r>
      <w:r w:rsidRPr="0084459E">
        <w:rPr>
          <w:rFonts w:asciiTheme="minorHAnsi" w:hAnsiTheme="minorHAnsi" w:cstheme="minorHAnsi"/>
          <w:b w:val="0"/>
          <w:color w:val="000000" w:themeColor="text1"/>
          <w:sz w:val="24"/>
        </w:rPr>
        <w:t>u výrobce plastových těsnění</w:t>
      </w:r>
      <w:r w:rsidR="0084459E">
        <w:rPr>
          <w:rFonts w:asciiTheme="minorHAnsi" w:hAnsiTheme="minorHAnsi" w:cstheme="minorHAnsi"/>
          <w:b w:val="0"/>
          <w:color w:val="000000" w:themeColor="text1"/>
          <w:sz w:val="24"/>
        </w:rPr>
        <w:t xml:space="preserve"> pro </w:t>
      </w:r>
      <w:r w:rsidRPr="0084459E">
        <w:rPr>
          <w:rFonts w:asciiTheme="minorHAnsi" w:hAnsiTheme="minorHAnsi" w:cstheme="minorHAnsi"/>
          <w:b w:val="0"/>
          <w:color w:val="000000" w:themeColor="text1"/>
          <w:sz w:val="24"/>
        </w:rPr>
        <w:t>automobilový průmysl</w:t>
      </w:r>
      <w:r w:rsidR="0084459E" w:rsidRPr="0084459E">
        <w:rPr>
          <w:rFonts w:asciiTheme="minorHAnsi" w:hAnsiTheme="minorHAnsi" w:cstheme="minorHAnsi"/>
          <w:b w:val="0"/>
          <w:color w:val="000000" w:themeColor="text1"/>
          <w:sz w:val="24"/>
        </w:rPr>
        <w:t xml:space="preserve"> Henniges Hranice, s.r.o. i </w:t>
      </w:r>
      <w:r w:rsidRPr="0084459E">
        <w:rPr>
          <w:rFonts w:asciiTheme="minorHAnsi" w:hAnsiTheme="minorHAnsi" w:cstheme="minorHAnsi"/>
          <w:b w:val="0"/>
          <w:color w:val="000000" w:themeColor="text1"/>
          <w:sz w:val="24"/>
        </w:rPr>
        <w:t>v</w:t>
      </w:r>
      <w:r w:rsidR="0084459E" w:rsidRPr="0084459E">
        <w:rPr>
          <w:rFonts w:asciiTheme="minorHAnsi" w:hAnsiTheme="minorHAnsi" w:cstheme="minorHAnsi"/>
          <w:b w:val="0"/>
          <w:color w:val="000000" w:themeColor="text1"/>
          <w:sz w:val="24"/>
        </w:rPr>
        <w:t> další hranické</w:t>
      </w:r>
      <w:r w:rsidR="0084459E" w:rsidRPr="0084459E">
        <w:rPr>
          <w:rFonts w:asciiTheme="minorHAnsi" w:hAnsiTheme="minorHAnsi" w:cstheme="minorHAnsi"/>
          <w:color w:val="000000" w:themeColor="text1"/>
          <w:sz w:val="24"/>
        </w:rPr>
        <w:t xml:space="preserve"> </w:t>
      </w:r>
      <w:r w:rsidRPr="0084459E">
        <w:rPr>
          <w:rFonts w:asciiTheme="minorHAnsi" w:hAnsiTheme="minorHAnsi" w:cstheme="minorHAnsi"/>
          <w:b w:val="0"/>
          <w:color w:val="000000" w:themeColor="text1"/>
          <w:sz w:val="24"/>
        </w:rPr>
        <w:t>strojírenské společnost</w:t>
      </w:r>
      <w:r w:rsidR="0084459E" w:rsidRPr="0084459E">
        <w:rPr>
          <w:rFonts w:asciiTheme="minorHAnsi" w:hAnsiTheme="minorHAnsi" w:cstheme="minorHAnsi"/>
          <w:b w:val="0"/>
          <w:color w:val="000000" w:themeColor="text1"/>
          <w:sz w:val="24"/>
        </w:rPr>
        <w:t>i</w:t>
      </w:r>
      <w:r w:rsidR="0084459E">
        <w:rPr>
          <w:rFonts w:asciiTheme="minorHAnsi" w:hAnsiTheme="minorHAnsi" w:cstheme="minorHAnsi"/>
          <w:b w:val="0"/>
          <w:color w:val="000000" w:themeColor="text1"/>
          <w:sz w:val="24"/>
        </w:rPr>
        <w:t xml:space="preserve">  SSI Schäfer s.r.o. Vyšší n</w:t>
      </w:r>
      <w:r w:rsidR="00A07601">
        <w:rPr>
          <w:rFonts w:asciiTheme="minorHAnsi" w:hAnsiTheme="minorHAnsi" w:cstheme="minorHAnsi"/>
          <w:b w:val="0"/>
          <w:color w:val="000000" w:themeColor="text1"/>
          <w:sz w:val="24"/>
        </w:rPr>
        <w:t xml:space="preserve">árůst zaměstnanosti vykázal i </w:t>
      </w:r>
      <w:r w:rsidR="0084459E">
        <w:rPr>
          <w:rFonts w:asciiTheme="minorHAnsi" w:hAnsiTheme="minorHAnsi" w:cstheme="minorHAnsi"/>
          <w:b w:val="0"/>
          <w:color w:val="000000" w:themeColor="text1"/>
          <w:sz w:val="24"/>
        </w:rPr>
        <w:t>výrobce součástek do leteckých motorů Honeywell Aerospace Olomouc s.r.o.</w:t>
      </w:r>
      <w:r w:rsidR="00A07601">
        <w:rPr>
          <w:rFonts w:asciiTheme="minorHAnsi" w:hAnsiTheme="minorHAnsi" w:cstheme="minorHAnsi"/>
          <w:b w:val="0"/>
          <w:color w:val="000000" w:themeColor="text1"/>
          <w:sz w:val="24"/>
        </w:rPr>
        <w:t xml:space="preserve"> z Hluboček – Mariánského Údolí, prostějovský strojírenský koncern MUBEa a dále i Fakultní nemocnice v Olomouci.</w:t>
      </w:r>
    </w:p>
    <w:p w:rsidR="008F7A0E" w:rsidRPr="008F7A0E" w:rsidRDefault="0084459E" w:rsidP="008F7A0E">
      <w:pPr>
        <w:pStyle w:val="Zkladntext"/>
        <w:spacing w:line="240" w:lineRule="atLeast"/>
        <w:ind w:left="1" w:firstLine="707"/>
        <w:jc w:val="both"/>
        <w:rPr>
          <w:rFonts w:asciiTheme="minorHAnsi" w:hAnsiTheme="minorHAnsi" w:cstheme="minorHAnsi"/>
          <w:b w:val="0"/>
          <w:color w:val="000000" w:themeColor="text1"/>
          <w:sz w:val="24"/>
        </w:rPr>
      </w:pPr>
      <w:r w:rsidRPr="009C57D6">
        <w:rPr>
          <w:rFonts w:asciiTheme="minorHAnsi" w:hAnsiTheme="minorHAnsi" w:cstheme="minorHAnsi"/>
          <w:color w:val="000000" w:themeColor="text1"/>
          <w:sz w:val="24"/>
        </w:rPr>
        <w:t xml:space="preserve">Desítky nových zaměstnanců přijaly i další organizace </w:t>
      </w:r>
      <w:r w:rsidRPr="009C57D6">
        <w:rPr>
          <w:rFonts w:asciiTheme="minorHAnsi" w:hAnsiTheme="minorHAnsi" w:cstheme="minorHAnsi"/>
          <w:b w:val="0"/>
          <w:color w:val="000000" w:themeColor="text1"/>
          <w:sz w:val="24"/>
        </w:rPr>
        <w:t>– strojírenské společnosti ZKL Hanušovice, a.s., olomoucká Senior Flexonics Czech s.r.o., KLEIN automotive s.r.o. ze Štítů na</w:t>
      </w:r>
      <w:r w:rsidR="009C57D6" w:rsidRPr="009C57D6">
        <w:rPr>
          <w:rFonts w:asciiTheme="minorHAnsi" w:hAnsiTheme="minorHAnsi" w:cstheme="minorHAnsi"/>
          <w:b w:val="0"/>
          <w:color w:val="000000" w:themeColor="text1"/>
          <w:sz w:val="24"/>
        </w:rPr>
        <w:t xml:space="preserve"> Zábřežsku, hněvotínská WANZL spol. s r.o., prostějovská DT – Výhybkárna a strojírna, a.s., lutínská John Crane Sigma a.s., přerovská PSP Machinery s.r.o. a šumperská FORTEX – AGS, a.s.</w:t>
      </w:r>
      <w:r w:rsidR="008F7A0E">
        <w:rPr>
          <w:rFonts w:asciiTheme="minorHAnsi" w:hAnsiTheme="minorHAnsi" w:cstheme="minorHAnsi"/>
          <w:b w:val="0"/>
          <w:color w:val="000000" w:themeColor="text1"/>
          <w:sz w:val="24"/>
        </w:rPr>
        <w:t xml:space="preserve"> </w:t>
      </w:r>
      <w:r w:rsidR="008F7A0E" w:rsidRPr="008F7A0E">
        <w:rPr>
          <w:rFonts w:asciiTheme="minorHAnsi" w:hAnsiTheme="minorHAnsi" w:cstheme="minorHAnsi"/>
          <w:b w:val="0"/>
          <w:color w:val="000000" w:themeColor="text1"/>
          <w:sz w:val="24"/>
        </w:rPr>
        <w:t>Výrazně se zvýšila zaměstnanost i ve šternberském závodě společnosti EXCALIBUR ARMY spol. s r.o., která v předchozích letech odkoupila areál vojenského státního podniku a převzala značnou část jeho bývalých zaměstnanců.</w:t>
      </w:r>
    </w:p>
    <w:p w:rsidR="008F7A0E" w:rsidRPr="00632FDC" w:rsidRDefault="009C57D6" w:rsidP="00632FDC">
      <w:pPr>
        <w:pStyle w:val="Normlnweb"/>
        <w:spacing w:before="0" w:beforeAutospacing="0" w:after="0" w:afterAutospacing="0"/>
        <w:ind w:firstLine="709"/>
        <w:jc w:val="both"/>
        <w:rPr>
          <w:rFonts w:asciiTheme="minorHAnsi" w:hAnsiTheme="minorHAnsi" w:cstheme="minorHAnsi"/>
          <w:b/>
          <w:color w:val="FF0000"/>
        </w:rPr>
      </w:pPr>
      <w:r w:rsidRPr="00632FDC">
        <w:rPr>
          <w:rFonts w:asciiTheme="minorHAnsi" w:hAnsiTheme="minorHAnsi" w:cstheme="minorHAnsi"/>
          <w:color w:val="000000" w:themeColor="text1"/>
        </w:rPr>
        <w:t>Významný nárůst zaměstnanosti vykázaly i společnosti z jiných odvětví - litovelská potravinářská firma ORRERO a.s., litove</w:t>
      </w:r>
      <w:r w:rsidR="008F7A0E" w:rsidRPr="00632FDC">
        <w:rPr>
          <w:rFonts w:asciiTheme="minorHAnsi" w:hAnsiTheme="minorHAnsi" w:cstheme="minorHAnsi"/>
          <w:color w:val="000000" w:themeColor="text1"/>
        </w:rPr>
        <w:t>l</w:t>
      </w:r>
      <w:r w:rsidRPr="00632FDC">
        <w:rPr>
          <w:rFonts w:asciiTheme="minorHAnsi" w:hAnsiTheme="minorHAnsi" w:cstheme="minorHAnsi"/>
          <w:color w:val="000000" w:themeColor="text1"/>
        </w:rPr>
        <w:t>ská elektrotechnická společnost SEV Litovel, s.r.o.</w:t>
      </w:r>
      <w:r w:rsidR="00632FDC">
        <w:rPr>
          <w:rFonts w:asciiTheme="minorHAnsi" w:hAnsiTheme="minorHAnsi" w:cstheme="minorHAnsi"/>
          <w:color w:val="000000" w:themeColor="text1"/>
        </w:rPr>
        <w:t xml:space="preserve"> a potravinářská společnost MELITES, spol. s r.o. z Medlova. </w:t>
      </w:r>
      <w:r w:rsidR="00632FDC" w:rsidRPr="00632FDC">
        <w:rPr>
          <w:rFonts w:asciiTheme="minorHAnsi" w:hAnsiTheme="minorHAnsi" w:cstheme="minorHAnsi"/>
          <w:color w:val="000000" w:themeColor="text1"/>
        </w:rPr>
        <w:t>Nové pracovní příležitosti vznikly i v šumperské úklidové firmě (a zároveň agentuře práce) Petr Kuba</w:t>
      </w:r>
      <w:r w:rsidR="00632FDC">
        <w:rPr>
          <w:rFonts w:asciiTheme="minorHAnsi" w:hAnsiTheme="minorHAnsi" w:cstheme="minorHAnsi"/>
          <w:color w:val="000000" w:themeColor="text1"/>
        </w:rPr>
        <w:t>, s.r.o.</w:t>
      </w:r>
      <w:r w:rsidR="00632FDC" w:rsidRPr="00632FDC">
        <w:rPr>
          <w:rFonts w:asciiTheme="minorHAnsi" w:hAnsiTheme="minorHAnsi" w:cstheme="minorHAnsi"/>
          <w:b/>
          <w:color w:val="000000" w:themeColor="text1"/>
        </w:rPr>
        <w:t xml:space="preserve"> </w:t>
      </w:r>
      <w:r w:rsidRPr="00632FDC">
        <w:rPr>
          <w:rFonts w:asciiTheme="minorHAnsi" w:hAnsiTheme="minorHAnsi" w:cstheme="minorHAnsi"/>
          <w:color w:val="000000" w:themeColor="text1"/>
        </w:rPr>
        <w:t xml:space="preserve">a </w:t>
      </w:r>
      <w:r w:rsidR="00632FDC">
        <w:rPr>
          <w:rFonts w:asciiTheme="minorHAnsi" w:hAnsiTheme="minorHAnsi" w:cstheme="minorHAnsi"/>
          <w:color w:val="000000" w:themeColor="text1"/>
        </w:rPr>
        <w:t>v japonské</w:t>
      </w:r>
      <w:r w:rsidRPr="00632FDC">
        <w:rPr>
          <w:rFonts w:asciiTheme="minorHAnsi" w:hAnsiTheme="minorHAnsi" w:cstheme="minorHAnsi"/>
          <w:color w:val="000000" w:themeColor="text1"/>
        </w:rPr>
        <w:t xml:space="preserve"> textilní společnost</w:t>
      </w:r>
      <w:r w:rsidR="00632FDC">
        <w:rPr>
          <w:rFonts w:asciiTheme="minorHAnsi" w:hAnsiTheme="minorHAnsi" w:cstheme="minorHAnsi"/>
          <w:color w:val="000000" w:themeColor="text1"/>
        </w:rPr>
        <w:t>i</w:t>
      </w:r>
      <w:r w:rsidRPr="00632FDC">
        <w:rPr>
          <w:rFonts w:asciiTheme="minorHAnsi" w:hAnsiTheme="minorHAnsi" w:cstheme="minorHAnsi"/>
          <w:color w:val="000000" w:themeColor="text1"/>
        </w:rPr>
        <w:t xml:space="preserve"> Toray Textiles Central Europe s.r.o.,</w:t>
      </w:r>
      <w:r w:rsidR="00632FDC">
        <w:rPr>
          <w:rFonts w:asciiTheme="minorHAnsi" w:hAnsiTheme="minorHAnsi" w:cstheme="minorHAnsi"/>
          <w:color w:val="000000" w:themeColor="text1"/>
        </w:rPr>
        <w:t xml:space="preserve"> která vybudovala nový závod na </w:t>
      </w:r>
      <w:r w:rsidRPr="00632FDC">
        <w:rPr>
          <w:rFonts w:asciiTheme="minorHAnsi" w:hAnsiTheme="minorHAnsi" w:cstheme="minorHAnsi"/>
          <w:color w:val="000000" w:themeColor="text1"/>
        </w:rPr>
        <w:t xml:space="preserve">výrobu ofsetových desek. </w:t>
      </w:r>
      <w:r w:rsidR="008F7A0E" w:rsidRPr="00632FDC">
        <w:rPr>
          <w:rFonts w:asciiTheme="minorHAnsi" w:hAnsiTheme="minorHAnsi" w:cstheme="minorHAnsi"/>
          <w:color w:val="000000" w:themeColor="text1"/>
        </w:rPr>
        <w:t>Ve Velké Bystřici zase byla dokončena nová hala společnosti ČEROZ</w:t>
      </w:r>
      <w:r w:rsidR="00632FDC" w:rsidRPr="00632FDC">
        <w:rPr>
          <w:rFonts w:asciiTheme="minorHAnsi" w:hAnsiTheme="minorHAnsi" w:cstheme="minorHAnsi"/>
          <w:color w:val="000000" w:themeColor="text1"/>
        </w:rPr>
        <w:t>FRUCHT s.r.o., kde našly pracovní uplatnění desítky zaměstnanců</w:t>
      </w:r>
      <w:r w:rsidR="008F7A0E" w:rsidRPr="00632FDC">
        <w:rPr>
          <w:rFonts w:asciiTheme="minorHAnsi" w:hAnsiTheme="minorHAnsi" w:cstheme="minorHAnsi"/>
          <w:color w:val="000000" w:themeColor="text1"/>
        </w:rPr>
        <w:t>.</w:t>
      </w:r>
    </w:p>
    <w:p w:rsidR="001C4C21" w:rsidRPr="00750CFF" w:rsidRDefault="004249CC" w:rsidP="001C4C21">
      <w:pPr>
        <w:pStyle w:val="Zkladntext"/>
        <w:spacing w:line="240" w:lineRule="auto"/>
        <w:ind w:firstLine="708"/>
        <w:jc w:val="both"/>
        <w:outlineLvl w:val="0"/>
        <w:rPr>
          <w:rFonts w:asciiTheme="minorHAnsi" w:hAnsiTheme="minorHAnsi" w:cstheme="minorHAnsi"/>
          <w:b w:val="0"/>
          <w:color w:val="000000" w:themeColor="text1"/>
          <w:sz w:val="24"/>
        </w:rPr>
      </w:pPr>
      <w:r w:rsidRPr="00750CFF">
        <w:rPr>
          <w:rFonts w:asciiTheme="minorHAnsi" w:hAnsiTheme="minorHAnsi" w:cstheme="minorHAnsi"/>
          <w:b w:val="0"/>
          <w:color w:val="000000" w:themeColor="text1"/>
          <w:sz w:val="24"/>
        </w:rPr>
        <w:t>V</w:t>
      </w:r>
      <w:r w:rsidR="001C4C21" w:rsidRPr="00750CFF">
        <w:rPr>
          <w:rFonts w:asciiTheme="minorHAnsi" w:hAnsiTheme="minorHAnsi" w:cstheme="minorHAnsi"/>
          <w:b w:val="0"/>
          <w:color w:val="000000" w:themeColor="text1"/>
          <w:sz w:val="24"/>
        </w:rPr>
        <w:t> </w:t>
      </w:r>
      <w:r w:rsidRPr="00750CFF">
        <w:rPr>
          <w:rFonts w:asciiTheme="minorHAnsi" w:hAnsiTheme="minorHAnsi" w:cstheme="minorHAnsi"/>
          <w:b w:val="0"/>
          <w:color w:val="000000" w:themeColor="text1"/>
          <w:sz w:val="24"/>
        </w:rPr>
        <w:t>Jeseník</w:t>
      </w:r>
      <w:r w:rsidR="001C4C21" w:rsidRPr="00750CFF">
        <w:rPr>
          <w:rFonts w:asciiTheme="minorHAnsi" w:hAnsiTheme="minorHAnsi" w:cstheme="minorHAnsi"/>
          <w:b w:val="0"/>
          <w:color w:val="000000" w:themeColor="text1"/>
          <w:sz w:val="24"/>
        </w:rPr>
        <w:t>u v roce 2012 odkoupila bývalý závod OP Prostějov společnost</w:t>
      </w:r>
      <w:r w:rsidR="001C4C21" w:rsidRPr="00750CFF">
        <w:rPr>
          <w:rFonts w:asciiTheme="minorHAnsi" w:hAnsiTheme="minorHAnsi" w:cstheme="minorHAnsi"/>
          <w:b w:val="0"/>
          <w:bCs w:val="0"/>
          <w:color w:val="000000" w:themeColor="text1"/>
          <w:sz w:val="24"/>
        </w:rPr>
        <w:t xml:space="preserve"> Tex Trading Cavaliere s.r.o., která prostory zrekonstruovala, vybavila novým strojním zařízením a začátkem roku 2013 začala s náborem nových zaměstnanců (v první fázi tří desítek švadlen).</w:t>
      </w:r>
      <w:r w:rsidR="00750CFF" w:rsidRPr="00750CFF">
        <w:rPr>
          <w:rFonts w:asciiTheme="minorHAnsi" w:hAnsiTheme="minorHAnsi" w:cstheme="minorHAnsi"/>
          <w:b w:val="0"/>
          <w:bCs w:val="0"/>
          <w:color w:val="000000" w:themeColor="text1"/>
          <w:sz w:val="24"/>
        </w:rPr>
        <w:t xml:space="preserve"> V roce 2014 se počet zaměstnanců zvýšil až na 70 osob.</w:t>
      </w:r>
    </w:p>
    <w:p w:rsidR="008F7A0E" w:rsidRPr="007E64DA" w:rsidRDefault="008F7A0E" w:rsidP="00DB2259">
      <w:pPr>
        <w:pStyle w:val="Normlnweb"/>
        <w:spacing w:before="0" w:beforeAutospacing="0" w:after="0" w:afterAutospacing="0"/>
        <w:ind w:firstLine="709"/>
        <w:jc w:val="both"/>
        <w:rPr>
          <w:rFonts w:asciiTheme="minorHAnsi" w:hAnsiTheme="minorHAnsi" w:cstheme="minorHAnsi"/>
          <w:b/>
          <w:i/>
          <w:color w:val="FF0000"/>
        </w:rPr>
      </w:pPr>
    </w:p>
    <w:p w:rsidR="00BA65AF" w:rsidRPr="00F7722A" w:rsidRDefault="00632FDC" w:rsidP="00BA65AF">
      <w:pPr>
        <w:spacing w:after="120"/>
        <w:ind w:firstLine="709"/>
        <w:jc w:val="both"/>
        <w:rPr>
          <w:rFonts w:asciiTheme="minorHAnsi" w:hAnsiTheme="minorHAnsi" w:cstheme="minorHAnsi"/>
          <w:color w:val="000000" w:themeColor="text1"/>
        </w:rPr>
      </w:pPr>
      <w:r w:rsidRPr="00BA65AF">
        <w:rPr>
          <w:rFonts w:asciiTheme="minorHAnsi" w:hAnsiTheme="minorHAnsi" w:cstheme="minorHAnsi"/>
          <w:b/>
          <w:color w:val="000000" w:themeColor="text1"/>
        </w:rPr>
        <w:t>V 1. pololetí 2015</w:t>
      </w:r>
      <w:r w:rsidR="00692C90" w:rsidRPr="00BA65AF">
        <w:rPr>
          <w:rFonts w:asciiTheme="minorHAnsi" w:hAnsiTheme="minorHAnsi" w:cstheme="minorHAnsi"/>
          <w:b/>
          <w:color w:val="000000" w:themeColor="text1"/>
        </w:rPr>
        <w:t xml:space="preserve"> avizují </w:t>
      </w:r>
      <w:r w:rsidR="00DF1671" w:rsidRPr="00BA65AF">
        <w:rPr>
          <w:rFonts w:asciiTheme="minorHAnsi" w:hAnsiTheme="minorHAnsi" w:cstheme="minorHAnsi"/>
          <w:b/>
          <w:color w:val="000000" w:themeColor="text1"/>
        </w:rPr>
        <w:t xml:space="preserve">výraznější </w:t>
      </w:r>
      <w:r w:rsidR="00692C90" w:rsidRPr="00BA65AF">
        <w:rPr>
          <w:rFonts w:asciiTheme="minorHAnsi" w:hAnsiTheme="minorHAnsi" w:cstheme="minorHAnsi"/>
          <w:b/>
          <w:color w:val="000000" w:themeColor="text1"/>
        </w:rPr>
        <w:t>nárůst zaměstnanosti</w:t>
      </w:r>
      <w:r w:rsidR="004E09D0" w:rsidRPr="00BA65AF">
        <w:rPr>
          <w:rFonts w:asciiTheme="minorHAnsi" w:hAnsiTheme="minorHAnsi" w:cstheme="minorHAnsi"/>
          <w:b/>
          <w:color w:val="000000" w:themeColor="text1"/>
        </w:rPr>
        <w:t xml:space="preserve"> (o více než 50</w:t>
      </w:r>
      <w:r w:rsidR="00692C90" w:rsidRPr="00BA65AF">
        <w:rPr>
          <w:rFonts w:asciiTheme="minorHAnsi" w:hAnsiTheme="minorHAnsi" w:cstheme="minorHAnsi"/>
          <w:b/>
          <w:color w:val="000000" w:themeColor="text1"/>
        </w:rPr>
        <w:t xml:space="preserve"> osob)</w:t>
      </w:r>
      <w:r w:rsidR="00692C90" w:rsidRPr="00BA65AF">
        <w:rPr>
          <w:rFonts w:asciiTheme="minorHAnsi" w:hAnsiTheme="minorHAnsi" w:cstheme="minorHAnsi"/>
          <w:color w:val="000000" w:themeColor="text1"/>
        </w:rPr>
        <w:t xml:space="preserve"> </w:t>
      </w:r>
      <w:r w:rsidRPr="00BA65AF">
        <w:rPr>
          <w:rFonts w:asciiTheme="minorHAnsi" w:hAnsiTheme="minorHAnsi" w:cstheme="minorHAnsi"/>
          <w:color w:val="000000" w:themeColor="text1"/>
        </w:rPr>
        <w:t>agentury práce Bartoň a Partner s.r.o z Olomouce a RODYCH</w:t>
      </w:r>
      <w:r w:rsidR="00FD5DD6" w:rsidRPr="00BA65AF">
        <w:rPr>
          <w:rFonts w:asciiTheme="minorHAnsi" w:hAnsiTheme="minorHAnsi" w:cstheme="minorHAnsi"/>
          <w:color w:val="000000" w:themeColor="text1"/>
        </w:rPr>
        <w:t xml:space="preserve"> s.r.o. z Uničova. </w:t>
      </w:r>
      <w:r w:rsidR="00CA1880" w:rsidRPr="00CA1880">
        <w:rPr>
          <w:rFonts w:asciiTheme="minorHAnsi" w:hAnsiTheme="minorHAnsi" w:cstheme="minorHAnsi"/>
          <w:color w:val="000000" w:themeColor="text1"/>
        </w:rPr>
        <w:t xml:space="preserve">Také společnost SSI Schäfer s.r.o. plánuje přijetí více než stovky osob (většinou dělníků ze strojírenských oborů). </w:t>
      </w:r>
      <w:r w:rsidR="00FD5DD6" w:rsidRPr="00BA65AF">
        <w:rPr>
          <w:rFonts w:asciiTheme="minorHAnsi" w:hAnsiTheme="minorHAnsi" w:cstheme="minorHAnsi"/>
          <w:color w:val="000000" w:themeColor="text1"/>
        </w:rPr>
        <w:t>Výrazný nárůst zaměstnanců předpokládá i prostějovský strojírenský koncern MUBEA</w:t>
      </w:r>
      <w:r w:rsidR="00323E46" w:rsidRPr="00BA65AF">
        <w:rPr>
          <w:rFonts w:asciiTheme="minorHAnsi" w:hAnsiTheme="minorHAnsi" w:cstheme="minorHAnsi"/>
          <w:color w:val="000000" w:themeColor="text1"/>
        </w:rPr>
        <w:t xml:space="preserve"> </w:t>
      </w:r>
      <w:r w:rsidR="00323E46" w:rsidRPr="00BA65AF">
        <w:rPr>
          <w:rFonts w:ascii="Calibri" w:hAnsi="Calibri" w:cs="Calibri"/>
          <w:color w:val="000000" w:themeColor="text1"/>
        </w:rPr>
        <w:t>se sídlem v Prostějově - během půl roku tato společnost plánuje přijmout cca 50 zaměstnanců (většinou strojírenské dělnické profese). V tomto roce má také v úmyslu koupit další pozemky v prostějovské průmyslové zóně a do roku 2016 postavit další část svého závodu na výrobu dílů pro automobilový průmysl. Svou investici odhaduje na cca 1 miliardu korun – po dokončení závodu by zde mělo najít nové zaměstnání okolo 500 osob.</w:t>
      </w:r>
      <w:r w:rsidR="00FD5DD6" w:rsidRPr="00BA65AF">
        <w:rPr>
          <w:rFonts w:asciiTheme="minorHAnsi" w:hAnsiTheme="minorHAnsi" w:cstheme="minorHAnsi"/>
          <w:color w:val="000000" w:themeColor="text1"/>
        </w:rPr>
        <w:t xml:space="preserve"> </w:t>
      </w:r>
      <w:r w:rsidR="00323E46" w:rsidRPr="00BA65AF">
        <w:rPr>
          <w:rFonts w:asciiTheme="minorHAnsi" w:hAnsiTheme="minorHAnsi" w:cstheme="minorHAnsi"/>
          <w:color w:val="000000" w:themeColor="text1"/>
        </w:rPr>
        <w:t xml:space="preserve">Okolo pěti desítek nových pracovních míst plánuje obsadit i </w:t>
      </w:r>
      <w:r w:rsidR="00FD5DD6" w:rsidRPr="00BA65AF">
        <w:rPr>
          <w:rFonts w:asciiTheme="minorHAnsi" w:hAnsiTheme="minorHAnsi" w:cstheme="minorHAnsi"/>
          <w:color w:val="000000" w:themeColor="text1"/>
        </w:rPr>
        <w:t>Fakultní nemocnice Olomouc. Desítky nových zaměstnanců hodlají přijmout opět zejména strojírenské a elektrotechnické společnosti -</w:t>
      </w:r>
      <w:r w:rsidR="00FD5DD6" w:rsidRPr="00BA65AF">
        <w:rPr>
          <w:rFonts w:asciiTheme="minorHAnsi" w:hAnsiTheme="minorHAnsi" w:cstheme="minorHAnsi"/>
          <w:color w:val="FF0000"/>
        </w:rPr>
        <w:t xml:space="preserve">  </w:t>
      </w:r>
      <w:r w:rsidR="00FD5DD6" w:rsidRPr="00BA65AF">
        <w:rPr>
          <w:rFonts w:asciiTheme="minorHAnsi" w:hAnsiTheme="minorHAnsi" w:cstheme="minorHAnsi"/>
          <w:color w:val="000000" w:themeColor="text1"/>
        </w:rPr>
        <w:t>Honeywell Aerospace Olomouc s.r.o., MIELE technika s.r.o., koncern HELLA v Mohelnici, John Crane Sigma a.s., ZKL Hanušovice, </w:t>
      </w:r>
      <w:r w:rsidR="00323E46" w:rsidRPr="00BA65AF">
        <w:rPr>
          <w:rFonts w:asciiTheme="minorHAnsi" w:hAnsiTheme="minorHAnsi" w:cstheme="minorHAnsi"/>
          <w:color w:val="000000" w:themeColor="text1"/>
        </w:rPr>
        <w:t>a.s.,</w:t>
      </w:r>
      <w:r w:rsidR="00BA65AF">
        <w:rPr>
          <w:rFonts w:asciiTheme="minorHAnsi" w:hAnsiTheme="minorHAnsi" w:cstheme="minorHAnsi"/>
          <w:color w:val="000000" w:themeColor="text1"/>
        </w:rPr>
        <w:t xml:space="preserve"> EXCALIBUR ARMY spol. </w:t>
      </w:r>
      <w:r w:rsidR="00BA65AF" w:rsidRPr="00BA65AF">
        <w:rPr>
          <w:rFonts w:asciiTheme="minorHAnsi" w:hAnsiTheme="minorHAnsi" w:cstheme="minorHAnsi"/>
          <w:color w:val="000000" w:themeColor="text1"/>
        </w:rPr>
        <w:t>s r.o.,</w:t>
      </w:r>
      <w:r w:rsidR="00323E46" w:rsidRPr="00BA65AF">
        <w:rPr>
          <w:rFonts w:asciiTheme="minorHAnsi" w:hAnsiTheme="minorHAnsi" w:cstheme="minorHAnsi"/>
          <w:color w:val="000000" w:themeColor="text1"/>
        </w:rPr>
        <w:t xml:space="preserve"> Senior Flexonics Czech s.r.o. a KLEIN automotive s.r.o. Šumperská společnost Pars nova a.s. (zabývající se modernizací, rekonstrukcí, opravami i výrobou kolejových vozidel) uzavřela </w:t>
      </w:r>
      <w:r w:rsidR="00323E46" w:rsidRPr="00BA65AF">
        <w:rPr>
          <w:rFonts w:asciiTheme="minorHAnsi" w:hAnsiTheme="minorHAnsi" w:cstheme="minorHAnsi"/>
          <w:bCs/>
          <w:color w:val="000000" w:themeColor="text1"/>
        </w:rPr>
        <w:t>smlouvu s Českými drahami na modernizaci 31 osobních vozů za jednu miliardu korun a přijme tři desítky zaměstnanců.</w:t>
      </w:r>
      <w:r w:rsidR="00BA65AF">
        <w:rPr>
          <w:rFonts w:asciiTheme="minorHAnsi" w:hAnsiTheme="minorHAnsi" w:cstheme="minorHAnsi"/>
          <w:color w:val="000000" w:themeColor="text1"/>
        </w:rPr>
        <w:t xml:space="preserve"> Pokračovat v náboru dalších zaměstnanců bude opět </w:t>
      </w:r>
      <w:r w:rsidR="00BA65AF" w:rsidRPr="00F7722A">
        <w:rPr>
          <w:rFonts w:asciiTheme="minorHAnsi" w:hAnsiTheme="minorHAnsi" w:cstheme="minorHAnsi"/>
          <w:color w:val="000000" w:themeColor="text1"/>
        </w:rPr>
        <w:t xml:space="preserve">i </w:t>
      </w:r>
      <w:r w:rsidR="00BD46E7" w:rsidRPr="00F7722A">
        <w:rPr>
          <w:rFonts w:asciiTheme="minorHAnsi" w:hAnsiTheme="minorHAnsi" w:cstheme="minorHAnsi"/>
          <w:color w:val="000000" w:themeColor="text1"/>
        </w:rPr>
        <w:t>výrobce plastových tě</w:t>
      </w:r>
      <w:r w:rsidR="00BA65AF" w:rsidRPr="00F7722A">
        <w:rPr>
          <w:rFonts w:asciiTheme="minorHAnsi" w:hAnsiTheme="minorHAnsi" w:cstheme="minorHAnsi"/>
          <w:color w:val="000000" w:themeColor="text1"/>
        </w:rPr>
        <w:t>snění Henniges Hranice, s.r.o. Tři desítky nových zaměstnanců bude přijímat do zrekonstruovaného areálu i olomoucký Domov seniorů POHODA Chválkovice.</w:t>
      </w:r>
      <w:r w:rsidR="00750CFF">
        <w:rPr>
          <w:rFonts w:asciiTheme="minorHAnsi" w:hAnsiTheme="minorHAnsi" w:cstheme="minorHAnsi"/>
          <w:color w:val="000000" w:themeColor="text1"/>
        </w:rPr>
        <w:t xml:space="preserve"> Také Technické služby Jeseník a.s. </w:t>
      </w:r>
      <w:r w:rsidR="0042321B">
        <w:rPr>
          <w:rFonts w:asciiTheme="minorHAnsi" w:hAnsiTheme="minorHAnsi" w:cstheme="minorHAnsi"/>
          <w:color w:val="000000" w:themeColor="text1"/>
        </w:rPr>
        <w:t>plánují v 1. pololetí přijmout více než tři desítky zaměstnanců na sezónní práce.</w:t>
      </w:r>
      <w:r w:rsidR="000F7A94">
        <w:rPr>
          <w:rFonts w:asciiTheme="minorHAnsi" w:hAnsiTheme="minorHAnsi" w:cstheme="minorHAnsi"/>
          <w:color w:val="000000" w:themeColor="text1"/>
        </w:rPr>
        <w:t xml:space="preserve"> S náborem zaměstnanců počítá i jesenická společnost Slezský kámen a.s., která se postupně konsoliduje a získává nové zakázky.</w:t>
      </w:r>
    </w:p>
    <w:p w:rsidR="009F2F4D" w:rsidRDefault="00C00390" w:rsidP="00BD46E7">
      <w:pPr>
        <w:pStyle w:val="Normlnweb"/>
        <w:spacing w:before="0" w:beforeAutospacing="0" w:after="0" w:afterAutospacing="0"/>
        <w:ind w:firstLine="993"/>
        <w:jc w:val="both"/>
        <w:rPr>
          <w:rFonts w:asciiTheme="minorHAnsi" w:hAnsiTheme="minorHAnsi" w:cstheme="minorHAnsi"/>
          <w:i/>
          <w:color w:val="FF0000"/>
        </w:rPr>
      </w:pPr>
      <w:r w:rsidRPr="007E64DA">
        <w:rPr>
          <w:rFonts w:asciiTheme="minorHAnsi" w:hAnsiTheme="minorHAnsi" w:cstheme="minorHAnsi"/>
          <w:i/>
          <w:color w:val="FF0000"/>
        </w:rPr>
        <w:tab/>
      </w:r>
      <w:r w:rsidR="00194804" w:rsidRPr="007E64DA">
        <w:rPr>
          <w:rFonts w:asciiTheme="minorHAnsi" w:hAnsiTheme="minorHAnsi" w:cstheme="minorHAnsi"/>
          <w:i/>
          <w:color w:val="FF0000"/>
        </w:rPr>
        <w:tab/>
      </w:r>
      <w:r w:rsidR="004D1F7D" w:rsidRPr="007E64DA">
        <w:rPr>
          <w:rFonts w:asciiTheme="minorHAnsi" w:hAnsiTheme="minorHAnsi" w:cstheme="minorHAnsi"/>
          <w:i/>
          <w:color w:val="FF0000"/>
        </w:rPr>
        <w:tab/>
      </w:r>
      <w:r w:rsidR="004D1F7D" w:rsidRPr="007E64DA">
        <w:rPr>
          <w:rFonts w:asciiTheme="minorHAnsi" w:hAnsiTheme="minorHAnsi" w:cstheme="minorHAnsi"/>
          <w:i/>
          <w:color w:val="FF0000"/>
        </w:rPr>
        <w:tab/>
      </w:r>
    </w:p>
    <w:p w:rsidR="00AA3D6B" w:rsidRPr="009E52F5" w:rsidRDefault="00F73785" w:rsidP="00F73785">
      <w:pPr>
        <w:pStyle w:val="Zkladntext"/>
        <w:spacing w:line="240" w:lineRule="auto"/>
        <w:jc w:val="both"/>
        <w:rPr>
          <w:rFonts w:asciiTheme="minorHAnsi" w:hAnsiTheme="minorHAnsi" w:cstheme="minorHAnsi"/>
          <w:color w:val="000000" w:themeColor="text1"/>
          <w:sz w:val="24"/>
        </w:rPr>
      </w:pPr>
      <w:r w:rsidRPr="009E52F5">
        <w:rPr>
          <w:rFonts w:asciiTheme="minorHAnsi" w:hAnsiTheme="minorHAnsi" w:cstheme="minorHAnsi"/>
          <w:color w:val="000000" w:themeColor="text1"/>
          <w:sz w:val="24"/>
        </w:rPr>
        <w:lastRenderedPageBreak/>
        <w:t>Metodika a zdroje informací:</w:t>
      </w:r>
    </w:p>
    <w:p w:rsidR="00F73785" w:rsidRPr="009E52F5" w:rsidRDefault="00AA3D6B" w:rsidP="00A25738">
      <w:pPr>
        <w:pStyle w:val="Zkladntext"/>
        <w:spacing w:line="240" w:lineRule="auto"/>
        <w:ind w:firstLine="720"/>
        <w:jc w:val="both"/>
        <w:rPr>
          <w:rFonts w:asciiTheme="minorHAnsi" w:hAnsiTheme="minorHAnsi" w:cstheme="minorHAnsi"/>
          <w:b w:val="0"/>
          <w:color w:val="000000" w:themeColor="text1"/>
          <w:sz w:val="24"/>
        </w:rPr>
      </w:pPr>
      <w:r w:rsidRPr="009E52F5">
        <w:rPr>
          <w:rFonts w:asciiTheme="minorHAnsi" w:hAnsiTheme="minorHAnsi" w:cstheme="minorHAnsi"/>
          <w:color w:val="000000" w:themeColor="text1"/>
          <w:sz w:val="24"/>
        </w:rPr>
        <w:tab/>
      </w:r>
      <w:r w:rsidR="00F73785" w:rsidRPr="009E52F5">
        <w:rPr>
          <w:rFonts w:asciiTheme="minorHAnsi" w:hAnsiTheme="minorHAnsi" w:cstheme="minorHAnsi"/>
          <w:b w:val="0"/>
          <w:color w:val="000000" w:themeColor="text1"/>
          <w:sz w:val="24"/>
        </w:rPr>
        <w:tab/>
      </w:r>
      <w:r w:rsidRPr="009E52F5">
        <w:rPr>
          <w:rFonts w:asciiTheme="minorHAnsi" w:hAnsiTheme="minorHAnsi" w:cstheme="minorHAnsi"/>
          <w:b w:val="0"/>
          <w:color w:val="000000" w:themeColor="text1"/>
          <w:sz w:val="24"/>
        </w:rPr>
        <w:tab/>
      </w:r>
      <w:r w:rsidRPr="009E52F5">
        <w:rPr>
          <w:rFonts w:asciiTheme="minorHAnsi" w:hAnsiTheme="minorHAnsi" w:cstheme="minorHAnsi"/>
          <w:b w:val="0"/>
          <w:color w:val="000000" w:themeColor="text1"/>
          <w:sz w:val="24"/>
        </w:rPr>
        <w:tab/>
      </w:r>
      <w:r w:rsidRPr="009E52F5">
        <w:rPr>
          <w:rFonts w:asciiTheme="minorHAnsi" w:hAnsiTheme="minorHAnsi" w:cstheme="minorHAnsi"/>
          <w:b w:val="0"/>
          <w:color w:val="000000" w:themeColor="text1"/>
          <w:sz w:val="24"/>
        </w:rPr>
        <w:tab/>
      </w:r>
      <w:r w:rsidRPr="009E52F5">
        <w:rPr>
          <w:rFonts w:asciiTheme="minorHAnsi" w:hAnsiTheme="minorHAnsi" w:cstheme="minorHAnsi"/>
          <w:b w:val="0"/>
          <w:color w:val="000000" w:themeColor="text1"/>
          <w:sz w:val="24"/>
        </w:rPr>
        <w:tab/>
      </w:r>
      <w:r w:rsidR="00F73785" w:rsidRPr="009E52F5">
        <w:rPr>
          <w:rFonts w:asciiTheme="minorHAnsi" w:hAnsiTheme="minorHAnsi" w:cstheme="minorHAnsi"/>
          <w:b w:val="0"/>
          <w:color w:val="000000" w:themeColor="text1"/>
          <w:sz w:val="24"/>
        </w:rPr>
        <w:t>Při sledování zaměstnanosti vycházíme z údajů</w:t>
      </w:r>
      <w:r w:rsidR="00F73785" w:rsidRPr="009E52F5">
        <w:rPr>
          <w:rFonts w:asciiTheme="minorHAnsi" w:hAnsiTheme="minorHAnsi" w:cstheme="minorHAnsi"/>
          <w:color w:val="000000" w:themeColor="text1"/>
          <w:sz w:val="24"/>
        </w:rPr>
        <w:t xml:space="preserve"> ČSÚ</w:t>
      </w:r>
      <w:r w:rsidR="00843951" w:rsidRPr="009E52F5">
        <w:rPr>
          <w:rFonts w:asciiTheme="minorHAnsi" w:hAnsiTheme="minorHAnsi" w:cstheme="minorHAnsi"/>
          <w:b w:val="0"/>
          <w:color w:val="000000" w:themeColor="text1"/>
          <w:sz w:val="24"/>
        </w:rPr>
        <w:t xml:space="preserve"> (Českého statistického úřadu). </w:t>
      </w:r>
      <w:r w:rsidR="00A25738" w:rsidRPr="009E52F5">
        <w:rPr>
          <w:rFonts w:asciiTheme="minorHAnsi" w:hAnsiTheme="minorHAnsi" w:cstheme="minorHAnsi"/>
          <w:b w:val="0"/>
          <w:color w:val="000000" w:themeColor="text1"/>
          <w:sz w:val="24"/>
        </w:rPr>
        <w:t xml:space="preserve">Dále Úřad práce ČR, krajská pobočka v Olomouci provádí 1x ročně vlastní monitoring významnějších zaměstnavatelů (tj. s minimálně 100 zaměstnanci). </w:t>
      </w:r>
    </w:p>
    <w:p w:rsidR="00A25738" w:rsidRPr="009E52F5" w:rsidRDefault="00A25738" w:rsidP="00A25738">
      <w:pPr>
        <w:pStyle w:val="Zkladntext"/>
        <w:spacing w:line="240" w:lineRule="auto"/>
        <w:ind w:firstLine="720"/>
        <w:jc w:val="both"/>
        <w:rPr>
          <w:rFonts w:asciiTheme="minorHAnsi" w:hAnsiTheme="minorHAnsi" w:cstheme="minorHAnsi"/>
          <w:i/>
          <w:color w:val="000000" w:themeColor="text1"/>
          <w:sz w:val="24"/>
        </w:rPr>
      </w:pPr>
    </w:p>
    <w:p w:rsidR="00F73785" w:rsidRPr="00055F71" w:rsidRDefault="00F73785" w:rsidP="00F73785">
      <w:pPr>
        <w:jc w:val="both"/>
        <w:rPr>
          <w:rFonts w:asciiTheme="minorHAnsi" w:hAnsiTheme="minorHAnsi" w:cstheme="minorHAnsi"/>
          <w:color w:val="000000" w:themeColor="text1"/>
        </w:rPr>
      </w:pPr>
      <w:r w:rsidRPr="00055F71">
        <w:rPr>
          <w:rFonts w:asciiTheme="minorHAnsi" w:hAnsiTheme="minorHAnsi" w:cstheme="minorHAnsi"/>
          <w:b/>
          <w:color w:val="000000" w:themeColor="text1"/>
        </w:rPr>
        <w:t xml:space="preserve">Tabulka </w:t>
      </w:r>
      <w:r w:rsidR="00A25738" w:rsidRPr="00055F71">
        <w:rPr>
          <w:rFonts w:asciiTheme="minorHAnsi" w:hAnsiTheme="minorHAnsi" w:cstheme="minorHAnsi"/>
          <w:b/>
          <w:color w:val="000000" w:themeColor="text1"/>
        </w:rPr>
        <w:t>1</w:t>
      </w:r>
      <w:r w:rsidR="00F06DD0" w:rsidRPr="00055F71">
        <w:rPr>
          <w:rFonts w:asciiTheme="minorHAnsi" w:hAnsiTheme="minorHAnsi" w:cstheme="minorHAnsi"/>
          <w:color w:val="000000" w:themeColor="text1"/>
        </w:rPr>
        <w:t xml:space="preserve"> – Počet větších zaměstnavatelů v Olomouckém kraj</w:t>
      </w:r>
      <w:r w:rsidR="00E51ED1" w:rsidRPr="00055F71">
        <w:rPr>
          <w:rFonts w:asciiTheme="minorHAnsi" w:hAnsiTheme="minorHAnsi" w:cstheme="minorHAnsi"/>
          <w:color w:val="000000" w:themeColor="text1"/>
        </w:rPr>
        <w:t>i a jeho okresech k 30. 9</w:t>
      </w:r>
      <w:r w:rsidR="00055F71" w:rsidRPr="00055F71">
        <w:rPr>
          <w:rFonts w:asciiTheme="minorHAnsi" w:hAnsiTheme="minorHAnsi" w:cstheme="minorHAnsi"/>
          <w:color w:val="000000" w:themeColor="text1"/>
        </w:rPr>
        <w:t>. 2014</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9"/>
        <w:gridCol w:w="1145"/>
        <w:gridCol w:w="1146"/>
        <w:gridCol w:w="1146"/>
        <w:gridCol w:w="1146"/>
        <w:gridCol w:w="1146"/>
        <w:gridCol w:w="1428"/>
      </w:tblGrid>
      <w:tr w:rsidR="00055F71" w:rsidRPr="00055F71" w:rsidTr="00E661BE">
        <w:trPr>
          <w:cantSplit/>
          <w:trHeight w:val="345"/>
        </w:trPr>
        <w:tc>
          <w:tcPr>
            <w:tcW w:w="2199" w:type="dxa"/>
            <w:vMerge w:val="restart"/>
            <w:tcBorders>
              <w:top w:val="double" w:sz="4" w:space="0" w:color="auto"/>
              <w:left w:val="double" w:sz="4" w:space="0" w:color="auto"/>
              <w:right w:val="single" w:sz="12" w:space="0" w:color="auto"/>
            </w:tcBorders>
            <w:shd w:val="clear" w:color="auto" w:fill="CCFFFF"/>
            <w:vAlign w:val="center"/>
          </w:tcPr>
          <w:p w:rsidR="00E661BE" w:rsidRPr="00055F71" w:rsidRDefault="00E661BE" w:rsidP="00F06DD0">
            <w:pPr>
              <w:pStyle w:val="Nadpis2"/>
              <w:jc w:val="center"/>
              <w:rPr>
                <w:rFonts w:asciiTheme="minorHAnsi" w:hAnsiTheme="minorHAnsi" w:cstheme="minorHAnsi"/>
                <w:b/>
                <w:color w:val="000000" w:themeColor="text1"/>
                <w:szCs w:val="24"/>
                <w:vertAlign w:val="superscript"/>
              </w:rPr>
            </w:pPr>
            <w:bookmarkStart w:id="9" w:name="_Toc321296396"/>
            <w:bookmarkStart w:id="10" w:name="_Toc321296513"/>
            <w:r w:rsidRPr="00055F71">
              <w:rPr>
                <w:rFonts w:asciiTheme="minorHAnsi" w:hAnsiTheme="minorHAnsi" w:cstheme="minorHAnsi"/>
                <w:b/>
                <w:color w:val="000000" w:themeColor="text1"/>
                <w:szCs w:val="24"/>
              </w:rPr>
              <w:t>Velikostní kategorie zaměstnavatelů</w:t>
            </w:r>
            <w:bookmarkEnd w:id="9"/>
            <w:bookmarkEnd w:id="10"/>
          </w:p>
        </w:tc>
        <w:tc>
          <w:tcPr>
            <w:tcW w:w="5729" w:type="dxa"/>
            <w:gridSpan w:val="5"/>
            <w:tcBorders>
              <w:top w:val="double" w:sz="4" w:space="0" w:color="auto"/>
              <w:left w:val="nil"/>
              <w:bottom w:val="single" w:sz="6" w:space="0" w:color="auto"/>
              <w:right w:val="double" w:sz="4" w:space="0" w:color="auto"/>
            </w:tcBorders>
            <w:shd w:val="clear" w:color="auto" w:fill="CCFFFF"/>
            <w:vAlign w:val="center"/>
          </w:tcPr>
          <w:p w:rsidR="00E661BE" w:rsidRPr="00055F71" w:rsidRDefault="00E661BE" w:rsidP="00F06DD0">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okresy</w:t>
            </w:r>
          </w:p>
        </w:tc>
        <w:tc>
          <w:tcPr>
            <w:tcW w:w="1428" w:type="dxa"/>
            <w:vMerge w:val="restart"/>
            <w:tcBorders>
              <w:top w:val="double" w:sz="4" w:space="0" w:color="auto"/>
              <w:left w:val="nil"/>
              <w:right w:val="double" w:sz="4" w:space="0" w:color="auto"/>
            </w:tcBorders>
            <w:shd w:val="clear" w:color="auto" w:fill="CCFFFF"/>
            <w:vAlign w:val="center"/>
          </w:tcPr>
          <w:p w:rsidR="00E661BE" w:rsidRPr="00055F71" w:rsidRDefault="00E661BE" w:rsidP="00E661BE">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Olomoucký kraj</w:t>
            </w:r>
          </w:p>
        </w:tc>
      </w:tr>
      <w:tr w:rsidR="00055F71" w:rsidRPr="00055F71" w:rsidTr="00E661BE">
        <w:trPr>
          <w:cantSplit/>
          <w:trHeight w:val="345"/>
        </w:trPr>
        <w:tc>
          <w:tcPr>
            <w:tcW w:w="2199" w:type="dxa"/>
            <w:vMerge/>
            <w:tcBorders>
              <w:top w:val="nil"/>
              <w:left w:val="double" w:sz="4" w:space="0" w:color="auto"/>
              <w:bottom w:val="double" w:sz="4" w:space="0" w:color="auto"/>
              <w:right w:val="single" w:sz="12" w:space="0" w:color="auto"/>
            </w:tcBorders>
            <w:shd w:val="clear" w:color="auto" w:fill="CCFFFF"/>
            <w:vAlign w:val="center"/>
          </w:tcPr>
          <w:p w:rsidR="00E661BE" w:rsidRPr="00055F71" w:rsidRDefault="00E661BE" w:rsidP="00F06DD0">
            <w:pPr>
              <w:pStyle w:val="Nadpis2"/>
              <w:jc w:val="both"/>
              <w:rPr>
                <w:rFonts w:asciiTheme="minorHAnsi" w:hAnsiTheme="minorHAnsi" w:cstheme="minorHAnsi"/>
                <w:b/>
                <w:color w:val="000000" w:themeColor="text1"/>
                <w:szCs w:val="24"/>
              </w:rPr>
            </w:pPr>
          </w:p>
        </w:tc>
        <w:tc>
          <w:tcPr>
            <w:tcW w:w="1145" w:type="dxa"/>
            <w:tcBorders>
              <w:top w:val="nil"/>
              <w:left w:val="nil"/>
              <w:bottom w:val="double" w:sz="4" w:space="0" w:color="auto"/>
              <w:right w:val="single" w:sz="6" w:space="0" w:color="auto"/>
            </w:tcBorders>
            <w:shd w:val="clear" w:color="auto" w:fill="CCFFFF"/>
            <w:vAlign w:val="center"/>
          </w:tcPr>
          <w:p w:rsidR="00E661BE" w:rsidRPr="00055F71" w:rsidRDefault="00E661BE" w:rsidP="00F06DD0">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JE</w:t>
            </w:r>
          </w:p>
        </w:tc>
        <w:tc>
          <w:tcPr>
            <w:tcW w:w="1146" w:type="dxa"/>
            <w:tcBorders>
              <w:top w:val="nil"/>
              <w:left w:val="nil"/>
              <w:bottom w:val="double" w:sz="4" w:space="0" w:color="auto"/>
              <w:right w:val="single" w:sz="6" w:space="0" w:color="auto"/>
            </w:tcBorders>
            <w:shd w:val="clear" w:color="auto" w:fill="CCFFFF"/>
            <w:vAlign w:val="center"/>
          </w:tcPr>
          <w:p w:rsidR="00E661BE" w:rsidRPr="00055F71" w:rsidRDefault="00E661BE" w:rsidP="00F06DD0">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OC</w:t>
            </w:r>
          </w:p>
        </w:tc>
        <w:tc>
          <w:tcPr>
            <w:tcW w:w="1146" w:type="dxa"/>
            <w:tcBorders>
              <w:top w:val="nil"/>
              <w:left w:val="nil"/>
              <w:bottom w:val="double" w:sz="4" w:space="0" w:color="auto"/>
              <w:right w:val="single" w:sz="6" w:space="0" w:color="auto"/>
            </w:tcBorders>
            <w:shd w:val="clear" w:color="auto" w:fill="CCFFFF"/>
            <w:vAlign w:val="center"/>
          </w:tcPr>
          <w:p w:rsidR="00E661BE" w:rsidRPr="00055F71" w:rsidRDefault="00E661BE" w:rsidP="00F06DD0">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PV</w:t>
            </w:r>
          </w:p>
        </w:tc>
        <w:tc>
          <w:tcPr>
            <w:tcW w:w="1146" w:type="dxa"/>
            <w:tcBorders>
              <w:top w:val="nil"/>
              <w:left w:val="nil"/>
              <w:bottom w:val="double" w:sz="4" w:space="0" w:color="auto"/>
              <w:right w:val="single" w:sz="6" w:space="0" w:color="auto"/>
            </w:tcBorders>
            <w:shd w:val="clear" w:color="auto" w:fill="CCFFFF"/>
            <w:vAlign w:val="center"/>
          </w:tcPr>
          <w:p w:rsidR="00E661BE" w:rsidRPr="00055F71" w:rsidRDefault="00E661BE" w:rsidP="00F06DD0">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PR</w:t>
            </w:r>
          </w:p>
        </w:tc>
        <w:tc>
          <w:tcPr>
            <w:tcW w:w="1146" w:type="dxa"/>
            <w:tcBorders>
              <w:top w:val="single" w:sz="6" w:space="0" w:color="auto"/>
              <w:left w:val="nil"/>
              <w:bottom w:val="double" w:sz="4" w:space="0" w:color="auto"/>
              <w:right w:val="double" w:sz="4" w:space="0" w:color="auto"/>
            </w:tcBorders>
            <w:shd w:val="clear" w:color="auto" w:fill="CCFFFF"/>
            <w:vAlign w:val="center"/>
          </w:tcPr>
          <w:p w:rsidR="00E661BE" w:rsidRPr="00055F71" w:rsidRDefault="00E661BE" w:rsidP="00F06DD0">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SU</w:t>
            </w:r>
          </w:p>
        </w:tc>
        <w:tc>
          <w:tcPr>
            <w:tcW w:w="1428" w:type="dxa"/>
            <w:vMerge/>
            <w:tcBorders>
              <w:left w:val="nil"/>
              <w:bottom w:val="double" w:sz="4" w:space="0" w:color="auto"/>
              <w:right w:val="double" w:sz="4" w:space="0" w:color="auto"/>
            </w:tcBorders>
            <w:shd w:val="clear" w:color="auto" w:fill="CCFFFF"/>
          </w:tcPr>
          <w:p w:rsidR="00E661BE" w:rsidRPr="00055F71" w:rsidRDefault="00E661BE" w:rsidP="00F06DD0">
            <w:pPr>
              <w:jc w:val="center"/>
              <w:rPr>
                <w:rFonts w:asciiTheme="minorHAnsi" w:hAnsiTheme="minorHAnsi" w:cstheme="minorHAnsi"/>
                <w:b/>
                <w:color w:val="000000" w:themeColor="text1"/>
              </w:rPr>
            </w:pPr>
          </w:p>
        </w:tc>
      </w:tr>
      <w:tr w:rsidR="00055F71" w:rsidRPr="00055F71" w:rsidTr="00B42E59">
        <w:trPr>
          <w:cantSplit/>
          <w:trHeight w:val="340"/>
        </w:trPr>
        <w:tc>
          <w:tcPr>
            <w:tcW w:w="2199" w:type="dxa"/>
            <w:tcBorders>
              <w:top w:val="nil"/>
              <w:left w:val="double" w:sz="4" w:space="0" w:color="auto"/>
              <w:bottom w:val="single" w:sz="8" w:space="0" w:color="auto"/>
              <w:right w:val="nil"/>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25–49</w:t>
            </w:r>
          </w:p>
        </w:tc>
        <w:tc>
          <w:tcPr>
            <w:tcW w:w="1145" w:type="dxa"/>
            <w:tcBorders>
              <w:top w:val="nil"/>
              <w:left w:val="single" w:sz="12"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48</w:t>
            </w:r>
          </w:p>
        </w:tc>
        <w:tc>
          <w:tcPr>
            <w:tcW w:w="1146" w:type="dxa"/>
            <w:tcBorders>
              <w:top w:val="nil"/>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234</w:t>
            </w:r>
          </w:p>
        </w:tc>
        <w:tc>
          <w:tcPr>
            <w:tcW w:w="1146" w:type="dxa"/>
            <w:tcBorders>
              <w:top w:val="nil"/>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97</w:t>
            </w:r>
          </w:p>
        </w:tc>
        <w:tc>
          <w:tcPr>
            <w:tcW w:w="1146" w:type="dxa"/>
            <w:tcBorders>
              <w:top w:val="nil"/>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130</w:t>
            </w:r>
          </w:p>
        </w:tc>
        <w:tc>
          <w:tcPr>
            <w:tcW w:w="1146" w:type="dxa"/>
            <w:tcBorders>
              <w:top w:val="double" w:sz="4" w:space="0" w:color="auto"/>
              <w:left w:val="single" w:sz="6"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118</w:t>
            </w:r>
          </w:p>
        </w:tc>
        <w:tc>
          <w:tcPr>
            <w:tcW w:w="1428" w:type="dxa"/>
            <w:tcBorders>
              <w:top w:val="double" w:sz="4" w:space="0" w:color="auto"/>
              <w:left w:val="single" w:sz="6"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627</w:t>
            </w:r>
          </w:p>
        </w:tc>
      </w:tr>
      <w:tr w:rsidR="00055F71" w:rsidRPr="00055F71" w:rsidTr="00B42E59">
        <w:trPr>
          <w:cantSplit/>
          <w:trHeight w:val="340"/>
        </w:trPr>
        <w:tc>
          <w:tcPr>
            <w:tcW w:w="2199" w:type="dxa"/>
            <w:tcBorders>
              <w:top w:val="single" w:sz="8" w:space="0" w:color="auto"/>
              <w:left w:val="double" w:sz="4" w:space="0" w:color="auto"/>
              <w:bottom w:val="single" w:sz="8" w:space="0" w:color="auto"/>
              <w:right w:val="nil"/>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50–99</w:t>
            </w:r>
          </w:p>
        </w:tc>
        <w:tc>
          <w:tcPr>
            <w:tcW w:w="1145" w:type="dxa"/>
            <w:tcBorders>
              <w:top w:val="single" w:sz="6" w:space="0" w:color="auto"/>
              <w:left w:val="single" w:sz="12"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24</w:t>
            </w:r>
          </w:p>
        </w:tc>
        <w:tc>
          <w:tcPr>
            <w:tcW w:w="1146" w:type="dxa"/>
            <w:tcBorders>
              <w:top w:val="single" w:sz="6" w:space="0" w:color="auto"/>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148</w:t>
            </w:r>
          </w:p>
        </w:tc>
        <w:tc>
          <w:tcPr>
            <w:tcW w:w="1146" w:type="dxa"/>
            <w:tcBorders>
              <w:top w:val="single" w:sz="6" w:space="0" w:color="auto"/>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64</w:t>
            </w:r>
          </w:p>
        </w:tc>
        <w:tc>
          <w:tcPr>
            <w:tcW w:w="1146" w:type="dxa"/>
            <w:tcBorders>
              <w:top w:val="single" w:sz="6" w:space="0" w:color="auto"/>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73</w:t>
            </w:r>
          </w:p>
        </w:tc>
        <w:tc>
          <w:tcPr>
            <w:tcW w:w="1146" w:type="dxa"/>
            <w:tcBorders>
              <w:top w:val="single" w:sz="6" w:space="0" w:color="auto"/>
              <w:left w:val="single" w:sz="6"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62</w:t>
            </w:r>
          </w:p>
        </w:tc>
        <w:tc>
          <w:tcPr>
            <w:tcW w:w="1428" w:type="dxa"/>
            <w:tcBorders>
              <w:top w:val="single" w:sz="6" w:space="0" w:color="auto"/>
              <w:left w:val="single" w:sz="6"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371</w:t>
            </w:r>
          </w:p>
        </w:tc>
      </w:tr>
      <w:tr w:rsidR="00055F71" w:rsidRPr="00055F71" w:rsidTr="00B42E59">
        <w:trPr>
          <w:cantSplit/>
          <w:trHeight w:val="340"/>
        </w:trPr>
        <w:tc>
          <w:tcPr>
            <w:tcW w:w="2199" w:type="dxa"/>
            <w:tcBorders>
              <w:top w:val="single" w:sz="8" w:space="0" w:color="auto"/>
              <w:left w:val="double" w:sz="4" w:space="0" w:color="auto"/>
              <w:bottom w:val="single" w:sz="8" w:space="0" w:color="auto"/>
              <w:right w:val="nil"/>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100–199</w:t>
            </w:r>
          </w:p>
        </w:tc>
        <w:tc>
          <w:tcPr>
            <w:tcW w:w="1145" w:type="dxa"/>
            <w:tcBorders>
              <w:top w:val="single" w:sz="6" w:space="0" w:color="auto"/>
              <w:left w:val="single" w:sz="12"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8</w:t>
            </w:r>
          </w:p>
        </w:tc>
        <w:tc>
          <w:tcPr>
            <w:tcW w:w="1146" w:type="dxa"/>
            <w:tcBorders>
              <w:top w:val="single" w:sz="6" w:space="0" w:color="auto"/>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76</w:t>
            </w:r>
          </w:p>
        </w:tc>
        <w:tc>
          <w:tcPr>
            <w:tcW w:w="1146" w:type="dxa"/>
            <w:tcBorders>
              <w:top w:val="single" w:sz="6" w:space="0" w:color="auto"/>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31</w:t>
            </w:r>
          </w:p>
        </w:tc>
        <w:tc>
          <w:tcPr>
            <w:tcW w:w="1146" w:type="dxa"/>
            <w:tcBorders>
              <w:top w:val="single" w:sz="6" w:space="0" w:color="auto"/>
              <w:left w:val="single" w:sz="6" w:space="0" w:color="auto"/>
              <w:bottom w:val="single" w:sz="6" w:space="0" w:color="auto"/>
              <w:right w:val="single" w:sz="6"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37</w:t>
            </w:r>
          </w:p>
        </w:tc>
        <w:tc>
          <w:tcPr>
            <w:tcW w:w="1146" w:type="dxa"/>
            <w:tcBorders>
              <w:top w:val="single" w:sz="6" w:space="0" w:color="auto"/>
              <w:left w:val="single" w:sz="6"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33</w:t>
            </w:r>
          </w:p>
        </w:tc>
        <w:tc>
          <w:tcPr>
            <w:tcW w:w="1428" w:type="dxa"/>
            <w:tcBorders>
              <w:top w:val="single" w:sz="6" w:space="0" w:color="auto"/>
              <w:left w:val="single" w:sz="6"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185</w:t>
            </w:r>
          </w:p>
        </w:tc>
      </w:tr>
      <w:tr w:rsidR="00055F71" w:rsidRPr="00055F71" w:rsidTr="00B42E59">
        <w:trPr>
          <w:cantSplit/>
          <w:trHeight w:val="340"/>
        </w:trPr>
        <w:tc>
          <w:tcPr>
            <w:tcW w:w="2199" w:type="dxa"/>
            <w:tcBorders>
              <w:top w:val="single" w:sz="8" w:space="0" w:color="auto"/>
              <w:left w:val="double" w:sz="4" w:space="0" w:color="auto"/>
              <w:bottom w:val="single" w:sz="8" w:space="0" w:color="auto"/>
              <w:right w:val="single" w:sz="12" w:space="0" w:color="auto"/>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200–249</w:t>
            </w:r>
          </w:p>
        </w:tc>
        <w:tc>
          <w:tcPr>
            <w:tcW w:w="1145" w:type="dxa"/>
            <w:tcBorders>
              <w:top w:val="nil"/>
              <w:left w:val="nil"/>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w:t>
            </w:r>
          </w:p>
        </w:tc>
        <w:tc>
          <w:tcPr>
            <w:tcW w:w="1146" w:type="dxa"/>
            <w:tcBorders>
              <w:top w:val="nil"/>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11</w:t>
            </w:r>
          </w:p>
        </w:tc>
        <w:tc>
          <w:tcPr>
            <w:tcW w:w="1146" w:type="dxa"/>
            <w:tcBorders>
              <w:top w:val="nil"/>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4</w:t>
            </w:r>
          </w:p>
        </w:tc>
        <w:tc>
          <w:tcPr>
            <w:tcW w:w="1146" w:type="dxa"/>
            <w:tcBorders>
              <w:top w:val="nil"/>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8</w:t>
            </w:r>
          </w:p>
        </w:tc>
        <w:tc>
          <w:tcPr>
            <w:tcW w:w="1146"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w:t>
            </w:r>
          </w:p>
        </w:tc>
        <w:tc>
          <w:tcPr>
            <w:tcW w:w="1428"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26</w:t>
            </w:r>
          </w:p>
        </w:tc>
      </w:tr>
      <w:tr w:rsidR="00055F71" w:rsidRPr="00055F71" w:rsidTr="00B42E59">
        <w:trPr>
          <w:cantSplit/>
          <w:trHeight w:val="340"/>
        </w:trPr>
        <w:tc>
          <w:tcPr>
            <w:tcW w:w="2199" w:type="dxa"/>
            <w:tcBorders>
              <w:top w:val="single" w:sz="8" w:space="0" w:color="auto"/>
              <w:left w:val="double" w:sz="4" w:space="0" w:color="auto"/>
              <w:bottom w:val="single" w:sz="8" w:space="0" w:color="auto"/>
              <w:right w:val="single" w:sz="12" w:space="0" w:color="auto"/>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250–499</w:t>
            </w:r>
          </w:p>
        </w:tc>
        <w:tc>
          <w:tcPr>
            <w:tcW w:w="1145" w:type="dxa"/>
            <w:tcBorders>
              <w:top w:val="single" w:sz="4" w:space="0" w:color="auto"/>
              <w:left w:val="nil"/>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4</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30</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10</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9</w:t>
            </w:r>
          </w:p>
        </w:tc>
        <w:tc>
          <w:tcPr>
            <w:tcW w:w="1146"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8</w:t>
            </w:r>
          </w:p>
        </w:tc>
        <w:tc>
          <w:tcPr>
            <w:tcW w:w="1428"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61</w:t>
            </w:r>
          </w:p>
        </w:tc>
      </w:tr>
      <w:tr w:rsidR="00055F71" w:rsidRPr="00055F71" w:rsidTr="00B42E59">
        <w:trPr>
          <w:cantSplit/>
          <w:trHeight w:val="340"/>
        </w:trPr>
        <w:tc>
          <w:tcPr>
            <w:tcW w:w="2199" w:type="dxa"/>
            <w:tcBorders>
              <w:top w:val="single" w:sz="8" w:space="0" w:color="auto"/>
              <w:left w:val="double" w:sz="4" w:space="0" w:color="auto"/>
              <w:bottom w:val="single" w:sz="8" w:space="0" w:color="auto"/>
              <w:right w:val="single" w:sz="12" w:space="0" w:color="auto"/>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500–999</w:t>
            </w:r>
          </w:p>
        </w:tc>
        <w:tc>
          <w:tcPr>
            <w:tcW w:w="1145" w:type="dxa"/>
            <w:tcBorders>
              <w:top w:val="single" w:sz="4" w:space="0" w:color="auto"/>
              <w:left w:val="nil"/>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0</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7</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3</w:t>
            </w:r>
          </w:p>
        </w:tc>
        <w:tc>
          <w:tcPr>
            <w:tcW w:w="1146"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6</w:t>
            </w:r>
          </w:p>
        </w:tc>
        <w:tc>
          <w:tcPr>
            <w:tcW w:w="1428"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17</w:t>
            </w:r>
          </w:p>
        </w:tc>
      </w:tr>
      <w:tr w:rsidR="00055F71" w:rsidRPr="00055F71" w:rsidTr="001962EC">
        <w:trPr>
          <w:cantSplit/>
          <w:trHeight w:val="340"/>
        </w:trPr>
        <w:tc>
          <w:tcPr>
            <w:tcW w:w="2199" w:type="dxa"/>
            <w:tcBorders>
              <w:top w:val="single" w:sz="8" w:space="0" w:color="auto"/>
              <w:left w:val="double" w:sz="4" w:space="0" w:color="auto"/>
              <w:bottom w:val="single" w:sz="8" w:space="0" w:color="auto"/>
              <w:right w:val="single" w:sz="12" w:space="0" w:color="auto"/>
            </w:tcBorders>
            <w:shd w:val="clear" w:color="auto" w:fill="CCFFFF"/>
            <w:vAlign w:val="bottom"/>
          </w:tcPr>
          <w:p w:rsidR="00055F71" w:rsidRPr="00055F71" w:rsidRDefault="00055F71" w:rsidP="001962EC">
            <w:pPr>
              <w:ind w:firstLineChars="100" w:firstLine="241"/>
              <w:rPr>
                <w:rFonts w:asciiTheme="minorHAnsi" w:hAnsiTheme="minorHAnsi" w:cstheme="minorHAnsi"/>
                <w:b/>
                <w:color w:val="000000" w:themeColor="text1"/>
              </w:rPr>
            </w:pPr>
            <w:r w:rsidRPr="00055F71">
              <w:rPr>
                <w:rFonts w:asciiTheme="minorHAnsi" w:hAnsiTheme="minorHAnsi" w:cstheme="minorHAnsi"/>
                <w:b/>
                <w:color w:val="000000" w:themeColor="text1"/>
              </w:rPr>
              <w:t>1 000 a více</w:t>
            </w:r>
          </w:p>
        </w:tc>
        <w:tc>
          <w:tcPr>
            <w:tcW w:w="1145" w:type="dxa"/>
            <w:tcBorders>
              <w:top w:val="single" w:sz="4" w:space="0" w:color="auto"/>
              <w:left w:val="nil"/>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0</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8</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w:t>
            </w:r>
          </w:p>
        </w:tc>
        <w:tc>
          <w:tcPr>
            <w:tcW w:w="1146" w:type="dxa"/>
            <w:tcBorders>
              <w:top w:val="single" w:sz="4" w:space="0" w:color="auto"/>
              <w:left w:val="single" w:sz="4" w:space="0" w:color="auto"/>
              <w:bottom w:val="sing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w:t>
            </w:r>
          </w:p>
        </w:tc>
        <w:tc>
          <w:tcPr>
            <w:tcW w:w="1146"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1</w:t>
            </w:r>
          </w:p>
        </w:tc>
        <w:tc>
          <w:tcPr>
            <w:tcW w:w="1428" w:type="dxa"/>
            <w:tcBorders>
              <w:top w:val="single" w:sz="6" w:space="0" w:color="auto"/>
              <w:left w:val="single" w:sz="4" w:space="0" w:color="auto"/>
              <w:bottom w:val="single" w:sz="6"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12</w:t>
            </w:r>
          </w:p>
        </w:tc>
      </w:tr>
      <w:tr w:rsidR="00055F71" w:rsidRPr="00055F71" w:rsidTr="00B42E59">
        <w:trPr>
          <w:cantSplit/>
          <w:trHeight w:val="340"/>
        </w:trPr>
        <w:tc>
          <w:tcPr>
            <w:tcW w:w="2199" w:type="dxa"/>
            <w:tcBorders>
              <w:top w:val="single" w:sz="8" w:space="0" w:color="auto"/>
              <w:left w:val="double" w:sz="4" w:space="0" w:color="auto"/>
              <w:bottom w:val="double" w:sz="4" w:space="0" w:color="auto"/>
              <w:right w:val="single" w:sz="12" w:space="0" w:color="auto"/>
            </w:tcBorders>
            <w:shd w:val="clear" w:color="auto" w:fill="CCFFFF"/>
            <w:vAlign w:val="center"/>
          </w:tcPr>
          <w:p w:rsidR="00055F71" w:rsidRPr="00055F71" w:rsidRDefault="00055F71" w:rsidP="00F06DD0">
            <w:pPr>
              <w:pStyle w:val="Nadpis2"/>
              <w:rPr>
                <w:rFonts w:asciiTheme="minorHAnsi" w:hAnsiTheme="minorHAnsi" w:cstheme="minorHAnsi"/>
                <w:b/>
                <w:color w:val="000000" w:themeColor="text1"/>
                <w:szCs w:val="24"/>
              </w:rPr>
            </w:pPr>
            <w:r w:rsidRPr="00055F71">
              <w:rPr>
                <w:rFonts w:asciiTheme="minorHAnsi" w:hAnsiTheme="minorHAnsi" w:cstheme="minorHAnsi"/>
                <w:b/>
                <w:color w:val="000000" w:themeColor="text1"/>
                <w:szCs w:val="24"/>
              </w:rPr>
              <w:t xml:space="preserve">   </w:t>
            </w:r>
            <w:bookmarkStart w:id="11" w:name="_Toc321296397"/>
            <w:bookmarkStart w:id="12" w:name="_Toc321296514"/>
            <w:r w:rsidRPr="00055F71">
              <w:rPr>
                <w:rFonts w:asciiTheme="minorHAnsi" w:hAnsiTheme="minorHAnsi" w:cstheme="minorHAnsi"/>
                <w:b/>
                <w:color w:val="000000" w:themeColor="text1"/>
                <w:szCs w:val="24"/>
              </w:rPr>
              <w:t>Celkem</w:t>
            </w:r>
            <w:bookmarkEnd w:id="11"/>
            <w:bookmarkEnd w:id="12"/>
          </w:p>
        </w:tc>
        <w:tc>
          <w:tcPr>
            <w:tcW w:w="1145" w:type="dxa"/>
            <w:tcBorders>
              <w:top w:val="single" w:sz="4" w:space="0" w:color="auto"/>
              <w:left w:val="nil"/>
              <w:bottom w:val="doub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85</w:t>
            </w:r>
          </w:p>
        </w:tc>
        <w:tc>
          <w:tcPr>
            <w:tcW w:w="1146" w:type="dxa"/>
            <w:tcBorders>
              <w:top w:val="single" w:sz="4" w:space="0" w:color="auto"/>
              <w:left w:val="single" w:sz="4" w:space="0" w:color="auto"/>
              <w:bottom w:val="doub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514</w:t>
            </w:r>
          </w:p>
        </w:tc>
        <w:tc>
          <w:tcPr>
            <w:tcW w:w="1146" w:type="dxa"/>
            <w:tcBorders>
              <w:top w:val="single" w:sz="4" w:space="0" w:color="auto"/>
              <w:left w:val="single" w:sz="4" w:space="0" w:color="auto"/>
              <w:bottom w:val="doub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208</w:t>
            </w:r>
          </w:p>
        </w:tc>
        <w:tc>
          <w:tcPr>
            <w:tcW w:w="1146" w:type="dxa"/>
            <w:tcBorders>
              <w:top w:val="single" w:sz="4" w:space="0" w:color="auto"/>
              <w:left w:val="single" w:sz="4" w:space="0" w:color="auto"/>
              <w:bottom w:val="double" w:sz="4" w:space="0" w:color="auto"/>
              <w:right w:val="sing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262</w:t>
            </w:r>
          </w:p>
        </w:tc>
        <w:tc>
          <w:tcPr>
            <w:tcW w:w="1146" w:type="dxa"/>
            <w:tcBorders>
              <w:top w:val="single" w:sz="6" w:space="0" w:color="auto"/>
              <w:left w:val="single" w:sz="4" w:space="0" w:color="auto"/>
              <w:bottom w:val="double" w:sz="4" w:space="0" w:color="auto"/>
              <w:right w:val="double" w:sz="4" w:space="0" w:color="auto"/>
            </w:tcBorders>
            <w:vAlign w:val="bottom"/>
          </w:tcPr>
          <w:p w:rsidR="00055F71" w:rsidRPr="00055F71" w:rsidRDefault="00055F71" w:rsidP="00055F71">
            <w:pPr>
              <w:jc w:val="center"/>
              <w:rPr>
                <w:rFonts w:asciiTheme="minorHAnsi" w:hAnsiTheme="minorHAnsi" w:cstheme="minorHAnsi"/>
                <w:color w:val="000000" w:themeColor="text1"/>
              </w:rPr>
            </w:pPr>
            <w:r w:rsidRPr="00055F71">
              <w:rPr>
                <w:rFonts w:asciiTheme="minorHAnsi" w:hAnsiTheme="minorHAnsi" w:cstheme="minorHAnsi"/>
                <w:color w:val="000000" w:themeColor="text1"/>
              </w:rPr>
              <w:t>230</w:t>
            </w:r>
          </w:p>
        </w:tc>
        <w:tc>
          <w:tcPr>
            <w:tcW w:w="1428" w:type="dxa"/>
            <w:tcBorders>
              <w:top w:val="single" w:sz="6" w:space="0" w:color="auto"/>
              <w:left w:val="single" w:sz="4" w:space="0" w:color="auto"/>
              <w:bottom w:val="double" w:sz="4" w:space="0" w:color="auto"/>
              <w:right w:val="double" w:sz="4" w:space="0" w:color="auto"/>
            </w:tcBorders>
            <w:vAlign w:val="bottom"/>
          </w:tcPr>
          <w:p w:rsidR="00055F71" w:rsidRPr="00055F71" w:rsidRDefault="00055F71" w:rsidP="00055F71">
            <w:pPr>
              <w:jc w:val="center"/>
              <w:rPr>
                <w:rFonts w:asciiTheme="minorHAnsi" w:hAnsiTheme="minorHAnsi" w:cstheme="minorHAnsi"/>
                <w:b/>
                <w:color w:val="000000" w:themeColor="text1"/>
              </w:rPr>
            </w:pPr>
            <w:r w:rsidRPr="00055F71">
              <w:rPr>
                <w:rFonts w:asciiTheme="minorHAnsi" w:hAnsiTheme="minorHAnsi" w:cstheme="minorHAnsi"/>
                <w:b/>
                <w:color w:val="000000" w:themeColor="text1"/>
              </w:rPr>
              <w:t>1 299</w:t>
            </w:r>
          </w:p>
        </w:tc>
      </w:tr>
    </w:tbl>
    <w:p w:rsidR="00F06DD0" w:rsidRPr="00055F71" w:rsidRDefault="00E661BE" w:rsidP="00F73785">
      <w:pPr>
        <w:jc w:val="both"/>
        <w:rPr>
          <w:rFonts w:asciiTheme="minorHAnsi" w:hAnsiTheme="minorHAnsi" w:cstheme="minorHAnsi"/>
          <w:b/>
          <w:i/>
          <w:color w:val="000000" w:themeColor="text1"/>
          <w:sz w:val="20"/>
          <w:szCs w:val="20"/>
        </w:rPr>
      </w:pPr>
      <w:r w:rsidRPr="00055F71">
        <w:rPr>
          <w:rFonts w:asciiTheme="minorHAnsi" w:hAnsiTheme="minorHAnsi" w:cstheme="minorHAnsi"/>
          <w:i/>
          <w:color w:val="000000" w:themeColor="text1"/>
        </w:rPr>
        <w:tab/>
      </w:r>
      <w:r w:rsidRPr="00055F71">
        <w:rPr>
          <w:rFonts w:asciiTheme="minorHAnsi" w:hAnsiTheme="minorHAnsi" w:cstheme="minorHAnsi"/>
          <w:i/>
          <w:color w:val="000000" w:themeColor="text1"/>
        </w:rPr>
        <w:tab/>
      </w:r>
      <w:r w:rsidRPr="00055F71">
        <w:rPr>
          <w:rFonts w:asciiTheme="minorHAnsi" w:hAnsiTheme="minorHAnsi" w:cstheme="minorHAnsi"/>
          <w:b/>
          <w:i/>
          <w:color w:val="000000" w:themeColor="text1"/>
          <w:sz w:val="20"/>
          <w:szCs w:val="20"/>
        </w:rPr>
        <w:t>Zdroj dat: ČSÚ (Registr ekonomických subjektů)</w:t>
      </w:r>
    </w:p>
    <w:p w:rsidR="004B00E4" w:rsidRDefault="004B00E4" w:rsidP="00F73785">
      <w:pPr>
        <w:pStyle w:val="Zkladntextodsazen"/>
        <w:ind w:left="0" w:firstLine="708"/>
        <w:jc w:val="both"/>
        <w:rPr>
          <w:rFonts w:asciiTheme="minorHAnsi" w:hAnsiTheme="minorHAnsi" w:cstheme="minorHAnsi"/>
          <w:color w:val="000000" w:themeColor="text1"/>
        </w:rPr>
      </w:pPr>
      <w:r w:rsidRPr="00055F71">
        <w:rPr>
          <w:rFonts w:asciiTheme="minorHAnsi" w:hAnsiTheme="minorHAnsi" w:cstheme="minorHAnsi"/>
          <w:color w:val="000000" w:themeColor="text1"/>
          <w:szCs w:val="24"/>
        </w:rPr>
        <w:t xml:space="preserve">Podle </w:t>
      </w:r>
      <w:r w:rsidR="00F5677E" w:rsidRPr="00055F71">
        <w:rPr>
          <w:rFonts w:asciiTheme="minorHAnsi" w:hAnsiTheme="minorHAnsi" w:cstheme="minorHAnsi"/>
          <w:color w:val="000000" w:themeColor="text1"/>
        </w:rPr>
        <w:t>organizační statistiky ČSÚ existoval</w:t>
      </w:r>
      <w:r w:rsidR="00055F71" w:rsidRPr="00055F71">
        <w:rPr>
          <w:rFonts w:asciiTheme="minorHAnsi" w:hAnsiTheme="minorHAnsi" w:cstheme="minorHAnsi"/>
          <w:color w:val="000000" w:themeColor="text1"/>
        </w:rPr>
        <w:t>o v Olomouckém kraji v roce 2013</w:t>
      </w:r>
      <w:r w:rsidR="00F5677E" w:rsidRPr="00055F71">
        <w:rPr>
          <w:rFonts w:asciiTheme="minorHAnsi" w:hAnsiTheme="minorHAnsi" w:cstheme="minorHAnsi"/>
          <w:color w:val="000000" w:themeColor="text1"/>
        </w:rPr>
        <w:t xml:space="preserve"> </w:t>
      </w:r>
      <w:r w:rsidR="001962EC" w:rsidRPr="00055F71">
        <w:rPr>
          <w:rFonts w:asciiTheme="minorHAnsi" w:hAnsiTheme="minorHAnsi" w:cstheme="minorHAnsi"/>
          <w:color w:val="000000" w:themeColor="text1"/>
        </w:rPr>
        <w:t>celk</w:t>
      </w:r>
      <w:r w:rsidR="00055F71" w:rsidRPr="00055F71">
        <w:rPr>
          <w:rFonts w:asciiTheme="minorHAnsi" w:hAnsiTheme="minorHAnsi" w:cstheme="minorHAnsi"/>
          <w:color w:val="000000" w:themeColor="text1"/>
        </w:rPr>
        <w:t>em 1 328</w:t>
      </w:r>
      <w:r w:rsidR="001962EC" w:rsidRPr="00055F71">
        <w:rPr>
          <w:rFonts w:asciiTheme="minorHAnsi" w:hAnsiTheme="minorHAnsi" w:cstheme="minorHAnsi"/>
          <w:color w:val="000000" w:themeColor="text1"/>
        </w:rPr>
        <w:t xml:space="preserve"> ekonomických subjektů s více než 25 zaměstnanci, o rok později</w:t>
      </w:r>
      <w:r w:rsidR="00055F71" w:rsidRPr="00055F71">
        <w:rPr>
          <w:rFonts w:asciiTheme="minorHAnsi" w:hAnsiTheme="minorHAnsi" w:cstheme="minorHAnsi"/>
          <w:color w:val="000000" w:themeColor="text1"/>
        </w:rPr>
        <w:t xml:space="preserve"> se jejich počet snížil na 1 299</w:t>
      </w:r>
      <w:r w:rsidR="001962EC" w:rsidRPr="00055F71">
        <w:rPr>
          <w:rFonts w:asciiTheme="minorHAnsi" w:hAnsiTheme="minorHAnsi" w:cstheme="minorHAnsi"/>
          <w:color w:val="000000" w:themeColor="text1"/>
        </w:rPr>
        <w:t xml:space="preserve"> </w:t>
      </w:r>
      <w:r w:rsidR="0070337E" w:rsidRPr="00055F71">
        <w:rPr>
          <w:rFonts w:asciiTheme="minorHAnsi" w:hAnsiTheme="minorHAnsi" w:cstheme="minorHAnsi"/>
          <w:color w:val="000000" w:themeColor="text1"/>
        </w:rPr>
        <w:t xml:space="preserve"> (tj. </w:t>
      </w:r>
      <w:r w:rsidR="00F5677E" w:rsidRPr="00055F71">
        <w:rPr>
          <w:rFonts w:asciiTheme="minorHAnsi" w:hAnsiTheme="minorHAnsi" w:cstheme="minorHAnsi"/>
          <w:color w:val="000000" w:themeColor="text1"/>
        </w:rPr>
        <w:t>meziročn</w:t>
      </w:r>
      <w:r w:rsidR="001962EC" w:rsidRPr="00055F71">
        <w:rPr>
          <w:rFonts w:asciiTheme="minorHAnsi" w:hAnsiTheme="minorHAnsi" w:cstheme="minorHAnsi"/>
          <w:color w:val="000000" w:themeColor="text1"/>
        </w:rPr>
        <w:t>ě počet větších zaměstnavatelů</w:t>
      </w:r>
      <w:r w:rsidR="0070337E" w:rsidRPr="00055F71">
        <w:rPr>
          <w:rFonts w:asciiTheme="minorHAnsi" w:hAnsiTheme="minorHAnsi" w:cstheme="minorHAnsi"/>
          <w:color w:val="000000" w:themeColor="text1"/>
        </w:rPr>
        <w:t xml:space="preserve"> klesl o </w:t>
      </w:r>
      <w:r w:rsidR="00F5677E" w:rsidRPr="00055F71">
        <w:rPr>
          <w:rFonts w:asciiTheme="minorHAnsi" w:hAnsiTheme="minorHAnsi" w:cstheme="minorHAnsi"/>
          <w:color w:val="000000" w:themeColor="text1"/>
        </w:rPr>
        <w:t xml:space="preserve">2 %). </w:t>
      </w:r>
    </w:p>
    <w:p w:rsidR="00AA5059" w:rsidRPr="00055F71" w:rsidRDefault="00AA5059" w:rsidP="00F73785">
      <w:pPr>
        <w:pStyle w:val="Zkladntextodsazen"/>
        <w:ind w:left="0" w:firstLine="708"/>
        <w:jc w:val="both"/>
        <w:rPr>
          <w:rFonts w:asciiTheme="minorHAnsi" w:hAnsiTheme="minorHAnsi" w:cstheme="minorHAnsi"/>
          <w:color w:val="000000" w:themeColor="text1"/>
        </w:rPr>
      </w:pPr>
    </w:p>
    <w:p w:rsidR="00055F71" w:rsidRPr="007E64DA" w:rsidRDefault="00055F71" w:rsidP="00F73785">
      <w:pPr>
        <w:pStyle w:val="Zkladntextodsazen"/>
        <w:ind w:left="0" w:firstLine="708"/>
        <w:jc w:val="both"/>
        <w:rPr>
          <w:rFonts w:asciiTheme="minorHAnsi" w:hAnsiTheme="minorHAnsi" w:cstheme="minorHAnsi"/>
          <w:color w:val="FF0000"/>
        </w:rPr>
      </w:pPr>
    </w:p>
    <w:p w:rsidR="00F73785" w:rsidRPr="006E18F2" w:rsidRDefault="006A037B" w:rsidP="00F03DF1">
      <w:pPr>
        <w:pStyle w:val="Nadpis1"/>
        <w:rPr>
          <w:rFonts w:asciiTheme="minorHAnsi" w:hAnsiTheme="minorHAnsi" w:cstheme="minorHAnsi"/>
          <w:b/>
          <w:bCs/>
          <w:color w:val="000000"/>
          <w:sz w:val="24"/>
        </w:rPr>
      </w:pPr>
      <w:bookmarkStart w:id="13" w:name="_II.2__Zaměstnanost_u_nejvýznamnější"/>
      <w:bookmarkEnd w:id="13"/>
      <w:r w:rsidRPr="00002B63">
        <w:rPr>
          <w:rFonts w:asciiTheme="minorHAnsi" w:hAnsiTheme="minorHAnsi" w:cstheme="minorHAnsi"/>
        </w:rPr>
        <w:tab/>
      </w:r>
      <w:bookmarkStart w:id="14" w:name="_Toc321296398"/>
      <w:bookmarkStart w:id="15" w:name="_Toc321296515"/>
      <w:r w:rsidR="00207B4D" w:rsidRPr="006E18F2">
        <w:rPr>
          <w:rFonts w:asciiTheme="minorHAnsi" w:hAnsiTheme="minorHAnsi" w:cstheme="minorHAnsi"/>
          <w:b/>
          <w:bCs/>
          <w:color w:val="0000FF"/>
          <w:sz w:val="24"/>
        </w:rPr>
        <w:t>1</w:t>
      </w:r>
      <w:r w:rsidR="00F73785" w:rsidRPr="006E18F2">
        <w:rPr>
          <w:rFonts w:asciiTheme="minorHAnsi" w:hAnsiTheme="minorHAnsi" w:cstheme="minorHAnsi"/>
          <w:b/>
          <w:bCs/>
          <w:color w:val="0000FF"/>
          <w:sz w:val="24"/>
        </w:rPr>
        <w:t xml:space="preserve">.2 </w:t>
      </w:r>
      <w:r w:rsidR="00F73785" w:rsidRPr="006E18F2">
        <w:rPr>
          <w:rFonts w:asciiTheme="minorHAnsi" w:hAnsiTheme="minorHAnsi" w:cstheme="minorHAnsi"/>
          <w:b/>
          <w:bCs/>
          <w:color w:val="0000FF"/>
          <w:sz w:val="24"/>
        </w:rPr>
        <w:tab/>
        <w:t xml:space="preserve">Zaměstnanost u nejvýznamnějších zaměstnavatelů </w:t>
      </w:r>
      <w:r w:rsidR="00E749B5" w:rsidRPr="006E18F2">
        <w:rPr>
          <w:rFonts w:asciiTheme="minorHAnsi" w:hAnsiTheme="minorHAnsi" w:cstheme="minorHAnsi"/>
          <w:b/>
          <w:bCs/>
          <w:color w:val="0000FF"/>
          <w:sz w:val="24"/>
        </w:rPr>
        <w:t>a největší personální pohyby</w:t>
      </w:r>
      <w:bookmarkEnd w:id="14"/>
      <w:bookmarkEnd w:id="15"/>
    </w:p>
    <w:p w:rsidR="00F73785" w:rsidRPr="00002B63" w:rsidRDefault="00F73785" w:rsidP="00F73785">
      <w:pPr>
        <w:rPr>
          <w:rFonts w:asciiTheme="minorHAnsi" w:hAnsiTheme="minorHAnsi" w:cstheme="minorHAnsi"/>
        </w:rPr>
      </w:pPr>
    </w:p>
    <w:p w:rsidR="00E749B5" w:rsidRPr="00750CFF" w:rsidRDefault="00F73785" w:rsidP="004C1050">
      <w:pPr>
        <w:ind w:firstLine="567"/>
        <w:jc w:val="both"/>
        <w:rPr>
          <w:rFonts w:asciiTheme="minorHAnsi" w:hAnsiTheme="minorHAnsi" w:cstheme="minorHAnsi"/>
          <w:color w:val="000000" w:themeColor="text1"/>
        </w:rPr>
      </w:pPr>
      <w:r w:rsidRPr="00750CFF">
        <w:rPr>
          <w:rFonts w:asciiTheme="minorHAnsi" w:hAnsiTheme="minorHAnsi" w:cstheme="minorHAnsi"/>
          <w:b/>
          <w:color w:val="000000" w:themeColor="text1"/>
        </w:rPr>
        <w:t xml:space="preserve">V komentáři je popsán vývoj u </w:t>
      </w:r>
      <w:r w:rsidR="00E749B5" w:rsidRPr="00750CFF">
        <w:rPr>
          <w:rFonts w:asciiTheme="minorHAnsi" w:hAnsiTheme="minorHAnsi" w:cstheme="minorHAnsi"/>
          <w:b/>
          <w:color w:val="000000" w:themeColor="text1"/>
        </w:rPr>
        <w:t>nej</w:t>
      </w:r>
      <w:r w:rsidR="00794896" w:rsidRPr="00750CFF">
        <w:rPr>
          <w:rFonts w:asciiTheme="minorHAnsi" w:hAnsiTheme="minorHAnsi" w:cstheme="minorHAnsi"/>
          <w:b/>
          <w:color w:val="000000" w:themeColor="text1"/>
        </w:rPr>
        <w:t xml:space="preserve">větších </w:t>
      </w:r>
      <w:r w:rsidR="004C1050" w:rsidRPr="00750CFF">
        <w:rPr>
          <w:rFonts w:asciiTheme="minorHAnsi" w:hAnsiTheme="minorHAnsi" w:cstheme="minorHAnsi"/>
          <w:b/>
          <w:color w:val="000000" w:themeColor="text1"/>
        </w:rPr>
        <w:t>organizací</w:t>
      </w:r>
      <w:r w:rsidR="00E749B5" w:rsidRPr="00750CFF">
        <w:rPr>
          <w:rFonts w:asciiTheme="minorHAnsi" w:hAnsiTheme="minorHAnsi" w:cstheme="minorHAnsi"/>
          <w:b/>
          <w:color w:val="000000" w:themeColor="text1"/>
        </w:rPr>
        <w:t xml:space="preserve"> v Olomouckém kraji (tj. tě</w:t>
      </w:r>
      <w:r w:rsidR="006C6241" w:rsidRPr="00750CFF">
        <w:rPr>
          <w:rFonts w:asciiTheme="minorHAnsi" w:hAnsiTheme="minorHAnsi" w:cstheme="minorHAnsi"/>
          <w:b/>
          <w:color w:val="000000" w:themeColor="text1"/>
        </w:rPr>
        <w:t>ch, které zaměstnávaly minimálně 700</w:t>
      </w:r>
      <w:r w:rsidR="00E749B5" w:rsidRPr="00750CFF">
        <w:rPr>
          <w:rFonts w:asciiTheme="minorHAnsi" w:hAnsiTheme="minorHAnsi" w:cstheme="minorHAnsi"/>
          <w:b/>
          <w:color w:val="000000" w:themeColor="text1"/>
        </w:rPr>
        <w:t xml:space="preserve"> zaměstnanců</w:t>
      </w:r>
      <w:r w:rsidR="00E749B5" w:rsidRPr="00750CFF">
        <w:rPr>
          <w:rFonts w:asciiTheme="minorHAnsi" w:hAnsiTheme="minorHAnsi" w:cstheme="minorHAnsi"/>
          <w:color w:val="000000" w:themeColor="text1"/>
        </w:rPr>
        <w:t xml:space="preserve">). Dále jsou zde zmíněny i </w:t>
      </w:r>
      <w:r w:rsidR="00E749B5" w:rsidRPr="00750CFF">
        <w:rPr>
          <w:rFonts w:asciiTheme="minorHAnsi" w:hAnsiTheme="minorHAnsi" w:cstheme="minorHAnsi"/>
          <w:b/>
          <w:color w:val="000000" w:themeColor="text1"/>
        </w:rPr>
        <w:t xml:space="preserve">společnosti, </w:t>
      </w:r>
      <w:r w:rsidR="00E363CB" w:rsidRPr="00750CFF">
        <w:rPr>
          <w:rFonts w:asciiTheme="minorHAnsi" w:hAnsiTheme="minorHAnsi" w:cstheme="minorHAnsi"/>
          <w:b/>
          <w:color w:val="000000" w:themeColor="text1"/>
        </w:rPr>
        <w:t>ve </w:t>
      </w:r>
      <w:r w:rsidRPr="00750CFF">
        <w:rPr>
          <w:rFonts w:asciiTheme="minorHAnsi" w:hAnsiTheme="minorHAnsi" w:cstheme="minorHAnsi"/>
          <w:b/>
          <w:color w:val="000000" w:themeColor="text1"/>
        </w:rPr>
        <w:t xml:space="preserve">kterých během jednoho roku vzrostl (klesl) počet zaměstnanců o </w:t>
      </w:r>
      <w:smartTag w:uri="urn:schemas-microsoft-com:office:smarttags" w:element="metricconverter">
        <w:smartTagPr>
          <w:attr w:name="ProductID" w:val="50 a"/>
        </w:smartTagPr>
        <w:r w:rsidRPr="00750CFF">
          <w:rPr>
            <w:rFonts w:asciiTheme="minorHAnsi" w:hAnsiTheme="minorHAnsi" w:cstheme="minorHAnsi"/>
            <w:b/>
            <w:color w:val="000000" w:themeColor="text1"/>
          </w:rPr>
          <w:t>50 a</w:t>
        </w:r>
      </w:smartTag>
      <w:r w:rsidRPr="00750CFF">
        <w:rPr>
          <w:rFonts w:asciiTheme="minorHAnsi" w:hAnsiTheme="minorHAnsi" w:cstheme="minorHAnsi"/>
          <w:b/>
          <w:color w:val="000000" w:themeColor="text1"/>
        </w:rPr>
        <w:t xml:space="preserve"> více pracovníků.</w:t>
      </w:r>
      <w:r w:rsidRPr="00750CFF">
        <w:rPr>
          <w:rFonts w:asciiTheme="minorHAnsi" w:hAnsiTheme="minorHAnsi" w:cstheme="minorHAnsi"/>
          <w:color w:val="000000" w:themeColor="text1"/>
        </w:rPr>
        <w:t xml:space="preserve"> </w:t>
      </w:r>
    </w:p>
    <w:p w:rsidR="004C1050" w:rsidRPr="00750CFF" w:rsidRDefault="00F73785" w:rsidP="004C1050">
      <w:pPr>
        <w:ind w:firstLine="567"/>
        <w:jc w:val="both"/>
        <w:rPr>
          <w:rFonts w:asciiTheme="minorHAnsi" w:hAnsiTheme="minorHAnsi" w:cstheme="minorHAnsi"/>
          <w:b/>
          <w:color w:val="000000" w:themeColor="text1"/>
        </w:rPr>
      </w:pPr>
      <w:r w:rsidRPr="00750CFF">
        <w:rPr>
          <w:rFonts w:asciiTheme="minorHAnsi" w:hAnsiTheme="minorHAnsi" w:cstheme="minorHAnsi"/>
          <w:color w:val="000000" w:themeColor="text1"/>
        </w:rPr>
        <w:t>Společnosti jsou řazeny podle odvětví</w:t>
      </w:r>
      <w:r w:rsidR="004C1050" w:rsidRPr="00750CFF">
        <w:rPr>
          <w:rFonts w:asciiTheme="minorHAnsi" w:hAnsiTheme="minorHAnsi" w:cstheme="minorHAnsi"/>
          <w:color w:val="000000" w:themeColor="text1"/>
        </w:rPr>
        <w:t xml:space="preserve"> a abecedy</w:t>
      </w:r>
      <w:r w:rsidRPr="00750CFF">
        <w:rPr>
          <w:rFonts w:asciiTheme="minorHAnsi" w:hAnsiTheme="minorHAnsi" w:cstheme="minorHAnsi"/>
          <w:color w:val="000000" w:themeColor="text1"/>
        </w:rPr>
        <w:t xml:space="preserve">. Pokud je v některé </w:t>
      </w:r>
      <w:r w:rsidR="004C1050" w:rsidRPr="00750CFF">
        <w:rPr>
          <w:rFonts w:asciiTheme="minorHAnsi" w:hAnsiTheme="minorHAnsi" w:cstheme="minorHAnsi"/>
          <w:color w:val="000000" w:themeColor="text1"/>
        </w:rPr>
        <w:t xml:space="preserve">převážný </w:t>
      </w:r>
      <w:r w:rsidRPr="00750CFF">
        <w:rPr>
          <w:rFonts w:asciiTheme="minorHAnsi" w:hAnsiTheme="minorHAnsi" w:cstheme="minorHAnsi"/>
          <w:color w:val="000000" w:themeColor="text1"/>
        </w:rPr>
        <w:t>podíl zahraničního k</w:t>
      </w:r>
      <w:r w:rsidR="004C1050" w:rsidRPr="00750CFF">
        <w:rPr>
          <w:rFonts w:asciiTheme="minorHAnsi" w:hAnsiTheme="minorHAnsi" w:cstheme="minorHAnsi"/>
          <w:color w:val="000000" w:themeColor="text1"/>
        </w:rPr>
        <w:t>apitálu, je v závorce za sídlem organizace uvedena země zahraničního partnera</w:t>
      </w:r>
      <w:r w:rsidRPr="00750CFF">
        <w:rPr>
          <w:rFonts w:asciiTheme="minorHAnsi" w:hAnsiTheme="minorHAnsi" w:cstheme="minorHAnsi"/>
          <w:color w:val="000000" w:themeColor="text1"/>
        </w:rPr>
        <w:t xml:space="preserve">. </w:t>
      </w:r>
      <w:r w:rsidR="004C1050" w:rsidRPr="00750CFF">
        <w:rPr>
          <w:rFonts w:asciiTheme="minorHAnsi" w:hAnsiTheme="minorHAnsi" w:cstheme="minorHAnsi"/>
          <w:b/>
          <w:color w:val="000000" w:themeColor="text1"/>
        </w:rPr>
        <w:t>Meziroční výv</w:t>
      </w:r>
      <w:r w:rsidR="00E749B5" w:rsidRPr="00750CFF">
        <w:rPr>
          <w:rFonts w:asciiTheme="minorHAnsi" w:hAnsiTheme="minorHAnsi" w:cstheme="minorHAnsi"/>
          <w:b/>
          <w:color w:val="000000" w:themeColor="text1"/>
        </w:rPr>
        <w:t xml:space="preserve">oj počtu zaměstnanců u všech </w:t>
      </w:r>
      <w:r w:rsidR="004C1050" w:rsidRPr="00750CFF">
        <w:rPr>
          <w:rFonts w:asciiTheme="minorHAnsi" w:hAnsiTheme="minorHAnsi" w:cstheme="minorHAnsi"/>
          <w:b/>
          <w:color w:val="000000" w:themeColor="text1"/>
        </w:rPr>
        <w:t>významnějších zaměstnava</w:t>
      </w:r>
      <w:r w:rsidR="002C3355" w:rsidRPr="00750CFF">
        <w:rPr>
          <w:rFonts w:asciiTheme="minorHAnsi" w:hAnsiTheme="minorHAnsi" w:cstheme="minorHAnsi"/>
          <w:b/>
          <w:color w:val="000000" w:themeColor="text1"/>
        </w:rPr>
        <w:t xml:space="preserve">telů je podchycen </w:t>
      </w:r>
      <w:r w:rsidR="004C1050" w:rsidRPr="00750CFF">
        <w:rPr>
          <w:rFonts w:asciiTheme="minorHAnsi" w:hAnsiTheme="minorHAnsi" w:cstheme="minorHAnsi"/>
          <w:b/>
          <w:color w:val="000000" w:themeColor="text1"/>
        </w:rPr>
        <w:t>v</w:t>
      </w:r>
      <w:r w:rsidR="002C3355" w:rsidRPr="00750CFF">
        <w:rPr>
          <w:rFonts w:asciiTheme="minorHAnsi" w:hAnsiTheme="minorHAnsi" w:cstheme="minorHAnsi"/>
          <w:b/>
          <w:color w:val="000000" w:themeColor="text1"/>
        </w:rPr>
        <w:t> P</w:t>
      </w:r>
      <w:r w:rsidR="004C1050" w:rsidRPr="00750CFF">
        <w:rPr>
          <w:rFonts w:asciiTheme="minorHAnsi" w:hAnsiTheme="minorHAnsi" w:cstheme="minorHAnsi"/>
          <w:b/>
          <w:color w:val="000000" w:themeColor="text1"/>
        </w:rPr>
        <w:t>říloze</w:t>
      </w:r>
      <w:r w:rsidR="002C3355" w:rsidRPr="00750CFF">
        <w:rPr>
          <w:rFonts w:asciiTheme="minorHAnsi" w:hAnsiTheme="minorHAnsi" w:cstheme="minorHAnsi"/>
          <w:b/>
          <w:color w:val="000000" w:themeColor="text1"/>
        </w:rPr>
        <w:t xml:space="preserve"> č. 1</w:t>
      </w:r>
      <w:r w:rsidR="004C1050" w:rsidRPr="00750CFF">
        <w:rPr>
          <w:rFonts w:asciiTheme="minorHAnsi" w:hAnsiTheme="minorHAnsi" w:cstheme="minorHAnsi"/>
          <w:b/>
          <w:color w:val="000000" w:themeColor="text1"/>
        </w:rPr>
        <w:t>.</w:t>
      </w:r>
    </w:p>
    <w:p w:rsidR="00AF5372" w:rsidRPr="00002B63" w:rsidRDefault="00AF5372" w:rsidP="00AF5372">
      <w:pPr>
        <w:pStyle w:val="Zkladntext"/>
        <w:spacing w:line="240" w:lineRule="atLeast"/>
        <w:ind w:firstLine="720"/>
        <w:rPr>
          <w:rFonts w:asciiTheme="minorHAnsi" w:hAnsiTheme="minorHAnsi" w:cstheme="minorHAnsi"/>
          <w:color w:val="FF6600"/>
          <w:sz w:val="24"/>
        </w:rPr>
      </w:pPr>
    </w:p>
    <w:p w:rsidR="00C47B28" w:rsidRPr="001C4C21" w:rsidRDefault="00C47B28" w:rsidP="00C47B28">
      <w:pPr>
        <w:pStyle w:val="Zkladntext"/>
        <w:spacing w:line="240" w:lineRule="auto"/>
        <w:ind w:firstLine="720"/>
        <w:jc w:val="left"/>
        <w:rPr>
          <w:rFonts w:asciiTheme="minorHAnsi" w:hAnsiTheme="minorHAnsi" w:cstheme="minorHAnsi"/>
          <w:sz w:val="24"/>
        </w:rPr>
      </w:pPr>
      <w:r w:rsidRPr="001C4C21">
        <w:rPr>
          <w:rFonts w:asciiTheme="minorHAnsi" w:hAnsiTheme="minorHAnsi" w:cstheme="minorHAnsi"/>
          <w:color w:val="0000FF"/>
          <w:sz w:val="24"/>
        </w:rPr>
        <w:t>Nestlé Česko s r.o.</w:t>
      </w:r>
      <w:r w:rsidRPr="001C4C21">
        <w:rPr>
          <w:rFonts w:asciiTheme="minorHAnsi" w:hAnsiTheme="minorHAnsi" w:cstheme="minorHAnsi"/>
          <w:sz w:val="24"/>
        </w:rPr>
        <w:t xml:space="preserve"> (výroba cukrovinek a čokolády) </w:t>
      </w:r>
    </w:p>
    <w:p w:rsidR="00C47B28" w:rsidRPr="001C4C21" w:rsidRDefault="00EE5396" w:rsidP="00C47B28">
      <w:pPr>
        <w:pStyle w:val="Zkladntext"/>
        <w:spacing w:line="240" w:lineRule="auto"/>
        <w:ind w:firstLine="720"/>
        <w:jc w:val="left"/>
        <w:rPr>
          <w:rFonts w:asciiTheme="minorHAnsi" w:hAnsiTheme="minorHAnsi" w:cstheme="minorHAnsi"/>
          <w:sz w:val="24"/>
        </w:rPr>
      </w:pPr>
      <w:r w:rsidRPr="001C4C21">
        <w:rPr>
          <w:rFonts w:asciiTheme="minorHAnsi" w:hAnsiTheme="minorHAnsi" w:cstheme="minorHAnsi"/>
          <w:sz w:val="24"/>
        </w:rPr>
        <w:t xml:space="preserve">sídlo olomouckého závodu: </w:t>
      </w:r>
      <w:r w:rsidR="00C47B28" w:rsidRPr="001C4C21">
        <w:rPr>
          <w:rFonts w:asciiTheme="minorHAnsi" w:hAnsiTheme="minorHAnsi" w:cstheme="minorHAnsi"/>
          <w:sz w:val="24"/>
        </w:rPr>
        <w:t>Tovární 13, Olomouc (Nizozemí)</w:t>
      </w:r>
    </w:p>
    <w:p w:rsidR="00C47B28" w:rsidRPr="001C4C21" w:rsidRDefault="00C47B28" w:rsidP="00C47B28">
      <w:pPr>
        <w:pStyle w:val="Zkladntext"/>
        <w:spacing w:line="240" w:lineRule="auto"/>
        <w:ind w:firstLine="720"/>
        <w:jc w:val="both"/>
        <w:rPr>
          <w:rFonts w:asciiTheme="minorHAnsi" w:hAnsiTheme="minorHAnsi" w:cstheme="minorHAnsi"/>
          <w:b w:val="0"/>
          <w:color w:val="000000" w:themeColor="text1"/>
          <w:sz w:val="24"/>
        </w:rPr>
      </w:pPr>
      <w:r w:rsidRPr="001C4C21">
        <w:rPr>
          <w:rFonts w:asciiTheme="minorHAnsi" w:hAnsiTheme="minorHAnsi" w:cstheme="minorHAnsi"/>
          <w:b w:val="0"/>
          <w:color w:val="000000" w:themeColor="text1"/>
          <w:sz w:val="24"/>
        </w:rPr>
        <w:t>Největší potravinář</w:t>
      </w:r>
      <w:r w:rsidR="00EE5396" w:rsidRPr="001C4C21">
        <w:rPr>
          <w:rFonts w:asciiTheme="minorHAnsi" w:hAnsiTheme="minorHAnsi" w:cstheme="minorHAnsi"/>
          <w:b w:val="0"/>
          <w:color w:val="000000" w:themeColor="text1"/>
          <w:sz w:val="24"/>
        </w:rPr>
        <w:t>ská firma v Olomouckém kraji</w:t>
      </w:r>
      <w:r w:rsidRPr="001C4C21">
        <w:rPr>
          <w:rFonts w:asciiTheme="minorHAnsi" w:hAnsiTheme="minorHAnsi" w:cstheme="minorHAnsi"/>
          <w:b w:val="0"/>
          <w:color w:val="000000" w:themeColor="text1"/>
          <w:sz w:val="24"/>
        </w:rPr>
        <w:t>. Pro společnost je typická nárazovost výroby (Vánoce, Velikonoce, aktuální poptávka po výrobcích), počty zaměstnanců kolísají během roku v řádu desítek osob.</w:t>
      </w:r>
    </w:p>
    <w:p w:rsidR="00C47B28" w:rsidRPr="001C4C21" w:rsidRDefault="00C47B28" w:rsidP="00C47B28">
      <w:pPr>
        <w:pStyle w:val="Zkladntext"/>
        <w:spacing w:line="240" w:lineRule="auto"/>
        <w:ind w:firstLine="720"/>
        <w:jc w:val="both"/>
        <w:rPr>
          <w:rFonts w:asciiTheme="minorHAnsi" w:hAnsiTheme="minorHAnsi" w:cstheme="minorHAnsi"/>
          <w:b w:val="0"/>
          <w:color w:val="000000" w:themeColor="text1"/>
          <w:sz w:val="24"/>
        </w:rPr>
      </w:pPr>
      <w:r w:rsidRPr="001C4C21">
        <w:rPr>
          <w:rFonts w:asciiTheme="minorHAnsi" w:hAnsiTheme="minorHAnsi" w:cstheme="minorHAnsi"/>
          <w:b w:val="0"/>
          <w:color w:val="000000" w:themeColor="text1"/>
          <w:sz w:val="24"/>
        </w:rPr>
        <w:t xml:space="preserve">V minulých letech byly do olomouckého závodu přesunuty výrobní kapacity z některých dalších závodů (včetně čokoládovny v Modřanech) a </w:t>
      </w:r>
      <w:r w:rsidR="00EE5396" w:rsidRPr="001C4C21">
        <w:rPr>
          <w:rFonts w:asciiTheme="minorHAnsi" w:hAnsiTheme="minorHAnsi" w:cstheme="minorHAnsi"/>
          <w:b w:val="0"/>
          <w:color w:val="000000" w:themeColor="text1"/>
          <w:sz w:val="24"/>
        </w:rPr>
        <w:t xml:space="preserve">závod </w:t>
      </w:r>
      <w:r w:rsidRPr="001C4C21">
        <w:rPr>
          <w:rFonts w:asciiTheme="minorHAnsi" w:hAnsiTheme="minorHAnsi" w:cstheme="minorHAnsi"/>
          <w:b w:val="0"/>
          <w:color w:val="000000" w:themeColor="text1"/>
          <w:sz w:val="24"/>
        </w:rPr>
        <w:t xml:space="preserve">Zora nyní produkuje veškeré čokoládové cukrovinky koncernu (její výrobní kapacita se zvýšila na dvojnásobek). V roce 2004 firma do Olomouce přesunula také výrobní stroje na čokoládové výrobky značky Boci z maďarského závodu a svou produkcí pokrývá i maďarský trh. </w:t>
      </w:r>
    </w:p>
    <w:p w:rsidR="00C47B28" w:rsidRPr="009517D4" w:rsidRDefault="00C47B28" w:rsidP="00C47B28">
      <w:pPr>
        <w:pStyle w:val="Zkladntext"/>
        <w:spacing w:line="240" w:lineRule="auto"/>
        <w:ind w:firstLine="720"/>
        <w:jc w:val="both"/>
        <w:rPr>
          <w:rFonts w:asciiTheme="minorHAnsi" w:hAnsiTheme="minorHAnsi" w:cstheme="minorHAnsi"/>
          <w:b w:val="0"/>
          <w:color w:val="000000" w:themeColor="text1"/>
          <w:sz w:val="24"/>
        </w:rPr>
      </w:pPr>
      <w:r w:rsidRPr="009517D4">
        <w:rPr>
          <w:rFonts w:asciiTheme="minorHAnsi" w:hAnsiTheme="minorHAnsi" w:cstheme="minorHAnsi"/>
          <w:b w:val="0"/>
          <w:color w:val="000000" w:themeColor="text1"/>
          <w:sz w:val="24"/>
        </w:rPr>
        <w:t xml:space="preserve">Meziročně </w:t>
      </w:r>
      <w:r w:rsidR="001C4C21" w:rsidRPr="009517D4">
        <w:rPr>
          <w:rFonts w:asciiTheme="minorHAnsi" w:hAnsiTheme="minorHAnsi" w:cstheme="minorHAnsi"/>
          <w:b w:val="0"/>
          <w:color w:val="000000" w:themeColor="text1"/>
          <w:sz w:val="24"/>
        </w:rPr>
        <w:t>se</w:t>
      </w:r>
      <w:r w:rsidR="009517D4" w:rsidRPr="009517D4">
        <w:rPr>
          <w:rFonts w:asciiTheme="minorHAnsi" w:hAnsiTheme="minorHAnsi" w:cstheme="minorHAnsi"/>
          <w:b w:val="0"/>
          <w:color w:val="000000" w:themeColor="text1"/>
          <w:sz w:val="24"/>
        </w:rPr>
        <w:t xml:space="preserve"> zaměstnanost mírně zvýšila o 27</w:t>
      </w:r>
      <w:r w:rsidR="001C4C21" w:rsidRPr="009517D4">
        <w:rPr>
          <w:rFonts w:asciiTheme="minorHAnsi" w:hAnsiTheme="minorHAnsi" w:cstheme="minorHAnsi"/>
          <w:b w:val="0"/>
          <w:color w:val="000000" w:themeColor="text1"/>
          <w:sz w:val="24"/>
        </w:rPr>
        <w:t xml:space="preserve"> osob</w:t>
      </w:r>
      <w:r w:rsidRPr="009517D4">
        <w:rPr>
          <w:rFonts w:asciiTheme="minorHAnsi" w:hAnsiTheme="minorHAnsi" w:cstheme="minorHAnsi"/>
          <w:b w:val="0"/>
          <w:color w:val="000000" w:themeColor="text1"/>
          <w:sz w:val="24"/>
        </w:rPr>
        <w:t>; na následující</w:t>
      </w:r>
      <w:r w:rsidR="00EE5396" w:rsidRPr="009517D4">
        <w:rPr>
          <w:rFonts w:asciiTheme="minorHAnsi" w:hAnsiTheme="minorHAnsi" w:cstheme="minorHAnsi"/>
          <w:b w:val="0"/>
          <w:color w:val="000000" w:themeColor="text1"/>
          <w:sz w:val="24"/>
        </w:rPr>
        <w:t xml:space="preserve"> pololetí zaměstnavatel neavizuje</w:t>
      </w:r>
      <w:r w:rsidRPr="009517D4">
        <w:rPr>
          <w:rFonts w:asciiTheme="minorHAnsi" w:hAnsiTheme="minorHAnsi" w:cstheme="minorHAnsi"/>
          <w:b w:val="0"/>
          <w:color w:val="000000" w:themeColor="text1"/>
          <w:sz w:val="24"/>
        </w:rPr>
        <w:t xml:space="preserve"> výraznější změnu počtu pracovníků</w:t>
      </w:r>
      <w:r w:rsidR="00EE5396" w:rsidRPr="009517D4">
        <w:rPr>
          <w:rFonts w:asciiTheme="minorHAnsi" w:hAnsiTheme="minorHAnsi" w:cstheme="minorHAnsi"/>
          <w:b w:val="0"/>
          <w:color w:val="000000" w:themeColor="text1"/>
          <w:sz w:val="24"/>
        </w:rPr>
        <w:t xml:space="preserve">. </w:t>
      </w:r>
    </w:p>
    <w:p w:rsidR="00EE5396" w:rsidRPr="009517D4" w:rsidRDefault="00EE5396" w:rsidP="00C47B28">
      <w:pPr>
        <w:pStyle w:val="Zkladntext"/>
        <w:spacing w:line="240" w:lineRule="auto"/>
        <w:ind w:firstLine="720"/>
        <w:jc w:val="both"/>
        <w:rPr>
          <w:rFonts w:asciiTheme="minorHAnsi" w:hAnsiTheme="minorHAnsi" w:cstheme="minorHAnsi"/>
          <w:b w:val="0"/>
          <w:color w:val="000000" w:themeColor="text1"/>
          <w:sz w:val="24"/>
        </w:rPr>
      </w:pPr>
    </w:p>
    <w:p w:rsidR="009517D4" w:rsidRPr="006920CA" w:rsidRDefault="009517D4" w:rsidP="009517D4">
      <w:pPr>
        <w:pStyle w:val="Zkladntextodsazen3"/>
        <w:rPr>
          <w:rFonts w:asciiTheme="minorHAnsi" w:hAnsiTheme="minorHAnsi" w:cstheme="minorHAnsi"/>
          <w:b/>
          <w:color w:val="000000"/>
          <w:szCs w:val="24"/>
        </w:rPr>
      </w:pPr>
      <w:r w:rsidRPr="006920CA">
        <w:rPr>
          <w:rFonts w:asciiTheme="minorHAnsi" w:hAnsiTheme="minorHAnsi" w:cstheme="minorHAnsi"/>
          <w:b/>
          <w:color w:val="0000FF"/>
          <w:szCs w:val="24"/>
        </w:rPr>
        <w:lastRenderedPageBreak/>
        <w:t>Henniges Hranice, s.r.o.</w:t>
      </w:r>
      <w:r w:rsidRPr="006920CA">
        <w:rPr>
          <w:rFonts w:asciiTheme="minorHAnsi" w:hAnsiTheme="minorHAnsi" w:cstheme="minorHAnsi"/>
          <w:b/>
          <w:color w:val="000000"/>
          <w:szCs w:val="24"/>
        </w:rPr>
        <w:t xml:space="preserve"> (výroba plastového těsnění)</w:t>
      </w:r>
    </w:p>
    <w:p w:rsidR="009517D4" w:rsidRPr="006920CA" w:rsidRDefault="006920CA" w:rsidP="009517D4">
      <w:pPr>
        <w:pStyle w:val="Zkladntextodsazen3"/>
        <w:rPr>
          <w:rFonts w:asciiTheme="minorHAnsi" w:hAnsiTheme="minorHAnsi" w:cstheme="minorHAnsi"/>
          <w:b/>
          <w:color w:val="000000"/>
          <w:szCs w:val="24"/>
        </w:rPr>
      </w:pPr>
      <w:r w:rsidRPr="006920CA">
        <w:rPr>
          <w:rFonts w:asciiTheme="minorHAnsi" w:hAnsiTheme="minorHAnsi" w:cstheme="minorHAnsi"/>
          <w:b/>
          <w:color w:val="000000"/>
          <w:szCs w:val="24"/>
        </w:rPr>
        <w:t>Olomoucká 306, Hranice (USA</w:t>
      </w:r>
      <w:r w:rsidR="009517D4" w:rsidRPr="006920CA">
        <w:rPr>
          <w:rFonts w:asciiTheme="minorHAnsi" w:hAnsiTheme="minorHAnsi" w:cstheme="minorHAnsi"/>
          <w:b/>
          <w:color w:val="000000"/>
          <w:szCs w:val="24"/>
        </w:rPr>
        <w:t>)</w:t>
      </w:r>
    </w:p>
    <w:p w:rsidR="006920CA" w:rsidRPr="006920CA" w:rsidRDefault="009517D4" w:rsidP="009517D4">
      <w:pPr>
        <w:pStyle w:val="Zkladntextodsazen3"/>
        <w:rPr>
          <w:rFonts w:asciiTheme="minorHAnsi" w:hAnsiTheme="minorHAnsi" w:cstheme="minorHAnsi"/>
        </w:rPr>
      </w:pPr>
      <w:r w:rsidRPr="006920CA">
        <w:rPr>
          <w:rFonts w:asciiTheme="minorHAnsi" w:hAnsiTheme="minorHAnsi" w:cstheme="minorHAnsi"/>
        </w:rPr>
        <w:t xml:space="preserve">Henniges Hranice, s.r.o. je dodavatelem komplexních těsnících systémů dveří a rámů oken pro </w:t>
      </w:r>
      <w:r w:rsidR="006920CA">
        <w:rPr>
          <w:rFonts w:asciiTheme="minorHAnsi" w:hAnsiTheme="minorHAnsi" w:cstheme="minorHAnsi"/>
        </w:rPr>
        <w:t>automobilový průmysl z plastů. Společnost v</w:t>
      </w:r>
      <w:r w:rsidRPr="006920CA">
        <w:rPr>
          <w:rFonts w:asciiTheme="minorHAnsi" w:hAnsiTheme="minorHAnsi" w:cstheme="minorHAnsi"/>
        </w:rPr>
        <w:t>znikla v říj</w:t>
      </w:r>
      <w:r w:rsidR="006920CA">
        <w:rPr>
          <w:rFonts w:asciiTheme="minorHAnsi" w:hAnsiTheme="minorHAnsi" w:cstheme="minorHAnsi"/>
        </w:rPr>
        <w:t xml:space="preserve">nu 2011 spojením firem Henniges </w:t>
      </w:r>
      <w:r w:rsidRPr="006920CA">
        <w:rPr>
          <w:rFonts w:asciiTheme="minorHAnsi" w:hAnsiTheme="minorHAnsi" w:cstheme="minorHAnsi"/>
        </w:rPr>
        <w:t xml:space="preserve">Automotive a Nomaseal s.r.o. (dříve Jyco Europe). </w:t>
      </w:r>
      <w:r w:rsidR="006920CA" w:rsidRPr="006920CA">
        <w:rPr>
          <w:rFonts w:asciiTheme="minorHAnsi" w:hAnsiTheme="minorHAnsi" w:cstheme="minorHAnsi"/>
        </w:rPr>
        <w:t>Jedná se o dynamicky se rozvíjející společnost</w:t>
      </w:r>
      <w:r w:rsidRPr="006920CA">
        <w:rPr>
          <w:rFonts w:asciiTheme="minorHAnsi" w:hAnsiTheme="minorHAnsi" w:cstheme="minorHAnsi"/>
        </w:rPr>
        <w:t>, která neustále investuje do nového moderního výrobního zařízení s cílem zvýšit výrobní kapacity a vytvořit nové pracovní příležitosti a posí</w:t>
      </w:r>
      <w:r w:rsidR="006920CA">
        <w:rPr>
          <w:rFonts w:asciiTheme="minorHAnsi" w:hAnsiTheme="minorHAnsi" w:cstheme="minorHAnsi"/>
        </w:rPr>
        <w:t>lit své postavení na</w:t>
      </w:r>
      <w:r w:rsidRPr="006920CA">
        <w:rPr>
          <w:rFonts w:asciiTheme="minorHAnsi" w:hAnsiTheme="minorHAnsi" w:cstheme="minorHAnsi"/>
        </w:rPr>
        <w:t xml:space="preserve"> trhu.</w:t>
      </w:r>
      <w:r w:rsidR="006920CA" w:rsidRPr="006920CA">
        <w:rPr>
          <w:rFonts w:asciiTheme="minorHAnsi" w:hAnsiTheme="minorHAnsi" w:cstheme="minorHAnsi"/>
        </w:rPr>
        <w:t xml:space="preserve"> Vlastníkem je americká společnost Henniges Automotive Sealing Systems North America, Inc.</w:t>
      </w:r>
    </w:p>
    <w:p w:rsidR="00FA3716" w:rsidRPr="00FA3716" w:rsidRDefault="006920CA" w:rsidP="009517D4">
      <w:pPr>
        <w:pStyle w:val="Zkladntextodsazen"/>
        <w:ind w:left="0" w:firstLine="709"/>
        <w:jc w:val="both"/>
        <w:rPr>
          <w:rFonts w:asciiTheme="minorHAnsi" w:hAnsiTheme="minorHAnsi" w:cstheme="minorHAnsi"/>
          <w:color w:val="000000" w:themeColor="text1"/>
          <w:szCs w:val="24"/>
        </w:rPr>
      </w:pPr>
      <w:r w:rsidRPr="00FA3716">
        <w:rPr>
          <w:rFonts w:asciiTheme="minorHAnsi" w:hAnsiTheme="minorHAnsi" w:cstheme="minorHAnsi"/>
          <w:color w:val="000000" w:themeColor="text1"/>
          <w:szCs w:val="24"/>
        </w:rPr>
        <w:t xml:space="preserve">Počet zaměstnanců se každoročně výrazně zvyšuje – v roce 2014 činil meziroční nárůst 137 osob. </w:t>
      </w:r>
      <w:r w:rsidR="00FA3716" w:rsidRPr="00FA3716">
        <w:rPr>
          <w:rFonts w:asciiTheme="minorHAnsi" w:hAnsiTheme="minorHAnsi" w:cstheme="minorHAnsi"/>
          <w:color w:val="000000" w:themeColor="text1"/>
          <w:szCs w:val="24"/>
        </w:rPr>
        <w:t>Také v následujícím pololetí zaměstnavatel předpokládá posílení personálu o tři desítky osob.</w:t>
      </w:r>
    </w:p>
    <w:p w:rsidR="009517D4" w:rsidRDefault="009517D4" w:rsidP="00DB6ADA">
      <w:pPr>
        <w:pStyle w:val="Zkladntextodsazen3"/>
        <w:rPr>
          <w:rFonts w:asciiTheme="minorHAnsi" w:hAnsiTheme="minorHAnsi" w:cstheme="minorHAnsi"/>
          <w:b/>
          <w:color w:val="0000FF"/>
          <w:szCs w:val="24"/>
        </w:rPr>
      </w:pPr>
    </w:p>
    <w:p w:rsidR="00DB6ADA" w:rsidRPr="001C4C21" w:rsidRDefault="00DB6ADA" w:rsidP="00DB6ADA">
      <w:pPr>
        <w:pStyle w:val="Zkladntextodsazen3"/>
        <w:rPr>
          <w:rFonts w:asciiTheme="minorHAnsi" w:hAnsiTheme="minorHAnsi" w:cstheme="minorHAnsi"/>
          <w:b/>
          <w:color w:val="000000"/>
          <w:szCs w:val="24"/>
        </w:rPr>
      </w:pPr>
      <w:r w:rsidRPr="001C4C21">
        <w:rPr>
          <w:rFonts w:asciiTheme="minorHAnsi" w:hAnsiTheme="minorHAnsi" w:cstheme="minorHAnsi"/>
          <w:b/>
          <w:color w:val="0000FF"/>
          <w:szCs w:val="24"/>
        </w:rPr>
        <w:t>EPCOS s.r.o.</w:t>
      </w:r>
      <w:r w:rsidRPr="001C4C21">
        <w:rPr>
          <w:rFonts w:asciiTheme="minorHAnsi" w:hAnsiTheme="minorHAnsi" w:cstheme="minorHAnsi"/>
          <w:b/>
          <w:color w:val="000000"/>
          <w:szCs w:val="24"/>
        </w:rPr>
        <w:t xml:space="preserve"> (výroba měkkých magnetických  feritů)</w:t>
      </w:r>
    </w:p>
    <w:p w:rsidR="00DB6ADA" w:rsidRPr="001C4C21" w:rsidRDefault="00DB6ADA" w:rsidP="00DB6ADA">
      <w:pPr>
        <w:pStyle w:val="Zkladntextodsazen3"/>
        <w:rPr>
          <w:rFonts w:asciiTheme="minorHAnsi" w:hAnsiTheme="minorHAnsi" w:cstheme="minorHAnsi"/>
          <w:b/>
          <w:color w:val="000000"/>
          <w:szCs w:val="24"/>
        </w:rPr>
      </w:pPr>
      <w:r w:rsidRPr="001C4C21">
        <w:rPr>
          <w:rFonts w:asciiTheme="minorHAnsi" w:hAnsiTheme="minorHAnsi" w:cstheme="minorHAnsi"/>
          <w:b/>
          <w:color w:val="000000"/>
          <w:szCs w:val="24"/>
        </w:rPr>
        <w:t>Feritová 1, Šumperk (SRN)</w:t>
      </w:r>
    </w:p>
    <w:p w:rsidR="00DB6ADA" w:rsidRPr="00FA3716" w:rsidRDefault="00DB6ADA" w:rsidP="00DB6ADA">
      <w:pPr>
        <w:pStyle w:val="Zkladntextodsazen3"/>
        <w:rPr>
          <w:rFonts w:asciiTheme="minorHAnsi" w:hAnsiTheme="minorHAnsi" w:cstheme="minorHAnsi"/>
          <w:color w:val="000000" w:themeColor="text1"/>
        </w:rPr>
      </w:pPr>
      <w:r w:rsidRPr="00FA3716">
        <w:rPr>
          <w:rFonts w:asciiTheme="minorHAnsi" w:hAnsiTheme="minorHAnsi" w:cstheme="minorHAnsi"/>
          <w:color w:val="000000" w:themeColor="text1"/>
        </w:rPr>
        <w:t>Jedná se o dceřinou společnost německé firmy EPCOS, AG, která se rozhodla vytvořit v Šumperku evropské centrum pro výrobu feritů z magnetickýc</w:t>
      </w:r>
      <w:r w:rsidR="00E73C78" w:rsidRPr="00FA3716">
        <w:rPr>
          <w:rFonts w:asciiTheme="minorHAnsi" w:hAnsiTheme="minorHAnsi" w:cstheme="minorHAnsi"/>
          <w:color w:val="000000" w:themeColor="text1"/>
        </w:rPr>
        <w:t>h měkkých materiálů. V roce 2001</w:t>
      </w:r>
      <w:r w:rsidRPr="00FA3716">
        <w:rPr>
          <w:rFonts w:asciiTheme="minorHAnsi" w:hAnsiTheme="minorHAnsi" w:cstheme="minorHAnsi"/>
          <w:color w:val="000000" w:themeColor="text1"/>
        </w:rPr>
        <w:t xml:space="preserve"> byla na zelené louce dokončena výstavba nových výrobních hal, určených pro převzetí výrobních technologií na výrobu širokého sortimentu feritů a dalších elektronických součástek. V</w:t>
      </w:r>
      <w:r w:rsidR="006C6241" w:rsidRPr="00FA3716">
        <w:rPr>
          <w:rFonts w:asciiTheme="minorHAnsi" w:hAnsiTheme="minorHAnsi" w:cstheme="minorHAnsi"/>
          <w:color w:val="000000" w:themeColor="text1"/>
        </w:rPr>
        <w:t> </w:t>
      </w:r>
      <w:r w:rsidRPr="00FA3716">
        <w:rPr>
          <w:rFonts w:asciiTheme="minorHAnsi" w:hAnsiTheme="minorHAnsi" w:cstheme="minorHAnsi"/>
          <w:color w:val="000000" w:themeColor="text1"/>
        </w:rPr>
        <w:t xml:space="preserve">následujících letech došlo k relokaci výrobních zařízení z Mnichova a Bordeaux a nárůstu zaměstnanosti. </w:t>
      </w:r>
    </w:p>
    <w:p w:rsidR="006C6241" w:rsidRPr="00FA3716" w:rsidRDefault="006C6241" w:rsidP="006C6241">
      <w:pPr>
        <w:pStyle w:val="Zkladntextodsazen"/>
        <w:ind w:left="0" w:firstLine="709"/>
        <w:jc w:val="both"/>
        <w:rPr>
          <w:rFonts w:asciiTheme="minorHAnsi" w:hAnsiTheme="minorHAnsi" w:cstheme="minorHAnsi"/>
          <w:color w:val="000000" w:themeColor="text1"/>
          <w:szCs w:val="24"/>
        </w:rPr>
      </w:pPr>
      <w:r w:rsidRPr="00FA3716">
        <w:rPr>
          <w:rFonts w:asciiTheme="minorHAnsi" w:hAnsiTheme="minorHAnsi" w:cstheme="minorHAnsi"/>
          <w:color w:val="000000" w:themeColor="text1"/>
          <w:szCs w:val="24"/>
        </w:rPr>
        <w:t xml:space="preserve">Společnost patří mezi nejvýznamnější zaměstnavatele okresu Šumperk. </w:t>
      </w:r>
      <w:r w:rsidR="006A6D24" w:rsidRPr="00FA3716">
        <w:rPr>
          <w:rFonts w:asciiTheme="minorHAnsi" w:hAnsiTheme="minorHAnsi" w:cstheme="minorHAnsi"/>
          <w:color w:val="000000" w:themeColor="text1"/>
          <w:szCs w:val="24"/>
        </w:rPr>
        <w:t>V </w:t>
      </w:r>
      <w:r w:rsidRPr="00FA3716">
        <w:rPr>
          <w:rFonts w:asciiTheme="minorHAnsi" w:hAnsiTheme="minorHAnsi" w:cstheme="minorHAnsi"/>
          <w:color w:val="000000" w:themeColor="text1"/>
          <w:szCs w:val="24"/>
        </w:rPr>
        <w:t>letech</w:t>
      </w:r>
      <w:r w:rsidR="006A6D24" w:rsidRPr="00FA3716">
        <w:rPr>
          <w:rFonts w:asciiTheme="minorHAnsi" w:hAnsiTheme="minorHAnsi" w:cstheme="minorHAnsi"/>
          <w:color w:val="000000" w:themeColor="text1"/>
          <w:szCs w:val="24"/>
        </w:rPr>
        <w:t xml:space="preserve"> 2010 - 2011</w:t>
      </w:r>
      <w:r w:rsidRPr="00FA3716">
        <w:rPr>
          <w:rFonts w:asciiTheme="minorHAnsi" w:hAnsiTheme="minorHAnsi" w:cstheme="minorHAnsi"/>
          <w:color w:val="000000" w:themeColor="text1"/>
          <w:szCs w:val="24"/>
        </w:rPr>
        <w:t xml:space="preserve"> se počet zaměstnanců z</w:t>
      </w:r>
      <w:r w:rsidR="006A6D24" w:rsidRPr="00FA3716">
        <w:rPr>
          <w:rFonts w:asciiTheme="minorHAnsi" w:hAnsiTheme="minorHAnsi" w:cstheme="minorHAnsi"/>
          <w:color w:val="000000" w:themeColor="text1"/>
          <w:szCs w:val="24"/>
        </w:rPr>
        <w:t>výšil o osm desítek na 879 osob, ale během roku 2012 došlo k redukci zaměstnan</w:t>
      </w:r>
      <w:r w:rsidR="001C4C21" w:rsidRPr="00FA3716">
        <w:rPr>
          <w:rFonts w:asciiTheme="minorHAnsi" w:hAnsiTheme="minorHAnsi" w:cstheme="minorHAnsi"/>
          <w:color w:val="000000" w:themeColor="text1"/>
          <w:szCs w:val="24"/>
        </w:rPr>
        <w:t>osti na 8</w:t>
      </w:r>
      <w:r w:rsidR="00FA3716">
        <w:rPr>
          <w:rFonts w:asciiTheme="minorHAnsi" w:hAnsiTheme="minorHAnsi" w:cstheme="minorHAnsi"/>
          <w:color w:val="000000" w:themeColor="text1"/>
          <w:szCs w:val="24"/>
        </w:rPr>
        <w:t xml:space="preserve">03 osob – a kolem hranice 800 osob se </w:t>
      </w:r>
      <w:r w:rsidR="00BA5906">
        <w:rPr>
          <w:rFonts w:asciiTheme="minorHAnsi" w:hAnsiTheme="minorHAnsi" w:cstheme="minorHAnsi"/>
          <w:color w:val="000000" w:themeColor="text1"/>
          <w:szCs w:val="24"/>
        </w:rPr>
        <w:t>počet zaměstnanců pohybuje i v současné době.</w:t>
      </w:r>
    </w:p>
    <w:p w:rsidR="002E036B" w:rsidRPr="00002B63" w:rsidRDefault="002E036B" w:rsidP="006C6241">
      <w:pPr>
        <w:pStyle w:val="Zkladntextodsazen"/>
        <w:ind w:left="0" w:firstLine="709"/>
        <w:jc w:val="both"/>
        <w:rPr>
          <w:rFonts w:asciiTheme="minorHAnsi" w:hAnsiTheme="minorHAnsi" w:cstheme="minorHAnsi"/>
          <w:i/>
          <w:color w:val="000000" w:themeColor="text1"/>
          <w:szCs w:val="24"/>
        </w:rPr>
      </w:pPr>
    </w:p>
    <w:p w:rsidR="00E73C78" w:rsidRPr="001307FF" w:rsidRDefault="00E73C78" w:rsidP="00E73C78">
      <w:pPr>
        <w:pStyle w:val="Zkladntext"/>
        <w:spacing w:line="240" w:lineRule="auto"/>
        <w:ind w:left="708"/>
        <w:jc w:val="both"/>
        <w:rPr>
          <w:rFonts w:asciiTheme="minorHAnsi" w:hAnsiTheme="minorHAnsi" w:cstheme="minorHAnsi"/>
          <w:sz w:val="24"/>
        </w:rPr>
      </w:pPr>
      <w:r w:rsidRPr="001307FF">
        <w:rPr>
          <w:rFonts w:asciiTheme="minorHAnsi" w:hAnsiTheme="minorHAnsi" w:cstheme="minorHAnsi"/>
          <w:color w:val="0000FF"/>
          <w:sz w:val="24"/>
        </w:rPr>
        <w:t>HONEYWELL AEROSPACE OLOMOUC, s.r.o.</w:t>
      </w:r>
      <w:r w:rsidRPr="001307FF">
        <w:rPr>
          <w:rFonts w:asciiTheme="minorHAnsi" w:hAnsiTheme="minorHAnsi" w:cstheme="minorHAnsi"/>
          <w:sz w:val="24"/>
        </w:rPr>
        <w:t xml:space="preserve"> (součástky leteckých motorů)</w:t>
      </w:r>
    </w:p>
    <w:p w:rsidR="00E73C78" w:rsidRPr="001307FF" w:rsidRDefault="00E73C78" w:rsidP="00E73C78">
      <w:pPr>
        <w:pStyle w:val="Zkladntextodsazen"/>
        <w:ind w:left="0" w:firstLine="720"/>
        <w:jc w:val="both"/>
        <w:rPr>
          <w:rFonts w:asciiTheme="minorHAnsi" w:hAnsiTheme="minorHAnsi" w:cstheme="minorHAnsi"/>
          <w:b/>
          <w:szCs w:val="24"/>
        </w:rPr>
      </w:pPr>
      <w:r w:rsidRPr="001307FF">
        <w:rPr>
          <w:rFonts w:asciiTheme="minorHAnsi" w:hAnsiTheme="minorHAnsi" w:cstheme="minorHAnsi"/>
          <w:szCs w:val="24"/>
        </w:rPr>
        <w:tab/>
      </w:r>
      <w:r w:rsidRPr="001307FF">
        <w:rPr>
          <w:rFonts w:asciiTheme="minorHAnsi" w:hAnsiTheme="minorHAnsi" w:cstheme="minorHAnsi"/>
          <w:szCs w:val="24"/>
        </w:rPr>
        <w:tab/>
      </w:r>
      <w:r w:rsidRPr="001307FF">
        <w:rPr>
          <w:rFonts w:asciiTheme="minorHAnsi" w:hAnsiTheme="minorHAnsi" w:cstheme="minorHAnsi"/>
          <w:szCs w:val="24"/>
        </w:rPr>
        <w:tab/>
      </w:r>
      <w:r w:rsidRPr="001307FF">
        <w:rPr>
          <w:rFonts w:asciiTheme="minorHAnsi" w:hAnsiTheme="minorHAnsi" w:cstheme="minorHAnsi"/>
          <w:b/>
          <w:szCs w:val="24"/>
        </w:rPr>
        <w:t>Nádražní 50, Hlubočky – Mariánské Údolí (USA)</w:t>
      </w:r>
    </w:p>
    <w:p w:rsidR="00E73C78" w:rsidRDefault="00E73C78" w:rsidP="00B06E9E">
      <w:pPr>
        <w:pStyle w:val="Zkladntextodsazen"/>
        <w:ind w:left="0" w:firstLine="708"/>
        <w:jc w:val="both"/>
        <w:rPr>
          <w:rFonts w:asciiTheme="minorHAnsi" w:hAnsiTheme="minorHAnsi" w:cstheme="minorHAnsi"/>
          <w:color w:val="000000" w:themeColor="text1"/>
          <w:szCs w:val="24"/>
        </w:rPr>
      </w:pPr>
      <w:r w:rsidRPr="00BA5906">
        <w:rPr>
          <w:rFonts w:asciiTheme="minorHAnsi" w:hAnsiTheme="minorHAnsi" w:cstheme="minorHAnsi"/>
          <w:color w:val="000000" w:themeColor="text1"/>
          <w:szCs w:val="24"/>
        </w:rPr>
        <w:t>Společnost vznikla v lednu 2000, kdy byla z MORA MORAVIA v rámci restrukturalizace vydělena letecká divize a strategickým partnerem se stal americký koncern Honeywell.</w:t>
      </w:r>
      <w:r w:rsidR="00B06E9E" w:rsidRPr="00BA5906">
        <w:rPr>
          <w:rFonts w:asciiTheme="minorHAnsi" w:hAnsiTheme="minorHAnsi" w:cstheme="minorHAnsi"/>
          <w:color w:val="000000" w:themeColor="text1"/>
          <w:szCs w:val="24"/>
        </w:rPr>
        <w:t xml:space="preserve"> </w:t>
      </w:r>
      <w:r w:rsidRPr="00BA5906">
        <w:rPr>
          <w:rFonts w:asciiTheme="minorHAnsi" w:hAnsiTheme="minorHAnsi" w:cstheme="minorHAnsi"/>
          <w:color w:val="000000" w:themeColor="text1"/>
          <w:szCs w:val="24"/>
        </w:rPr>
        <w:t>V roce 2008 došlo k přejmenování firmy (původní název Mora Aerosp</w:t>
      </w:r>
      <w:r w:rsidR="00B06E9E" w:rsidRPr="00BA5906">
        <w:rPr>
          <w:rFonts w:asciiTheme="minorHAnsi" w:hAnsiTheme="minorHAnsi" w:cstheme="minorHAnsi"/>
          <w:color w:val="000000" w:themeColor="text1"/>
          <w:szCs w:val="24"/>
        </w:rPr>
        <w:t>ace) i ke změně právní formy (z </w:t>
      </w:r>
      <w:r w:rsidRPr="00BA5906">
        <w:rPr>
          <w:rFonts w:asciiTheme="minorHAnsi" w:hAnsiTheme="minorHAnsi" w:cstheme="minorHAnsi"/>
          <w:color w:val="000000" w:themeColor="text1"/>
          <w:szCs w:val="24"/>
        </w:rPr>
        <w:t xml:space="preserve">akciové společnosti na s.r.o.). </w:t>
      </w:r>
      <w:r w:rsidR="00B06E9E" w:rsidRPr="00BA5906">
        <w:rPr>
          <w:rFonts w:asciiTheme="minorHAnsi" w:hAnsiTheme="minorHAnsi" w:cstheme="minorHAnsi"/>
          <w:color w:val="000000" w:themeColor="text1"/>
          <w:szCs w:val="24"/>
        </w:rPr>
        <w:t>Během let 2010 - 2011</w:t>
      </w:r>
      <w:r w:rsidRPr="00BA5906">
        <w:rPr>
          <w:rFonts w:asciiTheme="minorHAnsi" w:hAnsiTheme="minorHAnsi" w:cstheme="minorHAnsi"/>
          <w:color w:val="000000" w:themeColor="text1"/>
          <w:szCs w:val="24"/>
        </w:rPr>
        <w:t xml:space="preserve"> se počet z</w:t>
      </w:r>
      <w:r w:rsidR="006C6241" w:rsidRPr="00BA5906">
        <w:rPr>
          <w:rFonts w:asciiTheme="minorHAnsi" w:hAnsiTheme="minorHAnsi" w:cstheme="minorHAnsi"/>
          <w:color w:val="000000" w:themeColor="text1"/>
          <w:szCs w:val="24"/>
        </w:rPr>
        <w:t>aměstnanců zvýšil o tři stovky</w:t>
      </w:r>
      <w:r w:rsidRPr="00BA5906">
        <w:rPr>
          <w:rFonts w:asciiTheme="minorHAnsi" w:hAnsiTheme="minorHAnsi" w:cstheme="minorHAnsi"/>
          <w:color w:val="000000" w:themeColor="text1"/>
          <w:szCs w:val="24"/>
        </w:rPr>
        <w:t xml:space="preserve"> osob</w:t>
      </w:r>
      <w:r w:rsidR="000E1B03" w:rsidRPr="00BA5906">
        <w:rPr>
          <w:rFonts w:asciiTheme="minorHAnsi" w:hAnsiTheme="minorHAnsi" w:cstheme="minorHAnsi"/>
          <w:color w:val="000000" w:themeColor="text1"/>
          <w:szCs w:val="24"/>
        </w:rPr>
        <w:t xml:space="preserve"> (na 1 205)</w:t>
      </w:r>
      <w:r w:rsidRPr="00BA5906">
        <w:rPr>
          <w:rFonts w:asciiTheme="minorHAnsi" w:hAnsiTheme="minorHAnsi" w:cstheme="minorHAnsi"/>
          <w:color w:val="000000" w:themeColor="text1"/>
          <w:szCs w:val="24"/>
        </w:rPr>
        <w:t xml:space="preserve"> – nové pracovní příležitosti vznikly převedením části výroby z mateřského závodu v USA. </w:t>
      </w:r>
      <w:r w:rsidR="001307FF" w:rsidRPr="00BA5906">
        <w:rPr>
          <w:rFonts w:asciiTheme="minorHAnsi" w:hAnsiTheme="minorHAnsi" w:cstheme="minorHAnsi"/>
          <w:color w:val="000000" w:themeColor="text1"/>
          <w:szCs w:val="24"/>
        </w:rPr>
        <w:t xml:space="preserve">V roce 2012 se </w:t>
      </w:r>
      <w:r w:rsidR="00B06E9E" w:rsidRPr="00BA5906">
        <w:rPr>
          <w:rFonts w:asciiTheme="minorHAnsi" w:hAnsiTheme="minorHAnsi" w:cstheme="minorHAnsi"/>
          <w:color w:val="000000" w:themeColor="text1"/>
          <w:szCs w:val="24"/>
        </w:rPr>
        <w:t>počet zaměstnanců zvýšil o více n</w:t>
      </w:r>
      <w:r w:rsidR="001307FF" w:rsidRPr="00BA5906">
        <w:rPr>
          <w:rFonts w:asciiTheme="minorHAnsi" w:hAnsiTheme="minorHAnsi" w:cstheme="minorHAnsi"/>
          <w:color w:val="000000" w:themeColor="text1"/>
          <w:szCs w:val="24"/>
        </w:rPr>
        <w:t>ež devět desítek osob; ale na konci roku 2013 jejich počet klesl opět na 1 210 osob.</w:t>
      </w:r>
    </w:p>
    <w:p w:rsidR="00BA5906" w:rsidRPr="00BA5906" w:rsidRDefault="00BA5906" w:rsidP="00B06E9E">
      <w:pPr>
        <w:pStyle w:val="Zkladntextodsazen"/>
        <w:ind w:left="0" w:firstLine="708"/>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Rok 2014 byl ve znamení dalšího masového náboru zaměstnanců – meziročně se počet pracovníků zvýšil o více než 100 osob a během následujícího půl roku se počítá s nárůstem o více než čtyři desítky zaměstnanců.</w:t>
      </w:r>
    </w:p>
    <w:p w:rsidR="00CC1F3E" w:rsidRDefault="00CC1F3E" w:rsidP="00B06E9E">
      <w:pPr>
        <w:pStyle w:val="Zkladntextodsazen"/>
        <w:ind w:left="0" w:firstLine="708"/>
        <w:jc w:val="both"/>
        <w:rPr>
          <w:rFonts w:asciiTheme="minorHAnsi" w:hAnsiTheme="minorHAnsi" w:cstheme="minorHAnsi"/>
          <w:i/>
          <w:color w:val="FF0000"/>
          <w:szCs w:val="24"/>
        </w:rPr>
      </w:pPr>
    </w:p>
    <w:p w:rsidR="00BA5906" w:rsidRPr="00BA5906" w:rsidRDefault="00BA5906" w:rsidP="00BA5906">
      <w:pPr>
        <w:pStyle w:val="Zkladntextodsazen"/>
        <w:ind w:left="0" w:firstLine="708"/>
        <w:jc w:val="both"/>
        <w:rPr>
          <w:rFonts w:asciiTheme="minorHAnsi" w:hAnsiTheme="minorHAnsi" w:cstheme="minorHAnsi"/>
          <w:sz w:val="22"/>
          <w:szCs w:val="22"/>
        </w:rPr>
      </w:pPr>
      <w:r w:rsidRPr="00BA5906">
        <w:rPr>
          <w:rStyle w:val="preformatted"/>
          <w:rFonts w:asciiTheme="minorHAnsi" w:hAnsiTheme="minorHAnsi" w:cstheme="minorHAnsi"/>
          <w:b/>
          <w:color w:val="0000FF"/>
          <w:szCs w:val="24"/>
        </w:rPr>
        <w:t>KLEIN automotive s.r.o.</w:t>
      </w:r>
      <w:r>
        <w:rPr>
          <w:rStyle w:val="preformatted"/>
          <w:rFonts w:asciiTheme="minorHAnsi" w:hAnsiTheme="minorHAnsi" w:cstheme="minorHAnsi"/>
          <w:sz w:val="22"/>
          <w:szCs w:val="22"/>
        </w:rPr>
        <w:t xml:space="preserve"> </w:t>
      </w:r>
      <w:r>
        <w:rPr>
          <w:rFonts w:asciiTheme="minorHAnsi" w:hAnsiTheme="minorHAnsi" w:cstheme="minorHAnsi"/>
          <w:b/>
        </w:rPr>
        <w:t xml:space="preserve"> (výroba</w:t>
      </w:r>
      <w:r w:rsidR="00037EEB">
        <w:rPr>
          <w:rFonts w:asciiTheme="minorHAnsi" w:hAnsiTheme="minorHAnsi" w:cstheme="minorHAnsi"/>
          <w:b/>
        </w:rPr>
        <w:t xml:space="preserve"> kovových dílů pro automobilový průmysl</w:t>
      </w:r>
      <w:r w:rsidRPr="005730F2">
        <w:rPr>
          <w:rFonts w:asciiTheme="minorHAnsi" w:hAnsiTheme="minorHAnsi" w:cstheme="minorHAnsi"/>
          <w:b/>
        </w:rPr>
        <w:t>)</w:t>
      </w:r>
    </w:p>
    <w:p w:rsidR="00BA5906" w:rsidRPr="005730F2" w:rsidRDefault="00307DAC" w:rsidP="00BA5906">
      <w:pPr>
        <w:pStyle w:val="Zkladntext"/>
        <w:spacing w:line="240" w:lineRule="atLeast"/>
        <w:ind w:firstLine="720"/>
        <w:jc w:val="left"/>
        <w:rPr>
          <w:rFonts w:asciiTheme="minorHAnsi" w:hAnsiTheme="minorHAnsi" w:cstheme="minorHAnsi"/>
          <w:b w:val="0"/>
          <w:sz w:val="24"/>
        </w:rPr>
      </w:pPr>
      <w:r>
        <w:rPr>
          <w:rFonts w:asciiTheme="minorHAnsi" w:hAnsiTheme="minorHAnsi" w:cstheme="minorHAnsi"/>
          <w:sz w:val="24"/>
        </w:rPr>
        <w:t>Nádražní 100</w:t>
      </w:r>
      <w:r w:rsidR="00BA5906" w:rsidRPr="005730F2">
        <w:rPr>
          <w:rFonts w:asciiTheme="minorHAnsi" w:hAnsiTheme="minorHAnsi" w:cstheme="minorHAnsi"/>
          <w:sz w:val="24"/>
        </w:rPr>
        <w:t xml:space="preserve">, </w:t>
      </w:r>
      <w:r>
        <w:rPr>
          <w:rFonts w:asciiTheme="minorHAnsi" w:hAnsiTheme="minorHAnsi" w:cstheme="minorHAnsi"/>
          <w:sz w:val="24"/>
        </w:rPr>
        <w:t>Štíty</w:t>
      </w:r>
    </w:p>
    <w:p w:rsidR="00037EEB" w:rsidRPr="00307DAC" w:rsidRDefault="00BA5906" w:rsidP="00037EEB">
      <w:pPr>
        <w:autoSpaceDE w:val="0"/>
        <w:autoSpaceDN w:val="0"/>
        <w:adjustRightInd w:val="0"/>
        <w:ind w:firstLine="709"/>
        <w:jc w:val="both"/>
        <w:rPr>
          <w:rFonts w:asciiTheme="minorHAnsi" w:eastAsia="HelveticaNeueLTPro-Cn" w:hAnsiTheme="minorHAnsi" w:cstheme="minorHAnsi"/>
          <w:color w:val="000000" w:themeColor="text1"/>
        </w:rPr>
      </w:pPr>
      <w:r w:rsidRPr="00307DAC">
        <w:rPr>
          <w:rFonts w:asciiTheme="minorHAnsi" w:eastAsia="HelveticaNeueLTPro-Cn" w:hAnsiTheme="minorHAnsi" w:cstheme="minorHAnsi"/>
          <w:color w:val="000000" w:themeColor="text1"/>
        </w:rPr>
        <w:t>Podnik byl v roce 1994 zpriva</w:t>
      </w:r>
      <w:r w:rsidR="00037EEB" w:rsidRPr="00307DAC">
        <w:rPr>
          <w:rFonts w:asciiTheme="minorHAnsi" w:eastAsia="HelveticaNeueLTPro-Cn" w:hAnsiTheme="minorHAnsi" w:cstheme="minorHAnsi"/>
          <w:color w:val="000000" w:themeColor="text1"/>
        </w:rPr>
        <w:t>tizován přímým prodejem na základě kupní smlouvy mezi Fondem národní</w:t>
      </w:r>
      <w:r w:rsidRPr="00307DAC">
        <w:rPr>
          <w:rFonts w:asciiTheme="minorHAnsi" w:eastAsia="HelveticaNeueLTPro-Cn" w:hAnsiTheme="minorHAnsi" w:cstheme="minorHAnsi"/>
          <w:color w:val="000000" w:themeColor="text1"/>
        </w:rPr>
        <w:t xml:space="preserve">ho majetku a firmou KLEIBL, s. r. o. Ta byla </w:t>
      </w:r>
      <w:r w:rsidR="00037EEB" w:rsidRPr="00307DAC">
        <w:rPr>
          <w:rFonts w:asciiTheme="minorHAnsi" w:eastAsia="HelveticaNeueLTPro-Cn" w:hAnsiTheme="minorHAnsi" w:cstheme="minorHAnsi"/>
          <w:color w:val="000000" w:themeColor="text1"/>
        </w:rPr>
        <w:t>v červenci 1994 přejmenová</w:t>
      </w:r>
      <w:r w:rsidRPr="00307DAC">
        <w:rPr>
          <w:rFonts w:asciiTheme="minorHAnsi" w:eastAsia="HelveticaNeueLTPro-Cn" w:hAnsiTheme="minorHAnsi" w:cstheme="minorHAnsi"/>
          <w:color w:val="000000" w:themeColor="text1"/>
        </w:rPr>
        <w:t>n</w:t>
      </w:r>
      <w:r w:rsidR="00037EEB" w:rsidRPr="00307DAC">
        <w:rPr>
          <w:rFonts w:asciiTheme="minorHAnsi" w:eastAsia="HelveticaNeueLTPro-Cn" w:hAnsiTheme="minorHAnsi" w:cstheme="minorHAnsi"/>
          <w:color w:val="000000" w:themeColor="text1"/>
        </w:rPr>
        <w:t>a na Klein &amp; Blažek, s. r. o. Výrobní</w:t>
      </w:r>
      <w:r w:rsidRPr="00307DAC">
        <w:rPr>
          <w:rFonts w:asciiTheme="minorHAnsi" w:eastAsia="HelveticaNeueLTPro-Cn" w:hAnsiTheme="minorHAnsi" w:cstheme="minorHAnsi"/>
          <w:color w:val="000000" w:themeColor="text1"/>
        </w:rPr>
        <w:t xml:space="preserve"> program </w:t>
      </w:r>
      <w:r w:rsidR="00037EEB" w:rsidRPr="00307DAC">
        <w:rPr>
          <w:rFonts w:asciiTheme="minorHAnsi" w:eastAsia="HelveticaNeueLTPro-Cn" w:hAnsiTheme="minorHAnsi" w:cstheme="minorHAnsi"/>
          <w:color w:val="000000" w:themeColor="text1"/>
        </w:rPr>
        <w:t>původního státního podniku, který sestával z výroby dí</w:t>
      </w:r>
      <w:r w:rsidRPr="00307DAC">
        <w:rPr>
          <w:rFonts w:asciiTheme="minorHAnsi" w:eastAsia="HelveticaNeueLTPro-Cn" w:hAnsiTheme="minorHAnsi" w:cstheme="minorHAnsi"/>
          <w:color w:val="000000" w:themeColor="text1"/>
        </w:rPr>
        <w:t>lů pro sériovou v</w:t>
      </w:r>
      <w:r w:rsidR="00037EEB" w:rsidRPr="00307DAC">
        <w:rPr>
          <w:rFonts w:asciiTheme="minorHAnsi" w:eastAsia="HelveticaNeueLTPro-Cn" w:hAnsiTheme="minorHAnsi" w:cstheme="minorHAnsi"/>
          <w:color w:val="000000" w:themeColor="text1"/>
        </w:rPr>
        <w:t>ý</w:t>
      </w:r>
      <w:r w:rsidRPr="00307DAC">
        <w:rPr>
          <w:rFonts w:asciiTheme="minorHAnsi" w:eastAsia="HelveticaNeueLTPro-Cn" w:hAnsiTheme="minorHAnsi" w:cstheme="minorHAnsi"/>
          <w:color w:val="000000" w:themeColor="text1"/>
        </w:rPr>
        <w:t>robu automobil</w:t>
      </w:r>
      <w:r w:rsidR="00037EEB" w:rsidRPr="00307DAC">
        <w:rPr>
          <w:rFonts w:asciiTheme="minorHAnsi" w:eastAsia="HelveticaNeueLTPro-Cn" w:hAnsiTheme="minorHAnsi" w:cstheme="minorHAnsi"/>
          <w:color w:val="000000" w:themeColor="text1"/>
        </w:rPr>
        <w:t xml:space="preserve">ů v a.s. ŠKODA Mlada Boleslav, se stal základem i pro činnost nové </w:t>
      </w:r>
      <w:r w:rsidRPr="00307DAC">
        <w:rPr>
          <w:rFonts w:asciiTheme="minorHAnsi" w:eastAsia="HelveticaNeueLTPro-Cn" w:hAnsiTheme="minorHAnsi" w:cstheme="minorHAnsi"/>
          <w:color w:val="000000" w:themeColor="text1"/>
        </w:rPr>
        <w:t>společnosti.</w:t>
      </w:r>
      <w:r w:rsidR="00037EEB" w:rsidRPr="00307DAC">
        <w:rPr>
          <w:rFonts w:asciiTheme="minorHAnsi" w:eastAsia="HelveticaNeueLTPro-Cn" w:hAnsiTheme="minorHAnsi" w:cstheme="minorHAnsi"/>
          <w:color w:val="000000" w:themeColor="text1"/>
        </w:rPr>
        <w:t xml:space="preserve"> </w:t>
      </w:r>
      <w:r w:rsidRPr="00307DAC">
        <w:rPr>
          <w:rFonts w:asciiTheme="minorHAnsi" w:eastAsia="HelveticaNeueLTPro-Cn" w:hAnsiTheme="minorHAnsi" w:cstheme="minorHAnsi"/>
          <w:color w:val="000000" w:themeColor="text1"/>
        </w:rPr>
        <w:t>Společnost se p</w:t>
      </w:r>
      <w:r w:rsidR="00037EEB" w:rsidRPr="00307DAC">
        <w:rPr>
          <w:rFonts w:asciiTheme="minorHAnsi" w:eastAsia="HelveticaNeueLTPro-Cn" w:hAnsiTheme="minorHAnsi" w:cstheme="minorHAnsi"/>
          <w:color w:val="000000" w:themeColor="text1"/>
        </w:rPr>
        <w:t>rofiluje jako dodavatel lisovaný</w:t>
      </w:r>
      <w:r w:rsidRPr="00307DAC">
        <w:rPr>
          <w:rFonts w:asciiTheme="minorHAnsi" w:eastAsia="HelveticaNeueLTPro-Cn" w:hAnsiTheme="minorHAnsi" w:cstheme="minorHAnsi"/>
          <w:color w:val="000000" w:themeColor="text1"/>
        </w:rPr>
        <w:t>ch, svařov</w:t>
      </w:r>
      <w:r w:rsidR="00037EEB" w:rsidRPr="00307DAC">
        <w:rPr>
          <w:rFonts w:asciiTheme="minorHAnsi" w:eastAsia="HelveticaNeueLTPro-Cn" w:hAnsiTheme="minorHAnsi" w:cstheme="minorHAnsi"/>
          <w:color w:val="000000" w:themeColor="text1"/>
        </w:rPr>
        <w:t>aný</w:t>
      </w:r>
      <w:r w:rsidRPr="00307DAC">
        <w:rPr>
          <w:rFonts w:asciiTheme="minorHAnsi" w:eastAsia="HelveticaNeueLTPro-Cn" w:hAnsiTheme="minorHAnsi" w:cstheme="minorHAnsi"/>
          <w:color w:val="000000" w:themeColor="text1"/>
        </w:rPr>
        <w:t>ch,</w:t>
      </w:r>
      <w:r w:rsidR="00037EEB" w:rsidRPr="00307DAC">
        <w:rPr>
          <w:rFonts w:asciiTheme="minorHAnsi" w:eastAsia="HelveticaNeueLTPro-Cn" w:hAnsiTheme="minorHAnsi" w:cstheme="minorHAnsi"/>
          <w:color w:val="000000" w:themeColor="text1"/>
        </w:rPr>
        <w:t xml:space="preserve"> obrá</w:t>
      </w:r>
      <w:r w:rsidRPr="00307DAC">
        <w:rPr>
          <w:rFonts w:asciiTheme="minorHAnsi" w:eastAsia="HelveticaNeueLTPro-Cn" w:hAnsiTheme="minorHAnsi" w:cstheme="minorHAnsi"/>
          <w:color w:val="000000" w:themeColor="text1"/>
        </w:rPr>
        <w:t>bě</w:t>
      </w:r>
      <w:r w:rsidR="00037EEB" w:rsidRPr="00307DAC">
        <w:rPr>
          <w:rFonts w:asciiTheme="minorHAnsi" w:eastAsia="HelveticaNeueLTPro-Cn" w:hAnsiTheme="minorHAnsi" w:cstheme="minorHAnsi"/>
          <w:color w:val="000000" w:themeColor="text1"/>
        </w:rPr>
        <w:t>ných a montovaných dí</w:t>
      </w:r>
      <w:r w:rsidRPr="00307DAC">
        <w:rPr>
          <w:rFonts w:asciiTheme="minorHAnsi" w:eastAsia="HelveticaNeueLTPro-Cn" w:hAnsiTheme="minorHAnsi" w:cstheme="minorHAnsi"/>
          <w:color w:val="000000" w:themeColor="text1"/>
        </w:rPr>
        <w:t>lů</w:t>
      </w:r>
      <w:r w:rsidR="00037EEB" w:rsidRPr="00307DAC">
        <w:rPr>
          <w:rFonts w:asciiTheme="minorHAnsi" w:eastAsia="HelveticaNeueLTPro-Cn" w:hAnsiTheme="minorHAnsi" w:cstheme="minorHAnsi"/>
          <w:color w:val="000000" w:themeColor="text1"/>
        </w:rPr>
        <w:t xml:space="preserve"> pro automobilový</w:t>
      </w:r>
      <w:r w:rsidRPr="00307DAC">
        <w:rPr>
          <w:rFonts w:asciiTheme="minorHAnsi" w:eastAsia="HelveticaNeueLTPro-Cn" w:hAnsiTheme="minorHAnsi" w:cstheme="minorHAnsi"/>
          <w:color w:val="000000" w:themeColor="text1"/>
        </w:rPr>
        <w:t xml:space="preserve"> průmysl.</w:t>
      </w:r>
    </w:p>
    <w:p w:rsidR="00307DAC" w:rsidRPr="00307DAC" w:rsidRDefault="00037EEB" w:rsidP="00307DAC">
      <w:pPr>
        <w:pStyle w:val="Prosttext"/>
        <w:ind w:firstLine="709"/>
        <w:jc w:val="both"/>
        <w:rPr>
          <w:rStyle w:val="preformatted"/>
          <w:rFonts w:asciiTheme="minorHAnsi" w:hAnsiTheme="minorHAnsi" w:cstheme="minorHAnsi"/>
          <w:color w:val="000000" w:themeColor="text1"/>
          <w:szCs w:val="24"/>
        </w:rPr>
      </w:pPr>
      <w:r w:rsidRPr="00307DAC">
        <w:rPr>
          <w:rFonts w:asciiTheme="minorHAnsi" w:eastAsia="HelveticaNeueLTPro-Cn" w:hAnsiTheme="minorHAnsi" w:cstheme="minorHAnsi"/>
          <w:color w:val="000000" w:themeColor="text1"/>
        </w:rPr>
        <w:lastRenderedPageBreak/>
        <w:t xml:space="preserve">V roce 2013 se stal 100 %-ním vlastníkem </w:t>
      </w:r>
      <w:r w:rsidRPr="00307DAC">
        <w:rPr>
          <w:rFonts w:asciiTheme="minorHAnsi" w:hAnsiTheme="minorHAnsi" w:cstheme="minorHAnsi"/>
          <w:color w:val="000000" w:themeColor="text1"/>
        </w:rPr>
        <w:t>K-INVEST uzavřený investiční fond. V roce 2014 byly získány nové významné zakázky na výrobu dílů pro vozy ŠKODA Fabia a Superb</w:t>
      </w:r>
      <w:r w:rsidR="00307DAC" w:rsidRPr="00307DAC">
        <w:rPr>
          <w:rFonts w:asciiTheme="minorHAnsi" w:hAnsiTheme="minorHAnsi" w:cstheme="minorHAnsi"/>
          <w:color w:val="000000" w:themeColor="text1"/>
        </w:rPr>
        <w:t>, byla</w:t>
      </w:r>
      <w:r w:rsidR="00307DAC">
        <w:rPr>
          <w:rFonts w:asciiTheme="minorHAnsi" w:hAnsiTheme="minorHAnsi" w:cstheme="minorHAnsi"/>
          <w:color w:val="000000" w:themeColor="text1"/>
        </w:rPr>
        <w:t xml:space="preserve"> </w:t>
      </w:r>
      <w:r w:rsidR="00307DAC" w:rsidRPr="00307DAC">
        <w:rPr>
          <w:rFonts w:asciiTheme="minorHAnsi" w:hAnsiTheme="minorHAnsi" w:cstheme="minorHAnsi"/>
          <w:color w:val="000000" w:themeColor="text1"/>
        </w:rPr>
        <w:t xml:space="preserve">dokončena výstavba logistického centra a zprovozněna dvě nová svařovací robotizovaná pracoviště. Společnost byla také přejmenována na </w:t>
      </w:r>
      <w:r w:rsidR="00307DAC" w:rsidRPr="00307DAC">
        <w:rPr>
          <w:rStyle w:val="preformatted"/>
          <w:rFonts w:asciiTheme="minorHAnsi" w:hAnsiTheme="minorHAnsi" w:cstheme="minorHAnsi"/>
          <w:color w:val="000000" w:themeColor="text1"/>
          <w:szCs w:val="24"/>
        </w:rPr>
        <w:t>KLEIN automotive s.r.o.</w:t>
      </w:r>
    </w:p>
    <w:p w:rsidR="00307DAC" w:rsidRPr="00307DAC" w:rsidRDefault="00307DAC" w:rsidP="00307DAC">
      <w:pPr>
        <w:pStyle w:val="Prosttext"/>
        <w:ind w:firstLine="709"/>
        <w:jc w:val="both"/>
        <w:rPr>
          <w:rFonts w:asciiTheme="minorHAnsi" w:hAnsiTheme="minorHAnsi" w:cstheme="minorHAnsi"/>
          <w:color w:val="000000" w:themeColor="text1"/>
        </w:rPr>
      </w:pPr>
      <w:r w:rsidRPr="00307DAC">
        <w:rPr>
          <w:rStyle w:val="preformatted"/>
          <w:rFonts w:asciiTheme="minorHAnsi" w:hAnsiTheme="minorHAnsi" w:cstheme="minorHAnsi"/>
          <w:color w:val="000000" w:themeColor="text1"/>
          <w:szCs w:val="24"/>
        </w:rPr>
        <w:tab/>
      </w:r>
      <w:r>
        <w:rPr>
          <w:rStyle w:val="preformatted"/>
          <w:rFonts w:asciiTheme="minorHAnsi" w:hAnsiTheme="minorHAnsi" w:cstheme="minorHAnsi"/>
          <w:color w:val="000000" w:themeColor="text1"/>
          <w:szCs w:val="24"/>
        </w:rPr>
        <w:tab/>
      </w:r>
      <w:r w:rsidRPr="00307DAC">
        <w:rPr>
          <w:rStyle w:val="preformatted"/>
          <w:rFonts w:asciiTheme="minorHAnsi" w:hAnsiTheme="minorHAnsi" w:cstheme="minorHAnsi"/>
          <w:color w:val="000000" w:themeColor="text1"/>
          <w:szCs w:val="24"/>
        </w:rPr>
        <w:t>Počet zaměstnanců se meziročně zvýšil o více než pět desítek osob; dvě desítky zaměstnanců by měly být přijaty i v 1. pololetí 2015.</w:t>
      </w:r>
    </w:p>
    <w:p w:rsidR="00037EEB" w:rsidRPr="00307DAC" w:rsidRDefault="00037EEB" w:rsidP="00037EEB">
      <w:pPr>
        <w:autoSpaceDE w:val="0"/>
        <w:autoSpaceDN w:val="0"/>
        <w:adjustRightInd w:val="0"/>
        <w:ind w:firstLine="709"/>
        <w:jc w:val="both"/>
        <w:rPr>
          <w:rFonts w:asciiTheme="minorHAnsi" w:eastAsia="HelveticaNeueLTPro-Cn" w:hAnsiTheme="minorHAnsi" w:cstheme="minorHAnsi"/>
          <w:color w:val="000000" w:themeColor="text1"/>
        </w:rPr>
      </w:pPr>
    </w:p>
    <w:p w:rsidR="00155E6A" w:rsidRPr="005730F2" w:rsidRDefault="000B643F" w:rsidP="001307FF">
      <w:pPr>
        <w:pStyle w:val="Zkladntextodsazen"/>
        <w:ind w:left="0" w:firstLine="709"/>
        <w:jc w:val="both"/>
        <w:rPr>
          <w:rFonts w:asciiTheme="minorHAnsi" w:hAnsiTheme="minorHAnsi" w:cstheme="minorHAnsi"/>
          <w:b/>
        </w:rPr>
      </w:pPr>
      <w:r w:rsidRPr="00002B63">
        <w:rPr>
          <w:rFonts w:asciiTheme="minorHAnsi" w:hAnsiTheme="minorHAnsi" w:cstheme="minorHAnsi"/>
          <w:i/>
          <w:color w:val="FF0000"/>
          <w:szCs w:val="24"/>
        </w:rPr>
        <w:tab/>
      </w:r>
      <w:r w:rsidR="00D63D4D" w:rsidRPr="00002B63">
        <w:rPr>
          <w:rFonts w:asciiTheme="minorHAnsi" w:hAnsiTheme="minorHAnsi" w:cstheme="minorHAnsi"/>
          <w:i/>
          <w:color w:val="FF0000"/>
          <w:szCs w:val="24"/>
        </w:rPr>
        <w:tab/>
      </w:r>
      <w:r w:rsidR="00155E6A" w:rsidRPr="005730F2">
        <w:rPr>
          <w:rFonts w:asciiTheme="minorHAnsi" w:hAnsiTheme="minorHAnsi" w:cstheme="minorHAnsi"/>
          <w:b/>
          <w:color w:val="0000FF"/>
        </w:rPr>
        <w:t>MIELE technika  s.r.o.</w:t>
      </w:r>
      <w:r w:rsidR="00155E6A" w:rsidRPr="005730F2">
        <w:rPr>
          <w:rFonts w:asciiTheme="minorHAnsi" w:hAnsiTheme="minorHAnsi" w:cstheme="minorHAnsi"/>
          <w:b/>
        </w:rPr>
        <w:t xml:space="preserve"> (výroba domácích spotřebičů)</w:t>
      </w:r>
    </w:p>
    <w:p w:rsidR="00155E6A" w:rsidRPr="005730F2" w:rsidRDefault="00155E6A" w:rsidP="00155E6A">
      <w:pPr>
        <w:pStyle w:val="Zkladntext"/>
        <w:spacing w:line="240" w:lineRule="atLeast"/>
        <w:ind w:firstLine="720"/>
        <w:jc w:val="left"/>
        <w:rPr>
          <w:rFonts w:asciiTheme="minorHAnsi" w:hAnsiTheme="minorHAnsi" w:cstheme="minorHAnsi"/>
          <w:b w:val="0"/>
          <w:sz w:val="24"/>
        </w:rPr>
      </w:pPr>
      <w:r w:rsidRPr="005730F2">
        <w:rPr>
          <w:rFonts w:asciiTheme="minorHAnsi" w:hAnsiTheme="minorHAnsi" w:cstheme="minorHAnsi"/>
          <w:sz w:val="24"/>
        </w:rPr>
        <w:t>Šumperská 1348, Uničov (Německo)</w:t>
      </w:r>
    </w:p>
    <w:p w:rsidR="00155E6A" w:rsidRPr="00307DAC" w:rsidRDefault="00155E6A" w:rsidP="0001225F">
      <w:pPr>
        <w:ind w:firstLine="708"/>
        <w:jc w:val="both"/>
        <w:rPr>
          <w:rFonts w:asciiTheme="minorHAnsi" w:hAnsiTheme="minorHAnsi" w:cstheme="minorHAnsi"/>
          <w:color w:val="000000" w:themeColor="text1"/>
        </w:rPr>
      </w:pPr>
      <w:r w:rsidRPr="00307DAC">
        <w:rPr>
          <w:rFonts w:asciiTheme="minorHAnsi" w:hAnsiTheme="minorHAnsi" w:cstheme="minorHAnsi"/>
          <w:color w:val="000000" w:themeColor="text1"/>
        </w:rPr>
        <w:t>Německý výrobce domácích spotřebičů Miele začal v dubnu 2003 v Uničově stavět nový závod na výrobu automatických praček a sušiček prádla v uničovské průmyslové zóně. V lednu 2007 kromě nové haly byla zprovozněna i další linka na výrobu myček nádobí a dále se rozšířila škála výrobků v segmentu praček a sušiček prádla.</w:t>
      </w:r>
      <w:r w:rsidR="0001225F">
        <w:rPr>
          <w:rFonts w:asciiTheme="minorHAnsi" w:hAnsiTheme="minorHAnsi" w:cstheme="minorHAnsi"/>
          <w:color w:val="000000" w:themeColor="text1"/>
        </w:rPr>
        <w:t xml:space="preserve"> </w:t>
      </w:r>
      <w:r w:rsidRPr="00307DAC">
        <w:rPr>
          <w:rFonts w:asciiTheme="minorHAnsi" w:hAnsiTheme="minorHAnsi" w:cstheme="minorHAnsi"/>
          <w:color w:val="000000" w:themeColor="text1"/>
        </w:rPr>
        <w:t>V polovině roku 2008 zde pracovalo již 639 lidí (počet zaměstnanců se za dva roky zvýšil na dvojnásobek); ale celosvětová recese výrazně ovlivnila i zaměstnanost v tomto závodě – personální stav se meziročně snížil o stovku osob, ale v letech 2010 a 2011 už k dalšímu snižování nedošlo.</w:t>
      </w:r>
    </w:p>
    <w:p w:rsidR="00D52D36" w:rsidRPr="00307DAC" w:rsidRDefault="00D52D36" w:rsidP="0001225F">
      <w:pPr>
        <w:ind w:firstLine="708"/>
        <w:jc w:val="both"/>
        <w:rPr>
          <w:rFonts w:asciiTheme="minorHAnsi" w:hAnsiTheme="minorHAnsi" w:cstheme="minorHAnsi"/>
          <w:color w:val="000000" w:themeColor="text1"/>
        </w:rPr>
      </w:pPr>
      <w:r w:rsidRPr="00307DAC">
        <w:rPr>
          <w:rFonts w:asciiTheme="minorHAnsi" w:hAnsiTheme="minorHAnsi" w:cstheme="minorHAnsi"/>
          <w:color w:val="000000" w:themeColor="text1"/>
        </w:rPr>
        <w:t>V roce 2012 začala výstavba nové výrobní haly na výrobu kovových a plastových výlisků do sušiček, přičemž celková investice (včetně nových technologií) bude činit cca 500 milionů korun.</w:t>
      </w:r>
      <w:r w:rsidR="005730F2" w:rsidRPr="00307DAC">
        <w:rPr>
          <w:rFonts w:asciiTheme="minorHAnsi" w:hAnsiTheme="minorHAnsi" w:cstheme="minorHAnsi"/>
          <w:color w:val="000000" w:themeColor="text1"/>
        </w:rPr>
        <w:t xml:space="preserve"> Původně se počítalo s nárůstem zaměstnanců jen okolo 200 osob, ale nakonec se počet zaměstnanců zvýšil o 457 osob (což je největší nárůst v Olomouckém kraji). Kromě zprovoznění nové haly společnost otevřela další směnu ve výrobě myček nádobí a posílila i další výrobní provozy.</w:t>
      </w:r>
      <w:r w:rsidR="0001225F">
        <w:rPr>
          <w:rFonts w:asciiTheme="minorHAnsi" w:hAnsiTheme="minorHAnsi" w:cstheme="minorHAnsi"/>
          <w:color w:val="000000" w:themeColor="text1"/>
        </w:rPr>
        <w:t xml:space="preserve"> </w:t>
      </w:r>
      <w:r w:rsidR="00307DAC">
        <w:rPr>
          <w:rFonts w:asciiTheme="minorHAnsi" w:hAnsiTheme="minorHAnsi" w:cstheme="minorHAnsi"/>
          <w:color w:val="000000" w:themeColor="text1"/>
        </w:rPr>
        <w:t xml:space="preserve">Během roku 2014 došlo </w:t>
      </w:r>
      <w:r w:rsidR="0001225F">
        <w:rPr>
          <w:rFonts w:asciiTheme="minorHAnsi" w:hAnsiTheme="minorHAnsi" w:cstheme="minorHAnsi"/>
          <w:color w:val="000000" w:themeColor="text1"/>
        </w:rPr>
        <w:t>(s ohledem na vývoj zakázkové náplně) k poklesu zaměstnanosti o 45 osob, nicméně v průběhu 1. pololetí společnost plánuje o stejný počet osob opět navýšit personální stav.</w:t>
      </w:r>
    </w:p>
    <w:p w:rsidR="00D52D36" w:rsidRPr="00002B63" w:rsidRDefault="00D52D36" w:rsidP="00155E6A">
      <w:pPr>
        <w:ind w:firstLine="708"/>
        <w:jc w:val="both"/>
        <w:rPr>
          <w:rFonts w:asciiTheme="minorHAnsi" w:hAnsiTheme="minorHAnsi" w:cstheme="minorHAnsi"/>
          <w:i/>
        </w:rPr>
      </w:pPr>
    </w:p>
    <w:p w:rsidR="00FE7719" w:rsidRPr="007E76F6" w:rsidRDefault="00FE7719" w:rsidP="004B2E82">
      <w:pPr>
        <w:pStyle w:val="Zkladntextodsazen3"/>
        <w:ind w:left="709" w:firstLine="0"/>
        <w:rPr>
          <w:rFonts w:asciiTheme="minorHAnsi" w:hAnsiTheme="minorHAnsi" w:cstheme="minorHAnsi"/>
          <w:b/>
          <w:color w:val="000000"/>
          <w:szCs w:val="24"/>
        </w:rPr>
      </w:pPr>
      <w:r w:rsidRPr="007E76F6">
        <w:rPr>
          <w:rFonts w:asciiTheme="minorHAnsi" w:hAnsiTheme="minorHAnsi" w:cstheme="minorHAnsi"/>
          <w:b/>
          <w:color w:val="0000FF"/>
          <w:szCs w:val="24"/>
        </w:rPr>
        <w:t>MUBEA – HZP s.r.o.</w:t>
      </w:r>
      <w:r w:rsidR="00B5795D" w:rsidRPr="007E76F6">
        <w:rPr>
          <w:rFonts w:asciiTheme="minorHAnsi" w:hAnsiTheme="minorHAnsi" w:cstheme="minorHAnsi"/>
          <w:b/>
          <w:color w:val="0000FF"/>
          <w:szCs w:val="24"/>
        </w:rPr>
        <w:t xml:space="preserve">, </w:t>
      </w:r>
      <w:r w:rsidR="00B5795D" w:rsidRPr="007E76F6">
        <w:rPr>
          <w:rStyle w:val="tsubjname"/>
          <w:rFonts w:asciiTheme="minorHAnsi" w:hAnsiTheme="minorHAnsi" w:cstheme="minorHAnsi"/>
          <w:b/>
          <w:color w:val="0000FF"/>
          <w:szCs w:val="24"/>
        </w:rPr>
        <w:t>Mubea IT Spring Wire s.r.o.</w:t>
      </w:r>
      <w:r w:rsidR="005730F2" w:rsidRPr="007E76F6">
        <w:rPr>
          <w:rStyle w:val="tsubjname"/>
          <w:rFonts w:asciiTheme="minorHAnsi" w:hAnsiTheme="minorHAnsi" w:cstheme="minorHAnsi"/>
          <w:b/>
          <w:color w:val="0000FF"/>
          <w:szCs w:val="24"/>
        </w:rPr>
        <w:t>, Mubea Stabilizer Bar Systems s.r.o.</w:t>
      </w:r>
      <w:r w:rsidRPr="007E76F6">
        <w:rPr>
          <w:rFonts w:asciiTheme="minorHAnsi" w:hAnsiTheme="minorHAnsi" w:cstheme="minorHAnsi"/>
          <w:b/>
          <w:color w:val="0000FF"/>
          <w:szCs w:val="24"/>
        </w:rPr>
        <w:t xml:space="preserve"> </w:t>
      </w:r>
      <w:r w:rsidR="004B2E82" w:rsidRPr="007E76F6">
        <w:rPr>
          <w:rFonts w:asciiTheme="minorHAnsi" w:hAnsiTheme="minorHAnsi" w:cstheme="minorHAnsi"/>
          <w:b/>
          <w:color w:val="000000"/>
          <w:szCs w:val="24"/>
        </w:rPr>
        <w:t>(kovovýroba pro automobilový průmysl</w:t>
      </w:r>
      <w:r w:rsidRPr="007E76F6">
        <w:rPr>
          <w:rFonts w:asciiTheme="minorHAnsi" w:hAnsiTheme="minorHAnsi" w:cstheme="minorHAnsi"/>
          <w:b/>
          <w:color w:val="000000"/>
          <w:szCs w:val="24"/>
        </w:rPr>
        <w:t>)</w:t>
      </w:r>
    </w:p>
    <w:p w:rsidR="00FE7719" w:rsidRPr="007E76F6" w:rsidRDefault="00FE7719" w:rsidP="00FE7719">
      <w:pPr>
        <w:pStyle w:val="Zkladntextodsazen3"/>
        <w:rPr>
          <w:rFonts w:asciiTheme="minorHAnsi" w:hAnsiTheme="minorHAnsi" w:cstheme="minorHAnsi"/>
          <w:b/>
          <w:color w:val="000000"/>
          <w:szCs w:val="24"/>
        </w:rPr>
      </w:pPr>
      <w:r w:rsidRPr="007E76F6">
        <w:rPr>
          <w:rFonts w:asciiTheme="minorHAnsi" w:hAnsiTheme="minorHAnsi" w:cstheme="minorHAnsi"/>
          <w:b/>
          <w:color w:val="000000"/>
          <w:szCs w:val="24"/>
        </w:rPr>
        <w:t>Dolní 100, Prostějov (SRN)</w:t>
      </w:r>
    </w:p>
    <w:p w:rsidR="00FE7719" w:rsidRPr="0001225F" w:rsidRDefault="00FE7719" w:rsidP="00FE7719">
      <w:pPr>
        <w:pStyle w:val="Zkladntext"/>
        <w:spacing w:line="240" w:lineRule="auto"/>
        <w:ind w:firstLine="720"/>
        <w:jc w:val="both"/>
        <w:rPr>
          <w:rFonts w:asciiTheme="minorHAnsi" w:hAnsiTheme="minorHAnsi" w:cstheme="minorHAnsi"/>
          <w:b w:val="0"/>
          <w:color w:val="000000" w:themeColor="text1"/>
          <w:sz w:val="24"/>
        </w:rPr>
      </w:pPr>
      <w:r w:rsidRPr="0001225F">
        <w:rPr>
          <w:rFonts w:asciiTheme="minorHAnsi" w:hAnsiTheme="minorHAnsi" w:cstheme="minorHAnsi"/>
          <w:b w:val="0"/>
          <w:color w:val="000000" w:themeColor="text1"/>
          <w:sz w:val="24"/>
        </w:rPr>
        <w:t>Firma</w:t>
      </w:r>
      <w:r w:rsidR="004B2E82" w:rsidRPr="0001225F">
        <w:rPr>
          <w:rFonts w:asciiTheme="minorHAnsi" w:hAnsiTheme="minorHAnsi" w:cstheme="minorHAnsi"/>
          <w:b w:val="0"/>
          <w:color w:val="000000" w:themeColor="text1"/>
          <w:sz w:val="24"/>
        </w:rPr>
        <w:t xml:space="preserve"> MUBEA – HZP s.r.o.</w:t>
      </w:r>
      <w:r w:rsidRPr="0001225F">
        <w:rPr>
          <w:rFonts w:asciiTheme="minorHAnsi" w:hAnsiTheme="minorHAnsi" w:cstheme="minorHAnsi"/>
          <w:b w:val="0"/>
          <w:color w:val="000000" w:themeColor="text1"/>
          <w:sz w:val="24"/>
        </w:rPr>
        <w:t xml:space="preserve"> vznikla v roce 2000 jako dceřiná společnost koncernu Muhr und Bender. V následujících letech získala nový komplex hal v areálu firmy HZP, renovovala ho a zahájila výrobu pružin a dutých stabilizátorů do osobních automobilů. </w:t>
      </w:r>
      <w:r w:rsidR="00B5795D" w:rsidRPr="0001225F">
        <w:rPr>
          <w:rFonts w:asciiTheme="minorHAnsi" w:hAnsiTheme="minorHAnsi" w:cstheme="minorHAnsi"/>
          <w:b w:val="0"/>
          <w:color w:val="000000" w:themeColor="text1"/>
          <w:sz w:val="24"/>
        </w:rPr>
        <w:t>Počet zaměstnanců ze 400 v roce 2009 za tři roky vzrostl na téměř 500 osob.</w:t>
      </w:r>
    </w:p>
    <w:p w:rsidR="00B5795D" w:rsidRPr="0001225F" w:rsidRDefault="00B5795D" w:rsidP="00FE7719">
      <w:pPr>
        <w:pStyle w:val="Zkladntext"/>
        <w:spacing w:line="240" w:lineRule="auto"/>
        <w:ind w:firstLine="720"/>
        <w:jc w:val="both"/>
        <w:rPr>
          <w:rStyle w:val="tsubjname"/>
          <w:rFonts w:asciiTheme="minorHAnsi" w:hAnsiTheme="minorHAnsi" w:cstheme="minorHAnsi"/>
          <w:b w:val="0"/>
          <w:color w:val="000000" w:themeColor="text1"/>
          <w:sz w:val="24"/>
        </w:rPr>
      </w:pPr>
      <w:r w:rsidRPr="0001225F">
        <w:rPr>
          <w:rFonts w:asciiTheme="minorHAnsi" w:hAnsiTheme="minorHAnsi" w:cstheme="minorHAnsi"/>
          <w:b w:val="0"/>
          <w:color w:val="000000" w:themeColor="text1"/>
          <w:sz w:val="24"/>
        </w:rPr>
        <w:t xml:space="preserve">V roce 2005 byla založena další společnost koncernu MUBEA - </w:t>
      </w:r>
      <w:r w:rsidRPr="0001225F">
        <w:rPr>
          <w:rStyle w:val="tsubjname"/>
          <w:rFonts w:asciiTheme="minorHAnsi" w:hAnsiTheme="minorHAnsi" w:cstheme="minorHAnsi"/>
          <w:b w:val="0"/>
          <w:color w:val="000000" w:themeColor="text1"/>
          <w:sz w:val="24"/>
        </w:rPr>
        <w:t>Mubea IT Spring Wire s.r.o., která sídlí na stejné adrese. Počet zaměstnanců dosáhl v roce 2010 stovky osob a během dalších 2 let se zvýšil na trojnásobek.</w:t>
      </w:r>
      <w:r w:rsidR="004B2E82" w:rsidRPr="0001225F">
        <w:rPr>
          <w:rStyle w:val="tsubjname"/>
          <w:rFonts w:asciiTheme="minorHAnsi" w:hAnsiTheme="minorHAnsi" w:cstheme="minorHAnsi"/>
          <w:b w:val="0"/>
          <w:color w:val="000000" w:themeColor="text1"/>
          <w:sz w:val="24"/>
        </w:rPr>
        <w:t xml:space="preserve"> V roce 2013 se zaměstnanost zvýšila pouze nepatrně – o 7 osob.</w:t>
      </w:r>
    </w:p>
    <w:p w:rsidR="004B2E82" w:rsidRPr="0001225F" w:rsidRDefault="004B2E82" w:rsidP="00FE7719">
      <w:pPr>
        <w:pStyle w:val="Zkladntext"/>
        <w:spacing w:line="240" w:lineRule="auto"/>
        <w:ind w:firstLine="720"/>
        <w:jc w:val="both"/>
        <w:rPr>
          <w:rFonts w:asciiTheme="minorHAnsi" w:hAnsiTheme="minorHAnsi" w:cstheme="minorHAnsi"/>
          <w:b w:val="0"/>
          <w:color w:val="000000" w:themeColor="text1"/>
          <w:sz w:val="24"/>
        </w:rPr>
      </w:pPr>
      <w:r w:rsidRPr="0001225F">
        <w:rPr>
          <w:rStyle w:val="tsubjname"/>
          <w:rFonts w:asciiTheme="minorHAnsi" w:hAnsiTheme="minorHAnsi" w:cstheme="minorHAnsi"/>
          <w:b w:val="0"/>
          <w:color w:val="000000" w:themeColor="text1"/>
          <w:sz w:val="24"/>
        </w:rPr>
        <w:t xml:space="preserve">V polovině roku 2011 byla založena další společnost - Mubea Stabilizer Bar Systems s.r.o. Do této společnosti v průběhu roku 2013 přešlo přes 400 zaměstnanců z MUBEA - </w:t>
      </w:r>
      <w:r w:rsidRPr="0001225F">
        <w:rPr>
          <w:rFonts w:asciiTheme="minorHAnsi" w:hAnsiTheme="minorHAnsi" w:cstheme="minorHAnsi"/>
          <w:b w:val="0"/>
          <w:color w:val="000000" w:themeColor="text1"/>
          <w:sz w:val="24"/>
        </w:rPr>
        <w:t xml:space="preserve">HZP s.r.o. a stala se tak největší firmou v rámci koncernu MUBEA v Prostějově. Ve společnosti </w:t>
      </w:r>
      <w:r w:rsidRPr="0001225F">
        <w:rPr>
          <w:rStyle w:val="tsubjname"/>
          <w:rFonts w:asciiTheme="minorHAnsi" w:hAnsiTheme="minorHAnsi" w:cstheme="minorHAnsi"/>
          <w:b w:val="0"/>
          <w:color w:val="000000" w:themeColor="text1"/>
          <w:sz w:val="24"/>
        </w:rPr>
        <w:t xml:space="preserve">MUBEA - </w:t>
      </w:r>
      <w:r w:rsidRPr="0001225F">
        <w:rPr>
          <w:rFonts w:asciiTheme="minorHAnsi" w:hAnsiTheme="minorHAnsi" w:cstheme="minorHAnsi"/>
          <w:b w:val="0"/>
          <w:color w:val="000000" w:themeColor="text1"/>
          <w:sz w:val="24"/>
        </w:rPr>
        <w:t xml:space="preserve">HZP s.r.o. tak klesla zaměstnanost na devět desítek zaměstnanců. </w:t>
      </w:r>
    </w:p>
    <w:p w:rsidR="0001225F" w:rsidRPr="0001225F" w:rsidRDefault="004B2E82" w:rsidP="0001225F">
      <w:pPr>
        <w:pStyle w:val="Zkladntext"/>
        <w:spacing w:line="240" w:lineRule="auto"/>
        <w:ind w:firstLine="720"/>
        <w:jc w:val="both"/>
        <w:rPr>
          <w:rFonts w:asciiTheme="minorHAnsi" w:hAnsiTheme="minorHAnsi" w:cstheme="minorHAnsi"/>
          <w:b w:val="0"/>
          <w:color w:val="FF0000"/>
          <w:sz w:val="24"/>
        </w:rPr>
      </w:pPr>
      <w:r w:rsidRPr="0001225F">
        <w:rPr>
          <w:rFonts w:asciiTheme="minorHAnsi" w:hAnsiTheme="minorHAnsi" w:cstheme="minorHAnsi"/>
          <w:b w:val="0"/>
          <w:color w:val="000000" w:themeColor="text1"/>
          <w:sz w:val="24"/>
        </w:rPr>
        <w:t>Celkově celý kon</w:t>
      </w:r>
      <w:r w:rsidR="0001225F" w:rsidRPr="0001225F">
        <w:rPr>
          <w:rFonts w:asciiTheme="minorHAnsi" w:hAnsiTheme="minorHAnsi" w:cstheme="minorHAnsi"/>
          <w:b w:val="0"/>
          <w:color w:val="000000" w:themeColor="text1"/>
          <w:sz w:val="24"/>
        </w:rPr>
        <w:t>cern v Prostějově zaměstnává 939</w:t>
      </w:r>
      <w:r w:rsidRPr="0001225F">
        <w:rPr>
          <w:rFonts w:asciiTheme="minorHAnsi" w:hAnsiTheme="minorHAnsi" w:cstheme="minorHAnsi"/>
          <w:b w:val="0"/>
          <w:color w:val="000000" w:themeColor="text1"/>
          <w:sz w:val="24"/>
        </w:rPr>
        <w:t xml:space="preserve"> pracovníků, meziročně se počet zaměstnanců </w:t>
      </w:r>
      <w:r w:rsidR="0001225F" w:rsidRPr="0001225F">
        <w:rPr>
          <w:rFonts w:asciiTheme="minorHAnsi" w:hAnsiTheme="minorHAnsi" w:cstheme="minorHAnsi"/>
          <w:b w:val="0"/>
          <w:color w:val="000000" w:themeColor="text1"/>
          <w:sz w:val="24"/>
        </w:rPr>
        <w:t>výrazně zvýšil o 108</w:t>
      </w:r>
      <w:r w:rsidRPr="0001225F">
        <w:rPr>
          <w:rFonts w:asciiTheme="minorHAnsi" w:hAnsiTheme="minorHAnsi" w:cstheme="minorHAnsi"/>
          <w:b w:val="0"/>
          <w:color w:val="000000" w:themeColor="text1"/>
          <w:sz w:val="24"/>
        </w:rPr>
        <w:t xml:space="preserve"> osob. V 1. </w:t>
      </w:r>
      <w:r w:rsidR="007E76F6" w:rsidRPr="0001225F">
        <w:rPr>
          <w:rFonts w:asciiTheme="minorHAnsi" w:hAnsiTheme="minorHAnsi" w:cstheme="minorHAnsi"/>
          <w:b w:val="0"/>
          <w:color w:val="000000" w:themeColor="text1"/>
          <w:sz w:val="24"/>
        </w:rPr>
        <w:t>p</w:t>
      </w:r>
      <w:r w:rsidRPr="0001225F">
        <w:rPr>
          <w:rFonts w:asciiTheme="minorHAnsi" w:hAnsiTheme="minorHAnsi" w:cstheme="minorHAnsi"/>
          <w:b w:val="0"/>
          <w:color w:val="000000" w:themeColor="text1"/>
          <w:sz w:val="24"/>
        </w:rPr>
        <w:t>ololetí</w:t>
      </w:r>
      <w:r w:rsidR="0001225F" w:rsidRPr="0001225F">
        <w:rPr>
          <w:rFonts w:asciiTheme="minorHAnsi" w:hAnsiTheme="minorHAnsi" w:cstheme="minorHAnsi"/>
          <w:b w:val="0"/>
          <w:color w:val="000000" w:themeColor="text1"/>
          <w:sz w:val="24"/>
        </w:rPr>
        <w:t xml:space="preserve"> 2015</w:t>
      </w:r>
      <w:r w:rsidRPr="0001225F">
        <w:rPr>
          <w:rFonts w:asciiTheme="minorHAnsi" w:hAnsiTheme="minorHAnsi" w:cstheme="minorHAnsi"/>
          <w:b w:val="0"/>
          <w:color w:val="000000" w:themeColor="text1"/>
          <w:sz w:val="24"/>
        </w:rPr>
        <w:t xml:space="preserve"> koncern počítá </w:t>
      </w:r>
      <w:r w:rsidR="0001225F" w:rsidRPr="0001225F">
        <w:rPr>
          <w:rFonts w:asciiTheme="minorHAnsi" w:hAnsiTheme="minorHAnsi" w:cstheme="minorHAnsi"/>
          <w:b w:val="0"/>
          <w:color w:val="000000" w:themeColor="text1"/>
          <w:sz w:val="24"/>
        </w:rPr>
        <w:t>s navýšením o cca sedm</w:t>
      </w:r>
      <w:r w:rsidR="007E76F6" w:rsidRPr="0001225F">
        <w:rPr>
          <w:rFonts w:asciiTheme="minorHAnsi" w:hAnsiTheme="minorHAnsi" w:cstheme="minorHAnsi"/>
          <w:b w:val="0"/>
          <w:color w:val="000000" w:themeColor="text1"/>
          <w:sz w:val="24"/>
        </w:rPr>
        <w:t xml:space="preserve"> desítek zaměstnanců.</w:t>
      </w:r>
      <w:r w:rsidR="0001225F" w:rsidRPr="0001225F">
        <w:rPr>
          <w:rFonts w:asciiTheme="minorHAnsi" w:hAnsiTheme="minorHAnsi" w:cstheme="minorHAnsi"/>
          <w:b w:val="0"/>
          <w:color w:val="000000" w:themeColor="text1"/>
          <w:sz w:val="24"/>
        </w:rPr>
        <w:t xml:space="preserve"> </w:t>
      </w:r>
      <w:r w:rsidR="0001225F" w:rsidRPr="0001225F">
        <w:rPr>
          <w:rFonts w:ascii="Calibri" w:hAnsi="Calibri" w:cs="Calibri"/>
          <w:b w:val="0"/>
          <w:color w:val="000000" w:themeColor="text1"/>
          <w:sz w:val="24"/>
        </w:rPr>
        <w:t>V tomto roce má také v úmyslu koupit další pozemky v prostějovské průmyslové zóně a do roku 2016 postavit další část svého závodu na výrobu dílů pro automobilový průmysl. Svou investici odhaduje na cca 1 miliardu korun – po dokončení závodu by zde mělo najít nové zaměstnání okolo 500 osob.</w:t>
      </w:r>
    </w:p>
    <w:p w:rsidR="0001225F" w:rsidRPr="0001225F" w:rsidRDefault="0001225F" w:rsidP="00FE7719">
      <w:pPr>
        <w:pStyle w:val="Zkladntext"/>
        <w:spacing w:line="240" w:lineRule="auto"/>
        <w:ind w:firstLine="720"/>
        <w:jc w:val="both"/>
        <w:rPr>
          <w:rFonts w:asciiTheme="minorHAnsi" w:hAnsiTheme="minorHAnsi" w:cstheme="minorHAnsi"/>
          <w:b w:val="0"/>
          <w:color w:val="FF0000"/>
          <w:sz w:val="24"/>
        </w:rPr>
      </w:pPr>
    </w:p>
    <w:p w:rsidR="00956F5A" w:rsidRPr="007E76F6" w:rsidRDefault="00956F5A" w:rsidP="00956F5A">
      <w:pPr>
        <w:pStyle w:val="Zkladntext"/>
        <w:spacing w:line="240" w:lineRule="auto"/>
        <w:ind w:firstLine="720"/>
        <w:jc w:val="both"/>
        <w:rPr>
          <w:rFonts w:asciiTheme="minorHAnsi" w:hAnsiTheme="minorHAnsi" w:cstheme="minorHAnsi"/>
          <w:sz w:val="24"/>
        </w:rPr>
      </w:pPr>
      <w:r w:rsidRPr="007E76F6">
        <w:rPr>
          <w:rFonts w:asciiTheme="minorHAnsi" w:hAnsiTheme="minorHAnsi" w:cstheme="minorHAnsi"/>
          <w:color w:val="0000FF"/>
          <w:sz w:val="24"/>
        </w:rPr>
        <w:lastRenderedPageBreak/>
        <w:t xml:space="preserve">Pars nova a.s. </w:t>
      </w:r>
      <w:r w:rsidRPr="007E76F6">
        <w:rPr>
          <w:rFonts w:asciiTheme="minorHAnsi" w:hAnsiTheme="minorHAnsi" w:cstheme="minorHAnsi"/>
          <w:sz w:val="24"/>
        </w:rPr>
        <w:t>(opravy a modernizace železničních vozidel, tramvají a trolejbusů)</w:t>
      </w:r>
    </w:p>
    <w:p w:rsidR="00F43F4E" w:rsidRPr="007E76F6" w:rsidRDefault="00F43F4E" w:rsidP="00956F5A">
      <w:pPr>
        <w:pStyle w:val="Zkladntext"/>
        <w:spacing w:line="240" w:lineRule="auto"/>
        <w:ind w:firstLine="720"/>
        <w:jc w:val="both"/>
        <w:rPr>
          <w:rFonts w:asciiTheme="minorHAnsi" w:hAnsiTheme="minorHAnsi" w:cstheme="minorHAnsi"/>
          <w:sz w:val="24"/>
        </w:rPr>
      </w:pPr>
      <w:r w:rsidRPr="007E76F6">
        <w:rPr>
          <w:rFonts w:asciiTheme="minorHAnsi" w:hAnsiTheme="minorHAnsi" w:cstheme="minorHAnsi"/>
          <w:sz w:val="24"/>
        </w:rPr>
        <w:t>Žerotínova 56, Šumperk</w:t>
      </w:r>
    </w:p>
    <w:p w:rsidR="00F43F4E" w:rsidRPr="0001225F" w:rsidRDefault="00B5795D" w:rsidP="00956F5A">
      <w:pPr>
        <w:pStyle w:val="Zkladntext"/>
        <w:spacing w:line="240" w:lineRule="auto"/>
        <w:ind w:firstLine="720"/>
        <w:jc w:val="both"/>
        <w:rPr>
          <w:rFonts w:asciiTheme="minorHAnsi" w:hAnsiTheme="minorHAnsi" w:cstheme="minorHAnsi"/>
          <w:b w:val="0"/>
          <w:color w:val="000000" w:themeColor="text1"/>
          <w:sz w:val="24"/>
        </w:rPr>
      </w:pPr>
      <w:r w:rsidRPr="0001225F">
        <w:rPr>
          <w:rFonts w:asciiTheme="minorHAnsi" w:hAnsiTheme="minorHAnsi" w:cstheme="minorHAnsi"/>
          <w:b w:val="0"/>
          <w:color w:val="000000" w:themeColor="text1"/>
          <w:sz w:val="24"/>
        </w:rPr>
        <w:t xml:space="preserve">Akciová společnost </w:t>
      </w:r>
      <w:r w:rsidR="00956F5A" w:rsidRPr="0001225F">
        <w:rPr>
          <w:rFonts w:asciiTheme="minorHAnsi" w:hAnsiTheme="minorHAnsi" w:cstheme="minorHAnsi"/>
          <w:b w:val="0"/>
          <w:color w:val="000000" w:themeColor="text1"/>
          <w:sz w:val="24"/>
        </w:rPr>
        <w:t>b</w:t>
      </w:r>
      <w:r w:rsidRPr="0001225F">
        <w:rPr>
          <w:rFonts w:asciiTheme="minorHAnsi" w:hAnsiTheme="minorHAnsi" w:cstheme="minorHAnsi"/>
          <w:b w:val="0"/>
          <w:color w:val="000000" w:themeColor="text1"/>
          <w:sz w:val="24"/>
        </w:rPr>
        <w:t xml:space="preserve">yla založena v roce 2000 a </w:t>
      </w:r>
      <w:r w:rsidR="00956F5A" w:rsidRPr="0001225F">
        <w:rPr>
          <w:rFonts w:asciiTheme="minorHAnsi" w:hAnsiTheme="minorHAnsi" w:cstheme="minorHAnsi"/>
          <w:b w:val="0"/>
          <w:color w:val="000000" w:themeColor="text1"/>
          <w:sz w:val="24"/>
        </w:rPr>
        <w:t xml:space="preserve">v březnu 2008 byla Pars nova a.s. začleněna do skupiny TRANSPORTATION akciové společnosti ŠKODA HOLDING. V průběhu </w:t>
      </w:r>
      <w:r w:rsidR="00C72577" w:rsidRPr="0001225F">
        <w:rPr>
          <w:rFonts w:asciiTheme="minorHAnsi" w:hAnsiTheme="minorHAnsi" w:cstheme="minorHAnsi"/>
          <w:b w:val="0"/>
          <w:color w:val="000000" w:themeColor="text1"/>
          <w:sz w:val="24"/>
        </w:rPr>
        <w:t>krizových let 2008 – 2009 se počet</w:t>
      </w:r>
      <w:r w:rsidR="0083661F" w:rsidRPr="0001225F">
        <w:rPr>
          <w:rFonts w:asciiTheme="minorHAnsi" w:hAnsiTheme="minorHAnsi" w:cstheme="minorHAnsi"/>
          <w:b w:val="0"/>
          <w:color w:val="000000" w:themeColor="text1"/>
          <w:sz w:val="24"/>
        </w:rPr>
        <w:t xml:space="preserve"> zaměstnanců snížil o cca stovku osob. V závěru roku 2010 společnost získala od Českých drah zakázku na dodávku více než šesti desítek kusů vlakových souprav (Regionova). Počet zaměstnanců se v roce 2011 zvýši</w:t>
      </w:r>
      <w:r w:rsidRPr="0001225F">
        <w:rPr>
          <w:rFonts w:asciiTheme="minorHAnsi" w:hAnsiTheme="minorHAnsi" w:cstheme="minorHAnsi"/>
          <w:b w:val="0"/>
          <w:color w:val="000000" w:themeColor="text1"/>
          <w:sz w:val="24"/>
        </w:rPr>
        <w:t xml:space="preserve">l o pět desítek až na 780 osob, během roku 2012 došlo k dalšímu navýšení o tři desítky zaměstnanců </w:t>
      </w:r>
      <w:r w:rsidR="0083661F" w:rsidRPr="0001225F">
        <w:rPr>
          <w:rFonts w:asciiTheme="minorHAnsi" w:hAnsiTheme="minorHAnsi" w:cstheme="minorHAnsi"/>
          <w:b w:val="0"/>
          <w:color w:val="000000" w:themeColor="text1"/>
          <w:sz w:val="24"/>
        </w:rPr>
        <w:t>v souvislosti se získáním dalších kontraktů na dodávku železničních vozů pro osobní dopravu.</w:t>
      </w:r>
      <w:r w:rsidR="007E76F6" w:rsidRPr="0001225F">
        <w:rPr>
          <w:rFonts w:asciiTheme="minorHAnsi" w:hAnsiTheme="minorHAnsi" w:cstheme="minorHAnsi"/>
          <w:b w:val="0"/>
          <w:color w:val="000000" w:themeColor="text1"/>
          <w:sz w:val="24"/>
        </w:rPr>
        <w:t xml:space="preserve"> T</w:t>
      </w:r>
      <w:r w:rsidR="00F54E91" w:rsidRPr="0001225F">
        <w:rPr>
          <w:rFonts w:asciiTheme="minorHAnsi" w:hAnsiTheme="minorHAnsi" w:cstheme="minorHAnsi"/>
          <w:b w:val="0"/>
          <w:color w:val="000000" w:themeColor="text1"/>
          <w:sz w:val="24"/>
        </w:rPr>
        <w:t>o</w:t>
      </w:r>
      <w:r w:rsidR="007E76F6" w:rsidRPr="0001225F">
        <w:rPr>
          <w:rFonts w:asciiTheme="minorHAnsi" w:hAnsiTheme="minorHAnsi" w:cstheme="minorHAnsi"/>
          <w:b w:val="0"/>
          <w:color w:val="000000" w:themeColor="text1"/>
          <w:sz w:val="24"/>
        </w:rPr>
        <w:t>to navýšení ale bylo zase v roce 2013 vynulováno – počet zaměstnanců se snížil o 32 osob.</w:t>
      </w:r>
    </w:p>
    <w:p w:rsidR="0001225F" w:rsidRPr="00CA1880" w:rsidRDefault="0001225F" w:rsidP="0001225F">
      <w:pPr>
        <w:spacing w:after="120"/>
        <w:ind w:firstLine="708"/>
        <w:jc w:val="both"/>
        <w:rPr>
          <w:rFonts w:asciiTheme="minorHAnsi" w:hAnsiTheme="minorHAnsi" w:cstheme="minorHAnsi"/>
          <w:bCs/>
          <w:color w:val="000000" w:themeColor="text1"/>
        </w:rPr>
      </w:pPr>
      <w:r w:rsidRPr="00CA1880">
        <w:rPr>
          <w:rFonts w:asciiTheme="minorHAnsi" w:hAnsiTheme="minorHAnsi" w:cstheme="minorHAnsi"/>
        </w:rPr>
        <w:t xml:space="preserve">Meziročně se počet zaměstnanců snížil o pět desítek osob, ale </w:t>
      </w:r>
      <w:r w:rsidRPr="00CA1880">
        <w:rPr>
          <w:rFonts w:asciiTheme="minorHAnsi" w:hAnsiTheme="minorHAnsi" w:cstheme="minorHAnsi"/>
          <w:color w:val="000000" w:themeColor="text1"/>
        </w:rPr>
        <w:t xml:space="preserve">v říjnu 2014 tato společnost uzavřela </w:t>
      </w:r>
      <w:r w:rsidRPr="00CA1880">
        <w:rPr>
          <w:rFonts w:asciiTheme="minorHAnsi" w:hAnsiTheme="minorHAnsi" w:cstheme="minorHAnsi"/>
          <w:bCs/>
          <w:color w:val="000000" w:themeColor="text1"/>
        </w:rPr>
        <w:t>smlouvu s Českými drahami na modernizaci 31 osobních vozů za jednu miliardu korun. Z těchto d</w:t>
      </w:r>
      <w:r w:rsidR="00CA1880" w:rsidRPr="00CA1880">
        <w:rPr>
          <w:rFonts w:asciiTheme="minorHAnsi" w:hAnsiTheme="minorHAnsi" w:cstheme="minorHAnsi"/>
          <w:bCs/>
          <w:color w:val="000000" w:themeColor="text1"/>
        </w:rPr>
        <w:t>ůvodů začala hledat více než tři desítky zaměstnanců.</w:t>
      </w:r>
    </w:p>
    <w:p w:rsidR="0083661F" w:rsidRPr="00002B63" w:rsidRDefault="0083661F" w:rsidP="00956F5A">
      <w:pPr>
        <w:pStyle w:val="Zkladntext"/>
        <w:spacing w:line="240" w:lineRule="auto"/>
        <w:ind w:firstLine="720"/>
        <w:jc w:val="both"/>
        <w:rPr>
          <w:rFonts w:asciiTheme="minorHAnsi" w:hAnsiTheme="minorHAnsi" w:cstheme="minorHAnsi"/>
          <w:b w:val="0"/>
          <w:i/>
          <w:sz w:val="24"/>
        </w:rPr>
      </w:pPr>
    </w:p>
    <w:p w:rsidR="00791590" w:rsidRPr="007E76F6" w:rsidRDefault="00791590" w:rsidP="00791590">
      <w:pPr>
        <w:ind w:firstLine="708"/>
        <w:rPr>
          <w:rFonts w:asciiTheme="minorHAnsi" w:hAnsiTheme="minorHAnsi" w:cstheme="minorHAnsi"/>
          <w:b/>
          <w:color w:val="000000"/>
        </w:rPr>
      </w:pPr>
      <w:r w:rsidRPr="007E76F6">
        <w:rPr>
          <w:rFonts w:asciiTheme="minorHAnsi" w:hAnsiTheme="minorHAnsi" w:cstheme="minorHAnsi"/>
          <w:b/>
          <w:color w:val="0000FF"/>
        </w:rPr>
        <w:t>SSI Schäfer s.r.o.</w:t>
      </w:r>
      <w:r w:rsidRPr="007E76F6">
        <w:rPr>
          <w:rFonts w:asciiTheme="minorHAnsi" w:hAnsiTheme="minorHAnsi" w:cstheme="minorHAnsi"/>
          <w:b/>
          <w:color w:val="000000"/>
        </w:rPr>
        <w:t xml:space="preserve"> (výroba kovových výrobků, kovoobrábění)</w:t>
      </w:r>
    </w:p>
    <w:p w:rsidR="00791590" w:rsidRPr="007E76F6" w:rsidRDefault="00791590" w:rsidP="00791590">
      <w:pPr>
        <w:ind w:firstLine="708"/>
        <w:rPr>
          <w:rFonts w:asciiTheme="minorHAnsi" w:hAnsiTheme="minorHAnsi" w:cstheme="minorHAnsi"/>
          <w:b/>
          <w:color w:val="000000"/>
        </w:rPr>
      </w:pPr>
      <w:r w:rsidRPr="007E76F6">
        <w:rPr>
          <w:rFonts w:asciiTheme="minorHAnsi" w:hAnsiTheme="minorHAnsi" w:cstheme="minorHAnsi"/>
          <w:b/>
          <w:color w:val="000000"/>
        </w:rPr>
        <w:t>Tovární 325, Hranice (Německo)</w:t>
      </w:r>
    </w:p>
    <w:p w:rsidR="00791590" w:rsidRPr="00CA1880" w:rsidRDefault="00791590" w:rsidP="00791590">
      <w:pPr>
        <w:ind w:firstLine="720"/>
        <w:jc w:val="both"/>
        <w:rPr>
          <w:rFonts w:asciiTheme="minorHAnsi" w:hAnsiTheme="minorHAnsi" w:cstheme="minorHAnsi"/>
          <w:color w:val="000000" w:themeColor="text1"/>
        </w:rPr>
      </w:pPr>
      <w:r w:rsidRPr="00CA1880">
        <w:rPr>
          <w:rFonts w:asciiTheme="minorHAnsi" w:hAnsiTheme="minorHAnsi" w:cstheme="minorHAnsi"/>
          <w:color w:val="000000" w:themeColor="text1"/>
        </w:rPr>
        <w:t>Společnost patří k největším mezinárodním výrobcům regálových systémů. Součástí aktivit závodu v Hranicích je dále mechanická a elektrická montáž, včetně předběžného uvedení do provozu. Do sortimentu výrobků dále patří popelnice, kontejn</w:t>
      </w:r>
      <w:r w:rsidR="0037129A" w:rsidRPr="00CA1880">
        <w:rPr>
          <w:rFonts w:asciiTheme="minorHAnsi" w:hAnsiTheme="minorHAnsi" w:cstheme="minorHAnsi"/>
          <w:color w:val="000000" w:themeColor="text1"/>
        </w:rPr>
        <w:t>ery a další technika pro sběr a </w:t>
      </w:r>
      <w:r w:rsidRPr="00CA1880">
        <w:rPr>
          <w:rFonts w:asciiTheme="minorHAnsi" w:hAnsiTheme="minorHAnsi" w:cstheme="minorHAnsi"/>
          <w:color w:val="000000" w:themeColor="text1"/>
        </w:rPr>
        <w:t xml:space="preserve">třídění odpadů. </w:t>
      </w:r>
    </w:p>
    <w:p w:rsidR="00791590" w:rsidRPr="00CA1880" w:rsidRDefault="00791590" w:rsidP="00791590">
      <w:pPr>
        <w:ind w:firstLine="720"/>
        <w:jc w:val="both"/>
        <w:rPr>
          <w:rFonts w:asciiTheme="minorHAnsi" w:hAnsiTheme="minorHAnsi" w:cstheme="minorHAnsi"/>
          <w:color w:val="000000" w:themeColor="text1"/>
        </w:rPr>
      </w:pPr>
      <w:r w:rsidRPr="00CA1880">
        <w:rPr>
          <w:rFonts w:asciiTheme="minorHAnsi" w:hAnsiTheme="minorHAnsi" w:cstheme="minorHAnsi"/>
          <w:color w:val="000000" w:themeColor="text1"/>
        </w:rPr>
        <w:t xml:space="preserve">V roce 2009 </w:t>
      </w:r>
      <w:r w:rsidR="0037129A" w:rsidRPr="00CA1880">
        <w:rPr>
          <w:rFonts w:asciiTheme="minorHAnsi" w:hAnsiTheme="minorHAnsi" w:cstheme="minorHAnsi"/>
          <w:color w:val="000000" w:themeColor="text1"/>
        </w:rPr>
        <w:t xml:space="preserve">byla </w:t>
      </w:r>
      <w:r w:rsidRPr="00CA1880">
        <w:rPr>
          <w:rFonts w:asciiTheme="minorHAnsi" w:hAnsiTheme="minorHAnsi" w:cstheme="minorHAnsi"/>
          <w:color w:val="000000" w:themeColor="text1"/>
        </w:rPr>
        <w:t>uvedena do provozu nová hala a zvýšil se počet zaměstnanců</w:t>
      </w:r>
      <w:r w:rsidR="0037129A" w:rsidRPr="00CA1880">
        <w:rPr>
          <w:rFonts w:asciiTheme="minorHAnsi" w:hAnsiTheme="minorHAnsi" w:cstheme="minorHAnsi"/>
          <w:color w:val="000000" w:themeColor="text1"/>
        </w:rPr>
        <w:t xml:space="preserve"> o více než </w:t>
      </w:r>
      <w:r w:rsidRPr="00CA1880">
        <w:rPr>
          <w:rFonts w:asciiTheme="minorHAnsi" w:hAnsiTheme="minorHAnsi" w:cstheme="minorHAnsi"/>
          <w:color w:val="000000" w:themeColor="text1"/>
        </w:rPr>
        <w:t xml:space="preserve">100 osob. </w:t>
      </w:r>
      <w:r w:rsidR="0037129A" w:rsidRPr="00CA1880">
        <w:rPr>
          <w:rFonts w:asciiTheme="minorHAnsi" w:hAnsiTheme="minorHAnsi" w:cstheme="minorHAnsi"/>
          <w:color w:val="000000" w:themeColor="text1"/>
        </w:rPr>
        <w:t xml:space="preserve">Začátkem </w:t>
      </w:r>
      <w:r w:rsidRPr="00CA1880">
        <w:rPr>
          <w:rFonts w:asciiTheme="minorHAnsi" w:hAnsiTheme="minorHAnsi" w:cstheme="minorHAnsi"/>
          <w:color w:val="000000" w:themeColor="text1"/>
        </w:rPr>
        <w:t xml:space="preserve">roku 2010 </w:t>
      </w:r>
      <w:r w:rsidR="0037129A" w:rsidRPr="00CA1880">
        <w:rPr>
          <w:rFonts w:asciiTheme="minorHAnsi" w:hAnsiTheme="minorHAnsi" w:cstheme="minorHAnsi"/>
          <w:color w:val="000000" w:themeColor="text1"/>
        </w:rPr>
        <w:t>ale značně poklesl objem zakázek, byla ukončena</w:t>
      </w:r>
      <w:r w:rsidRPr="00CA1880">
        <w:rPr>
          <w:rFonts w:asciiTheme="minorHAnsi" w:hAnsiTheme="minorHAnsi" w:cstheme="minorHAnsi"/>
          <w:color w:val="000000" w:themeColor="text1"/>
        </w:rPr>
        <w:t xml:space="preserve"> část pra</w:t>
      </w:r>
      <w:r w:rsidR="0037129A" w:rsidRPr="00CA1880">
        <w:rPr>
          <w:rFonts w:asciiTheme="minorHAnsi" w:hAnsiTheme="minorHAnsi" w:cstheme="minorHAnsi"/>
          <w:color w:val="000000" w:themeColor="text1"/>
        </w:rPr>
        <w:t>covních poměrů na dobu určitou a byl zrušen nepřetržitý provoz. Počet zaměstnanců se snížil o cca sedm desítek. V roce 2011 došlo k výraznějšímu nárůstu poptávky a zaměstnanost se na konci roku zvýšila o téměř stovku osob (na 958 zaměstnanců).</w:t>
      </w:r>
    </w:p>
    <w:p w:rsidR="00CA1880" w:rsidRDefault="00BF733B" w:rsidP="00791590">
      <w:pPr>
        <w:ind w:firstLine="720"/>
        <w:jc w:val="both"/>
        <w:rPr>
          <w:rFonts w:asciiTheme="minorHAnsi" w:hAnsiTheme="minorHAnsi" w:cstheme="minorHAnsi"/>
          <w:color w:val="000000" w:themeColor="text1"/>
        </w:rPr>
      </w:pPr>
      <w:r w:rsidRPr="00CA1880">
        <w:rPr>
          <w:rFonts w:asciiTheme="minorHAnsi" w:hAnsiTheme="minorHAnsi" w:cstheme="minorHAnsi"/>
          <w:color w:val="000000" w:themeColor="text1"/>
        </w:rPr>
        <w:t>Nábor nových zaměstnanců pokračoval i v roce 2012 – mez</w:t>
      </w:r>
      <w:r w:rsidR="007E76F6" w:rsidRPr="00CA1880">
        <w:rPr>
          <w:rFonts w:asciiTheme="minorHAnsi" w:hAnsiTheme="minorHAnsi" w:cstheme="minorHAnsi"/>
          <w:color w:val="000000" w:themeColor="text1"/>
        </w:rPr>
        <w:t>iročně se početní stav zvýšil o </w:t>
      </w:r>
      <w:r w:rsidRPr="00CA1880">
        <w:rPr>
          <w:rFonts w:asciiTheme="minorHAnsi" w:hAnsiTheme="minorHAnsi" w:cstheme="minorHAnsi"/>
          <w:color w:val="000000" w:themeColor="text1"/>
        </w:rPr>
        <w:t>112 osob</w:t>
      </w:r>
      <w:r w:rsidR="007E76F6" w:rsidRPr="00CA1880">
        <w:rPr>
          <w:rFonts w:asciiTheme="minorHAnsi" w:hAnsiTheme="minorHAnsi" w:cstheme="minorHAnsi"/>
          <w:color w:val="000000" w:themeColor="text1"/>
        </w:rPr>
        <w:t>. Také v roce 2013 se počet zaměstnanců zvýšil – celkem o šest desítek osob (většinou se jednalo o elektromontéry</w:t>
      </w:r>
      <w:r w:rsidRPr="00CA1880">
        <w:rPr>
          <w:rFonts w:asciiTheme="minorHAnsi" w:hAnsiTheme="minorHAnsi" w:cstheme="minorHAnsi"/>
          <w:color w:val="000000" w:themeColor="text1"/>
        </w:rPr>
        <w:t xml:space="preserve"> a s</w:t>
      </w:r>
      <w:r w:rsidR="007E76F6" w:rsidRPr="00CA1880">
        <w:rPr>
          <w:rFonts w:asciiTheme="minorHAnsi" w:hAnsiTheme="minorHAnsi" w:cstheme="minorHAnsi"/>
          <w:color w:val="000000" w:themeColor="text1"/>
        </w:rPr>
        <w:t>vářeče)</w:t>
      </w:r>
      <w:r w:rsidRPr="00CA1880">
        <w:rPr>
          <w:rFonts w:asciiTheme="minorHAnsi" w:hAnsiTheme="minorHAnsi" w:cstheme="minorHAnsi"/>
          <w:color w:val="000000" w:themeColor="text1"/>
        </w:rPr>
        <w:t>.</w:t>
      </w:r>
      <w:r w:rsidR="00CA1880">
        <w:rPr>
          <w:rFonts w:asciiTheme="minorHAnsi" w:hAnsiTheme="minorHAnsi" w:cstheme="minorHAnsi"/>
          <w:color w:val="000000" w:themeColor="text1"/>
        </w:rPr>
        <w:t xml:space="preserve"> Přijímání nových zaměstnanců pokračovalo i v roce 2014 – meziročně se počet pracovníků zvýšil o 130 osob. Také pro další pololetí společnost plánuje přijmout dalších cca 130 zaměstnanců – zejména se bude jednat o zámečníky, svářeče, elektromontéry a obsluhu strojů.</w:t>
      </w:r>
    </w:p>
    <w:p w:rsidR="00CA1880" w:rsidRPr="00CA1880" w:rsidRDefault="00CA1880" w:rsidP="00791590">
      <w:pPr>
        <w:ind w:firstLine="720"/>
        <w:jc w:val="both"/>
        <w:rPr>
          <w:rFonts w:asciiTheme="minorHAnsi" w:hAnsiTheme="minorHAnsi" w:cstheme="minorHAnsi"/>
          <w:color w:val="000000" w:themeColor="text1"/>
        </w:rPr>
      </w:pPr>
    </w:p>
    <w:p w:rsidR="00C444EC" w:rsidRPr="00302131" w:rsidRDefault="004F7191" w:rsidP="00C444EC">
      <w:pPr>
        <w:pStyle w:val="Zkladntext"/>
        <w:spacing w:line="240" w:lineRule="atLeast"/>
        <w:ind w:firstLine="720"/>
        <w:jc w:val="both"/>
        <w:rPr>
          <w:rFonts w:asciiTheme="minorHAnsi" w:hAnsiTheme="minorHAnsi" w:cstheme="minorHAnsi"/>
          <w:sz w:val="24"/>
        </w:rPr>
      </w:pPr>
      <w:r w:rsidRPr="00002B63">
        <w:rPr>
          <w:rFonts w:asciiTheme="minorHAnsi" w:hAnsiTheme="minorHAnsi" w:cstheme="minorHAnsi"/>
          <w:i/>
          <w:color w:val="FF6600"/>
          <w:sz w:val="24"/>
        </w:rPr>
        <w:tab/>
      </w:r>
      <w:r w:rsidR="00C444EC" w:rsidRPr="00302131">
        <w:rPr>
          <w:rFonts w:asciiTheme="minorHAnsi" w:hAnsiTheme="minorHAnsi" w:cstheme="minorHAnsi"/>
          <w:color w:val="0000FF"/>
          <w:sz w:val="24"/>
        </w:rPr>
        <w:t>UNEX Uničov a.s., UNEX Slévárna s.r.o.</w:t>
      </w:r>
      <w:r w:rsidR="00FD72F6">
        <w:rPr>
          <w:rFonts w:asciiTheme="minorHAnsi" w:hAnsiTheme="minorHAnsi" w:cstheme="minorHAnsi"/>
          <w:color w:val="0000FF"/>
          <w:sz w:val="24"/>
        </w:rPr>
        <w:t xml:space="preserve"> </w:t>
      </w:r>
      <w:r w:rsidR="00C444EC" w:rsidRPr="00302131">
        <w:rPr>
          <w:rFonts w:asciiTheme="minorHAnsi" w:hAnsiTheme="minorHAnsi" w:cstheme="minorHAnsi"/>
          <w:sz w:val="24"/>
        </w:rPr>
        <w:t>(těžební technika pro po</w:t>
      </w:r>
      <w:r w:rsidR="00FD72F6">
        <w:rPr>
          <w:rFonts w:asciiTheme="minorHAnsi" w:hAnsiTheme="minorHAnsi" w:cstheme="minorHAnsi"/>
          <w:sz w:val="24"/>
        </w:rPr>
        <w:t>vrchové doly</w:t>
      </w:r>
      <w:r w:rsidR="00C444EC" w:rsidRPr="00302131">
        <w:rPr>
          <w:rFonts w:asciiTheme="minorHAnsi" w:hAnsiTheme="minorHAnsi" w:cstheme="minorHAnsi"/>
          <w:sz w:val="24"/>
        </w:rPr>
        <w:t xml:space="preserve">) </w:t>
      </w:r>
    </w:p>
    <w:p w:rsidR="00C444EC" w:rsidRPr="00302131" w:rsidRDefault="00C444EC" w:rsidP="00C444EC">
      <w:pPr>
        <w:pStyle w:val="Zkladntext"/>
        <w:spacing w:line="240" w:lineRule="atLeast"/>
        <w:ind w:firstLine="720"/>
        <w:jc w:val="both"/>
        <w:rPr>
          <w:rFonts w:asciiTheme="minorHAnsi" w:hAnsiTheme="minorHAnsi" w:cstheme="minorHAnsi"/>
          <w:b w:val="0"/>
          <w:sz w:val="24"/>
        </w:rPr>
      </w:pPr>
      <w:r w:rsidRPr="00302131">
        <w:rPr>
          <w:rFonts w:asciiTheme="minorHAnsi" w:hAnsiTheme="minorHAnsi" w:cstheme="minorHAnsi"/>
          <w:sz w:val="24"/>
        </w:rPr>
        <w:t>Brníčko 1032, Uničov</w:t>
      </w:r>
    </w:p>
    <w:p w:rsidR="006C51FE" w:rsidRPr="006062CA" w:rsidRDefault="00C444EC" w:rsidP="00C444EC">
      <w:pPr>
        <w:ind w:firstLine="720"/>
        <w:jc w:val="both"/>
        <w:rPr>
          <w:rFonts w:asciiTheme="minorHAnsi" w:hAnsiTheme="minorHAnsi" w:cstheme="minorHAnsi"/>
          <w:color w:val="000000" w:themeColor="text1"/>
        </w:rPr>
      </w:pPr>
      <w:r w:rsidRPr="00302131">
        <w:rPr>
          <w:rFonts w:asciiTheme="minorHAnsi" w:hAnsiTheme="minorHAnsi" w:cstheme="minorHAnsi"/>
        </w:rPr>
        <w:tab/>
      </w:r>
      <w:r w:rsidRPr="00302131">
        <w:rPr>
          <w:rFonts w:asciiTheme="minorHAnsi" w:hAnsiTheme="minorHAnsi" w:cstheme="minorHAnsi"/>
        </w:rPr>
        <w:tab/>
      </w:r>
      <w:r w:rsidRPr="00302131">
        <w:rPr>
          <w:rFonts w:asciiTheme="minorHAnsi" w:hAnsiTheme="minorHAnsi" w:cstheme="minorHAnsi"/>
        </w:rPr>
        <w:tab/>
      </w:r>
      <w:r w:rsidRPr="00302131">
        <w:rPr>
          <w:rFonts w:asciiTheme="minorHAnsi" w:hAnsiTheme="minorHAnsi" w:cstheme="minorHAnsi"/>
        </w:rPr>
        <w:tab/>
      </w:r>
      <w:r w:rsidRPr="00302131">
        <w:rPr>
          <w:rFonts w:asciiTheme="minorHAnsi" w:hAnsiTheme="minorHAnsi" w:cstheme="minorHAnsi"/>
        </w:rPr>
        <w:tab/>
      </w:r>
      <w:r w:rsidR="005C48C5" w:rsidRPr="006062CA">
        <w:rPr>
          <w:rFonts w:asciiTheme="minorHAnsi" w:hAnsiTheme="minorHAnsi" w:cstheme="minorHAnsi"/>
          <w:color w:val="000000" w:themeColor="text1"/>
        </w:rPr>
        <w:t xml:space="preserve">Jedná se o </w:t>
      </w:r>
      <w:r w:rsidR="00790D1C" w:rsidRPr="006062CA">
        <w:rPr>
          <w:rFonts w:asciiTheme="minorHAnsi" w:hAnsiTheme="minorHAnsi" w:cstheme="minorHAnsi"/>
          <w:color w:val="000000" w:themeColor="text1"/>
        </w:rPr>
        <w:t>významnou strojírensko – metalurgickou skupinu, která</w:t>
      </w:r>
      <w:r w:rsidR="005C48C5" w:rsidRPr="006062CA">
        <w:rPr>
          <w:rFonts w:asciiTheme="minorHAnsi" w:hAnsiTheme="minorHAnsi" w:cstheme="minorHAnsi"/>
          <w:color w:val="000000" w:themeColor="text1"/>
        </w:rPr>
        <w:t xml:space="preserve"> významně ovlivňuje (ne)zaměstnanost</w:t>
      </w:r>
      <w:r w:rsidR="005F40E9" w:rsidRPr="006062CA">
        <w:rPr>
          <w:rFonts w:asciiTheme="minorHAnsi" w:hAnsiTheme="minorHAnsi" w:cstheme="minorHAnsi"/>
          <w:color w:val="000000" w:themeColor="text1"/>
        </w:rPr>
        <w:t xml:space="preserve"> v širokém okolí.</w:t>
      </w:r>
      <w:r w:rsidR="005C48C5" w:rsidRPr="006062CA">
        <w:rPr>
          <w:rFonts w:asciiTheme="minorHAnsi" w:hAnsiTheme="minorHAnsi" w:cstheme="minorHAnsi"/>
          <w:color w:val="000000" w:themeColor="text1"/>
        </w:rPr>
        <w:t xml:space="preserve"> </w:t>
      </w:r>
      <w:r w:rsidR="005F40E9" w:rsidRPr="006062CA">
        <w:rPr>
          <w:rFonts w:asciiTheme="minorHAnsi" w:hAnsiTheme="minorHAnsi" w:cstheme="minorHAnsi"/>
          <w:color w:val="000000" w:themeColor="text1"/>
        </w:rPr>
        <w:t>Původně jediná společnost se postupně rozdělila do několika firem, které jsou majetkově a personálně propojeny a vytvářejí holding. Majite</w:t>
      </w:r>
      <w:r w:rsidR="006C51FE" w:rsidRPr="006062CA">
        <w:rPr>
          <w:rFonts w:asciiTheme="minorHAnsi" w:hAnsiTheme="minorHAnsi" w:cstheme="minorHAnsi"/>
          <w:color w:val="000000" w:themeColor="text1"/>
        </w:rPr>
        <w:t>l holdingu (společnost ARCADA Capital a.s.) ovládl i olomouckou společnost Moravské železárny a.s. Kromě Uničova a Olomouce má UNEX dva závody i na Sloven</w:t>
      </w:r>
      <w:r w:rsidR="00BF733B" w:rsidRPr="006062CA">
        <w:rPr>
          <w:rFonts w:asciiTheme="minorHAnsi" w:hAnsiTheme="minorHAnsi" w:cstheme="minorHAnsi"/>
          <w:color w:val="000000" w:themeColor="text1"/>
        </w:rPr>
        <w:t>sku.</w:t>
      </w:r>
    </w:p>
    <w:p w:rsidR="0037129A" w:rsidRDefault="006C51FE" w:rsidP="00C444EC">
      <w:pPr>
        <w:ind w:firstLine="720"/>
        <w:jc w:val="both"/>
        <w:rPr>
          <w:rFonts w:asciiTheme="minorHAnsi" w:hAnsiTheme="minorHAnsi" w:cstheme="minorHAnsi"/>
          <w:color w:val="000000" w:themeColor="text1"/>
        </w:rPr>
      </w:pPr>
      <w:r w:rsidRPr="006062CA">
        <w:rPr>
          <w:rFonts w:asciiTheme="minorHAnsi" w:hAnsiTheme="minorHAnsi" w:cstheme="minorHAnsi"/>
          <w:color w:val="000000" w:themeColor="text1"/>
        </w:rPr>
        <w:t>Závody v Uničově</w:t>
      </w:r>
      <w:r w:rsidR="00BF733B" w:rsidRPr="006062CA">
        <w:rPr>
          <w:rFonts w:asciiTheme="minorHAnsi" w:hAnsiTheme="minorHAnsi" w:cstheme="minorHAnsi"/>
          <w:color w:val="000000" w:themeColor="text1"/>
        </w:rPr>
        <w:t xml:space="preserve"> zaměstnávaly na konci roku 2011 celkem 1 500</w:t>
      </w:r>
      <w:r w:rsidRPr="006062CA">
        <w:rPr>
          <w:rFonts w:asciiTheme="minorHAnsi" w:hAnsiTheme="minorHAnsi" w:cstheme="minorHAnsi"/>
          <w:color w:val="000000" w:themeColor="text1"/>
        </w:rPr>
        <w:t xml:space="preserve"> pracovníků, o rok</w:t>
      </w:r>
      <w:r w:rsidR="00BF733B" w:rsidRPr="006062CA">
        <w:rPr>
          <w:rFonts w:asciiTheme="minorHAnsi" w:hAnsiTheme="minorHAnsi" w:cstheme="minorHAnsi"/>
          <w:color w:val="000000" w:themeColor="text1"/>
        </w:rPr>
        <w:t xml:space="preserve"> později se zaměstnanost snížila o 130 osob. </w:t>
      </w:r>
      <w:r w:rsidR="00302131" w:rsidRPr="006062CA">
        <w:rPr>
          <w:rFonts w:asciiTheme="minorHAnsi" w:hAnsiTheme="minorHAnsi" w:cstheme="minorHAnsi"/>
          <w:color w:val="000000" w:themeColor="text1"/>
        </w:rPr>
        <w:t>V roce 2013 se přímo pod holding UNEX převedlo i téměř 300 zaměstnanců Moravských železáren. V celém koncernu je tedy zaměstnáno dohromady téměř 1 600 osob.</w:t>
      </w:r>
      <w:r w:rsidR="006062CA" w:rsidRPr="006062CA">
        <w:rPr>
          <w:rFonts w:asciiTheme="minorHAnsi" w:hAnsiTheme="minorHAnsi" w:cstheme="minorHAnsi"/>
          <w:color w:val="000000" w:themeColor="text1"/>
        </w:rPr>
        <w:t xml:space="preserve"> Meziročně nedošlo k výraznější změně v počtu </w:t>
      </w:r>
      <w:r w:rsidR="006062CA">
        <w:rPr>
          <w:rFonts w:asciiTheme="minorHAnsi" w:hAnsiTheme="minorHAnsi" w:cstheme="minorHAnsi"/>
          <w:color w:val="000000" w:themeColor="text1"/>
        </w:rPr>
        <w:t>zaměstnanců v následujícím období společnost plánuje nábor cca tří desítek nových zaměstnanců (většinou dělnických strojírenských profesí).</w:t>
      </w:r>
    </w:p>
    <w:p w:rsidR="00FD72F6" w:rsidRPr="006062CA" w:rsidRDefault="00FD72F6" w:rsidP="00C444EC">
      <w:pPr>
        <w:ind w:firstLine="720"/>
        <w:jc w:val="both"/>
        <w:rPr>
          <w:rFonts w:asciiTheme="minorHAnsi" w:hAnsiTheme="minorHAnsi" w:cstheme="minorHAnsi"/>
          <w:color w:val="000000" w:themeColor="text1"/>
        </w:rPr>
      </w:pPr>
    </w:p>
    <w:p w:rsidR="00CC3E36" w:rsidRPr="007E64DA" w:rsidRDefault="00CC3E36" w:rsidP="00C444EC">
      <w:pPr>
        <w:ind w:firstLine="720"/>
        <w:jc w:val="both"/>
        <w:rPr>
          <w:rFonts w:asciiTheme="minorHAnsi" w:hAnsiTheme="minorHAnsi" w:cstheme="minorHAnsi"/>
          <w:color w:val="FF0000"/>
        </w:rPr>
      </w:pPr>
    </w:p>
    <w:p w:rsidR="008033D9" w:rsidRPr="0095058A" w:rsidRDefault="006062CA" w:rsidP="008033D9">
      <w:pPr>
        <w:ind w:firstLine="720"/>
        <w:rPr>
          <w:rFonts w:asciiTheme="minorHAnsi" w:hAnsiTheme="minorHAnsi" w:cstheme="minorHAnsi"/>
          <w:b/>
          <w:color w:val="000000"/>
        </w:rPr>
      </w:pPr>
      <w:r>
        <w:rPr>
          <w:rFonts w:asciiTheme="minorHAnsi" w:hAnsiTheme="minorHAnsi" w:cstheme="minorHAnsi"/>
          <w:b/>
          <w:color w:val="0000FF"/>
        </w:rPr>
        <w:lastRenderedPageBreak/>
        <w:t>HELLA AUTOTECHNIK NOVA</w:t>
      </w:r>
      <w:r w:rsidR="008033D9" w:rsidRPr="0095058A">
        <w:rPr>
          <w:rFonts w:asciiTheme="minorHAnsi" w:hAnsiTheme="minorHAnsi" w:cstheme="minorHAnsi"/>
          <w:b/>
          <w:color w:val="0000FF"/>
        </w:rPr>
        <w:t>, s.r.o.</w:t>
      </w:r>
      <w:r w:rsidR="008033D9" w:rsidRPr="0095058A">
        <w:rPr>
          <w:rFonts w:asciiTheme="minorHAnsi" w:hAnsiTheme="minorHAnsi" w:cstheme="minorHAnsi"/>
          <w:b/>
          <w:color w:val="000000"/>
        </w:rPr>
        <w:t xml:space="preserve"> (výroba světelné techniky pro automobily)</w:t>
      </w:r>
    </w:p>
    <w:p w:rsidR="008033D9" w:rsidRPr="0095058A" w:rsidRDefault="008033D9" w:rsidP="008033D9">
      <w:pPr>
        <w:ind w:firstLine="708"/>
        <w:jc w:val="both"/>
        <w:rPr>
          <w:rFonts w:asciiTheme="minorHAnsi" w:hAnsiTheme="minorHAnsi" w:cstheme="minorHAnsi"/>
          <w:b/>
          <w:color w:val="000000"/>
        </w:rPr>
      </w:pPr>
      <w:r w:rsidRPr="0095058A">
        <w:rPr>
          <w:rFonts w:asciiTheme="minorHAnsi" w:hAnsiTheme="minorHAnsi" w:cstheme="minorHAnsi"/>
          <w:b/>
          <w:color w:val="000000"/>
        </w:rPr>
        <w:t>D</w:t>
      </w:r>
      <w:r w:rsidR="006F452A" w:rsidRPr="0095058A">
        <w:rPr>
          <w:rFonts w:asciiTheme="minorHAnsi" w:hAnsiTheme="minorHAnsi" w:cstheme="minorHAnsi"/>
          <w:b/>
          <w:color w:val="000000"/>
        </w:rPr>
        <w:t xml:space="preserve">ružstevní </w:t>
      </w:r>
      <w:r w:rsidRPr="0095058A">
        <w:rPr>
          <w:rFonts w:asciiTheme="minorHAnsi" w:hAnsiTheme="minorHAnsi" w:cstheme="minorHAnsi"/>
          <w:b/>
          <w:color w:val="000000"/>
        </w:rPr>
        <w:t>16, Mohelnice (Německo)</w:t>
      </w:r>
    </w:p>
    <w:p w:rsidR="006F452A" w:rsidRPr="006062CA" w:rsidRDefault="00F968FB" w:rsidP="008033D9">
      <w:pPr>
        <w:ind w:firstLine="708"/>
        <w:jc w:val="both"/>
        <w:rPr>
          <w:rFonts w:asciiTheme="minorHAnsi" w:hAnsiTheme="minorHAnsi" w:cstheme="minorHAnsi"/>
          <w:color w:val="000000" w:themeColor="text1"/>
        </w:rPr>
      </w:pPr>
      <w:r w:rsidRPr="006062CA">
        <w:rPr>
          <w:rFonts w:asciiTheme="minorHAnsi" w:hAnsiTheme="minorHAnsi" w:cstheme="minorHAnsi"/>
          <w:color w:val="000000" w:themeColor="text1"/>
        </w:rPr>
        <w:t>Firma HELLA AUTOTECHNIK s.r.o. v Mohelnici</w:t>
      </w:r>
      <w:r w:rsidR="008033D9" w:rsidRPr="006062CA">
        <w:rPr>
          <w:rFonts w:asciiTheme="minorHAnsi" w:hAnsiTheme="minorHAnsi" w:cstheme="minorHAnsi"/>
          <w:color w:val="000000" w:themeColor="text1"/>
        </w:rPr>
        <w:t xml:space="preserve"> byla založena v roce 1992 jako stoprocentní dceřiná společnost německého koncernu HELLA KGaA Hueck &amp; Co. V letech 1992 – 1994 byl vystavěn závod v Mohelnici a zavedena výroba světlometů, zadních svítilen, blinkrů a ostřikovačů pro vozy Škoda. </w:t>
      </w:r>
      <w:r w:rsidR="006F452A" w:rsidRPr="006062CA">
        <w:rPr>
          <w:rFonts w:asciiTheme="minorHAnsi" w:hAnsiTheme="minorHAnsi" w:cstheme="minorHAnsi"/>
          <w:color w:val="000000" w:themeColor="text1"/>
        </w:rPr>
        <w:t>Posléze většina zaměstnanců (která zajiš</w:t>
      </w:r>
      <w:r w:rsidRPr="006062CA">
        <w:rPr>
          <w:rFonts w:asciiTheme="minorHAnsi" w:hAnsiTheme="minorHAnsi" w:cstheme="minorHAnsi"/>
          <w:color w:val="000000" w:themeColor="text1"/>
        </w:rPr>
        <w:t>ťovala výrobu) přešla do </w:t>
      </w:r>
      <w:r w:rsidR="006F452A" w:rsidRPr="006062CA">
        <w:rPr>
          <w:rFonts w:asciiTheme="minorHAnsi" w:hAnsiTheme="minorHAnsi" w:cstheme="minorHAnsi"/>
          <w:color w:val="000000" w:themeColor="text1"/>
        </w:rPr>
        <w:t>dceřiné společnosti HELLA AUTOTECHNIK NOVA, s.r.o. a původní mat</w:t>
      </w:r>
      <w:r w:rsidRPr="006062CA">
        <w:rPr>
          <w:rFonts w:asciiTheme="minorHAnsi" w:hAnsiTheme="minorHAnsi" w:cstheme="minorHAnsi"/>
          <w:color w:val="000000" w:themeColor="text1"/>
        </w:rPr>
        <w:t>eřská společnost se specializovala</w:t>
      </w:r>
      <w:r w:rsidR="006F452A" w:rsidRPr="006062CA">
        <w:rPr>
          <w:rFonts w:asciiTheme="minorHAnsi" w:hAnsiTheme="minorHAnsi" w:cstheme="minorHAnsi"/>
          <w:color w:val="000000" w:themeColor="text1"/>
        </w:rPr>
        <w:t xml:space="preserve"> na vývoj nových výrobků (včetně měření a testování). Od roku 2008 je stoprocentním společníkem</w:t>
      </w:r>
      <w:r w:rsidRPr="006062CA">
        <w:rPr>
          <w:rFonts w:asciiTheme="minorHAnsi" w:hAnsiTheme="minorHAnsi" w:cstheme="minorHAnsi"/>
          <w:color w:val="000000" w:themeColor="text1"/>
        </w:rPr>
        <w:t xml:space="preserve"> obou společností</w:t>
      </w:r>
      <w:r w:rsidR="006F452A" w:rsidRPr="006062CA">
        <w:rPr>
          <w:rFonts w:asciiTheme="minorHAnsi" w:hAnsiTheme="minorHAnsi" w:cstheme="minorHAnsi"/>
          <w:color w:val="000000" w:themeColor="text1"/>
        </w:rPr>
        <w:t xml:space="preserve"> firma Hella Corporate Center Central &amp; Eastern Europe, s.r.o.</w:t>
      </w:r>
      <w:r w:rsidRPr="006062CA">
        <w:rPr>
          <w:rFonts w:asciiTheme="minorHAnsi" w:hAnsiTheme="minorHAnsi" w:cstheme="minorHAnsi"/>
          <w:color w:val="000000" w:themeColor="text1"/>
        </w:rPr>
        <w:t>, která pro výše uvedené společnosti vykonává ekonomické služby (většinovým vlastníkem této společnosti je Reinhold Poersch GmbH).</w:t>
      </w:r>
    </w:p>
    <w:p w:rsidR="0095058A" w:rsidRPr="006062CA" w:rsidRDefault="00F968FB" w:rsidP="008033D9">
      <w:pPr>
        <w:ind w:firstLine="708"/>
        <w:jc w:val="both"/>
        <w:rPr>
          <w:rFonts w:asciiTheme="minorHAnsi" w:hAnsiTheme="minorHAnsi" w:cstheme="minorHAnsi"/>
          <w:color w:val="000000" w:themeColor="text1"/>
        </w:rPr>
      </w:pPr>
      <w:r w:rsidRPr="006062CA">
        <w:rPr>
          <w:rFonts w:asciiTheme="minorHAnsi" w:hAnsiTheme="minorHAnsi" w:cstheme="minorHAnsi"/>
          <w:color w:val="000000" w:themeColor="text1"/>
        </w:rPr>
        <w:t xml:space="preserve">Počet zaměstnanců ve výrobní a vývojové společnosti se </w:t>
      </w:r>
      <w:r w:rsidR="00FA4FA2" w:rsidRPr="006062CA">
        <w:rPr>
          <w:rFonts w:asciiTheme="minorHAnsi" w:hAnsiTheme="minorHAnsi" w:cstheme="minorHAnsi"/>
          <w:color w:val="000000" w:themeColor="text1"/>
        </w:rPr>
        <w:t>me</w:t>
      </w:r>
      <w:r w:rsidR="0095058A" w:rsidRPr="006062CA">
        <w:rPr>
          <w:rFonts w:asciiTheme="minorHAnsi" w:hAnsiTheme="minorHAnsi" w:cstheme="minorHAnsi"/>
          <w:color w:val="000000" w:themeColor="text1"/>
        </w:rPr>
        <w:t>ziročně zvýšil dohromady o 113 osob a na konci roku 2013 činil 1 441 osob (+ 180</w:t>
      </w:r>
      <w:r w:rsidRPr="006062CA">
        <w:rPr>
          <w:rFonts w:asciiTheme="minorHAnsi" w:hAnsiTheme="minorHAnsi" w:cstheme="minorHAnsi"/>
          <w:color w:val="000000" w:themeColor="text1"/>
        </w:rPr>
        <w:t xml:space="preserve"> zaměstnanců v Hella Corporate</w:t>
      </w:r>
      <w:r w:rsidR="0095058A" w:rsidRPr="006062CA">
        <w:rPr>
          <w:rFonts w:asciiTheme="minorHAnsi" w:hAnsiTheme="minorHAnsi" w:cstheme="minorHAnsi"/>
          <w:color w:val="000000" w:themeColor="text1"/>
        </w:rPr>
        <w:t>, zde meziroční navýšení o čtyři desítky osob</w:t>
      </w:r>
      <w:r w:rsidRPr="006062CA">
        <w:rPr>
          <w:rFonts w:asciiTheme="minorHAnsi" w:hAnsiTheme="minorHAnsi" w:cstheme="minorHAnsi"/>
          <w:color w:val="000000" w:themeColor="text1"/>
        </w:rPr>
        <w:t xml:space="preserve">). </w:t>
      </w:r>
    </w:p>
    <w:p w:rsidR="006F452A" w:rsidRPr="00FD72F6" w:rsidRDefault="006062CA" w:rsidP="008033D9">
      <w:pPr>
        <w:ind w:firstLine="708"/>
        <w:jc w:val="both"/>
        <w:rPr>
          <w:rFonts w:asciiTheme="minorHAnsi" w:hAnsiTheme="minorHAnsi" w:cstheme="minorHAnsi"/>
          <w:color w:val="000000" w:themeColor="text1"/>
        </w:rPr>
      </w:pPr>
      <w:r w:rsidRPr="00FD72F6">
        <w:rPr>
          <w:rFonts w:asciiTheme="minorHAnsi" w:hAnsiTheme="minorHAnsi" w:cstheme="minorHAnsi"/>
          <w:color w:val="000000" w:themeColor="text1"/>
        </w:rPr>
        <w:t>V roce 2014 se všichni zaměstnanci převedli</w:t>
      </w:r>
      <w:r w:rsidR="0095058A" w:rsidRPr="00FD72F6">
        <w:rPr>
          <w:rFonts w:asciiTheme="minorHAnsi" w:hAnsiTheme="minorHAnsi" w:cstheme="minorHAnsi"/>
          <w:color w:val="000000" w:themeColor="text1"/>
        </w:rPr>
        <w:t xml:space="preserve"> do jediné společnosti - HELLA AUTOTECHNIK NOVA, s.r.o.</w:t>
      </w:r>
      <w:r w:rsidRPr="00FD72F6">
        <w:rPr>
          <w:rFonts w:asciiTheme="minorHAnsi" w:hAnsiTheme="minorHAnsi" w:cstheme="minorHAnsi"/>
          <w:color w:val="000000" w:themeColor="text1"/>
        </w:rPr>
        <w:t xml:space="preserve">  a navíc bylo přijaty tři desítky nových zaměstnanců – konečný stav byl tedy 1 659 osob. </w:t>
      </w:r>
      <w:r w:rsidR="00FD72F6" w:rsidRPr="00FD72F6">
        <w:rPr>
          <w:rFonts w:asciiTheme="minorHAnsi" w:hAnsiTheme="minorHAnsi" w:cstheme="minorHAnsi"/>
          <w:color w:val="000000" w:themeColor="text1"/>
        </w:rPr>
        <w:t>Nábor nových zaměstnanců bude pokračovat i nadále – v 1. pololetí by se měl stav zaměstnanců zvýšit o další čtyři desítky osob.</w:t>
      </w:r>
    </w:p>
    <w:p w:rsidR="009F2F4D" w:rsidRPr="00002B63" w:rsidRDefault="009F2F4D" w:rsidP="008033D9">
      <w:pPr>
        <w:ind w:firstLine="708"/>
        <w:jc w:val="both"/>
        <w:rPr>
          <w:rFonts w:asciiTheme="minorHAnsi" w:hAnsiTheme="minorHAnsi" w:cstheme="minorHAnsi"/>
          <w:i/>
          <w:color w:val="000000"/>
        </w:rPr>
      </w:pPr>
    </w:p>
    <w:p w:rsidR="00C444EC" w:rsidRPr="0095058A" w:rsidRDefault="00C444EC" w:rsidP="00C444EC">
      <w:pPr>
        <w:ind w:firstLine="708"/>
        <w:jc w:val="both"/>
        <w:rPr>
          <w:rFonts w:asciiTheme="minorHAnsi" w:hAnsiTheme="minorHAnsi" w:cstheme="minorHAnsi"/>
          <w:b/>
          <w:color w:val="000000"/>
        </w:rPr>
      </w:pPr>
      <w:r w:rsidRPr="0095058A">
        <w:rPr>
          <w:rFonts w:asciiTheme="minorHAnsi" w:hAnsiTheme="minorHAnsi" w:cstheme="minorHAnsi"/>
          <w:b/>
          <w:color w:val="0000FF"/>
        </w:rPr>
        <w:t>Meopta – optika, spol. s r.o.</w:t>
      </w:r>
      <w:r w:rsidRPr="0095058A">
        <w:rPr>
          <w:rFonts w:asciiTheme="minorHAnsi" w:hAnsiTheme="minorHAnsi" w:cstheme="minorHAnsi"/>
          <w:b/>
          <w:color w:val="000000"/>
        </w:rPr>
        <w:t xml:space="preserve"> (výroba volné optiky a optických zařízení)</w:t>
      </w:r>
    </w:p>
    <w:p w:rsidR="00C444EC" w:rsidRPr="0095058A" w:rsidRDefault="00C444EC" w:rsidP="00C444EC">
      <w:pPr>
        <w:ind w:firstLine="708"/>
        <w:jc w:val="both"/>
        <w:rPr>
          <w:rFonts w:asciiTheme="minorHAnsi" w:hAnsiTheme="minorHAnsi" w:cstheme="minorHAnsi"/>
          <w:b/>
          <w:color w:val="000000"/>
        </w:rPr>
      </w:pPr>
      <w:r w:rsidRPr="0095058A">
        <w:rPr>
          <w:rFonts w:asciiTheme="minorHAnsi" w:hAnsiTheme="minorHAnsi" w:cstheme="minorHAnsi"/>
          <w:b/>
          <w:color w:val="000000"/>
        </w:rPr>
        <w:t>Kabelíkova 1, Přerov (USA)</w:t>
      </w:r>
    </w:p>
    <w:p w:rsidR="0089158B" w:rsidRPr="00FD72F6" w:rsidRDefault="00C444EC" w:rsidP="0089158B">
      <w:pPr>
        <w:ind w:firstLine="720"/>
        <w:jc w:val="both"/>
        <w:rPr>
          <w:rFonts w:asciiTheme="minorHAnsi" w:hAnsiTheme="minorHAnsi" w:cstheme="minorHAnsi"/>
          <w:color w:val="000000" w:themeColor="text1"/>
        </w:rPr>
      </w:pPr>
      <w:r w:rsidRPr="0095058A">
        <w:rPr>
          <w:rFonts w:asciiTheme="minorHAnsi" w:hAnsiTheme="minorHAnsi" w:cstheme="minorHAnsi"/>
          <w:color w:val="000000"/>
        </w:rPr>
        <w:tab/>
      </w:r>
      <w:r w:rsidR="0089158B" w:rsidRPr="00FD72F6">
        <w:rPr>
          <w:rFonts w:asciiTheme="minorHAnsi" w:hAnsiTheme="minorHAnsi" w:cstheme="minorHAnsi"/>
          <w:color w:val="000000" w:themeColor="text1"/>
        </w:rPr>
        <w:t xml:space="preserve">Dominantním výrobním programem je volná optika - čočky, hranoly a jiné optické komponenty, zaměřovací a pozorovací dalekohledy, puškohledy, zvětšovací přístroje. V roce 2004 došlo k fúzi společností Meopta-optika, a.s. a Meopta Přerov a.s. Cílem bylo posílit značku Meopta na světových trzích a zefektivnit chod společnosti. </w:t>
      </w:r>
    </w:p>
    <w:p w:rsidR="0089158B" w:rsidRPr="00FD72F6" w:rsidRDefault="0089158B" w:rsidP="0089158B">
      <w:pPr>
        <w:ind w:right="-108" w:firstLine="708"/>
        <w:jc w:val="both"/>
        <w:rPr>
          <w:rFonts w:asciiTheme="minorHAnsi" w:hAnsiTheme="minorHAnsi" w:cstheme="minorHAnsi"/>
          <w:color w:val="000000" w:themeColor="text1"/>
        </w:rPr>
      </w:pPr>
      <w:r w:rsidRPr="00FD72F6">
        <w:rPr>
          <w:rFonts w:asciiTheme="minorHAnsi" w:hAnsiTheme="minorHAnsi" w:cstheme="minorHAnsi"/>
          <w:color w:val="000000" w:themeColor="text1"/>
        </w:rPr>
        <w:tab/>
        <w:t xml:space="preserve">Globální ekonomická krize se projevila propadem zakázek v některých komoditách až o 70 % a pracovní poměr v roce 2009 ukončily více než čtyři stovky zaměstnanců. V roce 2010 došlo k výraznému oživení poptávky, společnost uzavřela smlouvu na dodávku pro Armádu ČR (přístroje pro denní a noční vidění a jejich servis) a dále vyhrála tendr se spolupartnerem Českou zbrojovkou Uherský Brod (optika na zaměřovače). Společnosti se díky opatřením přijatým v roce 2009 podařilo vyvést firmu z největší krize. Zaměstnanost se díky oživení výroby zvýšila v roce 2010 o 372 zaměstnanců. K dalšímu nárůstu (o téměř dvě stovky zaměstnanců) došlo </w:t>
      </w:r>
      <w:r w:rsidR="002C3355" w:rsidRPr="00FD72F6">
        <w:rPr>
          <w:rFonts w:asciiTheme="minorHAnsi" w:hAnsiTheme="minorHAnsi" w:cstheme="minorHAnsi"/>
          <w:color w:val="000000" w:themeColor="text1"/>
        </w:rPr>
        <w:t>i v roce 2011, ale v průběhu roku 2012 se zaměstnanost opět snížila o 150 osob.</w:t>
      </w:r>
    </w:p>
    <w:p w:rsidR="0095058A" w:rsidRPr="00FD72F6" w:rsidRDefault="0095058A" w:rsidP="0089158B">
      <w:pPr>
        <w:ind w:right="-108" w:firstLine="708"/>
        <w:jc w:val="both"/>
        <w:rPr>
          <w:rFonts w:asciiTheme="minorHAnsi" w:hAnsiTheme="minorHAnsi" w:cstheme="minorHAnsi"/>
          <w:color w:val="000000" w:themeColor="text1"/>
        </w:rPr>
      </w:pPr>
      <w:r w:rsidRPr="00FD72F6">
        <w:rPr>
          <w:rFonts w:asciiTheme="minorHAnsi" w:hAnsiTheme="minorHAnsi" w:cstheme="minorHAnsi"/>
          <w:color w:val="000000" w:themeColor="text1"/>
        </w:rPr>
        <w:t>V roce 2013 společnost zahájila nábor nových zaměstnanc</w:t>
      </w:r>
      <w:r w:rsidR="00E94C65" w:rsidRPr="00FD72F6">
        <w:rPr>
          <w:rFonts w:asciiTheme="minorHAnsi" w:hAnsiTheme="minorHAnsi" w:cstheme="minorHAnsi"/>
          <w:color w:val="000000" w:themeColor="text1"/>
        </w:rPr>
        <w:t>ů a personální stav se zvýšil o 53 osob.</w:t>
      </w:r>
      <w:r w:rsidR="00FD72F6">
        <w:rPr>
          <w:rFonts w:asciiTheme="minorHAnsi" w:hAnsiTheme="minorHAnsi" w:cstheme="minorHAnsi"/>
          <w:color w:val="FF0000"/>
        </w:rPr>
        <w:t xml:space="preserve"> </w:t>
      </w:r>
      <w:r w:rsidR="00FD72F6" w:rsidRPr="00FD72F6">
        <w:rPr>
          <w:rFonts w:asciiTheme="minorHAnsi" w:hAnsiTheme="minorHAnsi" w:cstheme="minorHAnsi"/>
          <w:color w:val="000000" w:themeColor="text1"/>
        </w:rPr>
        <w:t>O rok později se počet zaměstnanců zvýšil pouze nepatrně (o 5 osob) a s větším náborem se již v dohledné době nepočítá.</w:t>
      </w:r>
    </w:p>
    <w:p w:rsidR="00692C90" w:rsidRPr="00002B63" w:rsidRDefault="00692C90" w:rsidP="0089158B">
      <w:pPr>
        <w:ind w:right="-108" w:firstLine="708"/>
        <w:jc w:val="both"/>
        <w:rPr>
          <w:rFonts w:asciiTheme="minorHAnsi" w:hAnsiTheme="minorHAnsi" w:cstheme="minorHAnsi"/>
          <w:i/>
          <w:color w:val="000000" w:themeColor="text1"/>
        </w:rPr>
      </w:pPr>
    </w:p>
    <w:p w:rsidR="0034348B" w:rsidRPr="00E94C65" w:rsidRDefault="0034348B" w:rsidP="0034348B">
      <w:pPr>
        <w:pStyle w:val="Zkladntext"/>
        <w:spacing w:line="240" w:lineRule="atLeast"/>
        <w:ind w:firstLine="720"/>
        <w:jc w:val="left"/>
        <w:rPr>
          <w:rFonts w:asciiTheme="minorHAnsi" w:hAnsiTheme="minorHAnsi" w:cstheme="minorHAnsi"/>
          <w:sz w:val="24"/>
        </w:rPr>
      </w:pPr>
      <w:r w:rsidRPr="00E94C65">
        <w:rPr>
          <w:rFonts w:asciiTheme="minorHAnsi" w:hAnsiTheme="minorHAnsi" w:cstheme="minorHAnsi"/>
          <w:color w:val="0000FF"/>
          <w:sz w:val="24"/>
        </w:rPr>
        <w:t>M.L.S. Holice, s. r. o.</w:t>
      </w:r>
      <w:r w:rsidRPr="00E94C65">
        <w:rPr>
          <w:rFonts w:asciiTheme="minorHAnsi" w:hAnsiTheme="minorHAnsi" w:cstheme="minorHAnsi"/>
          <w:sz w:val="24"/>
        </w:rPr>
        <w:t xml:space="preserve"> (výroba a servis elektrických strojů a přístrojů)</w:t>
      </w:r>
    </w:p>
    <w:p w:rsidR="0034348B" w:rsidRPr="00E94C65" w:rsidRDefault="0034348B" w:rsidP="0034348B">
      <w:pPr>
        <w:pStyle w:val="Zkladntext"/>
        <w:spacing w:line="240" w:lineRule="atLeast"/>
        <w:ind w:firstLine="720"/>
        <w:jc w:val="both"/>
        <w:rPr>
          <w:rFonts w:asciiTheme="minorHAnsi" w:hAnsiTheme="minorHAnsi" w:cstheme="minorHAnsi"/>
          <w:b w:val="0"/>
          <w:sz w:val="24"/>
        </w:rPr>
      </w:pPr>
      <w:r w:rsidRPr="00E94C65">
        <w:rPr>
          <w:rFonts w:asciiTheme="minorHAnsi" w:hAnsiTheme="minorHAnsi" w:cstheme="minorHAnsi"/>
          <w:sz w:val="24"/>
        </w:rPr>
        <w:t>Sladkovského 43, Olomouc (USA)</w:t>
      </w:r>
    </w:p>
    <w:p w:rsidR="00FE4E7F" w:rsidRPr="00CE139A" w:rsidRDefault="0034348B" w:rsidP="0034348B">
      <w:pPr>
        <w:pStyle w:val="Zkladntext"/>
        <w:spacing w:line="240" w:lineRule="atLeast"/>
        <w:ind w:firstLine="720"/>
        <w:jc w:val="both"/>
        <w:rPr>
          <w:rFonts w:asciiTheme="minorHAnsi" w:hAnsiTheme="minorHAnsi" w:cstheme="minorHAnsi"/>
          <w:b w:val="0"/>
          <w:color w:val="000000" w:themeColor="text1"/>
          <w:sz w:val="24"/>
        </w:rPr>
      </w:pPr>
      <w:r w:rsidRPr="00CE139A">
        <w:rPr>
          <w:rFonts w:asciiTheme="minorHAnsi" w:hAnsiTheme="minorHAnsi" w:cstheme="minorHAnsi"/>
          <w:b w:val="0"/>
          <w:color w:val="000000" w:themeColor="text1"/>
          <w:sz w:val="24"/>
        </w:rPr>
        <w:t xml:space="preserve">Bývalý odštěpný závod MEZ Mohelnice byl v roce 1994 FNM prodán francouzské firmě Leroy Somer, která je součástí nadnárodního koncernu Emerson (USA). Nový vlastník rozšířil výrobní program a firma plynule přijímala nové pracovníky, z nichž cca 150 přešlo v polovině roku 2001 do nově vybudovaného závodu. Společnost se v roce 2007 stala největším vývozcem v Olomouckém kraji (objem vývozu činil téměř 4 miliardy korun) a zaměstnávala téměř 1 300 osob. </w:t>
      </w:r>
    </w:p>
    <w:p w:rsidR="0034348B" w:rsidRPr="00CE139A" w:rsidRDefault="006862E4" w:rsidP="0034348B">
      <w:pPr>
        <w:pStyle w:val="Zkladntext"/>
        <w:spacing w:line="240" w:lineRule="atLeast"/>
        <w:ind w:firstLine="720"/>
        <w:jc w:val="both"/>
        <w:rPr>
          <w:rFonts w:asciiTheme="minorHAnsi" w:hAnsiTheme="minorHAnsi" w:cstheme="minorHAnsi"/>
          <w:b w:val="0"/>
          <w:color w:val="000000" w:themeColor="text1"/>
          <w:sz w:val="24"/>
        </w:rPr>
      </w:pPr>
      <w:r w:rsidRPr="00CE139A">
        <w:rPr>
          <w:rFonts w:asciiTheme="minorHAnsi" w:hAnsiTheme="minorHAnsi" w:cstheme="minorHAnsi"/>
          <w:b w:val="0"/>
          <w:color w:val="000000" w:themeColor="text1"/>
          <w:sz w:val="24"/>
        </w:rPr>
        <w:t xml:space="preserve">Během ekonomické krize se firma musela vyrovnat </w:t>
      </w:r>
      <w:r w:rsidR="0034348B" w:rsidRPr="00CE139A">
        <w:rPr>
          <w:rFonts w:asciiTheme="minorHAnsi" w:hAnsiTheme="minorHAnsi" w:cstheme="minorHAnsi"/>
          <w:b w:val="0"/>
          <w:color w:val="000000" w:themeColor="text1"/>
          <w:sz w:val="24"/>
        </w:rPr>
        <w:t xml:space="preserve">s propastným poklesem zakázek – během jednoho roku zaměstnanost klesla o 339 osob. Začátkem roku 2010 ale společnost </w:t>
      </w:r>
      <w:r w:rsidR="0034348B" w:rsidRPr="00CE139A">
        <w:rPr>
          <w:rFonts w:asciiTheme="minorHAnsi" w:hAnsiTheme="minorHAnsi" w:cstheme="minorHAnsi"/>
          <w:b w:val="0"/>
          <w:color w:val="000000" w:themeColor="text1"/>
          <w:sz w:val="24"/>
        </w:rPr>
        <w:lastRenderedPageBreak/>
        <w:t>uspořádala mohutný nábor nových zaměstnanců a zaměstnan</w:t>
      </w:r>
      <w:r w:rsidRPr="00CE139A">
        <w:rPr>
          <w:rFonts w:asciiTheme="minorHAnsi" w:hAnsiTheme="minorHAnsi" w:cstheme="minorHAnsi"/>
          <w:b w:val="0"/>
          <w:color w:val="000000" w:themeColor="text1"/>
          <w:sz w:val="24"/>
        </w:rPr>
        <w:t>ost se vrátila téměř na původní úroveň</w:t>
      </w:r>
      <w:r w:rsidR="0034348B" w:rsidRPr="00CE139A">
        <w:rPr>
          <w:rFonts w:asciiTheme="minorHAnsi" w:hAnsiTheme="minorHAnsi" w:cstheme="minorHAnsi"/>
          <w:b w:val="0"/>
          <w:color w:val="000000" w:themeColor="text1"/>
          <w:sz w:val="24"/>
        </w:rPr>
        <w:t>.</w:t>
      </w:r>
      <w:r w:rsidRPr="00CE139A">
        <w:rPr>
          <w:rFonts w:asciiTheme="minorHAnsi" w:hAnsiTheme="minorHAnsi" w:cstheme="minorHAnsi"/>
          <w:b w:val="0"/>
          <w:color w:val="000000" w:themeColor="text1"/>
          <w:sz w:val="24"/>
        </w:rPr>
        <w:t xml:space="preserve"> Během roku 2011 se počet zamě</w:t>
      </w:r>
      <w:r w:rsidR="00FE4E7F" w:rsidRPr="00CE139A">
        <w:rPr>
          <w:rFonts w:asciiTheme="minorHAnsi" w:hAnsiTheme="minorHAnsi" w:cstheme="minorHAnsi"/>
          <w:b w:val="0"/>
          <w:color w:val="000000" w:themeColor="text1"/>
          <w:sz w:val="24"/>
        </w:rPr>
        <w:t xml:space="preserve">stnanců zvýšil na 1 150 osob, ale v roce 2012 se personální stav opět snížil o 241 lidí. </w:t>
      </w:r>
    </w:p>
    <w:p w:rsidR="00E94C65" w:rsidRPr="00CE139A" w:rsidRDefault="00E94C65" w:rsidP="0034348B">
      <w:pPr>
        <w:pStyle w:val="Zkladntext"/>
        <w:spacing w:line="240" w:lineRule="atLeast"/>
        <w:ind w:firstLine="720"/>
        <w:jc w:val="both"/>
        <w:rPr>
          <w:rFonts w:asciiTheme="minorHAnsi" w:hAnsiTheme="minorHAnsi" w:cstheme="minorHAnsi"/>
          <w:b w:val="0"/>
          <w:color w:val="000000" w:themeColor="text1"/>
          <w:sz w:val="24"/>
        </w:rPr>
      </w:pPr>
      <w:r w:rsidRPr="00CE139A">
        <w:rPr>
          <w:rFonts w:asciiTheme="minorHAnsi" w:hAnsiTheme="minorHAnsi" w:cstheme="minorHAnsi"/>
          <w:b w:val="0"/>
          <w:color w:val="000000" w:themeColor="text1"/>
          <w:sz w:val="24"/>
        </w:rPr>
        <w:t>Výrazný propad za</w:t>
      </w:r>
      <w:r w:rsidR="00CE139A">
        <w:rPr>
          <w:rFonts w:asciiTheme="minorHAnsi" w:hAnsiTheme="minorHAnsi" w:cstheme="minorHAnsi"/>
          <w:b w:val="0"/>
          <w:color w:val="000000" w:themeColor="text1"/>
          <w:sz w:val="24"/>
        </w:rPr>
        <w:t xml:space="preserve">městnanosti pokračoval i v letech </w:t>
      </w:r>
      <w:r w:rsidRPr="00CE139A">
        <w:rPr>
          <w:rFonts w:asciiTheme="minorHAnsi" w:hAnsiTheme="minorHAnsi" w:cstheme="minorHAnsi"/>
          <w:b w:val="0"/>
          <w:color w:val="000000" w:themeColor="text1"/>
          <w:sz w:val="24"/>
        </w:rPr>
        <w:t>2013</w:t>
      </w:r>
      <w:r w:rsidR="00CE139A">
        <w:rPr>
          <w:rFonts w:asciiTheme="minorHAnsi" w:hAnsiTheme="minorHAnsi" w:cstheme="minorHAnsi"/>
          <w:b w:val="0"/>
          <w:color w:val="000000" w:themeColor="text1"/>
          <w:sz w:val="24"/>
        </w:rPr>
        <w:t xml:space="preserve"> a 2014 – počet zaměstnanců snížil o dalších 250 osob. V dalším pololetí by mělo dojít už ke stabilizaci personální situace.</w:t>
      </w:r>
    </w:p>
    <w:p w:rsidR="00E21059" w:rsidRPr="007E64DA" w:rsidRDefault="00E21059" w:rsidP="003E6A90">
      <w:pPr>
        <w:pStyle w:val="Zkladntext"/>
        <w:spacing w:line="240" w:lineRule="atLeast"/>
        <w:ind w:firstLine="720"/>
        <w:jc w:val="both"/>
        <w:rPr>
          <w:rFonts w:asciiTheme="minorHAnsi" w:hAnsiTheme="minorHAnsi" w:cstheme="minorHAnsi"/>
          <w:b w:val="0"/>
          <w:i/>
          <w:color w:val="FF0000"/>
          <w:sz w:val="24"/>
        </w:rPr>
      </w:pPr>
    </w:p>
    <w:p w:rsidR="009326C2" w:rsidRPr="00E94C65" w:rsidRDefault="009326C2" w:rsidP="009326C2">
      <w:pPr>
        <w:ind w:firstLine="720"/>
        <w:rPr>
          <w:rFonts w:asciiTheme="minorHAnsi" w:hAnsiTheme="minorHAnsi" w:cstheme="minorHAnsi"/>
          <w:b/>
          <w:color w:val="000000"/>
        </w:rPr>
      </w:pPr>
      <w:r w:rsidRPr="00E94C65">
        <w:rPr>
          <w:rFonts w:asciiTheme="minorHAnsi" w:hAnsiTheme="minorHAnsi" w:cstheme="minorHAnsi"/>
          <w:b/>
          <w:color w:val="0000FF"/>
        </w:rPr>
        <w:t>Siemens s.r.o.</w:t>
      </w:r>
      <w:r w:rsidRPr="00E94C65">
        <w:rPr>
          <w:rFonts w:asciiTheme="minorHAnsi" w:hAnsiTheme="minorHAnsi" w:cstheme="minorHAnsi"/>
          <w:b/>
          <w:color w:val="000000"/>
        </w:rPr>
        <w:t xml:space="preserve"> (výroba, instalace a opravy el. strojů a přístrojů)</w:t>
      </w:r>
    </w:p>
    <w:p w:rsidR="009326C2" w:rsidRPr="00E94C65" w:rsidRDefault="000D79ED" w:rsidP="009326C2">
      <w:pPr>
        <w:ind w:firstLine="720"/>
        <w:jc w:val="both"/>
        <w:rPr>
          <w:rFonts w:asciiTheme="minorHAnsi" w:hAnsiTheme="minorHAnsi" w:cstheme="minorHAnsi"/>
          <w:b/>
          <w:color w:val="000000"/>
        </w:rPr>
      </w:pPr>
      <w:r w:rsidRPr="00E94C65">
        <w:rPr>
          <w:rFonts w:asciiTheme="minorHAnsi" w:hAnsiTheme="minorHAnsi" w:cstheme="minorHAnsi"/>
          <w:b/>
          <w:color w:val="000000"/>
        </w:rPr>
        <w:tab/>
      </w:r>
      <w:r w:rsidR="00F32E20" w:rsidRPr="00E94C65">
        <w:rPr>
          <w:rFonts w:asciiTheme="minorHAnsi" w:hAnsiTheme="minorHAnsi" w:cstheme="minorHAnsi"/>
          <w:b/>
          <w:color w:val="000000"/>
        </w:rPr>
        <w:t>Odštěpný závod Elektromotory, Nádražní 25, Mohelnice, sídlo v Praze</w:t>
      </w:r>
      <w:r w:rsidR="00420421" w:rsidRPr="00E94C65">
        <w:rPr>
          <w:rFonts w:asciiTheme="minorHAnsi" w:hAnsiTheme="minorHAnsi" w:cstheme="minorHAnsi"/>
          <w:b/>
          <w:color w:val="000000"/>
        </w:rPr>
        <w:t xml:space="preserve"> (Německo</w:t>
      </w:r>
      <w:r w:rsidR="009326C2" w:rsidRPr="00E94C65">
        <w:rPr>
          <w:rFonts w:asciiTheme="minorHAnsi" w:hAnsiTheme="minorHAnsi" w:cstheme="minorHAnsi"/>
          <w:b/>
          <w:color w:val="000000"/>
        </w:rPr>
        <w:t>)</w:t>
      </w:r>
    </w:p>
    <w:p w:rsidR="009326C2" w:rsidRPr="00CE139A" w:rsidRDefault="009326C2" w:rsidP="000D79ED">
      <w:pPr>
        <w:ind w:firstLine="708"/>
        <w:jc w:val="both"/>
        <w:rPr>
          <w:rFonts w:asciiTheme="minorHAnsi" w:hAnsiTheme="minorHAnsi" w:cstheme="minorHAnsi"/>
          <w:color w:val="000000" w:themeColor="text1"/>
        </w:rPr>
      </w:pPr>
      <w:r w:rsidRPr="00CE139A">
        <w:rPr>
          <w:rFonts w:asciiTheme="minorHAnsi" w:hAnsiTheme="minorHAnsi" w:cstheme="minorHAnsi"/>
          <w:color w:val="000000" w:themeColor="text1"/>
        </w:rPr>
        <w:t>Nejvýznamnější zaměstnavatel okresu Šumperk, společnost vznikla v roce 1994 ze státního podniku MEZ Mohelnice, 100 % vlastníkem je firma Siemens v SRN se sídlem v Mnichově. Ještě v roce 1994 zaměstnávala firma 3 100 osob, ale postupně se jejich počet snížil až na 1 819 pracovníků. Od roku 2005 se postupně podařilo sehnat více zakáz</w:t>
      </w:r>
      <w:r w:rsidR="000D79ED" w:rsidRPr="00CE139A">
        <w:rPr>
          <w:rFonts w:asciiTheme="minorHAnsi" w:hAnsiTheme="minorHAnsi" w:cstheme="minorHAnsi"/>
          <w:color w:val="000000" w:themeColor="text1"/>
        </w:rPr>
        <w:t xml:space="preserve">ek a stav zaměstnanců narůstal. </w:t>
      </w:r>
      <w:r w:rsidR="00800D1A" w:rsidRPr="00CE139A">
        <w:rPr>
          <w:rFonts w:asciiTheme="minorHAnsi" w:hAnsiTheme="minorHAnsi" w:cstheme="minorHAnsi"/>
          <w:color w:val="000000" w:themeColor="text1"/>
        </w:rPr>
        <w:t>Od roku 2008 ale z důvodu snížené poptávky došlo v několika vlnách k masivnímu propouštění a počet zaměstnanců klesl až pod hranici 1 500 osob.</w:t>
      </w:r>
      <w:r w:rsidRPr="00CE139A">
        <w:rPr>
          <w:rFonts w:asciiTheme="minorHAnsi" w:hAnsiTheme="minorHAnsi" w:cstheme="minorHAnsi"/>
          <w:color w:val="000000" w:themeColor="text1"/>
        </w:rPr>
        <w:t xml:space="preserve"> </w:t>
      </w:r>
    </w:p>
    <w:p w:rsidR="009326C2" w:rsidRPr="00CE139A" w:rsidRDefault="009326C2" w:rsidP="009326C2">
      <w:pPr>
        <w:pStyle w:val="Zkladntextodsazen"/>
        <w:ind w:left="0" w:firstLine="709"/>
        <w:jc w:val="both"/>
        <w:rPr>
          <w:rFonts w:asciiTheme="minorHAnsi" w:hAnsiTheme="minorHAnsi" w:cstheme="minorHAnsi"/>
          <w:color w:val="000000" w:themeColor="text1"/>
        </w:rPr>
      </w:pPr>
      <w:r w:rsidRPr="00CE139A">
        <w:rPr>
          <w:rFonts w:asciiTheme="minorHAnsi" w:hAnsiTheme="minorHAnsi" w:cstheme="minorHAnsi"/>
          <w:color w:val="000000" w:themeColor="text1"/>
        </w:rPr>
        <w:t xml:space="preserve">Od 1. 10. 2010 zanikla </w:t>
      </w:r>
      <w:r w:rsidR="00800D1A" w:rsidRPr="00CE139A">
        <w:rPr>
          <w:rFonts w:asciiTheme="minorHAnsi" w:hAnsiTheme="minorHAnsi" w:cstheme="minorHAnsi"/>
          <w:color w:val="000000" w:themeColor="text1"/>
        </w:rPr>
        <w:t xml:space="preserve">původní </w:t>
      </w:r>
      <w:r w:rsidRPr="00CE139A">
        <w:rPr>
          <w:rFonts w:asciiTheme="minorHAnsi" w:hAnsiTheme="minorHAnsi" w:cstheme="minorHAnsi"/>
          <w:color w:val="000000" w:themeColor="text1"/>
        </w:rPr>
        <w:t>společnost Siemens Elektromotory s.r.o. bez likvidace a závody Frenštát pod Radhoštěm a Mohelnice se staly odštěpn</w:t>
      </w:r>
      <w:r w:rsidR="00800D1A" w:rsidRPr="00CE139A">
        <w:rPr>
          <w:rFonts w:asciiTheme="minorHAnsi" w:hAnsiTheme="minorHAnsi" w:cstheme="minorHAnsi"/>
          <w:color w:val="000000" w:themeColor="text1"/>
        </w:rPr>
        <w:t>ými závody společnosti Siemens, </w:t>
      </w:r>
      <w:r w:rsidRPr="00CE139A">
        <w:rPr>
          <w:rFonts w:asciiTheme="minorHAnsi" w:hAnsiTheme="minorHAnsi" w:cstheme="minorHAnsi"/>
          <w:color w:val="000000" w:themeColor="text1"/>
        </w:rPr>
        <w:t xml:space="preserve">s.r.o., která je jejich právním nástupcem. </w:t>
      </w:r>
      <w:r w:rsidR="000D79ED" w:rsidRPr="00CE139A">
        <w:rPr>
          <w:rFonts w:asciiTheme="minorHAnsi" w:hAnsiTheme="minorHAnsi" w:cstheme="minorHAnsi"/>
          <w:color w:val="000000" w:themeColor="text1"/>
        </w:rPr>
        <w:t>Od stejného data došlo k fú</w:t>
      </w:r>
      <w:r w:rsidRPr="00CE139A">
        <w:rPr>
          <w:rFonts w:asciiTheme="minorHAnsi" w:hAnsiTheme="minorHAnsi" w:cstheme="minorHAnsi"/>
          <w:color w:val="000000" w:themeColor="text1"/>
        </w:rPr>
        <w:t>zi sloučením zanikající společnosti Siemens Nizkonapěťov</w:t>
      </w:r>
      <w:r w:rsidR="000D79ED" w:rsidRPr="00CE139A">
        <w:rPr>
          <w:rFonts w:asciiTheme="minorHAnsi" w:hAnsiTheme="minorHAnsi" w:cstheme="minorHAnsi"/>
          <w:color w:val="000000" w:themeColor="text1"/>
        </w:rPr>
        <w:t xml:space="preserve">á spínací technika s.r.o. </w:t>
      </w:r>
      <w:r w:rsidRPr="00CE139A">
        <w:rPr>
          <w:rFonts w:asciiTheme="minorHAnsi" w:hAnsiTheme="minorHAnsi" w:cstheme="minorHAnsi"/>
          <w:color w:val="000000" w:themeColor="text1"/>
        </w:rPr>
        <w:t>se závodem v Mohelnici</w:t>
      </w:r>
      <w:r w:rsidR="000D79ED" w:rsidRPr="00CE139A">
        <w:rPr>
          <w:rFonts w:asciiTheme="minorHAnsi" w:hAnsiTheme="minorHAnsi" w:cstheme="minorHAnsi"/>
          <w:color w:val="000000" w:themeColor="text1"/>
        </w:rPr>
        <w:t xml:space="preserve"> a Siemens, s.r.o. se </w:t>
      </w:r>
      <w:r w:rsidRPr="00CE139A">
        <w:rPr>
          <w:rFonts w:asciiTheme="minorHAnsi" w:hAnsiTheme="minorHAnsi" w:cstheme="minorHAnsi"/>
          <w:color w:val="000000" w:themeColor="text1"/>
        </w:rPr>
        <w:t xml:space="preserve">sídlem </w:t>
      </w:r>
      <w:r w:rsidR="000D79ED" w:rsidRPr="00CE139A">
        <w:rPr>
          <w:rFonts w:asciiTheme="minorHAnsi" w:hAnsiTheme="minorHAnsi" w:cstheme="minorHAnsi"/>
          <w:color w:val="000000" w:themeColor="text1"/>
        </w:rPr>
        <w:t xml:space="preserve">v Praze. </w:t>
      </w:r>
    </w:p>
    <w:p w:rsidR="00800D1A" w:rsidRPr="00CE139A" w:rsidRDefault="00FE4E7F" w:rsidP="000D79ED">
      <w:pPr>
        <w:pStyle w:val="Zkladntextodsazen"/>
        <w:ind w:left="0" w:firstLine="709"/>
        <w:jc w:val="both"/>
        <w:rPr>
          <w:rFonts w:asciiTheme="minorHAnsi" w:hAnsiTheme="minorHAnsi" w:cstheme="minorHAnsi"/>
          <w:color w:val="000000" w:themeColor="text1"/>
        </w:rPr>
      </w:pPr>
      <w:r w:rsidRPr="00CE139A">
        <w:rPr>
          <w:rFonts w:asciiTheme="minorHAnsi" w:hAnsiTheme="minorHAnsi" w:cstheme="minorHAnsi"/>
          <w:color w:val="000000" w:themeColor="text1"/>
        </w:rPr>
        <w:t>V roce 2011</w:t>
      </w:r>
      <w:r w:rsidR="009326C2" w:rsidRPr="00CE139A">
        <w:rPr>
          <w:rFonts w:asciiTheme="minorHAnsi" w:hAnsiTheme="minorHAnsi" w:cstheme="minorHAnsi"/>
          <w:color w:val="000000" w:themeColor="text1"/>
        </w:rPr>
        <w:t xml:space="preserve"> se zvýšil poče</w:t>
      </w:r>
      <w:r w:rsidR="000D79ED" w:rsidRPr="00CE139A">
        <w:rPr>
          <w:rFonts w:asciiTheme="minorHAnsi" w:hAnsiTheme="minorHAnsi" w:cstheme="minorHAnsi"/>
          <w:color w:val="000000" w:themeColor="text1"/>
        </w:rPr>
        <w:t xml:space="preserve">t zaměstnanců v okrese Šumperk </w:t>
      </w:r>
      <w:r w:rsidR="00800D1A" w:rsidRPr="00CE139A">
        <w:rPr>
          <w:rFonts w:asciiTheme="minorHAnsi" w:hAnsiTheme="minorHAnsi" w:cstheme="minorHAnsi"/>
          <w:color w:val="000000" w:themeColor="text1"/>
        </w:rPr>
        <w:t xml:space="preserve">o šest desítek a překonal hranici 1 900 osob. </w:t>
      </w:r>
      <w:r w:rsidRPr="00CE139A">
        <w:rPr>
          <w:rFonts w:asciiTheme="minorHAnsi" w:hAnsiTheme="minorHAnsi" w:cstheme="minorHAnsi"/>
          <w:color w:val="000000" w:themeColor="text1"/>
        </w:rPr>
        <w:t xml:space="preserve">V polovině května 2012 společnost otevřela novou halu na výrobu </w:t>
      </w:r>
      <w:r w:rsidR="00555419" w:rsidRPr="00CE139A">
        <w:rPr>
          <w:rFonts w:asciiTheme="minorHAnsi" w:hAnsiTheme="minorHAnsi" w:cstheme="minorHAnsi"/>
          <w:color w:val="000000" w:themeColor="text1"/>
        </w:rPr>
        <w:t xml:space="preserve">speciálních motorů s tím, že v ní bude pracovat 200 zaměstnanců (zčásti stávající, částečně i noví). Nicméně v meziročním srovnání v Mohelnickém závodě klesla zaměstnanost o devět </w:t>
      </w:r>
      <w:r w:rsidR="00E94C65" w:rsidRPr="00CE139A">
        <w:rPr>
          <w:rFonts w:asciiTheme="minorHAnsi" w:hAnsiTheme="minorHAnsi" w:cstheme="minorHAnsi"/>
          <w:color w:val="000000" w:themeColor="text1"/>
        </w:rPr>
        <w:t xml:space="preserve">desítek zaměstnanců. </w:t>
      </w:r>
    </w:p>
    <w:p w:rsidR="00CE139A" w:rsidRPr="00CE139A" w:rsidRDefault="00E94C65" w:rsidP="000D79ED">
      <w:pPr>
        <w:pStyle w:val="Zkladntextodsazen"/>
        <w:ind w:left="0" w:firstLine="709"/>
        <w:jc w:val="both"/>
        <w:rPr>
          <w:rFonts w:asciiTheme="minorHAnsi" w:hAnsiTheme="minorHAnsi" w:cstheme="minorHAnsi"/>
          <w:color w:val="000000" w:themeColor="text1"/>
        </w:rPr>
      </w:pPr>
      <w:r w:rsidRPr="00CE139A">
        <w:rPr>
          <w:rFonts w:asciiTheme="minorHAnsi" w:hAnsiTheme="minorHAnsi" w:cstheme="minorHAnsi"/>
          <w:color w:val="000000" w:themeColor="text1"/>
        </w:rPr>
        <w:t>Pokles zaměstnanosti pokračoval i v roce 2013 – počet pracovníků se snížil o sedm desítek osob</w:t>
      </w:r>
      <w:r w:rsidR="00CE139A" w:rsidRPr="00CE139A">
        <w:rPr>
          <w:rFonts w:asciiTheme="minorHAnsi" w:hAnsiTheme="minorHAnsi" w:cstheme="minorHAnsi"/>
          <w:color w:val="000000" w:themeColor="text1"/>
        </w:rPr>
        <w:t>; v roce 2014 se již situace stabilizovala a počet zaměstnanců se prakticky nezměnil.</w:t>
      </w:r>
    </w:p>
    <w:p w:rsidR="00CE139A" w:rsidRPr="00CE139A" w:rsidRDefault="00CE139A" w:rsidP="00CE139A">
      <w:pPr>
        <w:pStyle w:val="Default"/>
        <w:ind w:left="1" w:firstLine="708"/>
        <w:jc w:val="both"/>
        <w:rPr>
          <w:rFonts w:asciiTheme="minorHAnsi" w:hAnsiTheme="minorHAnsi" w:cstheme="minorHAnsi"/>
          <w:color w:val="000000" w:themeColor="text1"/>
        </w:rPr>
      </w:pPr>
      <w:r w:rsidRPr="00CE139A">
        <w:rPr>
          <w:rFonts w:asciiTheme="minorHAnsi" w:hAnsiTheme="minorHAnsi" w:cstheme="minorHAnsi"/>
          <w:color w:val="000000" w:themeColor="text1"/>
        </w:rPr>
        <w:t>Společnost oznámila, že otevře v České republice kompetenční centrum pro správu koncernových informačních systémů napříč Evropou. V první fázi bude mít pobočku i v Mohelnici. V centru vznikne v první vlně 25 pracovních míst. Na příští období tedy společnost plánuje přijetí 15 IT specialistů, ale zároveň propuštění 30 slévárenských dělníků.</w:t>
      </w:r>
    </w:p>
    <w:p w:rsidR="00555419" w:rsidRPr="007E64DA" w:rsidRDefault="00555419" w:rsidP="000D79ED">
      <w:pPr>
        <w:pStyle w:val="Zkladntextodsazen"/>
        <w:ind w:left="0" w:firstLine="709"/>
        <w:jc w:val="both"/>
        <w:rPr>
          <w:rFonts w:asciiTheme="minorHAnsi" w:hAnsiTheme="minorHAnsi" w:cstheme="minorHAnsi"/>
          <w:i/>
          <w:color w:val="FF0000"/>
        </w:rPr>
      </w:pPr>
    </w:p>
    <w:p w:rsidR="00356845" w:rsidRPr="00E94C65" w:rsidRDefault="00356845" w:rsidP="00356845">
      <w:pPr>
        <w:tabs>
          <w:tab w:val="left" w:pos="3402"/>
        </w:tabs>
        <w:ind w:firstLine="720"/>
        <w:jc w:val="both"/>
        <w:rPr>
          <w:rFonts w:asciiTheme="minorHAnsi" w:hAnsiTheme="minorHAnsi" w:cstheme="minorHAnsi"/>
          <w:color w:val="000000"/>
        </w:rPr>
      </w:pPr>
      <w:r w:rsidRPr="00E94C65">
        <w:rPr>
          <w:rFonts w:asciiTheme="minorHAnsi" w:hAnsiTheme="minorHAnsi" w:cstheme="minorHAnsi"/>
          <w:b/>
          <w:color w:val="0000FF"/>
        </w:rPr>
        <w:t>Gambro Czech Republic s.r.o.</w:t>
      </w:r>
      <w:r w:rsidRPr="00E94C65">
        <w:rPr>
          <w:rFonts w:asciiTheme="minorHAnsi" w:hAnsiTheme="minorHAnsi" w:cstheme="minorHAnsi"/>
          <w:color w:val="000000"/>
        </w:rPr>
        <w:t xml:space="preserve"> </w:t>
      </w:r>
      <w:r w:rsidRPr="00E94C65">
        <w:rPr>
          <w:rFonts w:asciiTheme="minorHAnsi" w:hAnsiTheme="minorHAnsi" w:cstheme="minorHAnsi"/>
          <w:b/>
          <w:color w:val="000000"/>
        </w:rPr>
        <w:t>(montáž a balení krevních hadiček)</w:t>
      </w:r>
    </w:p>
    <w:p w:rsidR="00356845" w:rsidRPr="00E94C65" w:rsidRDefault="00356845" w:rsidP="00356845">
      <w:pPr>
        <w:tabs>
          <w:tab w:val="left" w:pos="3402"/>
        </w:tabs>
        <w:ind w:firstLine="720"/>
        <w:jc w:val="both"/>
        <w:rPr>
          <w:rFonts w:asciiTheme="minorHAnsi" w:hAnsiTheme="minorHAnsi" w:cstheme="minorHAnsi"/>
          <w:b/>
          <w:color w:val="000000"/>
        </w:rPr>
      </w:pPr>
      <w:r w:rsidRPr="00E94C65">
        <w:rPr>
          <w:rFonts w:asciiTheme="minorHAnsi" w:hAnsiTheme="minorHAnsi" w:cstheme="minorHAnsi"/>
          <w:b/>
          <w:color w:val="000000"/>
        </w:rPr>
        <w:t>Kabelíkova 1/2682, Přerov (Švédsko)</w:t>
      </w:r>
    </w:p>
    <w:p w:rsidR="00356845" w:rsidRPr="00CE139A" w:rsidRDefault="00356845" w:rsidP="00356845">
      <w:pPr>
        <w:tabs>
          <w:tab w:val="left" w:pos="3402"/>
        </w:tabs>
        <w:ind w:firstLine="720"/>
        <w:jc w:val="both"/>
        <w:rPr>
          <w:rFonts w:asciiTheme="minorHAnsi" w:hAnsiTheme="minorHAnsi" w:cstheme="minorHAnsi"/>
          <w:color w:val="000000" w:themeColor="text1"/>
        </w:rPr>
      </w:pPr>
      <w:r w:rsidRPr="00CE139A">
        <w:rPr>
          <w:rFonts w:asciiTheme="minorHAnsi" w:hAnsiTheme="minorHAnsi" w:cstheme="minorHAnsi"/>
          <w:color w:val="000000" w:themeColor="text1"/>
        </w:rPr>
        <w:t xml:space="preserve">Společnost byla původně založena jako společný podnik firem Gambro Aktiebolag se sídlem ve Stockholmu Švédsko (75 %) a Meopta Přerov a.s. (25 %) pod názvem Gambro – Meopta s.r.o.; v současné době je již švédský investor stoprocentním vlastníkem. </w:t>
      </w:r>
    </w:p>
    <w:p w:rsidR="00E94C65" w:rsidRPr="00583E2A" w:rsidRDefault="00356845" w:rsidP="008079C4">
      <w:pPr>
        <w:tabs>
          <w:tab w:val="left" w:pos="3402"/>
        </w:tabs>
        <w:ind w:firstLine="720"/>
        <w:jc w:val="both"/>
        <w:rPr>
          <w:rFonts w:asciiTheme="minorHAnsi" w:hAnsiTheme="minorHAnsi" w:cstheme="minorHAnsi"/>
          <w:color w:val="000000" w:themeColor="text1"/>
        </w:rPr>
      </w:pPr>
      <w:r w:rsidRPr="00CE139A">
        <w:rPr>
          <w:rFonts w:asciiTheme="minorHAnsi" w:hAnsiTheme="minorHAnsi" w:cstheme="minorHAnsi"/>
          <w:color w:val="000000" w:themeColor="text1"/>
        </w:rPr>
        <w:t>Do roku 2010 docházelo každoročně k výraznému nárůstu zaměstnanců až na cca 1 200 osob</w:t>
      </w:r>
      <w:r w:rsidR="008079C4" w:rsidRPr="00CE139A">
        <w:rPr>
          <w:rFonts w:asciiTheme="minorHAnsi" w:hAnsiTheme="minorHAnsi" w:cstheme="minorHAnsi"/>
          <w:color w:val="000000" w:themeColor="text1"/>
        </w:rPr>
        <w:t>. Výroba</w:t>
      </w:r>
      <w:r w:rsidRPr="00CE139A">
        <w:rPr>
          <w:rFonts w:asciiTheme="minorHAnsi" w:hAnsiTheme="minorHAnsi" w:cstheme="minorHAnsi"/>
          <w:color w:val="000000" w:themeColor="text1"/>
        </w:rPr>
        <w:t xml:space="preserve"> se včetně technologie a zařízení</w:t>
      </w:r>
      <w:r w:rsidR="008079C4" w:rsidRPr="00CE139A">
        <w:rPr>
          <w:rFonts w:asciiTheme="minorHAnsi" w:hAnsiTheme="minorHAnsi" w:cstheme="minorHAnsi"/>
          <w:color w:val="000000" w:themeColor="text1"/>
        </w:rPr>
        <w:t xml:space="preserve"> postupně od  roku 2008 přesouvala ze zahraničí (</w:t>
      </w:r>
      <w:r w:rsidRPr="00CE139A">
        <w:rPr>
          <w:rFonts w:asciiTheme="minorHAnsi" w:hAnsiTheme="minorHAnsi" w:cstheme="minorHAnsi"/>
          <w:color w:val="000000" w:themeColor="text1"/>
        </w:rPr>
        <w:t xml:space="preserve">Itálie a Slovinska) do Přerova – v roce 2009 se objem výroby meziročně zvýšil o 65 </w:t>
      </w:r>
      <w:r w:rsidR="008079C4" w:rsidRPr="00CE139A">
        <w:rPr>
          <w:rFonts w:asciiTheme="minorHAnsi" w:hAnsiTheme="minorHAnsi" w:cstheme="minorHAnsi"/>
          <w:color w:val="000000" w:themeColor="text1"/>
        </w:rPr>
        <w:t>%. V době ekonomické krize se zvýšil tlak odběratelů na snížení ceny výrobků. Společnost investovala do </w:t>
      </w:r>
      <w:r w:rsidRPr="00CE139A">
        <w:rPr>
          <w:rFonts w:asciiTheme="minorHAnsi" w:hAnsiTheme="minorHAnsi" w:cstheme="minorHAnsi"/>
          <w:color w:val="000000" w:themeColor="text1"/>
        </w:rPr>
        <w:t>nových strojů, v roce</w:t>
      </w:r>
      <w:r w:rsidR="008079C4" w:rsidRPr="00CE139A">
        <w:rPr>
          <w:rFonts w:asciiTheme="minorHAnsi" w:hAnsiTheme="minorHAnsi" w:cstheme="minorHAnsi"/>
          <w:color w:val="000000" w:themeColor="text1"/>
        </w:rPr>
        <w:t xml:space="preserve"> 2010 byla</w:t>
      </w:r>
      <w:r w:rsidRPr="00CE139A">
        <w:rPr>
          <w:rFonts w:asciiTheme="minorHAnsi" w:hAnsiTheme="minorHAnsi" w:cstheme="minorHAnsi"/>
          <w:color w:val="000000" w:themeColor="text1"/>
        </w:rPr>
        <w:t xml:space="preserve"> uvedena do provozu extruzní výrobní linka na výrobu komponentů k hadičkám.  </w:t>
      </w:r>
      <w:r w:rsidR="008079C4" w:rsidRPr="00CE139A">
        <w:rPr>
          <w:rFonts w:asciiTheme="minorHAnsi" w:hAnsiTheme="minorHAnsi" w:cstheme="minorHAnsi"/>
          <w:color w:val="000000" w:themeColor="text1"/>
        </w:rPr>
        <w:t xml:space="preserve">V roce 2011 se stav zaměstnanců snížil o více než 200 osob v důsledku zefektivnění provozu a přechodu na pásovou výrobu. </w:t>
      </w:r>
      <w:r w:rsidR="00555419" w:rsidRPr="00CE139A">
        <w:rPr>
          <w:rFonts w:asciiTheme="minorHAnsi" w:hAnsiTheme="minorHAnsi" w:cstheme="minorHAnsi"/>
          <w:color w:val="000000" w:themeColor="text1"/>
        </w:rPr>
        <w:t xml:space="preserve">Pokles pokračoval i v roce 2012 – počet zaměstnanců se snížil o 140 osob. </w:t>
      </w:r>
      <w:r w:rsidR="00E94C65" w:rsidRPr="00CE139A">
        <w:rPr>
          <w:rFonts w:asciiTheme="minorHAnsi" w:hAnsiTheme="minorHAnsi" w:cstheme="minorHAnsi"/>
          <w:color w:val="000000" w:themeColor="text1"/>
        </w:rPr>
        <w:t>K výraznému propadu zaměstnanosti došlo i v roce 2013 – počet kmenových zaměstnanců se snížil o více než sedm desítek, dalších několik desítek lidí bylo propuštěno</w:t>
      </w:r>
      <w:r w:rsidR="00204596" w:rsidRPr="00CE139A">
        <w:rPr>
          <w:rFonts w:asciiTheme="minorHAnsi" w:hAnsiTheme="minorHAnsi" w:cstheme="minorHAnsi"/>
          <w:color w:val="000000" w:themeColor="text1"/>
        </w:rPr>
        <w:t xml:space="preserve"> přes agenturu práce. </w:t>
      </w:r>
      <w:r w:rsidR="00583E2A" w:rsidRPr="00583E2A">
        <w:rPr>
          <w:rFonts w:asciiTheme="minorHAnsi" w:hAnsiTheme="minorHAnsi" w:cstheme="minorHAnsi"/>
          <w:color w:val="000000" w:themeColor="text1"/>
        </w:rPr>
        <w:t>P</w:t>
      </w:r>
      <w:r w:rsidR="00CE139A" w:rsidRPr="00583E2A">
        <w:rPr>
          <w:rFonts w:asciiTheme="minorHAnsi" w:hAnsiTheme="minorHAnsi" w:cstheme="minorHAnsi"/>
          <w:color w:val="000000" w:themeColor="text1"/>
        </w:rPr>
        <w:t xml:space="preserve">ropouštění </w:t>
      </w:r>
      <w:r w:rsidR="00204596" w:rsidRPr="00583E2A">
        <w:rPr>
          <w:rFonts w:asciiTheme="minorHAnsi" w:hAnsiTheme="minorHAnsi" w:cstheme="minorHAnsi"/>
          <w:color w:val="000000" w:themeColor="text1"/>
        </w:rPr>
        <w:t>pokračo</w:t>
      </w:r>
      <w:r w:rsidR="00CE139A" w:rsidRPr="00583E2A">
        <w:rPr>
          <w:rFonts w:asciiTheme="minorHAnsi" w:hAnsiTheme="minorHAnsi" w:cstheme="minorHAnsi"/>
          <w:color w:val="000000" w:themeColor="text1"/>
        </w:rPr>
        <w:t xml:space="preserve">valo i v roce 2014 – počet zaměstnanců se snížil o </w:t>
      </w:r>
      <w:r w:rsidR="00583E2A" w:rsidRPr="00583E2A">
        <w:rPr>
          <w:rFonts w:asciiTheme="minorHAnsi" w:hAnsiTheme="minorHAnsi" w:cstheme="minorHAnsi"/>
          <w:color w:val="000000" w:themeColor="text1"/>
        </w:rPr>
        <w:t>osm desítek osob; v 1. pololetí se s další redukcí zaměstnanosti zatím nepočítá.</w:t>
      </w:r>
    </w:p>
    <w:p w:rsidR="0011454D" w:rsidRPr="00002B63" w:rsidRDefault="00692C90" w:rsidP="000D79ED">
      <w:pPr>
        <w:pStyle w:val="Zkladntextodsazen"/>
        <w:ind w:left="0" w:firstLine="709"/>
        <w:jc w:val="both"/>
        <w:rPr>
          <w:rFonts w:asciiTheme="minorHAnsi" w:hAnsiTheme="minorHAnsi" w:cstheme="minorHAnsi"/>
          <w:i/>
          <w:color w:val="000000"/>
        </w:rPr>
      </w:pPr>
      <w:r w:rsidRPr="00002B63">
        <w:rPr>
          <w:rFonts w:asciiTheme="minorHAnsi" w:hAnsiTheme="minorHAnsi" w:cstheme="minorHAnsi"/>
          <w:i/>
        </w:rPr>
        <w:lastRenderedPageBreak/>
        <w:t xml:space="preserve">             </w:t>
      </w:r>
      <w:r w:rsidR="0011454D" w:rsidRPr="00002B63">
        <w:rPr>
          <w:rFonts w:asciiTheme="minorHAnsi" w:hAnsiTheme="minorHAnsi" w:cstheme="minorHAnsi"/>
          <w:i/>
        </w:rPr>
        <w:t xml:space="preserve">                                                       </w:t>
      </w:r>
    </w:p>
    <w:p w:rsidR="005B4FCA" w:rsidRPr="00204596" w:rsidRDefault="0052451F" w:rsidP="00204596">
      <w:pPr>
        <w:pStyle w:val="Zkladntext"/>
        <w:spacing w:line="240" w:lineRule="auto"/>
        <w:ind w:firstLine="720"/>
        <w:jc w:val="both"/>
        <w:rPr>
          <w:rFonts w:asciiTheme="minorHAnsi" w:hAnsiTheme="minorHAnsi" w:cstheme="minorHAnsi"/>
          <w:color w:val="000000"/>
          <w:sz w:val="24"/>
        </w:rPr>
      </w:pPr>
      <w:r w:rsidRPr="00002B63">
        <w:rPr>
          <w:rFonts w:asciiTheme="minorHAnsi" w:hAnsiTheme="minorHAnsi" w:cstheme="minorHAnsi"/>
          <w:i/>
          <w:color w:val="FF6600"/>
        </w:rPr>
        <w:tab/>
      </w:r>
      <w:r w:rsidRPr="00002B63">
        <w:rPr>
          <w:rFonts w:asciiTheme="minorHAnsi" w:hAnsiTheme="minorHAnsi" w:cstheme="minorHAnsi"/>
          <w:i/>
          <w:color w:val="FF6600"/>
        </w:rPr>
        <w:tab/>
      </w:r>
      <w:r w:rsidR="00706A87" w:rsidRPr="00002B63">
        <w:rPr>
          <w:rFonts w:asciiTheme="minorHAnsi" w:hAnsiTheme="minorHAnsi" w:cstheme="minorHAnsi"/>
          <w:i/>
          <w:color w:val="FF6600"/>
        </w:rPr>
        <w:tab/>
      </w:r>
      <w:bookmarkStart w:id="16" w:name="_Toc321296401"/>
      <w:bookmarkStart w:id="17" w:name="_Toc321296518"/>
      <w:r w:rsidR="005B4FCA" w:rsidRPr="00204596">
        <w:rPr>
          <w:rFonts w:asciiTheme="minorHAnsi" w:hAnsiTheme="minorHAnsi" w:cstheme="minorHAnsi"/>
          <w:color w:val="0000FF"/>
          <w:sz w:val="24"/>
        </w:rPr>
        <w:t>Ahold Czech Republic, a. s</w:t>
      </w:r>
      <w:r w:rsidR="005B4FCA" w:rsidRPr="00204596">
        <w:rPr>
          <w:rFonts w:asciiTheme="minorHAnsi" w:hAnsiTheme="minorHAnsi" w:cstheme="minorHAnsi"/>
          <w:color w:val="000000"/>
          <w:sz w:val="24"/>
        </w:rPr>
        <w:t>. (maloobchodní a velkoobchodní prodej)</w:t>
      </w:r>
      <w:bookmarkEnd w:id="16"/>
      <w:bookmarkEnd w:id="17"/>
      <w:r w:rsidR="005B4FCA" w:rsidRPr="00204596">
        <w:rPr>
          <w:rFonts w:asciiTheme="minorHAnsi" w:hAnsiTheme="minorHAnsi" w:cstheme="minorHAnsi"/>
          <w:color w:val="000000"/>
          <w:sz w:val="24"/>
        </w:rPr>
        <w:t xml:space="preserve"> </w:t>
      </w:r>
    </w:p>
    <w:p w:rsidR="005B4FCA" w:rsidRPr="00204596" w:rsidRDefault="005B4FCA" w:rsidP="005B4FCA">
      <w:pPr>
        <w:pStyle w:val="Nadpis2"/>
        <w:ind w:firstLine="708"/>
        <w:jc w:val="both"/>
        <w:rPr>
          <w:rFonts w:asciiTheme="minorHAnsi" w:hAnsiTheme="minorHAnsi" w:cstheme="minorHAnsi"/>
          <w:b/>
          <w:color w:val="000000"/>
          <w:szCs w:val="24"/>
        </w:rPr>
      </w:pPr>
      <w:bookmarkStart w:id="18" w:name="_Toc321296402"/>
      <w:bookmarkStart w:id="19" w:name="_Toc321296519"/>
      <w:r w:rsidRPr="00204596">
        <w:rPr>
          <w:rFonts w:asciiTheme="minorHAnsi" w:hAnsiTheme="minorHAnsi" w:cstheme="minorHAnsi"/>
          <w:b/>
          <w:color w:val="000000"/>
          <w:szCs w:val="24"/>
        </w:rPr>
        <w:t>Slavíčkova 1a, Brno (Nizozemské království)</w:t>
      </w:r>
      <w:bookmarkEnd w:id="18"/>
      <w:bookmarkEnd w:id="19"/>
    </w:p>
    <w:p w:rsidR="005B4FCA" w:rsidRPr="00583E2A" w:rsidRDefault="005B4FCA" w:rsidP="005B4FCA">
      <w:pPr>
        <w:pStyle w:val="Zkladntext"/>
        <w:spacing w:line="240" w:lineRule="atLeast"/>
        <w:ind w:firstLine="709"/>
        <w:jc w:val="both"/>
        <w:rPr>
          <w:rFonts w:asciiTheme="minorHAnsi" w:hAnsiTheme="minorHAnsi" w:cstheme="minorHAnsi"/>
          <w:b w:val="0"/>
          <w:color w:val="000000" w:themeColor="text1"/>
          <w:sz w:val="24"/>
        </w:rPr>
      </w:pPr>
      <w:r w:rsidRPr="00204596">
        <w:rPr>
          <w:rFonts w:asciiTheme="minorHAnsi" w:hAnsiTheme="minorHAnsi" w:cstheme="minorHAnsi"/>
          <w:b w:val="0"/>
          <w:color w:val="000000"/>
          <w:sz w:val="24"/>
        </w:rPr>
        <w:tab/>
      </w:r>
      <w:r w:rsidRPr="00204596">
        <w:rPr>
          <w:rFonts w:asciiTheme="minorHAnsi" w:hAnsiTheme="minorHAnsi" w:cstheme="minorHAnsi"/>
          <w:b w:val="0"/>
          <w:color w:val="000000"/>
          <w:sz w:val="24"/>
        </w:rPr>
        <w:tab/>
      </w:r>
      <w:r w:rsidRPr="00583E2A">
        <w:rPr>
          <w:rFonts w:asciiTheme="minorHAnsi" w:hAnsiTheme="minorHAnsi" w:cstheme="minorHAnsi"/>
          <w:b w:val="0"/>
          <w:color w:val="000000" w:themeColor="text1"/>
          <w:sz w:val="24"/>
        </w:rPr>
        <w:t>Společnost AHOLD Czech Republic, a. s., je českou dceřinou společností nadnárodní společnosti Ahold se sídlem v Amsterdamu. Společnost byla založena v roce 1990, původně pod názvem Euronova, a. s. Ahold provozuje</w:t>
      </w:r>
      <w:r w:rsidR="00F80DA7" w:rsidRPr="00583E2A">
        <w:rPr>
          <w:rFonts w:asciiTheme="minorHAnsi" w:hAnsiTheme="minorHAnsi" w:cstheme="minorHAnsi"/>
          <w:b w:val="0"/>
          <w:color w:val="000000" w:themeColor="text1"/>
          <w:sz w:val="24"/>
        </w:rPr>
        <w:t xml:space="preserve"> v Olomouckém kraji poměrně hustou</w:t>
      </w:r>
      <w:r w:rsidRPr="00583E2A">
        <w:rPr>
          <w:rFonts w:asciiTheme="minorHAnsi" w:hAnsiTheme="minorHAnsi" w:cstheme="minorHAnsi"/>
          <w:b w:val="0"/>
          <w:color w:val="000000" w:themeColor="text1"/>
          <w:sz w:val="24"/>
        </w:rPr>
        <w:t xml:space="preserve"> síť supermarketů Albert a čtyři hypermarkety (v Olomouci, Šumperku, Přerově</w:t>
      </w:r>
      <w:r w:rsidR="00F80DA7" w:rsidRPr="00583E2A">
        <w:rPr>
          <w:rFonts w:asciiTheme="minorHAnsi" w:hAnsiTheme="minorHAnsi" w:cstheme="minorHAnsi"/>
          <w:b w:val="0"/>
          <w:color w:val="000000" w:themeColor="text1"/>
          <w:sz w:val="24"/>
        </w:rPr>
        <w:t xml:space="preserve"> a Hranicích). Od </w:t>
      </w:r>
      <w:r w:rsidRPr="00583E2A">
        <w:rPr>
          <w:rFonts w:asciiTheme="minorHAnsi" w:hAnsiTheme="minorHAnsi" w:cstheme="minorHAnsi"/>
          <w:b w:val="0"/>
          <w:color w:val="000000" w:themeColor="text1"/>
          <w:sz w:val="24"/>
        </w:rPr>
        <w:t xml:space="preserve">roku 2004 se také výrazně rozšířilo distribuční centrum v Olomouci. </w:t>
      </w:r>
    </w:p>
    <w:p w:rsidR="005B4FCA" w:rsidRPr="00583E2A" w:rsidRDefault="005B4FCA" w:rsidP="005B4FCA">
      <w:pPr>
        <w:pStyle w:val="Zkladntext"/>
        <w:spacing w:line="240" w:lineRule="atLeast"/>
        <w:ind w:firstLine="709"/>
        <w:jc w:val="both"/>
        <w:rPr>
          <w:rFonts w:asciiTheme="minorHAnsi" w:hAnsiTheme="minorHAnsi" w:cstheme="minorHAnsi"/>
          <w:b w:val="0"/>
          <w:color w:val="000000" w:themeColor="text1"/>
          <w:sz w:val="24"/>
        </w:rPr>
      </w:pPr>
      <w:r w:rsidRPr="00583E2A">
        <w:rPr>
          <w:rFonts w:asciiTheme="minorHAnsi" w:hAnsiTheme="minorHAnsi" w:cstheme="minorHAnsi"/>
          <w:b w:val="0"/>
          <w:color w:val="000000" w:themeColor="text1"/>
          <w:sz w:val="24"/>
        </w:rPr>
        <w:t>V po</w:t>
      </w:r>
      <w:r w:rsidR="00583E2A" w:rsidRPr="00583E2A">
        <w:rPr>
          <w:rFonts w:asciiTheme="minorHAnsi" w:hAnsiTheme="minorHAnsi" w:cstheme="minorHAnsi"/>
          <w:b w:val="0"/>
          <w:color w:val="000000" w:themeColor="text1"/>
          <w:sz w:val="24"/>
        </w:rPr>
        <w:t>sledním roce se zaměstnanost zvýšila</w:t>
      </w:r>
      <w:r w:rsidR="00204596" w:rsidRPr="00583E2A">
        <w:rPr>
          <w:rFonts w:asciiTheme="minorHAnsi" w:hAnsiTheme="minorHAnsi" w:cstheme="minorHAnsi"/>
          <w:b w:val="0"/>
          <w:color w:val="000000" w:themeColor="text1"/>
          <w:sz w:val="24"/>
        </w:rPr>
        <w:t xml:space="preserve"> o tři</w:t>
      </w:r>
      <w:r w:rsidR="00C02D80" w:rsidRPr="00583E2A">
        <w:rPr>
          <w:rFonts w:asciiTheme="minorHAnsi" w:hAnsiTheme="minorHAnsi" w:cstheme="minorHAnsi"/>
          <w:b w:val="0"/>
          <w:color w:val="000000" w:themeColor="text1"/>
          <w:sz w:val="24"/>
        </w:rPr>
        <w:t xml:space="preserve"> desítky osob.</w:t>
      </w:r>
      <w:r w:rsidR="00583E2A" w:rsidRPr="00583E2A">
        <w:rPr>
          <w:rFonts w:asciiTheme="minorHAnsi" w:hAnsiTheme="minorHAnsi" w:cstheme="minorHAnsi"/>
          <w:b w:val="0"/>
          <w:color w:val="000000" w:themeColor="text1"/>
          <w:sz w:val="24"/>
        </w:rPr>
        <w:t xml:space="preserve"> V následujícím obodí se počet zaměstnanců opět zvýší – celkově o 160 osob (pod AHOLD budou převedy dva supermarkety společnosti SPAR, která v České republice končí svou činnost).</w:t>
      </w:r>
    </w:p>
    <w:p w:rsidR="00150AF0" w:rsidRPr="00002B63" w:rsidRDefault="00150AF0" w:rsidP="005B4FCA">
      <w:pPr>
        <w:pStyle w:val="Zkladntext"/>
        <w:spacing w:line="240" w:lineRule="atLeast"/>
        <w:ind w:firstLine="709"/>
        <w:jc w:val="both"/>
        <w:rPr>
          <w:rFonts w:asciiTheme="minorHAnsi" w:hAnsiTheme="minorHAnsi" w:cstheme="minorHAnsi"/>
          <w:b w:val="0"/>
          <w:i/>
          <w:color w:val="FF0000"/>
          <w:sz w:val="24"/>
        </w:rPr>
      </w:pPr>
    </w:p>
    <w:p w:rsidR="00150AF0" w:rsidRPr="00204596" w:rsidRDefault="00150AF0" w:rsidP="005B4FCA">
      <w:pPr>
        <w:pStyle w:val="Zkladntext"/>
        <w:spacing w:line="240" w:lineRule="atLeast"/>
        <w:ind w:firstLine="709"/>
        <w:jc w:val="both"/>
        <w:rPr>
          <w:rFonts w:asciiTheme="minorHAnsi" w:hAnsiTheme="minorHAnsi" w:cstheme="minorHAnsi"/>
          <w:color w:val="000000" w:themeColor="text1"/>
          <w:sz w:val="24"/>
        </w:rPr>
      </w:pPr>
      <w:r w:rsidRPr="00204596">
        <w:rPr>
          <w:rFonts w:asciiTheme="minorHAnsi" w:hAnsiTheme="minorHAnsi" w:cstheme="minorHAnsi"/>
          <w:color w:val="0000FF"/>
          <w:sz w:val="24"/>
        </w:rPr>
        <w:t>Bartoň</w:t>
      </w:r>
      <w:r w:rsidR="00FB7296" w:rsidRPr="00204596">
        <w:rPr>
          <w:rFonts w:asciiTheme="minorHAnsi" w:hAnsiTheme="minorHAnsi" w:cstheme="minorHAnsi"/>
          <w:color w:val="0000FF"/>
          <w:sz w:val="24"/>
        </w:rPr>
        <w:t xml:space="preserve"> a Partner</w:t>
      </w:r>
      <w:r w:rsidR="00261946" w:rsidRPr="00204596">
        <w:rPr>
          <w:rFonts w:asciiTheme="minorHAnsi" w:hAnsiTheme="minorHAnsi" w:cstheme="minorHAnsi"/>
          <w:color w:val="0000FF"/>
          <w:sz w:val="24"/>
        </w:rPr>
        <w:t xml:space="preserve"> s.r.o. </w:t>
      </w:r>
      <w:r w:rsidR="00261946" w:rsidRPr="00204596">
        <w:rPr>
          <w:rFonts w:asciiTheme="minorHAnsi" w:hAnsiTheme="minorHAnsi" w:cstheme="minorHAnsi"/>
          <w:color w:val="000000" w:themeColor="text1"/>
          <w:sz w:val="24"/>
        </w:rPr>
        <w:t>(bezpečnostní a úklidové služby)</w:t>
      </w:r>
    </w:p>
    <w:p w:rsidR="00150AF0" w:rsidRPr="00204596" w:rsidRDefault="00FB7296" w:rsidP="005B4FCA">
      <w:pPr>
        <w:pStyle w:val="Zkladntext"/>
        <w:spacing w:line="240" w:lineRule="atLeast"/>
        <w:ind w:firstLine="709"/>
        <w:jc w:val="both"/>
        <w:rPr>
          <w:rFonts w:asciiTheme="minorHAnsi" w:hAnsiTheme="minorHAnsi" w:cstheme="minorHAnsi"/>
          <w:color w:val="000000" w:themeColor="text1"/>
          <w:sz w:val="24"/>
        </w:rPr>
      </w:pPr>
      <w:r w:rsidRPr="00204596">
        <w:rPr>
          <w:rFonts w:asciiTheme="minorHAnsi" w:hAnsiTheme="minorHAnsi" w:cstheme="minorHAnsi"/>
          <w:color w:val="000000" w:themeColor="text1"/>
          <w:sz w:val="24"/>
        </w:rPr>
        <w:t>Chválkovice 580, Olomouc</w:t>
      </w:r>
    </w:p>
    <w:p w:rsidR="00FB7296" w:rsidRPr="004A721E" w:rsidRDefault="00FB7296" w:rsidP="005B4FCA">
      <w:pPr>
        <w:pStyle w:val="Zkladntext"/>
        <w:spacing w:line="240" w:lineRule="atLeast"/>
        <w:ind w:firstLine="709"/>
        <w:jc w:val="both"/>
        <w:rPr>
          <w:rFonts w:asciiTheme="minorHAnsi" w:hAnsiTheme="minorHAnsi" w:cstheme="minorHAnsi"/>
          <w:b w:val="0"/>
          <w:color w:val="000000" w:themeColor="text1"/>
          <w:sz w:val="24"/>
        </w:rPr>
      </w:pPr>
      <w:r w:rsidRPr="004A721E">
        <w:rPr>
          <w:rFonts w:asciiTheme="minorHAnsi" w:hAnsiTheme="minorHAnsi" w:cstheme="minorHAnsi"/>
          <w:b w:val="0"/>
          <w:color w:val="000000" w:themeColor="text1"/>
          <w:sz w:val="24"/>
        </w:rPr>
        <w:t>Jedná se o dynamicky rozvíjející firmu zaměstnávající více než 50 % osob se zdravotním postižením s celorepublikovou působností. Společnost poskytuje komplexní bezpečnostní a úklidové služby (fyzickou ostrahu</w:t>
      </w:r>
      <w:r w:rsidR="00261946" w:rsidRPr="004A721E">
        <w:rPr>
          <w:rFonts w:asciiTheme="minorHAnsi" w:hAnsiTheme="minorHAnsi" w:cstheme="minorHAnsi"/>
          <w:b w:val="0"/>
          <w:color w:val="000000" w:themeColor="text1"/>
          <w:sz w:val="24"/>
        </w:rPr>
        <w:t xml:space="preserve"> objektů, zabezpečení objektů, PCO se zásaho</w:t>
      </w:r>
      <w:r w:rsidRPr="004A721E">
        <w:rPr>
          <w:rFonts w:asciiTheme="minorHAnsi" w:hAnsiTheme="minorHAnsi" w:cstheme="minorHAnsi"/>
          <w:b w:val="0"/>
          <w:color w:val="000000" w:themeColor="text1"/>
          <w:sz w:val="24"/>
        </w:rPr>
        <w:t>vými jednotkami, recepční službu</w:t>
      </w:r>
      <w:r w:rsidR="00261946" w:rsidRPr="004A721E">
        <w:rPr>
          <w:rFonts w:asciiTheme="minorHAnsi" w:hAnsiTheme="minorHAnsi" w:cstheme="minorHAnsi"/>
          <w:b w:val="0"/>
          <w:color w:val="000000" w:themeColor="text1"/>
          <w:sz w:val="24"/>
        </w:rPr>
        <w:t>, úklid interiérů i exteriér</w:t>
      </w:r>
      <w:r w:rsidRPr="004A721E">
        <w:rPr>
          <w:rFonts w:asciiTheme="minorHAnsi" w:hAnsiTheme="minorHAnsi" w:cstheme="minorHAnsi"/>
          <w:b w:val="0"/>
          <w:color w:val="000000" w:themeColor="text1"/>
          <w:sz w:val="24"/>
        </w:rPr>
        <w:t>ů, odstraňování graffiti, správu a údržbu</w:t>
      </w:r>
      <w:r w:rsidR="00261946" w:rsidRPr="004A721E">
        <w:rPr>
          <w:rFonts w:asciiTheme="minorHAnsi" w:hAnsiTheme="minorHAnsi" w:cstheme="minorHAnsi"/>
          <w:b w:val="0"/>
          <w:color w:val="000000" w:themeColor="text1"/>
          <w:sz w:val="24"/>
        </w:rPr>
        <w:t xml:space="preserve"> bytových domů</w:t>
      </w:r>
      <w:r w:rsidRPr="004A721E">
        <w:rPr>
          <w:rFonts w:asciiTheme="minorHAnsi" w:hAnsiTheme="minorHAnsi" w:cstheme="minorHAnsi"/>
          <w:b w:val="0"/>
          <w:color w:val="000000" w:themeColor="text1"/>
          <w:sz w:val="24"/>
        </w:rPr>
        <w:t>), působí i jako agentura práce.</w:t>
      </w:r>
    </w:p>
    <w:p w:rsidR="00204596" w:rsidRPr="004A721E" w:rsidRDefault="00FB7296" w:rsidP="005B4FCA">
      <w:pPr>
        <w:pStyle w:val="Zkladntext"/>
        <w:spacing w:line="240" w:lineRule="atLeast"/>
        <w:ind w:firstLine="709"/>
        <w:jc w:val="both"/>
        <w:rPr>
          <w:rFonts w:asciiTheme="minorHAnsi" w:hAnsiTheme="minorHAnsi" w:cstheme="minorHAnsi"/>
          <w:color w:val="000000" w:themeColor="text1"/>
          <w:sz w:val="24"/>
        </w:rPr>
      </w:pPr>
      <w:r w:rsidRPr="004A721E">
        <w:rPr>
          <w:rFonts w:asciiTheme="minorHAnsi" w:hAnsiTheme="minorHAnsi" w:cstheme="minorHAnsi"/>
          <w:b w:val="0"/>
          <w:color w:val="000000" w:themeColor="text1"/>
          <w:sz w:val="24"/>
        </w:rPr>
        <w:t>Během posledních pěti let se počet za</w:t>
      </w:r>
      <w:r w:rsidR="004A721E" w:rsidRPr="004A721E">
        <w:rPr>
          <w:rFonts w:asciiTheme="minorHAnsi" w:hAnsiTheme="minorHAnsi" w:cstheme="minorHAnsi"/>
          <w:b w:val="0"/>
          <w:color w:val="000000" w:themeColor="text1"/>
          <w:sz w:val="24"/>
        </w:rPr>
        <w:t>městnanců zvýšil na pětinásobek, v roce 2014 už jen o čtyři desítky osob. V následujícím období společnost počítá s náborem více než stovky osob.</w:t>
      </w:r>
    </w:p>
    <w:p w:rsidR="00204596" w:rsidRPr="007E64DA" w:rsidRDefault="00204596" w:rsidP="005B4FCA">
      <w:pPr>
        <w:pStyle w:val="Zkladntext"/>
        <w:spacing w:line="240" w:lineRule="atLeast"/>
        <w:ind w:firstLine="709"/>
        <w:jc w:val="both"/>
        <w:rPr>
          <w:rFonts w:asciiTheme="minorHAnsi" w:hAnsiTheme="minorHAnsi" w:cstheme="minorHAnsi"/>
          <w:color w:val="FF0000"/>
          <w:sz w:val="24"/>
        </w:rPr>
      </w:pPr>
    </w:p>
    <w:p w:rsidR="00150AF0" w:rsidRPr="00204596" w:rsidRDefault="00FB7296" w:rsidP="005B4FCA">
      <w:pPr>
        <w:pStyle w:val="Zkladntext"/>
        <w:spacing w:line="240" w:lineRule="atLeast"/>
        <w:ind w:firstLine="709"/>
        <w:jc w:val="both"/>
        <w:rPr>
          <w:rFonts w:asciiTheme="minorHAnsi" w:hAnsiTheme="minorHAnsi" w:cstheme="minorHAnsi"/>
          <w:color w:val="0000FF"/>
          <w:sz w:val="24"/>
        </w:rPr>
      </w:pPr>
      <w:r w:rsidRPr="00204596">
        <w:rPr>
          <w:rFonts w:asciiTheme="minorHAnsi" w:hAnsiTheme="minorHAnsi" w:cstheme="minorHAnsi"/>
          <w:color w:val="0000FF"/>
          <w:sz w:val="24"/>
        </w:rPr>
        <w:t xml:space="preserve">FORCORP GROUP spol. s r.o. </w:t>
      </w:r>
      <w:r w:rsidRPr="00204596">
        <w:rPr>
          <w:rFonts w:asciiTheme="minorHAnsi" w:hAnsiTheme="minorHAnsi" w:cstheme="minorHAnsi"/>
          <w:color w:val="000000" w:themeColor="text1"/>
          <w:sz w:val="24"/>
        </w:rPr>
        <w:t>(bezpečnostní a úklidové služby)</w:t>
      </w:r>
    </w:p>
    <w:p w:rsidR="00FB7296" w:rsidRPr="00204596" w:rsidRDefault="00FB7296" w:rsidP="00FB7296">
      <w:pPr>
        <w:pStyle w:val="Zkladntext"/>
        <w:spacing w:line="240" w:lineRule="atLeast"/>
        <w:ind w:firstLine="709"/>
        <w:jc w:val="left"/>
        <w:rPr>
          <w:rStyle w:val="selectableonclick"/>
          <w:rFonts w:asciiTheme="minorHAnsi" w:hAnsiTheme="minorHAnsi" w:cstheme="minorHAnsi"/>
          <w:sz w:val="24"/>
        </w:rPr>
      </w:pPr>
      <w:r w:rsidRPr="00204596">
        <w:rPr>
          <w:rStyle w:val="selectableonclick"/>
          <w:rFonts w:asciiTheme="minorHAnsi" w:hAnsiTheme="minorHAnsi" w:cstheme="minorHAnsi"/>
          <w:sz w:val="24"/>
        </w:rPr>
        <w:t>Hamerská 812/17A</w:t>
      </w:r>
      <w:r w:rsidRPr="00204596">
        <w:rPr>
          <w:rFonts w:asciiTheme="minorHAnsi" w:hAnsiTheme="minorHAnsi" w:cstheme="minorHAnsi"/>
          <w:sz w:val="24"/>
        </w:rPr>
        <w:t xml:space="preserve">, </w:t>
      </w:r>
      <w:r w:rsidRPr="00204596">
        <w:rPr>
          <w:rStyle w:val="selectableonclick"/>
          <w:rFonts w:asciiTheme="minorHAnsi" w:hAnsiTheme="minorHAnsi" w:cstheme="minorHAnsi"/>
          <w:sz w:val="24"/>
        </w:rPr>
        <w:t>Olomouc</w:t>
      </w:r>
    </w:p>
    <w:p w:rsidR="00FB7296" w:rsidRPr="004A721E" w:rsidRDefault="00F6101A" w:rsidP="00F6101A">
      <w:pPr>
        <w:pStyle w:val="Zkladntext"/>
        <w:spacing w:line="240" w:lineRule="atLeast"/>
        <w:ind w:firstLine="709"/>
        <w:jc w:val="both"/>
        <w:rPr>
          <w:rFonts w:asciiTheme="minorHAnsi" w:hAnsiTheme="minorHAnsi" w:cstheme="minorHAnsi"/>
          <w:b w:val="0"/>
          <w:color w:val="000000" w:themeColor="text1"/>
          <w:sz w:val="24"/>
        </w:rPr>
      </w:pPr>
      <w:r w:rsidRPr="004A721E">
        <w:rPr>
          <w:rFonts w:asciiTheme="minorHAnsi" w:hAnsiTheme="minorHAnsi" w:cstheme="minorHAnsi"/>
          <w:b w:val="0"/>
          <w:color w:val="000000" w:themeColor="text1"/>
          <w:sz w:val="24"/>
        </w:rPr>
        <w:t xml:space="preserve">Opět se jedná o společnost zaměstnávající více než 50 % osob se zdravotním postižením s celorepublikovou působností. </w:t>
      </w:r>
    </w:p>
    <w:p w:rsidR="00F6101A" w:rsidRPr="004A721E" w:rsidRDefault="00F6101A" w:rsidP="00F6101A">
      <w:pPr>
        <w:pStyle w:val="Zkladntext"/>
        <w:spacing w:line="240" w:lineRule="atLeast"/>
        <w:ind w:firstLine="709"/>
        <w:jc w:val="both"/>
        <w:rPr>
          <w:rFonts w:asciiTheme="minorHAnsi" w:hAnsiTheme="minorHAnsi" w:cstheme="minorHAnsi"/>
          <w:b w:val="0"/>
          <w:color w:val="000000" w:themeColor="text1"/>
          <w:sz w:val="24"/>
        </w:rPr>
      </w:pPr>
      <w:r w:rsidRPr="004A721E">
        <w:rPr>
          <w:rFonts w:asciiTheme="minorHAnsi" w:hAnsiTheme="minorHAnsi" w:cstheme="minorHAnsi"/>
          <w:b w:val="0"/>
          <w:color w:val="000000" w:themeColor="text1"/>
          <w:sz w:val="24"/>
        </w:rPr>
        <w:t>Také tato společnost vykazuje vysoký nárůst zaměstnanosti – během pěti let se počet</w:t>
      </w:r>
      <w:r w:rsidR="00204596" w:rsidRPr="004A721E">
        <w:rPr>
          <w:rFonts w:asciiTheme="minorHAnsi" w:hAnsiTheme="minorHAnsi" w:cstheme="minorHAnsi"/>
          <w:b w:val="0"/>
          <w:color w:val="000000" w:themeColor="text1"/>
          <w:sz w:val="24"/>
        </w:rPr>
        <w:t xml:space="preserve"> pracovníků zvýšil z 50 na 856 v roce 2012</w:t>
      </w:r>
      <w:r w:rsidRPr="004A721E">
        <w:rPr>
          <w:rFonts w:asciiTheme="minorHAnsi" w:hAnsiTheme="minorHAnsi" w:cstheme="minorHAnsi"/>
          <w:b w:val="0"/>
          <w:color w:val="000000" w:themeColor="text1"/>
          <w:sz w:val="24"/>
        </w:rPr>
        <w:t xml:space="preserve">. </w:t>
      </w:r>
      <w:r w:rsidR="00204596" w:rsidRPr="004A721E">
        <w:rPr>
          <w:rFonts w:asciiTheme="minorHAnsi" w:hAnsiTheme="minorHAnsi" w:cstheme="minorHAnsi"/>
          <w:b w:val="0"/>
          <w:color w:val="000000" w:themeColor="text1"/>
          <w:sz w:val="24"/>
        </w:rPr>
        <w:t>Také v roce 2013 došlo k výraznému nárůstu zaměstnanosti – o 260 osob.</w:t>
      </w:r>
      <w:r w:rsidR="004A721E" w:rsidRPr="004A721E">
        <w:rPr>
          <w:rFonts w:asciiTheme="minorHAnsi" w:hAnsiTheme="minorHAnsi" w:cstheme="minorHAnsi"/>
          <w:b w:val="0"/>
          <w:color w:val="000000" w:themeColor="text1"/>
          <w:sz w:val="24"/>
        </w:rPr>
        <w:t xml:space="preserve"> Také v roce 2014 došlo </w:t>
      </w:r>
      <w:r w:rsidR="004A721E">
        <w:rPr>
          <w:rFonts w:asciiTheme="minorHAnsi" w:hAnsiTheme="minorHAnsi" w:cstheme="minorHAnsi"/>
          <w:b w:val="0"/>
          <w:color w:val="000000" w:themeColor="text1"/>
          <w:sz w:val="24"/>
        </w:rPr>
        <w:t xml:space="preserve">v přepočteném počtu </w:t>
      </w:r>
      <w:r w:rsidR="004A721E" w:rsidRPr="004A721E">
        <w:rPr>
          <w:rFonts w:asciiTheme="minorHAnsi" w:hAnsiTheme="minorHAnsi" w:cstheme="minorHAnsi"/>
          <w:b w:val="0"/>
          <w:color w:val="000000" w:themeColor="text1"/>
          <w:sz w:val="24"/>
        </w:rPr>
        <w:t>k nárůstu o dalších 200 zaměstnanců a s dalším přijímáním se počítá i v následujícím období.</w:t>
      </w:r>
    </w:p>
    <w:p w:rsidR="00F73785" w:rsidRPr="00204596" w:rsidRDefault="00F73785" w:rsidP="005B4FCA">
      <w:pPr>
        <w:pStyle w:val="Zkladntext"/>
        <w:spacing w:line="240" w:lineRule="atLeast"/>
        <w:ind w:firstLine="708"/>
        <w:jc w:val="both"/>
        <w:rPr>
          <w:rFonts w:asciiTheme="minorHAnsi" w:hAnsiTheme="minorHAnsi" w:cstheme="minorHAnsi"/>
          <w:b w:val="0"/>
          <w:color w:val="000000"/>
          <w:sz w:val="24"/>
        </w:rPr>
      </w:pPr>
    </w:p>
    <w:p w:rsidR="006E47DE" w:rsidRPr="001905B0" w:rsidRDefault="001623B2" w:rsidP="00C02D80">
      <w:pPr>
        <w:pStyle w:val="Normlnweb"/>
        <w:spacing w:before="0" w:beforeAutospacing="0" w:after="0" w:afterAutospacing="0"/>
        <w:ind w:firstLine="720"/>
        <w:jc w:val="both"/>
        <w:rPr>
          <w:rFonts w:asciiTheme="minorHAnsi" w:hAnsiTheme="minorHAnsi" w:cstheme="minorHAnsi"/>
          <w:b/>
        </w:rPr>
      </w:pPr>
      <w:r w:rsidRPr="00002B63">
        <w:rPr>
          <w:rStyle w:val="style8"/>
          <w:rFonts w:asciiTheme="minorHAnsi" w:hAnsiTheme="minorHAnsi" w:cstheme="minorHAnsi"/>
          <w:i/>
          <w:color w:val="FF6600"/>
          <w:sz w:val="22"/>
          <w:szCs w:val="22"/>
        </w:rPr>
        <w:tab/>
      </w:r>
      <w:r w:rsidR="00D6180B" w:rsidRPr="00002B63">
        <w:rPr>
          <w:rStyle w:val="style8"/>
          <w:rFonts w:asciiTheme="minorHAnsi" w:hAnsiTheme="minorHAnsi" w:cstheme="minorHAnsi"/>
          <w:i/>
          <w:color w:val="FF6600"/>
          <w:sz w:val="22"/>
          <w:szCs w:val="22"/>
        </w:rPr>
        <w:tab/>
      </w:r>
      <w:r w:rsidR="006E47DE" w:rsidRPr="001905B0">
        <w:rPr>
          <w:rFonts w:asciiTheme="minorHAnsi" w:hAnsiTheme="minorHAnsi" w:cstheme="minorHAnsi"/>
          <w:b/>
          <w:color w:val="0000FF"/>
        </w:rPr>
        <w:t>Univerzita Palackého</w:t>
      </w:r>
      <w:r w:rsidR="006E47DE" w:rsidRPr="001905B0">
        <w:rPr>
          <w:rFonts w:asciiTheme="minorHAnsi" w:hAnsiTheme="minorHAnsi" w:cstheme="minorHAnsi"/>
          <w:b/>
        </w:rPr>
        <w:t xml:space="preserve"> (vysoké školství)</w:t>
      </w:r>
    </w:p>
    <w:p w:rsidR="006E47DE" w:rsidRPr="001905B0" w:rsidRDefault="006E47DE" w:rsidP="006E47DE">
      <w:pPr>
        <w:pStyle w:val="Zkladntext"/>
        <w:spacing w:line="240" w:lineRule="auto"/>
        <w:ind w:firstLine="720"/>
        <w:jc w:val="both"/>
        <w:rPr>
          <w:rFonts w:asciiTheme="minorHAnsi" w:hAnsiTheme="minorHAnsi" w:cstheme="minorHAnsi"/>
          <w:sz w:val="24"/>
        </w:rPr>
      </w:pPr>
      <w:r w:rsidRPr="001905B0">
        <w:rPr>
          <w:rFonts w:asciiTheme="minorHAnsi" w:hAnsiTheme="minorHAnsi" w:cstheme="minorHAnsi"/>
          <w:sz w:val="24"/>
        </w:rPr>
        <w:t>Křížkovského 8, Olomouc</w:t>
      </w:r>
    </w:p>
    <w:p w:rsidR="001905B0" w:rsidRPr="00B91E21" w:rsidRDefault="006E47DE" w:rsidP="006E47DE">
      <w:pPr>
        <w:pStyle w:val="Zkladntext"/>
        <w:spacing w:line="240" w:lineRule="auto"/>
        <w:ind w:firstLine="720"/>
        <w:jc w:val="both"/>
        <w:rPr>
          <w:rFonts w:asciiTheme="minorHAnsi" w:hAnsiTheme="minorHAnsi" w:cstheme="minorHAnsi"/>
          <w:b w:val="0"/>
          <w:color w:val="000000" w:themeColor="text1"/>
          <w:sz w:val="24"/>
        </w:rPr>
      </w:pPr>
      <w:r w:rsidRPr="00B91E21">
        <w:rPr>
          <w:rFonts w:asciiTheme="minorHAnsi" w:hAnsiTheme="minorHAnsi" w:cstheme="minorHAnsi"/>
          <w:b w:val="0"/>
          <w:color w:val="000000" w:themeColor="text1"/>
          <w:sz w:val="24"/>
        </w:rPr>
        <w:t>V souvislosti s otevíráním nových oborů a rozšířením ubytovacích a s</w:t>
      </w:r>
      <w:r w:rsidR="00F80DA7" w:rsidRPr="00B91E21">
        <w:rPr>
          <w:rFonts w:asciiTheme="minorHAnsi" w:hAnsiTheme="minorHAnsi" w:cstheme="minorHAnsi"/>
          <w:b w:val="0"/>
          <w:color w:val="000000" w:themeColor="text1"/>
          <w:sz w:val="24"/>
        </w:rPr>
        <w:t>t</w:t>
      </w:r>
      <w:r w:rsidR="00C02D80" w:rsidRPr="00B91E21">
        <w:rPr>
          <w:rFonts w:asciiTheme="minorHAnsi" w:hAnsiTheme="minorHAnsi" w:cstheme="minorHAnsi"/>
          <w:b w:val="0"/>
          <w:color w:val="000000" w:themeColor="text1"/>
          <w:sz w:val="24"/>
        </w:rPr>
        <w:t xml:space="preserve">ravovacích kapacit se během let 2008 </w:t>
      </w:r>
      <w:r w:rsidR="00261946" w:rsidRPr="00B91E21">
        <w:rPr>
          <w:rFonts w:asciiTheme="minorHAnsi" w:hAnsiTheme="minorHAnsi" w:cstheme="minorHAnsi"/>
          <w:b w:val="0"/>
          <w:color w:val="000000" w:themeColor="text1"/>
          <w:sz w:val="24"/>
        </w:rPr>
        <w:t>–</w:t>
      </w:r>
      <w:r w:rsidR="00C02D80" w:rsidRPr="00B91E21">
        <w:rPr>
          <w:rFonts w:asciiTheme="minorHAnsi" w:hAnsiTheme="minorHAnsi" w:cstheme="minorHAnsi"/>
          <w:b w:val="0"/>
          <w:color w:val="000000" w:themeColor="text1"/>
          <w:sz w:val="24"/>
        </w:rPr>
        <w:t xml:space="preserve"> 2011</w:t>
      </w:r>
      <w:r w:rsidR="00261946" w:rsidRPr="00B91E21">
        <w:rPr>
          <w:rFonts w:asciiTheme="minorHAnsi" w:hAnsiTheme="minorHAnsi" w:cstheme="minorHAnsi"/>
          <w:b w:val="0"/>
          <w:color w:val="000000" w:themeColor="text1"/>
          <w:sz w:val="24"/>
        </w:rPr>
        <w:t xml:space="preserve"> </w:t>
      </w:r>
      <w:r w:rsidRPr="00B91E21">
        <w:rPr>
          <w:rFonts w:asciiTheme="minorHAnsi" w:hAnsiTheme="minorHAnsi" w:cstheme="minorHAnsi"/>
          <w:b w:val="0"/>
          <w:color w:val="000000" w:themeColor="text1"/>
          <w:sz w:val="24"/>
        </w:rPr>
        <w:t xml:space="preserve">zvýšil </w:t>
      </w:r>
      <w:r w:rsidR="00F80DA7" w:rsidRPr="00B91E21">
        <w:rPr>
          <w:rFonts w:asciiTheme="minorHAnsi" w:hAnsiTheme="minorHAnsi" w:cstheme="minorHAnsi"/>
          <w:b w:val="0"/>
          <w:color w:val="000000" w:themeColor="text1"/>
          <w:sz w:val="24"/>
        </w:rPr>
        <w:t>počet zaměstnanců o více než 400</w:t>
      </w:r>
      <w:r w:rsidRPr="00B91E21">
        <w:rPr>
          <w:rFonts w:asciiTheme="minorHAnsi" w:hAnsiTheme="minorHAnsi" w:cstheme="minorHAnsi"/>
          <w:b w:val="0"/>
          <w:color w:val="000000" w:themeColor="text1"/>
          <w:sz w:val="24"/>
        </w:rPr>
        <w:t xml:space="preserve"> osob</w:t>
      </w:r>
      <w:r w:rsidR="00C02D80" w:rsidRPr="00B91E21">
        <w:rPr>
          <w:rFonts w:asciiTheme="minorHAnsi" w:hAnsiTheme="minorHAnsi" w:cstheme="minorHAnsi"/>
          <w:b w:val="0"/>
          <w:color w:val="000000" w:themeColor="text1"/>
          <w:sz w:val="24"/>
        </w:rPr>
        <w:t xml:space="preserve">. </w:t>
      </w:r>
    </w:p>
    <w:p w:rsidR="001905B0" w:rsidRPr="00B91E21" w:rsidRDefault="004A721E" w:rsidP="001905B0">
      <w:pPr>
        <w:pStyle w:val="Zkladntext"/>
        <w:spacing w:line="240" w:lineRule="auto"/>
        <w:ind w:firstLine="709"/>
        <w:jc w:val="both"/>
        <w:rPr>
          <w:rFonts w:asciiTheme="minorHAnsi" w:hAnsiTheme="minorHAnsi" w:cstheme="minorHAnsi"/>
          <w:b w:val="0"/>
          <w:color w:val="000000" w:themeColor="text1"/>
          <w:sz w:val="24"/>
        </w:rPr>
      </w:pPr>
      <w:r w:rsidRPr="00B91E21">
        <w:rPr>
          <w:rFonts w:asciiTheme="minorHAnsi" w:hAnsiTheme="minorHAnsi" w:cstheme="minorHAnsi"/>
          <w:b w:val="0"/>
          <w:color w:val="000000" w:themeColor="text1"/>
          <w:sz w:val="24"/>
        </w:rPr>
        <w:t>V </w:t>
      </w:r>
      <w:r w:rsidR="001905B0" w:rsidRPr="00B91E21">
        <w:rPr>
          <w:rFonts w:asciiTheme="minorHAnsi" w:hAnsiTheme="minorHAnsi" w:cstheme="minorHAnsi"/>
          <w:b w:val="0"/>
          <w:color w:val="000000" w:themeColor="text1"/>
          <w:sz w:val="24"/>
        </w:rPr>
        <w:t>letech</w:t>
      </w:r>
      <w:r w:rsidRPr="00B91E21">
        <w:rPr>
          <w:rFonts w:asciiTheme="minorHAnsi" w:hAnsiTheme="minorHAnsi" w:cstheme="minorHAnsi"/>
          <w:b w:val="0"/>
          <w:color w:val="000000" w:themeColor="text1"/>
          <w:sz w:val="24"/>
        </w:rPr>
        <w:t xml:space="preserve"> 2012 - 2013</w:t>
      </w:r>
      <w:r w:rsidR="001905B0" w:rsidRPr="00B91E21">
        <w:rPr>
          <w:rFonts w:asciiTheme="minorHAnsi" w:hAnsiTheme="minorHAnsi" w:cstheme="minorHAnsi"/>
          <w:b w:val="0"/>
          <w:color w:val="000000" w:themeColor="text1"/>
          <w:sz w:val="24"/>
        </w:rPr>
        <w:t xml:space="preserve"> se počet zaměstnanců Univerzity Palackého v Olomouci zvýšil o více než 500 osob. Byla dokončena dostavba Teoretických ústavů a otevřen nový Ústav molekulární a translační medicíny. Dále bylo významně rozšířeno Centrum regionu Haná pro biotechnologický a zemědělský výzkum a Regionální centrum pokročilých technologií a materiálů. Tyto obrovské investice v řádu miliard korun přinesly </w:t>
      </w:r>
      <w:r w:rsidR="007026B2" w:rsidRPr="00B91E21">
        <w:rPr>
          <w:rFonts w:asciiTheme="minorHAnsi" w:hAnsiTheme="minorHAnsi" w:cstheme="minorHAnsi"/>
          <w:b w:val="0"/>
          <w:color w:val="000000" w:themeColor="text1"/>
          <w:sz w:val="24"/>
        </w:rPr>
        <w:t>výrazné posílení výzkumné základny UP i navázaní spolupráce s komerčními subjekty při zavádění nových technologií do praxe.</w:t>
      </w:r>
    </w:p>
    <w:p w:rsidR="007026B2" w:rsidRPr="00B91E21" w:rsidRDefault="007026B2" w:rsidP="001905B0">
      <w:pPr>
        <w:pStyle w:val="Zkladntext"/>
        <w:spacing w:line="240" w:lineRule="auto"/>
        <w:ind w:firstLine="709"/>
        <w:jc w:val="both"/>
        <w:rPr>
          <w:rFonts w:asciiTheme="minorHAnsi" w:hAnsiTheme="minorHAnsi" w:cstheme="minorHAnsi"/>
          <w:b w:val="0"/>
          <w:i/>
          <w:color w:val="000000" w:themeColor="text1"/>
          <w:sz w:val="24"/>
        </w:rPr>
      </w:pPr>
      <w:r w:rsidRPr="00B91E21">
        <w:rPr>
          <w:rFonts w:asciiTheme="minorHAnsi" w:hAnsiTheme="minorHAnsi" w:cstheme="minorHAnsi"/>
          <w:b w:val="0"/>
          <w:color w:val="000000" w:themeColor="text1"/>
          <w:sz w:val="24"/>
        </w:rPr>
        <w:t xml:space="preserve">Začátkem roku 2014 bylo otevřeno další výzkumně - vzdělávací centrum s novými učebnami a laboratořemi - tentokrát v přístavbě Pedagogické fakulty. </w:t>
      </w:r>
      <w:r w:rsidR="004A721E" w:rsidRPr="00B91E21">
        <w:rPr>
          <w:rFonts w:asciiTheme="minorHAnsi" w:hAnsiTheme="minorHAnsi" w:cstheme="minorHAnsi"/>
          <w:b w:val="0"/>
          <w:color w:val="000000" w:themeColor="text1"/>
          <w:sz w:val="24"/>
        </w:rPr>
        <w:t>V meziročním srovnání se přepočtený stav zaměstnanců zvýšil o pět desítek, ale koncový (k 31.12.) se naopak o 50 zaměstnanců snížil. V 2. polovině roku končily některé projekty a počet zaměstnanců se začal snižovat. Další pokles se očekává i v roce 2015.</w:t>
      </w:r>
    </w:p>
    <w:p w:rsidR="001905B0" w:rsidRPr="007E64DA" w:rsidRDefault="001905B0" w:rsidP="006E47DE">
      <w:pPr>
        <w:pStyle w:val="Zkladntext"/>
        <w:spacing w:line="240" w:lineRule="auto"/>
        <w:ind w:firstLine="720"/>
        <w:jc w:val="both"/>
        <w:rPr>
          <w:rFonts w:asciiTheme="minorHAnsi" w:hAnsiTheme="minorHAnsi" w:cstheme="minorHAnsi"/>
          <w:b w:val="0"/>
          <w:i/>
          <w:color w:val="FF0000"/>
          <w:sz w:val="24"/>
        </w:rPr>
      </w:pPr>
    </w:p>
    <w:p w:rsidR="006E47DE" w:rsidRPr="007026B2" w:rsidRDefault="006E47DE" w:rsidP="006E47DE">
      <w:pPr>
        <w:pStyle w:val="Zkladntext"/>
        <w:spacing w:line="240" w:lineRule="atLeast"/>
        <w:ind w:firstLine="720"/>
        <w:jc w:val="left"/>
        <w:rPr>
          <w:rFonts w:asciiTheme="minorHAnsi" w:hAnsiTheme="minorHAnsi" w:cstheme="minorHAnsi"/>
          <w:sz w:val="24"/>
        </w:rPr>
      </w:pPr>
      <w:r w:rsidRPr="007026B2">
        <w:rPr>
          <w:rFonts w:asciiTheme="minorHAnsi" w:hAnsiTheme="minorHAnsi" w:cstheme="minorHAnsi"/>
          <w:color w:val="0000FF"/>
          <w:sz w:val="24"/>
        </w:rPr>
        <w:t>Fakultní nemocnice Olomouc</w:t>
      </w:r>
      <w:r w:rsidRPr="007026B2">
        <w:rPr>
          <w:rFonts w:asciiTheme="minorHAnsi" w:hAnsiTheme="minorHAnsi" w:cstheme="minorHAnsi"/>
          <w:sz w:val="24"/>
        </w:rPr>
        <w:t xml:space="preserve"> (zdravotní péče) </w:t>
      </w:r>
    </w:p>
    <w:p w:rsidR="006E47DE" w:rsidRPr="007026B2" w:rsidRDefault="006E47DE" w:rsidP="006E47DE">
      <w:pPr>
        <w:pStyle w:val="Zkladntext"/>
        <w:spacing w:line="240" w:lineRule="atLeast"/>
        <w:ind w:left="720"/>
        <w:jc w:val="both"/>
        <w:rPr>
          <w:rFonts w:asciiTheme="minorHAnsi" w:hAnsiTheme="minorHAnsi" w:cstheme="minorHAnsi"/>
          <w:sz w:val="24"/>
        </w:rPr>
      </w:pPr>
      <w:r w:rsidRPr="007026B2">
        <w:rPr>
          <w:rFonts w:asciiTheme="minorHAnsi" w:hAnsiTheme="minorHAnsi" w:cstheme="minorHAnsi"/>
          <w:sz w:val="24"/>
        </w:rPr>
        <w:t>I. P. Pavlova 6, Olomouc</w:t>
      </w:r>
    </w:p>
    <w:p w:rsidR="006E47DE" w:rsidRPr="00B91E21" w:rsidRDefault="00261946" w:rsidP="006E47DE">
      <w:pPr>
        <w:pStyle w:val="Zkladntext"/>
        <w:spacing w:line="240" w:lineRule="atLeast"/>
        <w:ind w:firstLine="708"/>
        <w:jc w:val="both"/>
        <w:rPr>
          <w:rFonts w:asciiTheme="minorHAnsi" w:hAnsiTheme="minorHAnsi" w:cstheme="minorHAnsi"/>
          <w:b w:val="0"/>
          <w:color w:val="000000" w:themeColor="text1"/>
          <w:sz w:val="24"/>
        </w:rPr>
      </w:pPr>
      <w:r w:rsidRPr="00B91E21">
        <w:rPr>
          <w:rFonts w:asciiTheme="minorHAnsi" w:hAnsiTheme="minorHAnsi" w:cstheme="minorHAnsi"/>
          <w:b w:val="0"/>
          <w:color w:val="000000" w:themeColor="text1"/>
          <w:sz w:val="24"/>
        </w:rPr>
        <w:t xml:space="preserve">Jedná se o </w:t>
      </w:r>
      <w:r w:rsidR="007026B2" w:rsidRPr="00B91E21">
        <w:rPr>
          <w:rFonts w:asciiTheme="minorHAnsi" w:hAnsiTheme="minorHAnsi" w:cstheme="minorHAnsi"/>
          <w:b w:val="0"/>
          <w:color w:val="000000" w:themeColor="text1"/>
          <w:sz w:val="24"/>
        </w:rPr>
        <w:t xml:space="preserve">druhého </w:t>
      </w:r>
      <w:r w:rsidRPr="00B91E21">
        <w:rPr>
          <w:rFonts w:asciiTheme="minorHAnsi" w:hAnsiTheme="minorHAnsi" w:cstheme="minorHAnsi"/>
          <w:b w:val="0"/>
          <w:color w:val="000000" w:themeColor="text1"/>
          <w:sz w:val="24"/>
        </w:rPr>
        <w:t>největšího zaměstnavatele v Olomouckém kraji. V roce 2011 se počet pracovníků snížil o osm desítek osob, ale o rok po</w:t>
      </w:r>
      <w:r w:rsidR="00B91E21">
        <w:rPr>
          <w:rFonts w:asciiTheme="minorHAnsi" w:hAnsiTheme="minorHAnsi" w:cstheme="minorHAnsi"/>
          <w:b w:val="0"/>
          <w:color w:val="000000" w:themeColor="text1"/>
          <w:sz w:val="24"/>
        </w:rPr>
        <w:t>zději byl personál posílen o 45 </w:t>
      </w:r>
      <w:r w:rsidRPr="00B91E21">
        <w:rPr>
          <w:rFonts w:asciiTheme="minorHAnsi" w:hAnsiTheme="minorHAnsi" w:cstheme="minorHAnsi"/>
          <w:b w:val="0"/>
          <w:color w:val="000000" w:themeColor="text1"/>
          <w:sz w:val="24"/>
        </w:rPr>
        <w:t>zaměstnanců.</w:t>
      </w:r>
      <w:r w:rsidR="007026B2" w:rsidRPr="00B91E21">
        <w:rPr>
          <w:rFonts w:asciiTheme="minorHAnsi" w:hAnsiTheme="minorHAnsi" w:cstheme="minorHAnsi"/>
          <w:b w:val="0"/>
          <w:color w:val="000000" w:themeColor="text1"/>
          <w:sz w:val="24"/>
        </w:rPr>
        <w:t xml:space="preserve"> V roce 2013 se počet zaměstnanců zvý</w:t>
      </w:r>
      <w:r w:rsidR="00B91E21" w:rsidRPr="00B91E21">
        <w:rPr>
          <w:rFonts w:asciiTheme="minorHAnsi" w:hAnsiTheme="minorHAnsi" w:cstheme="minorHAnsi"/>
          <w:b w:val="0"/>
          <w:color w:val="000000" w:themeColor="text1"/>
          <w:sz w:val="24"/>
        </w:rPr>
        <w:t>šil o pět desítek osob; v následujícím roce 2014 dokonce o 130</w:t>
      </w:r>
      <w:r w:rsidR="007026B2" w:rsidRPr="00B91E21">
        <w:rPr>
          <w:rFonts w:asciiTheme="minorHAnsi" w:hAnsiTheme="minorHAnsi" w:cstheme="minorHAnsi"/>
          <w:b w:val="0"/>
          <w:color w:val="000000" w:themeColor="text1"/>
          <w:sz w:val="24"/>
        </w:rPr>
        <w:t xml:space="preserve"> zaměstnanců.</w:t>
      </w:r>
      <w:r w:rsidR="00B91E21" w:rsidRPr="00B91E21">
        <w:rPr>
          <w:rFonts w:asciiTheme="minorHAnsi" w:hAnsiTheme="minorHAnsi" w:cstheme="minorHAnsi"/>
          <w:b w:val="0"/>
          <w:color w:val="000000" w:themeColor="text1"/>
          <w:sz w:val="24"/>
        </w:rPr>
        <w:t xml:space="preserve"> Dalších 55 zaměstnanců by mělo být přijato i v 1. poletí.</w:t>
      </w:r>
    </w:p>
    <w:p w:rsidR="006A5650" w:rsidRPr="00B91E21" w:rsidRDefault="006A5650" w:rsidP="006E47DE">
      <w:pPr>
        <w:pStyle w:val="Zkladntext"/>
        <w:spacing w:line="240" w:lineRule="atLeast"/>
        <w:ind w:firstLine="708"/>
        <w:jc w:val="both"/>
        <w:rPr>
          <w:rFonts w:asciiTheme="minorHAnsi" w:hAnsiTheme="minorHAnsi" w:cstheme="minorHAnsi"/>
          <w:b w:val="0"/>
          <w:i/>
          <w:color w:val="000000" w:themeColor="text1"/>
          <w:sz w:val="24"/>
        </w:rPr>
      </w:pPr>
    </w:p>
    <w:p w:rsidR="006A5650" w:rsidRPr="007026B2" w:rsidRDefault="006A5650" w:rsidP="006A5650">
      <w:pPr>
        <w:pStyle w:val="Zkladntext"/>
        <w:spacing w:line="240" w:lineRule="atLeast"/>
        <w:ind w:firstLine="720"/>
        <w:jc w:val="left"/>
        <w:rPr>
          <w:rFonts w:asciiTheme="minorHAnsi" w:hAnsiTheme="minorHAnsi" w:cstheme="minorHAnsi"/>
          <w:sz w:val="24"/>
        </w:rPr>
      </w:pPr>
      <w:r w:rsidRPr="007026B2">
        <w:rPr>
          <w:rFonts w:asciiTheme="minorHAnsi" w:hAnsiTheme="minorHAnsi" w:cstheme="minorHAnsi"/>
          <w:color w:val="0000FF"/>
          <w:sz w:val="24"/>
        </w:rPr>
        <w:t>Středomoravská nemocniční a.s.</w:t>
      </w:r>
      <w:r w:rsidRPr="007026B2">
        <w:rPr>
          <w:rFonts w:asciiTheme="minorHAnsi" w:hAnsiTheme="minorHAnsi" w:cstheme="minorHAnsi"/>
          <w:sz w:val="24"/>
        </w:rPr>
        <w:t xml:space="preserve"> (zdravotní péče) </w:t>
      </w:r>
    </w:p>
    <w:p w:rsidR="006A5650" w:rsidRPr="007026B2" w:rsidRDefault="006A5650" w:rsidP="006A5650">
      <w:pPr>
        <w:pStyle w:val="Zkladntext"/>
        <w:spacing w:line="240" w:lineRule="atLeast"/>
        <w:ind w:left="720"/>
        <w:jc w:val="both"/>
        <w:rPr>
          <w:rFonts w:asciiTheme="minorHAnsi" w:hAnsiTheme="minorHAnsi" w:cstheme="minorHAnsi"/>
          <w:sz w:val="24"/>
        </w:rPr>
      </w:pPr>
      <w:r w:rsidRPr="007026B2">
        <w:rPr>
          <w:rFonts w:asciiTheme="minorHAnsi" w:hAnsiTheme="minorHAnsi" w:cstheme="minorHAnsi"/>
          <w:sz w:val="24"/>
        </w:rPr>
        <w:t>Mathonova 1, Prostějov</w:t>
      </w:r>
    </w:p>
    <w:p w:rsidR="00261946" w:rsidRPr="00B91E21" w:rsidRDefault="006A5650" w:rsidP="006A5650">
      <w:pPr>
        <w:pStyle w:val="Normlnweb"/>
        <w:spacing w:before="0" w:beforeAutospacing="0" w:after="0" w:afterAutospacing="0"/>
        <w:ind w:firstLine="709"/>
        <w:jc w:val="both"/>
        <w:rPr>
          <w:rFonts w:asciiTheme="minorHAnsi" w:hAnsiTheme="minorHAnsi" w:cstheme="minorHAnsi"/>
          <w:color w:val="000000" w:themeColor="text1"/>
        </w:rPr>
      </w:pPr>
      <w:r w:rsidRPr="00B91E21">
        <w:rPr>
          <w:rFonts w:asciiTheme="minorHAnsi" w:hAnsiTheme="minorHAnsi" w:cstheme="minorHAnsi"/>
          <w:color w:val="000000" w:themeColor="text1"/>
        </w:rPr>
        <w:t>Středomoravská nemocniční a.s. je součástí holdingu AGEL</w:t>
      </w:r>
      <w:r w:rsidR="00E3697B" w:rsidRPr="00B91E21">
        <w:rPr>
          <w:rFonts w:asciiTheme="minorHAnsi" w:hAnsiTheme="minorHAnsi" w:cstheme="minorHAnsi"/>
          <w:color w:val="000000" w:themeColor="text1"/>
        </w:rPr>
        <w:t>, byla založena v souvislosti s </w:t>
      </w:r>
      <w:r w:rsidRPr="00B91E21">
        <w:rPr>
          <w:rFonts w:asciiTheme="minorHAnsi" w:hAnsiTheme="minorHAnsi" w:cstheme="minorHAnsi"/>
          <w:color w:val="000000" w:themeColor="text1"/>
        </w:rPr>
        <w:t xml:space="preserve">účastí AGELu ve veřejné obchodní soutěži na pronájem nemocnic v Prostějově, Přerově a Šternberku a po vítězství v soutěži také od 1.7.2007 tyto nemocnice řídí a spravuje. </w:t>
      </w:r>
    </w:p>
    <w:p w:rsidR="006A5650" w:rsidRPr="007E64DA" w:rsidRDefault="00261946" w:rsidP="006A5650">
      <w:pPr>
        <w:pStyle w:val="Normlnweb"/>
        <w:spacing w:before="0" w:beforeAutospacing="0" w:after="0" w:afterAutospacing="0"/>
        <w:ind w:firstLine="709"/>
        <w:jc w:val="both"/>
        <w:rPr>
          <w:rFonts w:asciiTheme="minorHAnsi" w:hAnsiTheme="minorHAnsi" w:cstheme="minorHAnsi"/>
          <w:color w:val="FF0000"/>
        </w:rPr>
      </w:pPr>
      <w:r w:rsidRPr="00B91E21">
        <w:rPr>
          <w:rFonts w:asciiTheme="minorHAnsi" w:hAnsiTheme="minorHAnsi" w:cstheme="minorHAnsi"/>
          <w:color w:val="000000" w:themeColor="text1"/>
        </w:rPr>
        <w:t xml:space="preserve">Společnost zaměstnává </w:t>
      </w:r>
      <w:r w:rsidR="00B91E21" w:rsidRPr="00B91E21">
        <w:rPr>
          <w:rFonts w:asciiTheme="minorHAnsi" w:hAnsiTheme="minorHAnsi" w:cstheme="minorHAnsi"/>
          <w:color w:val="000000" w:themeColor="text1"/>
        </w:rPr>
        <w:t>téměř dva tisíce osob (z toho 912</w:t>
      </w:r>
      <w:r w:rsidR="0096728B" w:rsidRPr="00B91E21">
        <w:rPr>
          <w:rFonts w:asciiTheme="minorHAnsi" w:hAnsiTheme="minorHAnsi" w:cstheme="minorHAnsi"/>
          <w:color w:val="000000" w:themeColor="text1"/>
        </w:rPr>
        <w:t xml:space="preserve"> </w:t>
      </w:r>
      <w:r w:rsidR="006A5650" w:rsidRPr="00B91E21">
        <w:rPr>
          <w:rFonts w:asciiTheme="minorHAnsi" w:hAnsiTheme="minorHAnsi" w:cstheme="minorHAnsi"/>
          <w:color w:val="000000" w:themeColor="text1"/>
        </w:rPr>
        <w:t xml:space="preserve">v Prostějově, </w:t>
      </w:r>
      <w:r w:rsidR="00B91E21" w:rsidRPr="00B91E21">
        <w:rPr>
          <w:rFonts w:asciiTheme="minorHAnsi" w:hAnsiTheme="minorHAnsi" w:cstheme="minorHAnsi"/>
          <w:color w:val="000000" w:themeColor="text1"/>
        </w:rPr>
        <w:t>682</w:t>
      </w:r>
      <w:r w:rsidR="0096728B" w:rsidRPr="00B91E21">
        <w:rPr>
          <w:rFonts w:asciiTheme="minorHAnsi" w:hAnsiTheme="minorHAnsi" w:cstheme="minorHAnsi"/>
          <w:color w:val="000000" w:themeColor="text1"/>
        </w:rPr>
        <w:t xml:space="preserve"> </w:t>
      </w:r>
      <w:r w:rsidR="006A5650" w:rsidRPr="00B91E21">
        <w:rPr>
          <w:rFonts w:asciiTheme="minorHAnsi" w:hAnsiTheme="minorHAnsi" w:cstheme="minorHAnsi"/>
          <w:color w:val="000000" w:themeColor="text1"/>
        </w:rPr>
        <w:t>v Přerov</w:t>
      </w:r>
      <w:r w:rsidR="00B91E21" w:rsidRPr="00B91E21">
        <w:rPr>
          <w:rFonts w:asciiTheme="minorHAnsi" w:hAnsiTheme="minorHAnsi" w:cstheme="minorHAnsi"/>
          <w:color w:val="000000" w:themeColor="text1"/>
        </w:rPr>
        <w:t>ě a 399</w:t>
      </w:r>
      <w:r w:rsidR="00E3697B" w:rsidRPr="00B91E21">
        <w:rPr>
          <w:rFonts w:asciiTheme="minorHAnsi" w:hAnsiTheme="minorHAnsi" w:cstheme="minorHAnsi"/>
          <w:color w:val="000000" w:themeColor="text1"/>
        </w:rPr>
        <w:t> </w:t>
      </w:r>
      <w:r w:rsidR="0096728B" w:rsidRPr="00B91E21">
        <w:rPr>
          <w:rFonts w:asciiTheme="minorHAnsi" w:hAnsiTheme="minorHAnsi" w:cstheme="minorHAnsi"/>
          <w:color w:val="000000" w:themeColor="text1"/>
        </w:rPr>
        <w:t>ve </w:t>
      </w:r>
      <w:r w:rsidR="006E07EB" w:rsidRPr="00B91E21">
        <w:rPr>
          <w:rFonts w:asciiTheme="minorHAnsi" w:hAnsiTheme="minorHAnsi" w:cstheme="minorHAnsi"/>
          <w:color w:val="000000" w:themeColor="text1"/>
        </w:rPr>
        <w:t>Šternberku). V posledním roce</w:t>
      </w:r>
      <w:r w:rsidR="006A5650" w:rsidRPr="00B91E21">
        <w:rPr>
          <w:rFonts w:asciiTheme="minorHAnsi" w:hAnsiTheme="minorHAnsi" w:cstheme="minorHAnsi"/>
          <w:color w:val="000000" w:themeColor="text1"/>
        </w:rPr>
        <w:t xml:space="preserve"> se počet zaměstnanců</w:t>
      </w:r>
      <w:r w:rsidR="00CF6F91" w:rsidRPr="00B91E21">
        <w:rPr>
          <w:rFonts w:asciiTheme="minorHAnsi" w:hAnsiTheme="minorHAnsi" w:cstheme="minorHAnsi"/>
          <w:color w:val="000000" w:themeColor="text1"/>
        </w:rPr>
        <w:t xml:space="preserve"> výrazněji nezměnil a ani v následujícím období se nepočítá s výraznějším nárůstem nebo poklesem zaměstnanost</w:t>
      </w:r>
      <w:r w:rsidR="00CF6F91" w:rsidRPr="007E64DA">
        <w:rPr>
          <w:rFonts w:asciiTheme="minorHAnsi" w:hAnsiTheme="minorHAnsi" w:cstheme="minorHAnsi"/>
          <w:color w:val="FF0000"/>
        </w:rPr>
        <w:t>i.</w:t>
      </w:r>
    </w:p>
    <w:p w:rsidR="00150AF0" w:rsidRPr="007E64DA" w:rsidRDefault="00150AF0" w:rsidP="006A5650">
      <w:pPr>
        <w:pStyle w:val="Normlnweb"/>
        <w:spacing w:before="0" w:beforeAutospacing="0" w:after="0" w:afterAutospacing="0"/>
        <w:ind w:firstLine="709"/>
        <w:jc w:val="both"/>
        <w:rPr>
          <w:rFonts w:asciiTheme="minorHAnsi" w:hAnsiTheme="minorHAnsi" w:cstheme="minorHAnsi"/>
          <w:i/>
          <w:color w:val="FF0000"/>
        </w:rPr>
      </w:pPr>
    </w:p>
    <w:p w:rsidR="00F6101A" w:rsidRPr="00B92419" w:rsidRDefault="00150AF0" w:rsidP="00F6101A">
      <w:pPr>
        <w:pStyle w:val="Zkladntext"/>
        <w:spacing w:line="240" w:lineRule="atLeast"/>
        <w:ind w:firstLine="720"/>
        <w:jc w:val="left"/>
        <w:rPr>
          <w:rFonts w:asciiTheme="minorHAnsi" w:hAnsiTheme="minorHAnsi" w:cstheme="minorHAnsi"/>
          <w:sz w:val="24"/>
        </w:rPr>
      </w:pPr>
      <w:r w:rsidRPr="00B92419">
        <w:rPr>
          <w:rFonts w:asciiTheme="minorHAnsi" w:hAnsiTheme="minorHAnsi" w:cstheme="minorHAnsi"/>
          <w:color w:val="0000FF"/>
          <w:sz w:val="24"/>
        </w:rPr>
        <w:t>Šumperská nemocnice</w:t>
      </w:r>
      <w:r w:rsidR="00F6101A" w:rsidRPr="00B92419">
        <w:rPr>
          <w:rFonts w:asciiTheme="minorHAnsi" w:hAnsiTheme="minorHAnsi" w:cstheme="minorHAnsi"/>
          <w:color w:val="0000FF"/>
          <w:sz w:val="24"/>
        </w:rPr>
        <w:t xml:space="preserve"> a.s. </w:t>
      </w:r>
      <w:r w:rsidR="00F6101A" w:rsidRPr="00B92419">
        <w:rPr>
          <w:rFonts w:asciiTheme="minorHAnsi" w:hAnsiTheme="minorHAnsi" w:cstheme="minorHAnsi"/>
          <w:sz w:val="24"/>
        </w:rPr>
        <w:t xml:space="preserve">(zdravotní péče) </w:t>
      </w:r>
    </w:p>
    <w:p w:rsidR="00150AF0" w:rsidRPr="00B92419" w:rsidRDefault="00F6101A" w:rsidP="006A5650">
      <w:pPr>
        <w:pStyle w:val="Normlnweb"/>
        <w:spacing w:before="0" w:beforeAutospacing="0" w:after="0" w:afterAutospacing="0"/>
        <w:ind w:firstLine="709"/>
        <w:jc w:val="both"/>
        <w:rPr>
          <w:rFonts w:asciiTheme="minorHAnsi" w:hAnsiTheme="minorHAnsi" w:cstheme="minorHAnsi"/>
          <w:b/>
          <w:color w:val="000000" w:themeColor="text1"/>
        </w:rPr>
      </w:pPr>
      <w:r w:rsidRPr="00B92419">
        <w:rPr>
          <w:rFonts w:asciiTheme="minorHAnsi" w:hAnsiTheme="minorHAnsi" w:cstheme="minorHAnsi"/>
          <w:b/>
          <w:color w:val="000000" w:themeColor="text1"/>
        </w:rPr>
        <w:t>Nerudova 640/41, Šumperk</w:t>
      </w:r>
    </w:p>
    <w:p w:rsidR="00AE638C" w:rsidRPr="00B92B8C" w:rsidRDefault="00F6101A" w:rsidP="006A5650">
      <w:pPr>
        <w:pStyle w:val="Normlnweb"/>
        <w:spacing w:before="0" w:beforeAutospacing="0" w:after="0" w:afterAutospacing="0"/>
        <w:ind w:firstLine="709"/>
        <w:jc w:val="both"/>
        <w:rPr>
          <w:rFonts w:asciiTheme="minorHAnsi" w:hAnsiTheme="minorHAnsi" w:cstheme="minorHAnsi"/>
          <w:color w:val="000000" w:themeColor="text1"/>
        </w:rPr>
      </w:pPr>
      <w:r w:rsidRPr="00B92B8C">
        <w:rPr>
          <w:rFonts w:asciiTheme="minorHAnsi" w:hAnsiTheme="minorHAnsi" w:cstheme="minorHAnsi"/>
          <w:color w:val="000000" w:themeColor="text1"/>
        </w:rPr>
        <w:t>Šumpe</w:t>
      </w:r>
      <w:r w:rsidR="00AE638C" w:rsidRPr="00B92B8C">
        <w:rPr>
          <w:rFonts w:asciiTheme="minorHAnsi" w:hAnsiTheme="minorHAnsi" w:cstheme="minorHAnsi"/>
          <w:color w:val="000000" w:themeColor="text1"/>
        </w:rPr>
        <w:t xml:space="preserve">rská nemocnice a.s. je </w:t>
      </w:r>
      <w:r w:rsidRPr="00B92B8C">
        <w:rPr>
          <w:rFonts w:asciiTheme="minorHAnsi" w:hAnsiTheme="minorHAnsi" w:cstheme="minorHAnsi"/>
          <w:color w:val="000000" w:themeColor="text1"/>
        </w:rPr>
        <w:t>člen</w:t>
      </w:r>
      <w:r w:rsidR="00AE638C" w:rsidRPr="00B92B8C">
        <w:rPr>
          <w:rFonts w:asciiTheme="minorHAnsi" w:hAnsiTheme="minorHAnsi" w:cstheme="minorHAnsi"/>
          <w:color w:val="000000" w:themeColor="text1"/>
        </w:rPr>
        <w:t>em</w:t>
      </w:r>
      <w:r w:rsidRPr="00B92B8C">
        <w:rPr>
          <w:rFonts w:asciiTheme="minorHAnsi" w:hAnsiTheme="minorHAnsi" w:cstheme="minorHAnsi"/>
          <w:color w:val="000000" w:themeColor="text1"/>
        </w:rPr>
        <w:t xml:space="preserve"> skupiny </w:t>
      </w:r>
      <w:r w:rsidR="00AE638C" w:rsidRPr="00B92B8C">
        <w:rPr>
          <w:rFonts w:asciiTheme="minorHAnsi" w:hAnsiTheme="minorHAnsi" w:cstheme="minorHAnsi"/>
          <w:color w:val="000000" w:themeColor="text1"/>
        </w:rPr>
        <w:t>AGEL, je všeobecnou nemocnicí s </w:t>
      </w:r>
      <w:r w:rsidRPr="00B92B8C">
        <w:rPr>
          <w:rFonts w:asciiTheme="minorHAnsi" w:hAnsiTheme="minorHAnsi" w:cstheme="minorHAnsi"/>
          <w:color w:val="000000" w:themeColor="text1"/>
        </w:rPr>
        <w:t>rozsáhlou lůžkovou a ambulantní složkou poskytující základní i spe</w:t>
      </w:r>
      <w:r w:rsidR="00B92419" w:rsidRPr="00B92B8C">
        <w:rPr>
          <w:rFonts w:asciiTheme="minorHAnsi" w:hAnsiTheme="minorHAnsi" w:cstheme="minorHAnsi"/>
          <w:color w:val="000000" w:themeColor="text1"/>
        </w:rPr>
        <w:t>cializovanou zdravotní péči pro </w:t>
      </w:r>
      <w:r w:rsidRPr="00B92B8C">
        <w:rPr>
          <w:rFonts w:asciiTheme="minorHAnsi" w:hAnsiTheme="minorHAnsi" w:cstheme="minorHAnsi"/>
          <w:color w:val="000000" w:themeColor="text1"/>
        </w:rPr>
        <w:t>spádovou oblast až 200 tisíc obyvatel.</w:t>
      </w:r>
    </w:p>
    <w:p w:rsidR="00F6101A" w:rsidRPr="00B92B8C" w:rsidRDefault="00B92419" w:rsidP="006A5650">
      <w:pPr>
        <w:pStyle w:val="Normlnweb"/>
        <w:spacing w:before="0" w:beforeAutospacing="0" w:after="0" w:afterAutospacing="0"/>
        <w:ind w:firstLine="709"/>
        <w:jc w:val="both"/>
        <w:rPr>
          <w:rFonts w:asciiTheme="minorHAnsi" w:hAnsiTheme="minorHAnsi" w:cstheme="minorHAnsi"/>
          <w:color w:val="000000" w:themeColor="text1"/>
        </w:rPr>
      </w:pPr>
      <w:r w:rsidRPr="00B92B8C">
        <w:rPr>
          <w:rFonts w:asciiTheme="minorHAnsi" w:hAnsiTheme="minorHAnsi" w:cstheme="minorHAnsi"/>
          <w:color w:val="000000" w:themeColor="text1"/>
        </w:rPr>
        <w:t>Počet zaměstnanců se dlouhodobě pohyboval okolo 900 osob, ale v roce 2013 se zaměstnanost výrazně snížila o 86 zaměstnanců.</w:t>
      </w:r>
      <w:r w:rsidR="00B91E21" w:rsidRPr="00B92B8C">
        <w:rPr>
          <w:rFonts w:asciiTheme="minorHAnsi" w:hAnsiTheme="minorHAnsi" w:cstheme="minorHAnsi"/>
          <w:color w:val="000000" w:themeColor="text1"/>
        </w:rPr>
        <w:t xml:space="preserve"> V roce 2014 se zaměstnanost mí</w:t>
      </w:r>
      <w:r w:rsidR="00B92B8C">
        <w:rPr>
          <w:rFonts w:asciiTheme="minorHAnsi" w:hAnsiTheme="minorHAnsi" w:cstheme="minorHAnsi"/>
          <w:color w:val="000000" w:themeColor="text1"/>
        </w:rPr>
        <w:t>rně zvedla o </w:t>
      </w:r>
      <w:r w:rsidR="00B92B8C" w:rsidRPr="00B92B8C">
        <w:rPr>
          <w:rFonts w:asciiTheme="minorHAnsi" w:hAnsiTheme="minorHAnsi" w:cstheme="minorHAnsi"/>
          <w:color w:val="000000" w:themeColor="text1"/>
        </w:rPr>
        <w:t>dvě desítky osob.</w:t>
      </w:r>
    </w:p>
    <w:p w:rsidR="00F420B2" w:rsidRDefault="009807E6" w:rsidP="006A5650">
      <w:pPr>
        <w:pStyle w:val="Normlnweb"/>
        <w:spacing w:before="0" w:beforeAutospacing="0" w:after="0" w:afterAutospacing="0"/>
        <w:jc w:val="both"/>
        <w:rPr>
          <w:rFonts w:asciiTheme="minorHAnsi" w:hAnsiTheme="minorHAnsi" w:cstheme="minorHAnsi"/>
          <w:i/>
          <w:color w:val="FF0000"/>
        </w:rPr>
      </w:pPr>
      <w:r w:rsidRPr="007E64DA">
        <w:rPr>
          <w:rFonts w:asciiTheme="minorHAnsi" w:hAnsiTheme="minorHAnsi" w:cstheme="minorHAnsi"/>
          <w:i/>
          <w:color w:val="FF0000"/>
        </w:rPr>
        <w:t xml:space="preserve">  </w:t>
      </w: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1C3638" w:rsidRDefault="001C3638" w:rsidP="006A5650">
      <w:pPr>
        <w:pStyle w:val="Normlnweb"/>
        <w:spacing w:before="0" w:beforeAutospacing="0" w:after="0" w:afterAutospacing="0"/>
        <w:jc w:val="both"/>
        <w:rPr>
          <w:rFonts w:asciiTheme="minorHAnsi" w:hAnsiTheme="minorHAnsi" w:cstheme="minorHAnsi"/>
          <w:i/>
          <w:color w:val="FF0000"/>
        </w:rPr>
      </w:pPr>
    </w:p>
    <w:p w:rsidR="00987584" w:rsidRPr="006E18F2" w:rsidRDefault="0028603C" w:rsidP="00F03DF1">
      <w:pPr>
        <w:pStyle w:val="Nadpis1"/>
        <w:rPr>
          <w:rFonts w:asciiTheme="minorHAnsi" w:hAnsiTheme="minorHAnsi" w:cstheme="minorHAnsi"/>
          <w:b/>
          <w:bCs/>
          <w:color w:val="0000FF"/>
          <w:sz w:val="24"/>
        </w:rPr>
      </w:pPr>
      <w:bookmarkStart w:id="20" w:name="_II.3_Volná_pracovní_místa"/>
      <w:bookmarkStart w:id="21" w:name="_Toc321296403"/>
      <w:bookmarkStart w:id="22" w:name="_Toc321296520"/>
      <w:bookmarkEnd w:id="20"/>
      <w:r w:rsidRPr="006E18F2">
        <w:rPr>
          <w:rFonts w:asciiTheme="minorHAnsi" w:hAnsiTheme="minorHAnsi" w:cstheme="minorHAnsi"/>
          <w:b/>
          <w:bCs/>
          <w:color w:val="0000FF"/>
          <w:sz w:val="24"/>
        </w:rPr>
        <w:lastRenderedPageBreak/>
        <w:t>1</w:t>
      </w:r>
      <w:r w:rsidR="00D45B9E" w:rsidRPr="006E18F2">
        <w:rPr>
          <w:rFonts w:asciiTheme="minorHAnsi" w:hAnsiTheme="minorHAnsi" w:cstheme="minorHAnsi"/>
          <w:b/>
          <w:bCs/>
          <w:color w:val="0000FF"/>
          <w:sz w:val="24"/>
        </w:rPr>
        <w:t>.3</w:t>
      </w:r>
      <w:r w:rsidR="00987584" w:rsidRPr="006E18F2">
        <w:rPr>
          <w:rFonts w:asciiTheme="minorHAnsi" w:hAnsiTheme="minorHAnsi" w:cstheme="minorHAnsi"/>
          <w:b/>
          <w:bCs/>
          <w:color w:val="0000FF"/>
          <w:sz w:val="24"/>
        </w:rPr>
        <w:t xml:space="preserve"> Volná pracovní místa</w:t>
      </w:r>
      <w:bookmarkEnd w:id="21"/>
      <w:bookmarkEnd w:id="22"/>
    </w:p>
    <w:p w:rsidR="00987584" w:rsidRPr="00ED342B" w:rsidRDefault="00987584" w:rsidP="00987584">
      <w:pPr>
        <w:spacing w:before="120"/>
        <w:jc w:val="both"/>
        <w:rPr>
          <w:rFonts w:asciiTheme="minorHAnsi" w:hAnsiTheme="minorHAnsi" w:cstheme="minorHAnsi"/>
          <w:b/>
          <w:color w:val="000000"/>
        </w:rPr>
      </w:pPr>
      <w:r w:rsidRPr="00ED342B">
        <w:rPr>
          <w:rFonts w:asciiTheme="minorHAnsi" w:hAnsiTheme="minorHAnsi" w:cstheme="minorHAnsi"/>
          <w:b/>
          <w:color w:val="000000"/>
        </w:rPr>
        <w:t xml:space="preserve">Tabulka </w:t>
      </w:r>
      <w:r w:rsidR="005D293D" w:rsidRPr="00ED342B">
        <w:rPr>
          <w:rFonts w:asciiTheme="minorHAnsi" w:hAnsiTheme="minorHAnsi" w:cstheme="minorHAnsi"/>
          <w:b/>
          <w:color w:val="000000"/>
        </w:rPr>
        <w:t>2</w:t>
      </w:r>
      <w:r w:rsidRPr="00ED342B">
        <w:rPr>
          <w:rFonts w:asciiTheme="minorHAnsi" w:hAnsiTheme="minorHAnsi" w:cstheme="minorHAnsi"/>
          <w:color w:val="000000"/>
        </w:rPr>
        <w:t xml:space="preserve"> - Počet hlášených volných míst podle požadavků na vzdělání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2"/>
        <w:gridCol w:w="1076"/>
        <w:gridCol w:w="1076"/>
        <w:gridCol w:w="1077"/>
        <w:gridCol w:w="1077"/>
        <w:gridCol w:w="1077"/>
        <w:gridCol w:w="1077"/>
      </w:tblGrid>
      <w:tr w:rsidR="007E64DA" w:rsidRPr="007E64DA" w:rsidTr="00A61613">
        <w:trPr>
          <w:cantSplit/>
        </w:trPr>
        <w:tc>
          <w:tcPr>
            <w:tcW w:w="3092" w:type="dxa"/>
            <w:vMerge w:val="restart"/>
            <w:tcBorders>
              <w:top w:val="double" w:sz="4" w:space="0" w:color="auto"/>
              <w:left w:val="double" w:sz="4" w:space="0" w:color="auto"/>
              <w:bottom w:val="nil"/>
              <w:right w:val="single" w:sz="12" w:space="0" w:color="auto"/>
            </w:tcBorders>
            <w:shd w:val="clear" w:color="auto" w:fill="CCFFFF"/>
            <w:vAlign w:val="center"/>
          </w:tcPr>
          <w:p w:rsidR="00987584" w:rsidRPr="007E64DA" w:rsidRDefault="00B2131B" w:rsidP="00B2131B">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Stupeň vzdělání</w:t>
            </w:r>
          </w:p>
        </w:tc>
        <w:tc>
          <w:tcPr>
            <w:tcW w:w="3229" w:type="dxa"/>
            <w:gridSpan w:val="3"/>
            <w:tcBorders>
              <w:top w:val="double" w:sz="4" w:space="0" w:color="auto"/>
              <w:left w:val="nil"/>
              <w:bottom w:val="nil"/>
            </w:tcBorders>
            <w:shd w:val="clear" w:color="auto" w:fill="CCFFFF"/>
            <w:vAlign w:val="center"/>
          </w:tcPr>
          <w:p w:rsidR="00987584" w:rsidRPr="007E64DA" w:rsidRDefault="000C5189" w:rsidP="008D45EC">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31.</w:t>
            </w:r>
            <w:r w:rsidR="001C26A1" w:rsidRPr="007E64DA">
              <w:rPr>
                <w:rFonts w:asciiTheme="minorHAnsi" w:hAnsiTheme="minorHAnsi" w:cstheme="minorHAnsi"/>
                <w:b/>
                <w:color w:val="000000" w:themeColor="text1"/>
              </w:rPr>
              <w:t xml:space="preserve"> </w:t>
            </w:r>
            <w:r w:rsidRPr="007E64DA">
              <w:rPr>
                <w:rFonts w:asciiTheme="minorHAnsi" w:hAnsiTheme="minorHAnsi" w:cstheme="minorHAnsi"/>
                <w:b/>
                <w:color w:val="000000" w:themeColor="text1"/>
              </w:rPr>
              <w:t>12.</w:t>
            </w:r>
            <w:r w:rsidR="001C26A1" w:rsidRPr="007E64DA">
              <w:rPr>
                <w:rFonts w:asciiTheme="minorHAnsi" w:hAnsiTheme="minorHAnsi" w:cstheme="minorHAnsi"/>
                <w:b/>
                <w:color w:val="000000" w:themeColor="text1"/>
              </w:rPr>
              <w:t xml:space="preserve"> </w:t>
            </w:r>
            <w:r w:rsidRPr="007E64DA">
              <w:rPr>
                <w:rFonts w:asciiTheme="minorHAnsi" w:hAnsiTheme="minorHAnsi" w:cstheme="minorHAnsi"/>
                <w:b/>
                <w:color w:val="000000" w:themeColor="text1"/>
              </w:rPr>
              <w:t>20</w:t>
            </w:r>
            <w:r w:rsidR="008D45EC" w:rsidRPr="007E64DA">
              <w:rPr>
                <w:rFonts w:asciiTheme="minorHAnsi" w:hAnsiTheme="minorHAnsi" w:cstheme="minorHAnsi"/>
                <w:b/>
                <w:color w:val="000000" w:themeColor="text1"/>
              </w:rPr>
              <w:t>1</w:t>
            </w:r>
            <w:r w:rsidR="007E64DA" w:rsidRPr="007E64DA">
              <w:rPr>
                <w:rFonts w:asciiTheme="minorHAnsi" w:hAnsiTheme="minorHAnsi" w:cstheme="minorHAnsi"/>
                <w:b/>
                <w:color w:val="000000" w:themeColor="text1"/>
              </w:rPr>
              <w:t>3</w:t>
            </w:r>
          </w:p>
        </w:tc>
        <w:tc>
          <w:tcPr>
            <w:tcW w:w="3231" w:type="dxa"/>
            <w:gridSpan w:val="3"/>
            <w:tcBorders>
              <w:top w:val="double" w:sz="4" w:space="0" w:color="auto"/>
              <w:bottom w:val="nil"/>
              <w:right w:val="double" w:sz="4" w:space="0" w:color="auto"/>
            </w:tcBorders>
            <w:shd w:val="clear" w:color="auto" w:fill="CCFFFF"/>
            <w:vAlign w:val="center"/>
          </w:tcPr>
          <w:p w:rsidR="00987584" w:rsidRPr="007E64DA" w:rsidRDefault="00987584" w:rsidP="008D45EC">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31. 12. 20</w:t>
            </w:r>
            <w:r w:rsidR="00A61613" w:rsidRPr="007E64DA">
              <w:rPr>
                <w:rFonts w:asciiTheme="minorHAnsi" w:hAnsiTheme="minorHAnsi" w:cstheme="minorHAnsi"/>
                <w:b/>
                <w:color w:val="000000" w:themeColor="text1"/>
              </w:rPr>
              <w:t>1</w:t>
            </w:r>
            <w:r w:rsidR="007E64DA" w:rsidRPr="007E64DA">
              <w:rPr>
                <w:rFonts w:asciiTheme="minorHAnsi" w:hAnsiTheme="minorHAnsi" w:cstheme="minorHAnsi"/>
                <w:b/>
                <w:color w:val="000000" w:themeColor="text1"/>
              </w:rPr>
              <w:t>4</w:t>
            </w:r>
          </w:p>
        </w:tc>
      </w:tr>
      <w:tr w:rsidR="007E64DA" w:rsidRPr="007E64DA" w:rsidTr="00A61613">
        <w:trPr>
          <w:cantSplit/>
        </w:trPr>
        <w:tc>
          <w:tcPr>
            <w:tcW w:w="3092" w:type="dxa"/>
            <w:vMerge/>
            <w:tcBorders>
              <w:top w:val="nil"/>
              <w:left w:val="double" w:sz="4" w:space="0" w:color="auto"/>
              <w:bottom w:val="double" w:sz="4" w:space="0" w:color="auto"/>
              <w:right w:val="single" w:sz="12" w:space="0" w:color="auto"/>
            </w:tcBorders>
            <w:shd w:val="clear" w:color="auto" w:fill="CCFFFF"/>
          </w:tcPr>
          <w:p w:rsidR="00987584" w:rsidRPr="007E64DA" w:rsidRDefault="00987584" w:rsidP="00987584">
            <w:pPr>
              <w:jc w:val="both"/>
              <w:rPr>
                <w:rFonts w:asciiTheme="minorHAnsi" w:hAnsiTheme="minorHAnsi" w:cstheme="minorHAnsi"/>
                <w:b/>
                <w:color w:val="000000" w:themeColor="text1"/>
                <w:sz w:val="22"/>
              </w:rPr>
            </w:pPr>
          </w:p>
        </w:tc>
        <w:tc>
          <w:tcPr>
            <w:tcW w:w="1076" w:type="dxa"/>
            <w:tcBorders>
              <w:left w:val="nil"/>
              <w:bottom w:val="double" w:sz="4" w:space="0" w:color="auto"/>
              <w:right w:val="single" w:sz="4" w:space="0" w:color="auto"/>
            </w:tcBorders>
            <w:shd w:val="clear" w:color="auto" w:fill="CCFFFF"/>
            <w:vAlign w:val="center"/>
          </w:tcPr>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uchazeči</w:t>
            </w:r>
          </w:p>
        </w:tc>
        <w:tc>
          <w:tcPr>
            <w:tcW w:w="1076" w:type="dxa"/>
            <w:tcBorders>
              <w:left w:val="single" w:sz="4" w:space="0" w:color="auto"/>
              <w:bottom w:val="double" w:sz="4" w:space="0" w:color="auto"/>
              <w:right w:val="single" w:sz="4" w:space="0" w:color="auto"/>
            </w:tcBorders>
            <w:shd w:val="clear" w:color="auto" w:fill="CCFFFF"/>
          </w:tcPr>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volná místa</w:t>
            </w:r>
          </w:p>
        </w:tc>
        <w:tc>
          <w:tcPr>
            <w:tcW w:w="1077" w:type="dxa"/>
            <w:tcBorders>
              <w:left w:val="single" w:sz="4" w:space="0" w:color="auto"/>
              <w:bottom w:val="double" w:sz="4" w:space="0" w:color="auto"/>
              <w:right w:val="single" w:sz="4" w:space="0" w:color="auto"/>
            </w:tcBorders>
            <w:shd w:val="clear" w:color="auto" w:fill="CCFFFF"/>
          </w:tcPr>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 xml:space="preserve">uchaz./ </w:t>
            </w:r>
          </w:p>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1 místo</w:t>
            </w:r>
          </w:p>
        </w:tc>
        <w:tc>
          <w:tcPr>
            <w:tcW w:w="1077" w:type="dxa"/>
            <w:tcBorders>
              <w:left w:val="single" w:sz="4" w:space="0" w:color="auto"/>
              <w:bottom w:val="double" w:sz="4" w:space="0" w:color="auto"/>
              <w:right w:val="single" w:sz="4" w:space="0" w:color="auto"/>
            </w:tcBorders>
            <w:shd w:val="clear" w:color="auto" w:fill="CCFFFF"/>
            <w:vAlign w:val="center"/>
          </w:tcPr>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uchazeči</w:t>
            </w:r>
          </w:p>
        </w:tc>
        <w:tc>
          <w:tcPr>
            <w:tcW w:w="1077" w:type="dxa"/>
            <w:tcBorders>
              <w:left w:val="single" w:sz="4" w:space="0" w:color="auto"/>
              <w:bottom w:val="double" w:sz="4" w:space="0" w:color="auto"/>
              <w:right w:val="single" w:sz="4" w:space="0" w:color="auto"/>
            </w:tcBorders>
            <w:shd w:val="clear" w:color="auto" w:fill="CCFFFF"/>
          </w:tcPr>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volná místa</w:t>
            </w:r>
          </w:p>
        </w:tc>
        <w:tc>
          <w:tcPr>
            <w:tcW w:w="1077" w:type="dxa"/>
            <w:tcBorders>
              <w:left w:val="single" w:sz="4" w:space="0" w:color="auto"/>
              <w:bottom w:val="double" w:sz="4" w:space="0" w:color="auto"/>
              <w:right w:val="double" w:sz="4" w:space="0" w:color="auto"/>
            </w:tcBorders>
            <w:shd w:val="clear" w:color="auto" w:fill="CCFFFF"/>
          </w:tcPr>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 xml:space="preserve">uchaz./ </w:t>
            </w:r>
          </w:p>
          <w:p w:rsidR="00987584" w:rsidRPr="007E64DA" w:rsidRDefault="00987584" w:rsidP="00987584">
            <w:pPr>
              <w:jc w:val="center"/>
              <w:rPr>
                <w:rFonts w:asciiTheme="minorHAnsi" w:hAnsiTheme="minorHAnsi" w:cstheme="minorHAnsi"/>
                <w:b/>
                <w:color w:val="000000" w:themeColor="text1"/>
              </w:rPr>
            </w:pPr>
            <w:r w:rsidRPr="007E64DA">
              <w:rPr>
                <w:rFonts w:asciiTheme="minorHAnsi" w:hAnsiTheme="minorHAnsi" w:cstheme="minorHAnsi"/>
                <w:b/>
                <w:color w:val="000000" w:themeColor="text1"/>
              </w:rPr>
              <w:t>1 místo</w:t>
            </w:r>
          </w:p>
        </w:tc>
      </w:tr>
      <w:tr w:rsidR="007E64DA" w:rsidRPr="007E64DA" w:rsidTr="0070337E">
        <w:trPr>
          <w:cantSplit/>
        </w:trPr>
        <w:tc>
          <w:tcPr>
            <w:tcW w:w="3092" w:type="dxa"/>
            <w:tcBorders>
              <w:left w:val="double" w:sz="4" w:space="0" w:color="auto"/>
              <w:right w:val="single" w:sz="12" w:space="0" w:color="auto"/>
            </w:tcBorders>
            <w:shd w:val="clear" w:color="auto" w:fill="CCFFFF"/>
            <w:vAlign w:val="center"/>
          </w:tcPr>
          <w:p w:rsidR="007E64DA" w:rsidRPr="007E64DA" w:rsidRDefault="007E64DA" w:rsidP="00987584">
            <w:pPr>
              <w:ind w:right="-790"/>
              <w:rPr>
                <w:rFonts w:asciiTheme="minorHAnsi" w:hAnsiTheme="minorHAnsi" w:cstheme="minorHAnsi"/>
                <w:color w:val="000000" w:themeColor="text1"/>
              </w:rPr>
            </w:pPr>
            <w:r w:rsidRPr="007E64DA">
              <w:rPr>
                <w:rFonts w:asciiTheme="minorHAnsi" w:hAnsiTheme="minorHAnsi" w:cstheme="minorHAnsi"/>
                <w:color w:val="000000" w:themeColor="text1"/>
              </w:rPr>
              <w:t>ZŠ a nižší</w:t>
            </w:r>
          </w:p>
        </w:tc>
        <w:tc>
          <w:tcPr>
            <w:tcW w:w="1076" w:type="dxa"/>
            <w:tcBorders>
              <w:left w:val="nil"/>
              <w:right w:val="single" w:sz="4" w:space="0" w:color="auto"/>
            </w:tcBorders>
            <w:vAlign w:val="bottom"/>
          </w:tcPr>
          <w:p w:rsidR="007E64DA" w:rsidRPr="007E64DA" w:rsidRDefault="007E64DA" w:rsidP="007E64DA">
            <w:pPr>
              <w:jc w:val="center"/>
              <w:rPr>
                <w:rFonts w:asciiTheme="minorHAnsi" w:hAnsiTheme="minorHAnsi" w:cstheme="minorHAnsi"/>
                <w:color w:val="000000" w:themeColor="text1"/>
              </w:rPr>
            </w:pPr>
            <w:r w:rsidRPr="007E64DA">
              <w:rPr>
                <w:rFonts w:asciiTheme="minorHAnsi" w:hAnsiTheme="minorHAnsi" w:cstheme="minorHAnsi"/>
                <w:color w:val="000000" w:themeColor="text1"/>
              </w:rPr>
              <w:t>10 949</w:t>
            </w:r>
          </w:p>
        </w:tc>
        <w:tc>
          <w:tcPr>
            <w:tcW w:w="1076"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236</w:t>
            </w:r>
          </w:p>
        </w:tc>
        <w:tc>
          <w:tcPr>
            <w:tcW w:w="1077"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46,4</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color w:val="000000" w:themeColor="text1"/>
              </w:rPr>
            </w:pPr>
            <w:r>
              <w:rPr>
                <w:rFonts w:asciiTheme="minorHAnsi" w:hAnsiTheme="minorHAnsi" w:cstheme="minorHAnsi"/>
                <w:color w:val="000000" w:themeColor="text1"/>
              </w:rPr>
              <w:t>10 090</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906</w:t>
            </w:r>
          </w:p>
        </w:tc>
        <w:tc>
          <w:tcPr>
            <w:tcW w:w="1077" w:type="dxa"/>
            <w:tcBorders>
              <w:left w:val="single" w:sz="4" w:space="0" w:color="auto"/>
              <w:right w:val="doub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11,1</w:t>
            </w:r>
          </w:p>
        </w:tc>
      </w:tr>
      <w:tr w:rsidR="007E64DA" w:rsidRPr="007E64DA" w:rsidTr="0070337E">
        <w:trPr>
          <w:cantSplit/>
        </w:trPr>
        <w:tc>
          <w:tcPr>
            <w:tcW w:w="3092" w:type="dxa"/>
            <w:tcBorders>
              <w:left w:val="double" w:sz="4" w:space="0" w:color="auto"/>
              <w:right w:val="single" w:sz="12" w:space="0" w:color="auto"/>
            </w:tcBorders>
            <w:shd w:val="clear" w:color="auto" w:fill="CCFFFF"/>
            <w:vAlign w:val="center"/>
          </w:tcPr>
          <w:p w:rsidR="007E64DA" w:rsidRPr="007E64DA" w:rsidRDefault="007E64DA" w:rsidP="00987584">
            <w:pPr>
              <w:ind w:right="-790"/>
              <w:rPr>
                <w:rFonts w:asciiTheme="minorHAnsi" w:hAnsiTheme="minorHAnsi" w:cstheme="minorHAnsi"/>
                <w:color w:val="000000" w:themeColor="text1"/>
              </w:rPr>
            </w:pPr>
            <w:r w:rsidRPr="007E64DA">
              <w:rPr>
                <w:rFonts w:asciiTheme="minorHAnsi" w:hAnsiTheme="minorHAnsi" w:cstheme="minorHAnsi"/>
                <w:color w:val="000000" w:themeColor="text1"/>
              </w:rPr>
              <w:t xml:space="preserve">střední odborné </w:t>
            </w:r>
          </w:p>
        </w:tc>
        <w:tc>
          <w:tcPr>
            <w:tcW w:w="1076" w:type="dxa"/>
            <w:tcBorders>
              <w:left w:val="nil"/>
              <w:right w:val="single" w:sz="4" w:space="0" w:color="auto"/>
            </w:tcBorders>
            <w:vAlign w:val="bottom"/>
          </w:tcPr>
          <w:p w:rsidR="007E64DA" w:rsidRPr="007E64DA" w:rsidRDefault="007E64DA" w:rsidP="007E64DA">
            <w:pPr>
              <w:jc w:val="center"/>
              <w:rPr>
                <w:rFonts w:asciiTheme="minorHAnsi" w:hAnsiTheme="minorHAnsi" w:cstheme="minorHAnsi"/>
                <w:color w:val="000000" w:themeColor="text1"/>
              </w:rPr>
            </w:pPr>
            <w:r w:rsidRPr="007E64DA">
              <w:rPr>
                <w:rFonts w:asciiTheme="minorHAnsi" w:hAnsiTheme="minorHAnsi" w:cstheme="minorHAnsi"/>
                <w:color w:val="000000" w:themeColor="text1"/>
              </w:rPr>
              <w:t>19 702</w:t>
            </w:r>
          </w:p>
        </w:tc>
        <w:tc>
          <w:tcPr>
            <w:tcW w:w="1076"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533</w:t>
            </w:r>
          </w:p>
        </w:tc>
        <w:tc>
          <w:tcPr>
            <w:tcW w:w="1077"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37,0</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color w:val="000000" w:themeColor="text1"/>
              </w:rPr>
            </w:pPr>
            <w:r>
              <w:rPr>
                <w:rFonts w:asciiTheme="minorHAnsi" w:hAnsiTheme="minorHAnsi" w:cstheme="minorHAnsi"/>
                <w:color w:val="000000" w:themeColor="text1"/>
              </w:rPr>
              <w:t>17 442</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1 296</w:t>
            </w:r>
          </w:p>
        </w:tc>
        <w:tc>
          <w:tcPr>
            <w:tcW w:w="1077" w:type="dxa"/>
            <w:tcBorders>
              <w:left w:val="single" w:sz="4" w:space="0" w:color="auto"/>
              <w:right w:val="doub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13,5</w:t>
            </w:r>
          </w:p>
        </w:tc>
      </w:tr>
      <w:tr w:rsidR="007E64DA" w:rsidRPr="007E64DA" w:rsidTr="0070337E">
        <w:trPr>
          <w:cantSplit/>
        </w:trPr>
        <w:tc>
          <w:tcPr>
            <w:tcW w:w="3092" w:type="dxa"/>
            <w:tcBorders>
              <w:left w:val="double" w:sz="4" w:space="0" w:color="auto"/>
              <w:right w:val="single" w:sz="12" w:space="0" w:color="auto"/>
            </w:tcBorders>
            <w:shd w:val="clear" w:color="auto" w:fill="CCFFFF"/>
            <w:vAlign w:val="center"/>
          </w:tcPr>
          <w:p w:rsidR="007E64DA" w:rsidRPr="007E64DA" w:rsidRDefault="007E64DA" w:rsidP="00987584">
            <w:pPr>
              <w:ind w:right="-790"/>
              <w:rPr>
                <w:rFonts w:asciiTheme="minorHAnsi" w:hAnsiTheme="minorHAnsi" w:cstheme="minorHAnsi"/>
                <w:color w:val="000000" w:themeColor="text1"/>
              </w:rPr>
            </w:pPr>
            <w:r w:rsidRPr="007E64DA">
              <w:rPr>
                <w:rFonts w:asciiTheme="minorHAnsi" w:hAnsiTheme="minorHAnsi" w:cstheme="minorHAnsi"/>
                <w:color w:val="000000" w:themeColor="text1"/>
              </w:rPr>
              <w:t>úplné střední s maturitou</w:t>
            </w:r>
          </w:p>
        </w:tc>
        <w:tc>
          <w:tcPr>
            <w:tcW w:w="1076" w:type="dxa"/>
            <w:tcBorders>
              <w:left w:val="nil"/>
              <w:right w:val="single" w:sz="4" w:space="0" w:color="auto"/>
            </w:tcBorders>
            <w:vAlign w:val="bottom"/>
          </w:tcPr>
          <w:p w:rsidR="007E64DA" w:rsidRPr="007E64DA" w:rsidRDefault="007E64DA" w:rsidP="007E64DA">
            <w:pPr>
              <w:jc w:val="center"/>
              <w:rPr>
                <w:rFonts w:asciiTheme="minorHAnsi" w:hAnsiTheme="minorHAnsi" w:cstheme="minorHAnsi"/>
                <w:color w:val="000000" w:themeColor="text1"/>
              </w:rPr>
            </w:pPr>
            <w:r w:rsidRPr="007E64DA">
              <w:rPr>
                <w:rFonts w:asciiTheme="minorHAnsi" w:hAnsiTheme="minorHAnsi" w:cstheme="minorHAnsi"/>
                <w:color w:val="000000" w:themeColor="text1"/>
              </w:rPr>
              <w:t>9 873</w:t>
            </w:r>
          </w:p>
        </w:tc>
        <w:tc>
          <w:tcPr>
            <w:tcW w:w="1076"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267</w:t>
            </w:r>
          </w:p>
        </w:tc>
        <w:tc>
          <w:tcPr>
            <w:tcW w:w="1077"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37,0</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color w:val="000000" w:themeColor="text1"/>
              </w:rPr>
            </w:pPr>
            <w:r>
              <w:rPr>
                <w:rFonts w:asciiTheme="minorHAnsi" w:hAnsiTheme="minorHAnsi" w:cstheme="minorHAnsi"/>
                <w:color w:val="000000" w:themeColor="text1"/>
              </w:rPr>
              <w:t>8 915</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507</w:t>
            </w:r>
          </w:p>
        </w:tc>
        <w:tc>
          <w:tcPr>
            <w:tcW w:w="1077" w:type="dxa"/>
            <w:tcBorders>
              <w:left w:val="single" w:sz="4" w:space="0" w:color="auto"/>
              <w:right w:val="doub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17,6</w:t>
            </w:r>
          </w:p>
        </w:tc>
      </w:tr>
      <w:tr w:rsidR="007E64DA" w:rsidRPr="007E64DA" w:rsidTr="0070337E">
        <w:trPr>
          <w:cantSplit/>
        </w:trPr>
        <w:tc>
          <w:tcPr>
            <w:tcW w:w="3092" w:type="dxa"/>
            <w:tcBorders>
              <w:left w:val="double" w:sz="4" w:space="0" w:color="auto"/>
              <w:right w:val="single" w:sz="12" w:space="0" w:color="auto"/>
            </w:tcBorders>
            <w:shd w:val="clear" w:color="auto" w:fill="CCFFFF"/>
            <w:vAlign w:val="center"/>
          </w:tcPr>
          <w:p w:rsidR="007E64DA" w:rsidRPr="007E64DA" w:rsidRDefault="007E64DA" w:rsidP="00987584">
            <w:pPr>
              <w:ind w:right="-790"/>
              <w:rPr>
                <w:rFonts w:asciiTheme="minorHAnsi" w:hAnsiTheme="minorHAnsi" w:cstheme="minorHAnsi"/>
                <w:color w:val="000000" w:themeColor="text1"/>
              </w:rPr>
            </w:pPr>
            <w:r w:rsidRPr="007E64DA">
              <w:rPr>
                <w:rFonts w:asciiTheme="minorHAnsi" w:hAnsiTheme="minorHAnsi" w:cstheme="minorHAnsi"/>
                <w:color w:val="000000" w:themeColor="text1"/>
              </w:rPr>
              <w:t xml:space="preserve">vyšší odborné </w:t>
            </w:r>
          </w:p>
        </w:tc>
        <w:tc>
          <w:tcPr>
            <w:tcW w:w="1076" w:type="dxa"/>
            <w:tcBorders>
              <w:left w:val="nil"/>
              <w:right w:val="single" w:sz="4" w:space="0" w:color="auto"/>
            </w:tcBorders>
            <w:vAlign w:val="bottom"/>
          </w:tcPr>
          <w:p w:rsidR="007E64DA" w:rsidRPr="007E64DA" w:rsidRDefault="007E64DA" w:rsidP="007E64DA">
            <w:pPr>
              <w:jc w:val="center"/>
              <w:rPr>
                <w:rFonts w:asciiTheme="minorHAnsi" w:hAnsiTheme="minorHAnsi" w:cstheme="minorHAnsi"/>
                <w:color w:val="000000" w:themeColor="text1"/>
              </w:rPr>
            </w:pPr>
            <w:r w:rsidRPr="007E64DA">
              <w:rPr>
                <w:rFonts w:asciiTheme="minorHAnsi" w:hAnsiTheme="minorHAnsi" w:cstheme="minorHAnsi"/>
                <w:color w:val="000000" w:themeColor="text1"/>
              </w:rPr>
              <w:t>356</w:t>
            </w:r>
          </w:p>
        </w:tc>
        <w:tc>
          <w:tcPr>
            <w:tcW w:w="1076"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7</w:t>
            </w:r>
          </w:p>
        </w:tc>
        <w:tc>
          <w:tcPr>
            <w:tcW w:w="1077"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50,9</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color w:val="000000" w:themeColor="text1"/>
              </w:rPr>
            </w:pPr>
            <w:r>
              <w:rPr>
                <w:rFonts w:asciiTheme="minorHAnsi" w:hAnsiTheme="minorHAnsi" w:cstheme="minorHAnsi"/>
                <w:color w:val="000000" w:themeColor="text1"/>
              </w:rPr>
              <w:t>306</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9</w:t>
            </w:r>
          </w:p>
        </w:tc>
        <w:tc>
          <w:tcPr>
            <w:tcW w:w="1077" w:type="dxa"/>
            <w:tcBorders>
              <w:left w:val="single" w:sz="4" w:space="0" w:color="auto"/>
              <w:right w:val="doub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34,0</w:t>
            </w:r>
          </w:p>
        </w:tc>
      </w:tr>
      <w:tr w:rsidR="007E64DA" w:rsidRPr="007E64DA" w:rsidTr="0070337E">
        <w:trPr>
          <w:cantSplit/>
        </w:trPr>
        <w:tc>
          <w:tcPr>
            <w:tcW w:w="3092" w:type="dxa"/>
            <w:tcBorders>
              <w:left w:val="double" w:sz="4" w:space="0" w:color="auto"/>
              <w:right w:val="single" w:sz="12" w:space="0" w:color="auto"/>
            </w:tcBorders>
            <w:shd w:val="clear" w:color="auto" w:fill="CCFFFF"/>
            <w:vAlign w:val="center"/>
          </w:tcPr>
          <w:p w:rsidR="007E64DA" w:rsidRPr="007E64DA" w:rsidRDefault="007E64DA" w:rsidP="00987584">
            <w:pPr>
              <w:ind w:right="-790"/>
              <w:rPr>
                <w:rFonts w:asciiTheme="minorHAnsi" w:hAnsiTheme="minorHAnsi" w:cstheme="minorHAnsi"/>
                <w:color w:val="000000" w:themeColor="text1"/>
              </w:rPr>
            </w:pPr>
            <w:r w:rsidRPr="007E64DA">
              <w:rPr>
                <w:rFonts w:asciiTheme="minorHAnsi" w:hAnsiTheme="minorHAnsi" w:cstheme="minorHAnsi"/>
                <w:color w:val="000000" w:themeColor="text1"/>
              </w:rPr>
              <w:t>vysokoškolské</w:t>
            </w:r>
          </w:p>
        </w:tc>
        <w:tc>
          <w:tcPr>
            <w:tcW w:w="1076" w:type="dxa"/>
            <w:tcBorders>
              <w:left w:val="nil"/>
              <w:right w:val="single" w:sz="4" w:space="0" w:color="auto"/>
            </w:tcBorders>
            <w:vAlign w:val="bottom"/>
          </w:tcPr>
          <w:p w:rsidR="007E64DA" w:rsidRPr="007E64DA" w:rsidRDefault="007E64DA" w:rsidP="007E64DA">
            <w:pPr>
              <w:jc w:val="center"/>
              <w:rPr>
                <w:rFonts w:asciiTheme="minorHAnsi" w:hAnsiTheme="minorHAnsi" w:cstheme="minorHAnsi"/>
                <w:color w:val="000000" w:themeColor="text1"/>
              </w:rPr>
            </w:pPr>
            <w:r w:rsidRPr="007E64DA">
              <w:rPr>
                <w:rFonts w:asciiTheme="minorHAnsi" w:hAnsiTheme="minorHAnsi" w:cstheme="minorHAnsi"/>
                <w:color w:val="000000" w:themeColor="text1"/>
              </w:rPr>
              <w:t>2 484</w:t>
            </w:r>
          </w:p>
        </w:tc>
        <w:tc>
          <w:tcPr>
            <w:tcW w:w="1076"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60</w:t>
            </w:r>
          </w:p>
        </w:tc>
        <w:tc>
          <w:tcPr>
            <w:tcW w:w="1077" w:type="dxa"/>
            <w:tcBorders>
              <w:left w:val="sing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41,4</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color w:val="000000" w:themeColor="text1"/>
              </w:rPr>
            </w:pPr>
            <w:r>
              <w:rPr>
                <w:rFonts w:asciiTheme="minorHAnsi" w:hAnsiTheme="minorHAnsi" w:cstheme="minorHAnsi"/>
                <w:color w:val="000000" w:themeColor="text1"/>
              </w:rPr>
              <w:t>2 237</w:t>
            </w:r>
          </w:p>
        </w:tc>
        <w:tc>
          <w:tcPr>
            <w:tcW w:w="1077" w:type="dxa"/>
            <w:tcBorders>
              <w:left w:val="single" w:sz="4" w:space="0" w:color="auto"/>
              <w:right w:val="sing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96</w:t>
            </w:r>
          </w:p>
        </w:tc>
        <w:tc>
          <w:tcPr>
            <w:tcW w:w="1077" w:type="dxa"/>
            <w:tcBorders>
              <w:left w:val="single" w:sz="4" w:space="0" w:color="auto"/>
              <w:right w:val="doub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23,3</w:t>
            </w:r>
          </w:p>
        </w:tc>
      </w:tr>
      <w:tr w:rsidR="007E64DA" w:rsidRPr="007E64DA" w:rsidTr="0070337E">
        <w:trPr>
          <w:cantSplit/>
        </w:trPr>
        <w:tc>
          <w:tcPr>
            <w:tcW w:w="3092" w:type="dxa"/>
            <w:tcBorders>
              <w:top w:val="single" w:sz="12" w:space="0" w:color="auto"/>
              <w:left w:val="double" w:sz="4" w:space="0" w:color="auto"/>
              <w:bottom w:val="double" w:sz="4" w:space="0" w:color="auto"/>
              <w:right w:val="single" w:sz="12" w:space="0" w:color="auto"/>
            </w:tcBorders>
            <w:shd w:val="clear" w:color="auto" w:fill="CCFFFF"/>
          </w:tcPr>
          <w:p w:rsidR="007E64DA" w:rsidRPr="007E64DA" w:rsidRDefault="007E64DA" w:rsidP="00987584">
            <w:pPr>
              <w:ind w:right="-790"/>
              <w:jc w:val="both"/>
              <w:rPr>
                <w:rFonts w:asciiTheme="minorHAnsi" w:hAnsiTheme="minorHAnsi" w:cstheme="minorHAnsi"/>
                <w:b/>
                <w:color w:val="000000" w:themeColor="text1"/>
              </w:rPr>
            </w:pPr>
            <w:r w:rsidRPr="007E64DA">
              <w:rPr>
                <w:rFonts w:asciiTheme="minorHAnsi" w:hAnsiTheme="minorHAnsi" w:cstheme="minorHAnsi"/>
                <w:b/>
                <w:color w:val="000000" w:themeColor="text1"/>
              </w:rPr>
              <w:t>Celkem</w:t>
            </w:r>
          </w:p>
        </w:tc>
        <w:tc>
          <w:tcPr>
            <w:tcW w:w="1076" w:type="dxa"/>
            <w:tcBorders>
              <w:top w:val="single" w:sz="12" w:space="0" w:color="auto"/>
              <w:left w:val="nil"/>
              <w:bottom w:val="double" w:sz="4" w:space="0" w:color="auto"/>
              <w:right w:val="single" w:sz="4" w:space="0" w:color="auto"/>
            </w:tcBorders>
            <w:vAlign w:val="bottom"/>
          </w:tcPr>
          <w:p w:rsidR="007E64DA" w:rsidRPr="007E64DA" w:rsidRDefault="007E64DA" w:rsidP="007E64DA">
            <w:pPr>
              <w:jc w:val="center"/>
              <w:rPr>
                <w:rFonts w:asciiTheme="minorHAnsi" w:hAnsiTheme="minorHAnsi" w:cstheme="minorHAnsi"/>
                <w:color w:val="000000" w:themeColor="text1"/>
              </w:rPr>
            </w:pPr>
            <w:r w:rsidRPr="007E64DA">
              <w:rPr>
                <w:rFonts w:asciiTheme="minorHAnsi" w:hAnsiTheme="minorHAnsi" w:cstheme="minorHAnsi"/>
                <w:color w:val="000000" w:themeColor="text1"/>
              </w:rPr>
              <w:t>43 364</w:t>
            </w:r>
          </w:p>
        </w:tc>
        <w:tc>
          <w:tcPr>
            <w:tcW w:w="1076" w:type="dxa"/>
            <w:tcBorders>
              <w:top w:val="single" w:sz="12" w:space="0" w:color="auto"/>
              <w:left w:val="single" w:sz="4" w:space="0" w:color="auto"/>
              <w:bottom w:val="doub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1 103</w:t>
            </w:r>
          </w:p>
        </w:tc>
        <w:tc>
          <w:tcPr>
            <w:tcW w:w="1077" w:type="dxa"/>
            <w:tcBorders>
              <w:top w:val="single" w:sz="12" w:space="0" w:color="auto"/>
              <w:left w:val="single" w:sz="4" w:space="0" w:color="auto"/>
              <w:bottom w:val="double" w:sz="4" w:space="0" w:color="auto"/>
              <w:right w:val="single" w:sz="4" w:space="0" w:color="auto"/>
            </w:tcBorders>
            <w:vAlign w:val="bottom"/>
          </w:tcPr>
          <w:p w:rsidR="007E64DA" w:rsidRPr="00CB53FC" w:rsidRDefault="007E64DA" w:rsidP="007E64DA">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39,3</w:t>
            </w:r>
          </w:p>
        </w:tc>
        <w:tc>
          <w:tcPr>
            <w:tcW w:w="1077" w:type="dxa"/>
            <w:tcBorders>
              <w:top w:val="single" w:sz="12" w:space="0" w:color="auto"/>
              <w:left w:val="single" w:sz="4" w:space="0" w:color="auto"/>
              <w:bottom w:val="double" w:sz="4" w:space="0" w:color="auto"/>
              <w:right w:val="single" w:sz="4" w:space="0" w:color="auto"/>
            </w:tcBorders>
            <w:vAlign w:val="bottom"/>
          </w:tcPr>
          <w:p w:rsidR="007E64DA" w:rsidRPr="007E64DA" w:rsidRDefault="00254F66" w:rsidP="008977A5">
            <w:pPr>
              <w:jc w:val="center"/>
              <w:rPr>
                <w:rFonts w:asciiTheme="minorHAnsi" w:hAnsiTheme="minorHAnsi" w:cstheme="minorHAnsi"/>
                <w:color w:val="000000" w:themeColor="text1"/>
              </w:rPr>
            </w:pPr>
            <w:r>
              <w:rPr>
                <w:rFonts w:asciiTheme="minorHAnsi" w:hAnsiTheme="minorHAnsi" w:cstheme="minorHAnsi"/>
                <w:color w:val="000000" w:themeColor="text1"/>
              </w:rPr>
              <w:t>38 990</w:t>
            </w:r>
          </w:p>
        </w:tc>
        <w:tc>
          <w:tcPr>
            <w:tcW w:w="1077" w:type="dxa"/>
            <w:tcBorders>
              <w:top w:val="single" w:sz="12" w:space="0" w:color="auto"/>
              <w:left w:val="single" w:sz="4" w:space="0" w:color="auto"/>
              <w:bottom w:val="double" w:sz="4" w:space="0" w:color="auto"/>
              <w:right w:val="single" w:sz="4" w:space="0" w:color="auto"/>
            </w:tcBorders>
            <w:vAlign w:val="bottom"/>
          </w:tcPr>
          <w:p w:rsidR="007E64DA" w:rsidRPr="007E64DA" w:rsidRDefault="00254F66" w:rsidP="008977A5">
            <w:pPr>
              <w:jc w:val="center"/>
              <w:rPr>
                <w:rFonts w:asciiTheme="minorHAnsi" w:hAnsiTheme="minorHAnsi" w:cstheme="minorHAnsi"/>
                <w:b/>
                <w:color w:val="000000" w:themeColor="text1"/>
              </w:rPr>
            </w:pPr>
            <w:r>
              <w:rPr>
                <w:rFonts w:asciiTheme="minorHAnsi" w:hAnsiTheme="minorHAnsi" w:cstheme="minorHAnsi"/>
                <w:b/>
                <w:color w:val="000000" w:themeColor="text1"/>
              </w:rPr>
              <w:t>2 814</w:t>
            </w:r>
          </w:p>
        </w:tc>
        <w:tc>
          <w:tcPr>
            <w:tcW w:w="1077" w:type="dxa"/>
            <w:tcBorders>
              <w:top w:val="single" w:sz="12" w:space="0" w:color="auto"/>
              <w:left w:val="single" w:sz="4" w:space="0" w:color="auto"/>
              <w:bottom w:val="double" w:sz="4" w:space="0" w:color="auto"/>
              <w:right w:val="double" w:sz="4" w:space="0" w:color="auto"/>
            </w:tcBorders>
            <w:vAlign w:val="bottom"/>
          </w:tcPr>
          <w:p w:rsidR="007E64DA" w:rsidRPr="007E64DA" w:rsidRDefault="00642428" w:rsidP="00356B89">
            <w:pPr>
              <w:jc w:val="center"/>
              <w:rPr>
                <w:rFonts w:asciiTheme="minorHAnsi" w:hAnsiTheme="minorHAnsi" w:cstheme="minorHAnsi"/>
                <w:b/>
                <w:color w:val="000000" w:themeColor="text1"/>
              </w:rPr>
            </w:pPr>
            <w:r>
              <w:rPr>
                <w:rFonts w:asciiTheme="minorHAnsi" w:hAnsiTheme="minorHAnsi" w:cstheme="minorHAnsi"/>
                <w:b/>
                <w:color w:val="000000" w:themeColor="text1"/>
              </w:rPr>
              <w:t>13,</w:t>
            </w:r>
            <w:r w:rsidR="00356B89">
              <w:rPr>
                <w:rFonts w:asciiTheme="minorHAnsi" w:hAnsiTheme="minorHAnsi" w:cstheme="minorHAnsi"/>
                <w:b/>
                <w:color w:val="000000" w:themeColor="text1"/>
              </w:rPr>
              <w:t>9</w:t>
            </w:r>
          </w:p>
        </w:tc>
      </w:tr>
    </w:tbl>
    <w:p w:rsidR="00CF2452" w:rsidRPr="007E64DA" w:rsidRDefault="00CF2452" w:rsidP="00987584">
      <w:pPr>
        <w:pStyle w:val="Zkladntext"/>
        <w:spacing w:line="240" w:lineRule="atLeast"/>
        <w:ind w:firstLine="720"/>
        <w:jc w:val="both"/>
        <w:rPr>
          <w:rFonts w:asciiTheme="minorHAnsi" w:hAnsiTheme="minorHAnsi" w:cstheme="minorHAnsi"/>
          <w:b w:val="0"/>
          <w:i/>
          <w:color w:val="FF0000"/>
          <w:sz w:val="24"/>
        </w:rPr>
      </w:pPr>
    </w:p>
    <w:p w:rsidR="00B92419" w:rsidRPr="007D1BD1" w:rsidRDefault="000D5E90" w:rsidP="00F95764">
      <w:pPr>
        <w:pStyle w:val="Zkladntext"/>
        <w:spacing w:line="240" w:lineRule="auto"/>
        <w:ind w:firstLine="720"/>
        <w:jc w:val="both"/>
        <w:rPr>
          <w:rFonts w:asciiTheme="minorHAnsi" w:hAnsiTheme="minorHAnsi" w:cstheme="minorHAnsi"/>
          <w:b w:val="0"/>
          <w:color w:val="000000" w:themeColor="text1"/>
          <w:sz w:val="24"/>
        </w:rPr>
      </w:pPr>
      <w:r w:rsidRPr="007D1BD1">
        <w:rPr>
          <w:rFonts w:asciiTheme="minorHAnsi" w:hAnsiTheme="minorHAnsi" w:cstheme="minorHAnsi"/>
          <w:color w:val="000000" w:themeColor="text1"/>
          <w:sz w:val="24"/>
        </w:rPr>
        <w:t xml:space="preserve">První dopady světové finanční krize se projevily již na sklonku roku 2008 </w:t>
      </w:r>
      <w:r w:rsidR="005B5697" w:rsidRPr="007D1BD1">
        <w:rPr>
          <w:rFonts w:asciiTheme="minorHAnsi" w:hAnsiTheme="minorHAnsi" w:cstheme="minorHAnsi"/>
          <w:color w:val="000000" w:themeColor="text1"/>
          <w:sz w:val="24"/>
        </w:rPr>
        <w:t>–</w:t>
      </w:r>
      <w:r w:rsidR="001C436F" w:rsidRPr="007D1BD1">
        <w:rPr>
          <w:rFonts w:asciiTheme="minorHAnsi" w:hAnsiTheme="minorHAnsi" w:cstheme="minorHAnsi"/>
          <w:color w:val="000000" w:themeColor="text1"/>
          <w:sz w:val="24"/>
        </w:rPr>
        <w:t xml:space="preserve"> v</w:t>
      </w:r>
      <w:r w:rsidR="005B5697" w:rsidRPr="007D1BD1">
        <w:rPr>
          <w:rFonts w:asciiTheme="minorHAnsi" w:hAnsiTheme="minorHAnsi" w:cstheme="minorHAnsi"/>
          <w:color w:val="000000" w:themeColor="text1"/>
          <w:sz w:val="24"/>
        </w:rPr>
        <w:t>e srovnání s rokem 2007</w:t>
      </w:r>
      <w:r w:rsidR="005B5697" w:rsidRPr="007D1BD1">
        <w:rPr>
          <w:rFonts w:asciiTheme="minorHAnsi" w:hAnsiTheme="minorHAnsi" w:cstheme="minorHAnsi"/>
          <w:b w:val="0"/>
          <w:color w:val="000000" w:themeColor="text1"/>
          <w:sz w:val="24"/>
        </w:rPr>
        <w:t xml:space="preserve"> (kdy bylo </w:t>
      </w:r>
      <w:r w:rsidR="00AD0B40" w:rsidRPr="007D1BD1">
        <w:rPr>
          <w:rFonts w:asciiTheme="minorHAnsi" w:hAnsiTheme="minorHAnsi" w:cstheme="minorHAnsi"/>
          <w:b w:val="0"/>
          <w:color w:val="000000" w:themeColor="text1"/>
          <w:sz w:val="24"/>
        </w:rPr>
        <w:t xml:space="preserve">zaměstnavateli </w:t>
      </w:r>
      <w:r w:rsidR="005D293D" w:rsidRPr="007D1BD1">
        <w:rPr>
          <w:rFonts w:asciiTheme="minorHAnsi" w:hAnsiTheme="minorHAnsi" w:cstheme="minorHAnsi"/>
          <w:b w:val="0"/>
          <w:color w:val="000000" w:themeColor="text1"/>
          <w:sz w:val="24"/>
        </w:rPr>
        <w:t>na úřadu práce</w:t>
      </w:r>
      <w:r w:rsidR="00FD6D50" w:rsidRPr="007D1BD1">
        <w:rPr>
          <w:rFonts w:asciiTheme="minorHAnsi" w:hAnsiTheme="minorHAnsi" w:cstheme="minorHAnsi"/>
          <w:b w:val="0"/>
          <w:color w:val="000000" w:themeColor="text1"/>
          <w:sz w:val="24"/>
        </w:rPr>
        <w:t xml:space="preserve"> v Olomouckém kraji nahlášeno celkem </w:t>
      </w:r>
      <w:r w:rsidR="005B5697" w:rsidRPr="007D1BD1">
        <w:rPr>
          <w:rFonts w:asciiTheme="minorHAnsi" w:hAnsiTheme="minorHAnsi" w:cstheme="minorHAnsi"/>
          <w:b w:val="0"/>
          <w:color w:val="000000" w:themeColor="text1"/>
          <w:sz w:val="24"/>
        </w:rPr>
        <w:t xml:space="preserve">5 224 </w:t>
      </w:r>
      <w:r w:rsidR="00FD6D50" w:rsidRPr="007D1BD1">
        <w:rPr>
          <w:rFonts w:asciiTheme="minorHAnsi" w:hAnsiTheme="minorHAnsi" w:cstheme="minorHAnsi"/>
          <w:b w:val="0"/>
          <w:color w:val="000000" w:themeColor="text1"/>
          <w:sz w:val="24"/>
        </w:rPr>
        <w:t xml:space="preserve">volných pracovních </w:t>
      </w:r>
      <w:r w:rsidR="005B5697" w:rsidRPr="007D1BD1">
        <w:rPr>
          <w:rFonts w:asciiTheme="minorHAnsi" w:hAnsiTheme="minorHAnsi" w:cstheme="minorHAnsi"/>
          <w:b w:val="0"/>
          <w:color w:val="000000" w:themeColor="text1"/>
          <w:sz w:val="24"/>
        </w:rPr>
        <w:t xml:space="preserve">míst) </w:t>
      </w:r>
      <w:r w:rsidR="005B5697" w:rsidRPr="007D1BD1">
        <w:rPr>
          <w:rFonts w:asciiTheme="minorHAnsi" w:hAnsiTheme="minorHAnsi" w:cstheme="minorHAnsi"/>
          <w:color w:val="000000" w:themeColor="text1"/>
          <w:sz w:val="24"/>
        </w:rPr>
        <w:t>se</w:t>
      </w:r>
      <w:r w:rsidR="00676F68" w:rsidRPr="007D1BD1">
        <w:rPr>
          <w:rFonts w:asciiTheme="minorHAnsi" w:hAnsiTheme="minorHAnsi" w:cstheme="minorHAnsi"/>
          <w:color w:val="000000" w:themeColor="text1"/>
          <w:sz w:val="24"/>
        </w:rPr>
        <w:t xml:space="preserve"> snížil</w:t>
      </w:r>
      <w:r w:rsidR="00FD6D50" w:rsidRPr="007D1BD1">
        <w:rPr>
          <w:rFonts w:asciiTheme="minorHAnsi" w:hAnsiTheme="minorHAnsi" w:cstheme="minorHAnsi"/>
          <w:color w:val="000000" w:themeColor="text1"/>
          <w:sz w:val="24"/>
        </w:rPr>
        <w:t xml:space="preserve"> počet volných </w:t>
      </w:r>
      <w:r w:rsidR="00774523" w:rsidRPr="007D1BD1">
        <w:rPr>
          <w:rFonts w:asciiTheme="minorHAnsi" w:hAnsiTheme="minorHAnsi" w:cstheme="minorHAnsi"/>
          <w:color w:val="000000" w:themeColor="text1"/>
          <w:sz w:val="24"/>
        </w:rPr>
        <w:t xml:space="preserve">míst </w:t>
      </w:r>
      <w:r w:rsidR="00CF2452" w:rsidRPr="007D1BD1">
        <w:rPr>
          <w:rFonts w:asciiTheme="minorHAnsi" w:hAnsiTheme="minorHAnsi" w:cstheme="minorHAnsi"/>
          <w:color w:val="000000" w:themeColor="text1"/>
          <w:sz w:val="24"/>
        </w:rPr>
        <w:t xml:space="preserve">(dále VM) </w:t>
      </w:r>
      <w:r w:rsidR="001C436F" w:rsidRPr="007D1BD1">
        <w:rPr>
          <w:rFonts w:asciiTheme="minorHAnsi" w:hAnsiTheme="minorHAnsi" w:cstheme="minorHAnsi"/>
          <w:color w:val="000000" w:themeColor="text1"/>
          <w:sz w:val="24"/>
        </w:rPr>
        <w:t>na </w:t>
      </w:r>
      <w:r w:rsidR="00676F68" w:rsidRPr="007D1BD1">
        <w:rPr>
          <w:rFonts w:asciiTheme="minorHAnsi" w:hAnsiTheme="minorHAnsi" w:cstheme="minorHAnsi"/>
          <w:color w:val="000000" w:themeColor="text1"/>
          <w:sz w:val="24"/>
        </w:rPr>
        <w:t>téměř poloviční počet</w:t>
      </w:r>
      <w:r w:rsidR="007E589D" w:rsidRPr="007D1BD1">
        <w:rPr>
          <w:rFonts w:asciiTheme="minorHAnsi" w:hAnsiTheme="minorHAnsi" w:cstheme="minorHAnsi"/>
          <w:b w:val="0"/>
          <w:color w:val="000000" w:themeColor="text1"/>
          <w:sz w:val="24"/>
        </w:rPr>
        <w:t>.</w:t>
      </w:r>
      <w:r w:rsidR="00987584" w:rsidRPr="007D1BD1">
        <w:rPr>
          <w:rFonts w:asciiTheme="minorHAnsi" w:hAnsiTheme="minorHAnsi" w:cstheme="minorHAnsi"/>
          <w:b w:val="0"/>
          <w:color w:val="000000" w:themeColor="text1"/>
          <w:sz w:val="24"/>
        </w:rPr>
        <w:t xml:space="preserve"> </w:t>
      </w:r>
      <w:r w:rsidR="005B5697" w:rsidRPr="007D1BD1">
        <w:rPr>
          <w:rFonts w:asciiTheme="minorHAnsi" w:hAnsiTheme="minorHAnsi" w:cstheme="minorHAnsi"/>
          <w:b w:val="0"/>
          <w:color w:val="000000" w:themeColor="text1"/>
          <w:sz w:val="24"/>
        </w:rPr>
        <w:t>Tím se z</w:t>
      </w:r>
      <w:r w:rsidR="007E589D" w:rsidRPr="007D1BD1">
        <w:rPr>
          <w:rFonts w:asciiTheme="minorHAnsi" w:hAnsiTheme="minorHAnsi" w:cstheme="minorHAnsi"/>
          <w:b w:val="0"/>
          <w:color w:val="000000" w:themeColor="text1"/>
          <w:sz w:val="24"/>
        </w:rPr>
        <w:t xml:space="preserve">ároveň </w:t>
      </w:r>
      <w:r w:rsidR="00676F68" w:rsidRPr="007D1BD1">
        <w:rPr>
          <w:rFonts w:asciiTheme="minorHAnsi" w:hAnsiTheme="minorHAnsi" w:cstheme="minorHAnsi"/>
          <w:b w:val="0"/>
          <w:color w:val="000000" w:themeColor="text1"/>
          <w:sz w:val="24"/>
        </w:rPr>
        <w:t>prudce zvýšil</w:t>
      </w:r>
      <w:r w:rsidR="007E589D" w:rsidRPr="007D1BD1">
        <w:rPr>
          <w:rFonts w:asciiTheme="minorHAnsi" w:hAnsiTheme="minorHAnsi" w:cstheme="minorHAnsi"/>
          <w:b w:val="0"/>
          <w:color w:val="000000" w:themeColor="text1"/>
          <w:sz w:val="24"/>
        </w:rPr>
        <w:t xml:space="preserve"> počet uchazečů připadají</w:t>
      </w:r>
      <w:r w:rsidRPr="007D1BD1">
        <w:rPr>
          <w:rFonts w:asciiTheme="minorHAnsi" w:hAnsiTheme="minorHAnsi" w:cstheme="minorHAnsi"/>
          <w:b w:val="0"/>
          <w:color w:val="000000" w:themeColor="text1"/>
          <w:sz w:val="24"/>
        </w:rPr>
        <w:t>cích na 1 </w:t>
      </w:r>
      <w:r w:rsidR="00CF2452" w:rsidRPr="007D1BD1">
        <w:rPr>
          <w:rFonts w:asciiTheme="minorHAnsi" w:hAnsiTheme="minorHAnsi" w:cstheme="minorHAnsi"/>
          <w:b w:val="0"/>
          <w:color w:val="000000" w:themeColor="text1"/>
          <w:sz w:val="24"/>
        </w:rPr>
        <w:t>VM</w:t>
      </w:r>
      <w:r w:rsidR="00676F68" w:rsidRPr="007D1BD1">
        <w:rPr>
          <w:rFonts w:asciiTheme="minorHAnsi" w:hAnsiTheme="minorHAnsi" w:cstheme="minorHAnsi"/>
          <w:b w:val="0"/>
          <w:color w:val="000000" w:themeColor="text1"/>
          <w:sz w:val="24"/>
        </w:rPr>
        <w:t xml:space="preserve"> – o téměř 90</w:t>
      </w:r>
      <w:r w:rsidR="007E589D" w:rsidRPr="007D1BD1">
        <w:rPr>
          <w:rFonts w:asciiTheme="minorHAnsi" w:hAnsiTheme="minorHAnsi" w:cstheme="minorHAnsi"/>
          <w:b w:val="0"/>
          <w:color w:val="000000" w:themeColor="text1"/>
          <w:sz w:val="24"/>
        </w:rPr>
        <w:t xml:space="preserve"> %</w:t>
      </w:r>
      <w:r w:rsidR="005B5697" w:rsidRPr="007D1BD1">
        <w:rPr>
          <w:rFonts w:asciiTheme="minorHAnsi" w:hAnsiTheme="minorHAnsi" w:cstheme="minorHAnsi"/>
          <w:b w:val="0"/>
          <w:color w:val="000000" w:themeColor="text1"/>
          <w:sz w:val="24"/>
        </w:rPr>
        <w:t xml:space="preserve"> (tj. ze 4,5 na 8,5 uchazečů)</w:t>
      </w:r>
      <w:r w:rsidR="007E589D" w:rsidRPr="007D1BD1">
        <w:rPr>
          <w:rFonts w:asciiTheme="minorHAnsi" w:hAnsiTheme="minorHAnsi" w:cstheme="minorHAnsi"/>
          <w:b w:val="0"/>
          <w:color w:val="000000" w:themeColor="text1"/>
          <w:sz w:val="24"/>
        </w:rPr>
        <w:t xml:space="preserve">. </w:t>
      </w:r>
      <w:r w:rsidR="00CF2452" w:rsidRPr="007D1BD1">
        <w:rPr>
          <w:rFonts w:asciiTheme="minorHAnsi" w:hAnsiTheme="minorHAnsi" w:cstheme="minorHAnsi"/>
          <w:b w:val="0"/>
          <w:color w:val="000000" w:themeColor="text1"/>
          <w:sz w:val="24"/>
        </w:rPr>
        <w:t>Jednalo se ale pouze o </w:t>
      </w:r>
      <w:r w:rsidR="005B5697" w:rsidRPr="007D1BD1">
        <w:rPr>
          <w:rFonts w:asciiTheme="minorHAnsi" w:hAnsiTheme="minorHAnsi" w:cstheme="minorHAnsi"/>
          <w:b w:val="0"/>
          <w:color w:val="000000" w:themeColor="text1"/>
          <w:sz w:val="24"/>
        </w:rPr>
        <w:t xml:space="preserve">předzvěst daleko dramatičtějšího vývoje v roce 2009. </w:t>
      </w:r>
      <w:r w:rsidR="005B5697" w:rsidRPr="007D1BD1">
        <w:rPr>
          <w:rFonts w:asciiTheme="minorHAnsi" w:hAnsiTheme="minorHAnsi" w:cstheme="minorHAnsi"/>
          <w:color w:val="000000" w:themeColor="text1"/>
          <w:sz w:val="24"/>
        </w:rPr>
        <w:t xml:space="preserve">V meziročním srovnání počet volných míst klesl na 30 % stavu z konce prosince </w:t>
      </w:r>
      <w:smartTag w:uri="urn:schemas-microsoft-com:office:smarttags" w:element="metricconverter">
        <w:smartTagPr>
          <w:attr w:name="ProductID" w:val="2008 a"/>
        </w:smartTagPr>
        <w:r w:rsidR="005B5697" w:rsidRPr="007D1BD1">
          <w:rPr>
            <w:rFonts w:asciiTheme="minorHAnsi" w:hAnsiTheme="minorHAnsi" w:cstheme="minorHAnsi"/>
            <w:color w:val="000000" w:themeColor="text1"/>
            <w:sz w:val="24"/>
          </w:rPr>
          <w:t>2008 a</w:t>
        </w:r>
      </w:smartTag>
      <w:r w:rsidR="005B5697" w:rsidRPr="007D1BD1">
        <w:rPr>
          <w:rFonts w:asciiTheme="minorHAnsi" w:hAnsiTheme="minorHAnsi" w:cstheme="minorHAnsi"/>
          <w:color w:val="000000" w:themeColor="text1"/>
          <w:sz w:val="24"/>
        </w:rPr>
        <w:t xml:space="preserve"> zároveň se o 75 % zvýš</w:t>
      </w:r>
      <w:r w:rsidRPr="007D1BD1">
        <w:rPr>
          <w:rFonts w:asciiTheme="minorHAnsi" w:hAnsiTheme="minorHAnsi" w:cstheme="minorHAnsi"/>
          <w:color w:val="000000" w:themeColor="text1"/>
          <w:sz w:val="24"/>
        </w:rPr>
        <w:t>il počet evidovaných uchazečů o </w:t>
      </w:r>
      <w:r w:rsidR="005B5697" w:rsidRPr="007D1BD1">
        <w:rPr>
          <w:rFonts w:asciiTheme="minorHAnsi" w:hAnsiTheme="minorHAnsi" w:cstheme="minorHAnsi"/>
          <w:color w:val="000000" w:themeColor="text1"/>
          <w:sz w:val="24"/>
        </w:rPr>
        <w:t>zaměstnání. Tím došlo k rekordnímu (dos</w:t>
      </w:r>
      <w:r w:rsidR="00CF2452" w:rsidRPr="007D1BD1">
        <w:rPr>
          <w:rFonts w:asciiTheme="minorHAnsi" w:hAnsiTheme="minorHAnsi" w:cstheme="minorHAnsi"/>
          <w:color w:val="000000" w:themeColor="text1"/>
          <w:sz w:val="24"/>
        </w:rPr>
        <w:t>ud nezaznamenanému) zvýšení poč</w:t>
      </w:r>
      <w:r w:rsidRPr="007D1BD1">
        <w:rPr>
          <w:rFonts w:asciiTheme="minorHAnsi" w:hAnsiTheme="minorHAnsi" w:cstheme="minorHAnsi"/>
          <w:color w:val="000000" w:themeColor="text1"/>
          <w:sz w:val="24"/>
        </w:rPr>
        <w:t>tu uchazečů na 1 </w:t>
      </w:r>
      <w:r w:rsidR="005D293D" w:rsidRPr="007D1BD1">
        <w:rPr>
          <w:rFonts w:asciiTheme="minorHAnsi" w:hAnsiTheme="minorHAnsi" w:cstheme="minorHAnsi"/>
          <w:color w:val="000000" w:themeColor="text1"/>
          <w:sz w:val="24"/>
        </w:rPr>
        <w:t>VM až na 50 osob</w:t>
      </w:r>
      <w:r w:rsidR="005D293D" w:rsidRPr="007D1BD1">
        <w:rPr>
          <w:rFonts w:asciiTheme="minorHAnsi" w:hAnsiTheme="minorHAnsi" w:cstheme="minorHAnsi"/>
          <w:b w:val="0"/>
          <w:color w:val="000000" w:themeColor="text1"/>
          <w:sz w:val="24"/>
        </w:rPr>
        <w:t xml:space="preserve"> (tj. </w:t>
      </w:r>
      <w:r w:rsidR="003F2E18" w:rsidRPr="007D1BD1">
        <w:rPr>
          <w:rFonts w:asciiTheme="minorHAnsi" w:hAnsiTheme="minorHAnsi" w:cstheme="minorHAnsi"/>
          <w:b w:val="0"/>
          <w:color w:val="000000" w:themeColor="text1"/>
          <w:sz w:val="24"/>
        </w:rPr>
        <w:t>nárůst na téměř šestinásobek hodnoty z roku 2008).</w:t>
      </w:r>
      <w:r w:rsidR="005D293D" w:rsidRPr="007D1BD1">
        <w:rPr>
          <w:rFonts w:asciiTheme="minorHAnsi" w:hAnsiTheme="minorHAnsi" w:cstheme="minorHAnsi"/>
          <w:b w:val="0"/>
          <w:color w:val="000000" w:themeColor="text1"/>
          <w:sz w:val="24"/>
        </w:rPr>
        <w:t xml:space="preserve"> </w:t>
      </w:r>
      <w:r w:rsidR="00CB6BEB" w:rsidRPr="007D1BD1">
        <w:rPr>
          <w:rFonts w:asciiTheme="minorHAnsi" w:hAnsiTheme="minorHAnsi" w:cstheme="minorHAnsi"/>
          <w:b w:val="0"/>
          <w:color w:val="000000" w:themeColor="text1"/>
          <w:sz w:val="24"/>
        </w:rPr>
        <w:t xml:space="preserve">V roce 2010 došlo již k mírnému zlepšení situace </w:t>
      </w:r>
      <w:r w:rsidR="005B23BB" w:rsidRPr="007D1BD1">
        <w:rPr>
          <w:rFonts w:asciiTheme="minorHAnsi" w:hAnsiTheme="minorHAnsi" w:cstheme="minorHAnsi"/>
          <w:b w:val="0"/>
          <w:color w:val="000000" w:themeColor="text1"/>
          <w:sz w:val="24"/>
        </w:rPr>
        <w:t>– počet uchazečů o zaměstnání se sice meziročně zvýšil o 2,5 %, ale počet volných pracovních míst vzrostl téměř o polovinu (47 %). Počet uchazečů o zaměstnání</w:t>
      </w:r>
      <w:r w:rsidR="007D1BD1">
        <w:rPr>
          <w:rFonts w:asciiTheme="minorHAnsi" w:hAnsiTheme="minorHAnsi" w:cstheme="minorHAnsi"/>
          <w:b w:val="0"/>
          <w:color w:val="000000" w:themeColor="text1"/>
          <w:sz w:val="24"/>
        </w:rPr>
        <w:t xml:space="preserve"> připadajících na 1 VM se tak v </w:t>
      </w:r>
      <w:r w:rsidR="005B23BB" w:rsidRPr="007D1BD1">
        <w:rPr>
          <w:rFonts w:asciiTheme="minorHAnsi" w:hAnsiTheme="minorHAnsi" w:cstheme="minorHAnsi"/>
          <w:b w:val="0"/>
          <w:color w:val="000000" w:themeColor="text1"/>
          <w:sz w:val="24"/>
        </w:rPr>
        <w:t>roce 2010 snížil z 50 na 35. Nicm</w:t>
      </w:r>
      <w:r w:rsidR="005D293D" w:rsidRPr="007D1BD1">
        <w:rPr>
          <w:rFonts w:asciiTheme="minorHAnsi" w:hAnsiTheme="minorHAnsi" w:cstheme="minorHAnsi"/>
          <w:b w:val="0"/>
          <w:color w:val="000000" w:themeColor="text1"/>
          <w:sz w:val="24"/>
        </w:rPr>
        <w:t>éně i nadále se jednalo</w:t>
      </w:r>
      <w:r w:rsidR="005B23BB" w:rsidRPr="007D1BD1">
        <w:rPr>
          <w:rFonts w:asciiTheme="minorHAnsi" w:hAnsiTheme="minorHAnsi" w:cstheme="minorHAnsi"/>
          <w:b w:val="0"/>
          <w:color w:val="000000" w:themeColor="text1"/>
          <w:sz w:val="24"/>
        </w:rPr>
        <w:t xml:space="preserve"> o téměř osminásobně vyšší hodnotu než v roce 2008. </w:t>
      </w:r>
      <w:r w:rsidR="006C50F8" w:rsidRPr="007D1BD1">
        <w:rPr>
          <w:rFonts w:asciiTheme="minorHAnsi" w:hAnsiTheme="minorHAnsi" w:cstheme="minorHAnsi"/>
          <w:b w:val="0"/>
          <w:color w:val="000000" w:themeColor="text1"/>
          <w:sz w:val="24"/>
        </w:rPr>
        <w:t>V letech</w:t>
      </w:r>
      <w:r w:rsidR="007C4C85" w:rsidRPr="007D1BD1">
        <w:rPr>
          <w:rFonts w:asciiTheme="minorHAnsi" w:hAnsiTheme="minorHAnsi" w:cstheme="minorHAnsi"/>
          <w:b w:val="0"/>
          <w:color w:val="000000" w:themeColor="text1"/>
          <w:sz w:val="24"/>
        </w:rPr>
        <w:t xml:space="preserve"> 2011</w:t>
      </w:r>
      <w:r w:rsidR="006C50F8" w:rsidRPr="007D1BD1">
        <w:rPr>
          <w:rFonts w:asciiTheme="minorHAnsi" w:hAnsiTheme="minorHAnsi" w:cstheme="minorHAnsi"/>
          <w:b w:val="0"/>
          <w:color w:val="000000" w:themeColor="text1"/>
          <w:sz w:val="24"/>
        </w:rPr>
        <w:t xml:space="preserve"> - 2013 </w:t>
      </w:r>
      <w:r w:rsidR="007C4C85" w:rsidRPr="007D1BD1">
        <w:rPr>
          <w:rFonts w:asciiTheme="minorHAnsi" w:hAnsiTheme="minorHAnsi" w:cstheme="minorHAnsi"/>
          <w:b w:val="0"/>
          <w:color w:val="000000" w:themeColor="text1"/>
          <w:sz w:val="24"/>
        </w:rPr>
        <w:t xml:space="preserve"> jsme </w:t>
      </w:r>
      <w:r w:rsidR="006C50F8" w:rsidRPr="007D1BD1">
        <w:rPr>
          <w:rFonts w:asciiTheme="minorHAnsi" w:hAnsiTheme="minorHAnsi" w:cstheme="minorHAnsi"/>
          <w:b w:val="0"/>
          <w:color w:val="000000" w:themeColor="text1"/>
          <w:sz w:val="24"/>
        </w:rPr>
        <w:t xml:space="preserve">na konci prosince </w:t>
      </w:r>
      <w:r w:rsidR="007C4C85" w:rsidRPr="007D1BD1">
        <w:rPr>
          <w:rFonts w:asciiTheme="minorHAnsi" w:hAnsiTheme="minorHAnsi" w:cstheme="minorHAnsi"/>
          <w:b w:val="0"/>
          <w:color w:val="000000" w:themeColor="text1"/>
          <w:sz w:val="24"/>
        </w:rPr>
        <w:t xml:space="preserve">evidovali </w:t>
      </w:r>
      <w:r w:rsidR="006C50F8" w:rsidRPr="007D1BD1">
        <w:rPr>
          <w:rFonts w:asciiTheme="minorHAnsi" w:hAnsiTheme="minorHAnsi" w:cstheme="minorHAnsi"/>
          <w:b w:val="0"/>
          <w:color w:val="000000" w:themeColor="text1"/>
          <w:sz w:val="24"/>
        </w:rPr>
        <w:t xml:space="preserve">zhruba </w:t>
      </w:r>
      <w:r w:rsidR="007C4C85" w:rsidRPr="007D1BD1">
        <w:rPr>
          <w:rFonts w:asciiTheme="minorHAnsi" w:hAnsiTheme="minorHAnsi" w:cstheme="minorHAnsi"/>
          <w:b w:val="0"/>
          <w:color w:val="000000" w:themeColor="text1"/>
          <w:sz w:val="24"/>
        </w:rPr>
        <w:t>obdobný počet voln</w:t>
      </w:r>
      <w:r w:rsidR="006C50F8" w:rsidRPr="007D1BD1">
        <w:rPr>
          <w:rFonts w:asciiTheme="minorHAnsi" w:hAnsiTheme="minorHAnsi" w:cstheme="minorHAnsi"/>
          <w:b w:val="0"/>
          <w:color w:val="000000" w:themeColor="text1"/>
          <w:sz w:val="24"/>
        </w:rPr>
        <w:t>ých míst.</w:t>
      </w:r>
    </w:p>
    <w:p w:rsidR="00B92419" w:rsidRPr="007D1BD1" w:rsidRDefault="007C4C85" w:rsidP="00F95764">
      <w:pPr>
        <w:pStyle w:val="Zkladntext"/>
        <w:spacing w:line="240" w:lineRule="auto"/>
        <w:ind w:firstLine="720"/>
        <w:jc w:val="both"/>
        <w:rPr>
          <w:rFonts w:asciiTheme="minorHAnsi" w:hAnsiTheme="minorHAnsi" w:cstheme="minorHAnsi"/>
          <w:color w:val="000000" w:themeColor="text1"/>
          <w:sz w:val="24"/>
        </w:rPr>
      </w:pPr>
      <w:r w:rsidRPr="007D1BD1">
        <w:rPr>
          <w:rFonts w:asciiTheme="minorHAnsi" w:hAnsiTheme="minorHAnsi" w:cstheme="minorHAnsi"/>
          <w:color w:val="000000" w:themeColor="text1"/>
          <w:sz w:val="24"/>
        </w:rPr>
        <w:t>V</w:t>
      </w:r>
      <w:r w:rsidR="006C50F8" w:rsidRPr="007D1BD1">
        <w:rPr>
          <w:rFonts w:asciiTheme="minorHAnsi" w:hAnsiTheme="minorHAnsi" w:cstheme="minorHAnsi"/>
          <w:color w:val="000000" w:themeColor="text1"/>
          <w:sz w:val="24"/>
        </w:rPr>
        <w:t> roce 2014 došlo k výraznému oživení</w:t>
      </w:r>
      <w:r w:rsidR="006C50F8" w:rsidRPr="007D1BD1">
        <w:rPr>
          <w:rFonts w:asciiTheme="minorHAnsi" w:hAnsiTheme="minorHAnsi" w:cstheme="minorHAnsi"/>
          <w:b w:val="0"/>
          <w:color w:val="000000" w:themeColor="text1"/>
          <w:sz w:val="24"/>
        </w:rPr>
        <w:t xml:space="preserve"> – počet hlášených volných míst se od ledna neustále zvyšoval – a to až do října</w:t>
      </w:r>
      <w:r w:rsidR="007D1BD1" w:rsidRPr="007D1BD1">
        <w:rPr>
          <w:rFonts w:asciiTheme="minorHAnsi" w:hAnsiTheme="minorHAnsi" w:cstheme="minorHAnsi"/>
          <w:b w:val="0"/>
          <w:color w:val="000000" w:themeColor="text1"/>
          <w:sz w:val="24"/>
        </w:rPr>
        <w:t xml:space="preserve">. V následujících zimních měsících (listopad, prosinec) </w:t>
      </w:r>
      <w:r w:rsidR="007D1BD1" w:rsidRPr="007D1BD1">
        <w:rPr>
          <w:rFonts w:asciiTheme="minorHAnsi" w:hAnsiTheme="minorHAnsi" w:cstheme="minorHAnsi"/>
          <w:color w:val="000000" w:themeColor="text1"/>
          <w:sz w:val="24"/>
        </w:rPr>
        <w:t xml:space="preserve">počet pracovních míst </w:t>
      </w:r>
      <w:r w:rsidR="007D1BD1" w:rsidRPr="007D1BD1">
        <w:rPr>
          <w:rFonts w:asciiTheme="minorHAnsi" w:hAnsiTheme="minorHAnsi" w:cstheme="minorHAnsi"/>
          <w:b w:val="0"/>
          <w:color w:val="000000" w:themeColor="text1"/>
          <w:sz w:val="24"/>
        </w:rPr>
        <w:t xml:space="preserve">mírně klesl, ale přesto </w:t>
      </w:r>
      <w:r w:rsidR="007D1BD1" w:rsidRPr="007D1BD1">
        <w:rPr>
          <w:rFonts w:asciiTheme="minorHAnsi" w:hAnsiTheme="minorHAnsi" w:cstheme="minorHAnsi"/>
          <w:color w:val="000000" w:themeColor="text1"/>
          <w:sz w:val="24"/>
        </w:rPr>
        <w:t>se dostal na hodnotu roku 2008 (ve srovnání s rokem 2013 se počet míst zvýšil o 155 %.</w:t>
      </w:r>
      <w:r w:rsidR="006C50F8" w:rsidRPr="007D1BD1">
        <w:rPr>
          <w:rFonts w:asciiTheme="minorHAnsi" w:hAnsiTheme="minorHAnsi" w:cstheme="minorHAnsi"/>
          <w:color w:val="000000" w:themeColor="text1"/>
          <w:sz w:val="24"/>
        </w:rPr>
        <w:t xml:space="preserve">  </w:t>
      </w:r>
      <w:r w:rsidRPr="007D1BD1">
        <w:rPr>
          <w:rFonts w:asciiTheme="minorHAnsi" w:hAnsiTheme="minorHAnsi" w:cstheme="minorHAnsi"/>
          <w:color w:val="000000" w:themeColor="text1"/>
          <w:sz w:val="24"/>
        </w:rPr>
        <w:t> </w:t>
      </w:r>
      <w:r w:rsidR="007D1BD1" w:rsidRPr="007D1BD1">
        <w:rPr>
          <w:rFonts w:asciiTheme="minorHAnsi" w:hAnsiTheme="minorHAnsi" w:cstheme="minorHAnsi"/>
          <w:color w:val="000000" w:themeColor="text1"/>
          <w:sz w:val="24"/>
        </w:rPr>
        <w:t xml:space="preserve"> </w:t>
      </w:r>
    </w:p>
    <w:p w:rsidR="00A7087A" w:rsidRDefault="005D293D" w:rsidP="00F95764">
      <w:pPr>
        <w:pStyle w:val="Zkladntext"/>
        <w:spacing w:line="240" w:lineRule="auto"/>
        <w:ind w:firstLine="720"/>
        <w:jc w:val="both"/>
        <w:rPr>
          <w:rFonts w:asciiTheme="minorHAnsi" w:hAnsiTheme="minorHAnsi" w:cstheme="minorHAnsi"/>
          <w:b w:val="0"/>
          <w:color w:val="000000" w:themeColor="text1"/>
          <w:sz w:val="24"/>
        </w:rPr>
      </w:pPr>
      <w:r w:rsidRPr="007D1BD1">
        <w:rPr>
          <w:rFonts w:asciiTheme="minorHAnsi" w:hAnsiTheme="minorHAnsi" w:cstheme="minorHAnsi"/>
          <w:i/>
          <w:color w:val="000000" w:themeColor="text1"/>
          <w:sz w:val="24"/>
        </w:rPr>
        <w:t xml:space="preserve">Tabulka </w:t>
      </w:r>
      <w:r w:rsidR="00013D09" w:rsidRPr="007D1BD1">
        <w:rPr>
          <w:rFonts w:asciiTheme="minorHAnsi" w:hAnsiTheme="minorHAnsi" w:cstheme="minorHAnsi"/>
          <w:i/>
          <w:color w:val="000000" w:themeColor="text1"/>
          <w:sz w:val="24"/>
        </w:rPr>
        <w:t>č. 2</w:t>
      </w:r>
      <w:r w:rsidR="00013D09" w:rsidRPr="007D1BD1">
        <w:rPr>
          <w:rFonts w:asciiTheme="minorHAnsi" w:hAnsiTheme="minorHAnsi" w:cstheme="minorHAnsi"/>
          <w:b w:val="0"/>
          <w:color w:val="000000" w:themeColor="text1"/>
          <w:sz w:val="24"/>
        </w:rPr>
        <w:t xml:space="preserve"> ukazuje, že </w:t>
      </w:r>
      <w:r w:rsidR="007D1BD1" w:rsidRPr="007D1BD1">
        <w:rPr>
          <w:rFonts w:asciiTheme="minorHAnsi" w:hAnsiTheme="minorHAnsi" w:cstheme="minorHAnsi"/>
          <w:color w:val="000000" w:themeColor="text1"/>
          <w:sz w:val="24"/>
        </w:rPr>
        <w:t>v prosinci 2014</w:t>
      </w:r>
      <w:r w:rsidR="00013D09" w:rsidRPr="007D1BD1">
        <w:rPr>
          <w:rFonts w:asciiTheme="minorHAnsi" w:hAnsiTheme="minorHAnsi" w:cstheme="minorHAnsi"/>
          <w:color w:val="000000" w:themeColor="text1"/>
          <w:sz w:val="24"/>
        </w:rPr>
        <w:t xml:space="preserve"> se v meziročním srovnání zvýšil</w:t>
      </w:r>
      <w:r w:rsidRPr="007D1BD1">
        <w:rPr>
          <w:rFonts w:asciiTheme="minorHAnsi" w:hAnsiTheme="minorHAnsi" w:cstheme="minorHAnsi"/>
          <w:color w:val="000000" w:themeColor="text1"/>
          <w:sz w:val="24"/>
        </w:rPr>
        <w:t xml:space="preserve"> počet voln</w:t>
      </w:r>
      <w:r w:rsidR="007D1BD1" w:rsidRPr="007D1BD1">
        <w:rPr>
          <w:rFonts w:asciiTheme="minorHAnsi" w:hAnsiTheme="minorHAnsi" w:cstheme="minorHAnsi"/>
          <w:color w:val="000000" w:themeColor="text1"/>
          <w:sz w:val="24"/>
        </w:rPr>
        <w:t>ých míst v Olomouckém kraji o 155</w:t>
      </w:r>
      <w:r w:rsidR="00013D09" w:rsidRPr="007D1BD1">
        <w:rPr>
          <w:rFonts w:asciiTheme="minorHAnsi" w:hAnsiTheme="minorHAnsi" w:cstheme="minorHAnsi"/>
          <w:color w:val="000000" w:themeColor="text1"/>
          <w:sz w:val="24"/>
        </w:rPr>
        <w:t xml:space="preserve"> %</w:t>
      </w:r>
      <w:r w:rsidR="007D1BD1" w:rsidRPr="007D1BD1">
        <w:rPr>
          <w:rFonts w:asciiTheme="minorHAnsi" w:hAnsiTheme="minorHAnsi" w:cstheme="minorHAnsi"/>
          <w:color w:val="000000" w:themeColor="text1"/>
          <w:sz w:val="24"/>
        </w:rPr>
        <w:t xml:space="preserve">! Díky současnému poklesu nezaměstnanosti se </w:t>
      </w:r>
      <w:r w:rsidR="00013D09" w:rsidRPr="007D1BD1">
        <w:rPr>
          <w:rFonts w:asciiTheme="minorHAnsi" w:hAnsiTheme="minorHAnsi" w:cstheme="minorHAnsi"/>
          <w:color w:val="000000" w:themeColor="text1"/>
          <w:sz w:val="24"/>
        </w:rPr>
        <w:t>snížil</w:t>
      </w:r>
      <w:r w:rsidRPr="007D1BD1">
        <w:rPr>
          <w:rFonts w:asciiTheme="minorHAnsi" w:hAnsiTheme="minorHAnsi" w:cstheme="minorHAnsi"/>
          <w:color w:val="000000" w:themeColor="text1"/>
          <w:sz w:val="24"/>
        </w:rPr>
        <w:t xml:space="preserve"> počet uchazečů přip</w:t>
      </w:r>
      <w:r w:rsidR="00013D09" w:rsidRPr="007D1BD1">
        <w:rPr>
          <w:rFonts w:asciiTheme="minorHAnsi" w:hAnsiTheme="minorHAnsi" w:cstheme="minorHAnsi"/>
          <w:color w:val="000000" w:themeColor="text1"/>
          <w:sz w:val="24"/>
        </w:rPr>
        <w:t>ada</w:t>
      </w:r>
      <w:r w:rsidR="007D1BD1" w:rsidRPr="007D1BD1">
        <w:rPr>
          <w:rFonts w:asciiTheme="minorHAnsi" w:hAnsiTheme="minorHAnsi" w:cstheme="minorHAnsi"/>
          <w:color w:val="000000" w:themeColor="text1"/>
          <w:sz w:val="24"/>
        </w:rPr>
        <w:t>jících na 1 volné místo z 39 na 14</w:t>
      </w:r>
      <w:r w:rsidRPr="007D1BD1">
        <w:rPr>
          <w:rFonts w:asciiTheme="minorHAnsi" w:hAnsiTheme="minorHAnsi" w:cstheme="minorHAnsi"/>
          <w:color w:val="000000" w:themeColor="text1"/>
          <w:sz w:val="24"/>
        </w:rPr>
        <w:t xml:space="preserve"> osob</w:t>
      </w:r>
      <w:r w:rsidR="007D1BD1" w:rsidRPr="007D1BD1">
        <w:rPr>
          <w:rFonts w:asciiTheme="minorHAnsi" w:hAnsiTheme="minorHAnsi" w:cstheme="minorHAnsi"/>
          <w:color w:val="000000" w:themeColor="text1"/>
          <w:sz w:val="24"/>
        </w:rPr>
        <w:t xml:space="preserve"> (tj. na téměř třetinový stav)</w:t>
      </w:r>
      <w:r w:rsidR="00A7087A" w:rsidRPr="007D1BD1">
        <w:rPr>
          <w:rFonts w:asciiTheme="minorHAnsi" w:hAnsiTheme="minorHAnsi" w:cstheme="minorHAnsi"/>
          <w:b w:val="0"/>
          <w:color w:val="000000" w:themeColor="text1"/>
          <w:sz w:val="24"/>
        </w:rPr>
        <w:t xml:space="preserve">. </w:t>
      </w:r>
    </w:p>
    <w:p w:rsidR="008F0D05" w:rsidRDefault="00524A97" w:rsidP="00F95764">
      <w:pPr>
        <w:pStyle w:val="Zkladntext"/>
        <w:spacing w:line="240" w:lineRule="auto"/>
        <w:ind w:firstLine="720"/>
        <w:jc w:val="both"/>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Vysoký</w:t>
      </w:r>
      <w:r w:rsidR="008F0D05">
        <w:rPr>
          <w:rFonts w:asciiTheme="minorHAnsi" w:hAnsiTheme="minorHAnsi" w:cstheme="minorHAnsi"/>
          <w:b w:val="0"/>
          <w:color w:val="000000" w:themeColor="text1"/>
          <w:sz w:val="24"/>
        </w:rPr>
        <w:t xml:space="preserve"> nárůst počtu volných míst byl způsoben nejen ekonomickým oživením firem, ale byl to i důsledek personálního posílení úřadu práce. Nově přijatí zaměstnanci navázali řadu kontaktů se zaměstnavateli, kteří se podrobně seznámili s výhodami spolupráce s ÚP a začali hlásit svá volná místa ochotněji než v předchozích letech.</w:t>
      </w:r>
    </w:p>
    <w:p w:rsidR="001C3638" w:rsidRDefault="001C3638" w:rsidP="00F95764">
      <w:pPr>
        <w:pStyle w:val="Zkladntext"/>
        <w:spacing w:line="240" w:lineRule="auto"/>
        <w:ind w:firstLine="720"/>
        <w:jc w:val="both"/>
        <w:rPr>
          <w:rFonts w:asciiTheme="minorHAnsi" w:hAnsiTheme="minorHAnsi" w:cstheme="minorHAnsi"/>
          <w:b w:val="0"/>
          <w:color w:val="000000" w:themeColor="text1"/>
          <w:sz w:val="24"/>
        </w:rPr>
      </w:pPr>
      <w:r w:rsidRPr="008F0D05">
        <w:rPr>
          <w:rFonts w:asciiTheme="minorHAnsi" w:hAnsiTheme="minorHAnsi" w:cstheme="minorHAnsi"/>
          <w:b w:val="0"/>
          <w:color w:val="000000" w:themeColor="text1"/>
          <w:sz w:val="24"/>
        </w:rPr>
        <w:t xml:space="preserve"> </w:t>
      </w:r>
      <w:r w:rsidR="00524A97">
        <w:rPr>
          <w:rFonts w:asciiTheme="minorHAnsi" w:hAnsiTheme="minorHAnsi" w:cstheme="minorHAnsi"/>
          <w:b w:val="0"/>
          <w:color w:val="000000" w:themeColor="text1"/>
          <w:sz w:val="24"/>
        </w:rPr>
        <w:t xml:space="preserve">Výrazný </w:t>
      </w:r>
      <w:r w:rsidRPr="008F0D05">
        <w:rPr>
          <w:rFonts w:asciiTheme="minorHAnsi" w:hAnsiTheme="minorHAnsi" w:cstheme="minorHAnsi"/>
          <w:b w:val="0"/>
          <w:color w:val="000000" w:themeColor="text1"/>
          <w:sz w:val="24"/>
        </w:rPr>
        <w:t>pokles počtu uchazečů připadajících na 1 VM je sice velmi potěšující, ale z dlouhodobého hlediska se stále jedná o vyšší hodnotu. Připomeňme, že v roce 2008 se tento ukazatel pohyboval v Olomouckém kraji okolo 4 osob (tj. byl 3,5x nižší).</w:t>
      </w:r>
    </w:p>
    <w:p w:rsidR="001C3638" w:rsidRDefault="001C3638" w:rsidP="00F95764">
      <w:pPr>
        <w:pStyle w:val="Zkladntext"/>
        <w:spacing w:line="240" w:lineRule="auto"/>
        <w:ind w:firstLine="720"/>
        <w:jc w:val="both"/>
        <w:rPr>
          <w:rFonts w:asciiTheme="minorHAnsi" w:hAnsiTheme="minorHAnsi" w:cstheme="minorHAnsi"/>
          <w:b w:val="0"/>
          <w:color w:val="000000" w:themeColor="text1"/>
          <w:sz w:val="24"/>
        </w:rPr>
      </w:pPr>
    </w:p>
    <w:p w:rsidR="001C3638" w:rsidRDefault="001C3638" w:rsidP="00F95764">
      <w:pPr>
        <w:pStyle w:val="Zkladntext"/>
        <w:spacing w:line="240" w:lineRule="auto"/>
        <w:ind w:firstLine="720"/>
        <w:jc w:val="both"/>
        <w:rPr>
          <w:rFonts w:asciiTheme="minorHAnsi" w:hAnsiTheme="minorHAnsi" w:cstheme="minorHAnsi"/>
          <w:b w:val="0"/>
          <w:color w:val="000000" w:themeColor="text1"/>
          <w:sz w:val="24"/>
        </w:rPr>
      </w:pPr>
    </w:p>
    <w:p w:rsidR="001C3638" w:rsidRDefault="001C3638" w:rsidP="00F95764">
      <w:pPr>
        <w:pStyle w:val="Zkladntext"/>
        <w:spacing w:line="240" w:lineRule="auto"/>
        <w:ind w:firstLine="720"/>
        <w:jc w:val="both"/>
        <w:rPr>
          <w:rFonts w:asciiTheme="minorHAnsi" w:hAnsiTheme="minorHAnsi" w:cstheme="minorHAnsi"/>
          <w:b w:val="0"/>
          <w:color w:val="000000" w:themeColor="text1"/>
          <w:sz w:val="24"/>
        </w:rPr>
      </w:pPr>
    </w:p>
    <w:p w:rsidR="001C3638" w:rsidRDefault="001C3638" w:rsidP="00F95764">
      <w:pPr>
        <w:pStyle w:val="Zkladntext"/>
        <w:spacing w:line="240" w:lineRule="auto"/>
        <w:ind w:firstLine="720"/>
        <w:jc w:val="both"/>
        <w:rPr>
          <w:rFonts w:asciiTheme="minorHAnsi" w:hAnsiTheme="minorHAnsi" w:cstheme="minorHAnsi"/>
          <w:b w:val="0"/>
          <w:color w:val="000000" w:themeColor="text1"/>
          <w:sz w:val="24"/>
        </w:rPr>
      </w:pPr>
    </w:p>
    <w:p w:rsidR="001C3638" w:rsidRDefault="001C3638" w:rsidP="00F95764">
      <w:pPr>
        <w:pStyle w:val="Zkladntext"/>
        <w:spacing w:line="240" w:lineRule="auto"/>
        <w:ind w:firstLine="720"/>
        <w:jc w:val="both"/>
        <w:rPr>
          <w:rFonts w:asciiTheme="minorHAnsi" w:hAnsiTheme="minorHAnsi" w:cstheme="minorHAnsi"/>
          <w:b w:val="0"/>
          <w:color w:val="000000" w:themeColor="text1"/>
          <w:sz w:val="24"/>
        </w:rPr>
      </w:pPr>
    </w:p>
    <w:p w:rsidR="001C3638" w:rsidRPr="007D1BD1" w:rsidRDefault="001C3638" w:rsidP="00F95764">
      <w:pPr>
        <w:pStyle w:val="Zkladntext"/>
        <w:spacing w:line="240" w:lineRule="auto"/>
        <w:ind w:firstLine="720"/>
        <w:jc w:val="both"/>
        <w:rPr>
          <w:rFonts w:asciiTheme="minorHAnsi" w:hAnsiTheme="minorHAnsi" w:cstheme="minorHAnsi"/>
          <w:b w:val="0"/>
          <w:color w:val="000000" w:themeColor="text1"/>
          <w:sz w:val="24"/>
        </w:rPr>
      </w:pPr>
    </w:p>
    <w:p w:rsidR="00F95764" w:rsidRPr="0047289E" w:rsidRDefault="00994533" w:rsidP="00994533">
      <w:pPr>
        <w:pStyle w:val="Zkladntext"/>
        <w:spacing w:line="240" w:lineRule="atLeast"/>
        <w:ind w:firstLine="720"/>
        <w:rPr>
          <w:rFonts w:asciiTheme="minorHAnsi" w:hAnsiTheme="minorHAnsi" w:cstheme="minorHAnsi"/>
          <w:noProof/>
          <w:color w:val="000000" w:themeColor="text1"/>
        </w:rPr>
      </w:pPr>
      <w:r w:rsidRPr="0047289E">
        <w:rPr>
          <w:rFonts w:asciiTheme="minorHAnsi" w:hAnsiTheme="minorHAnsi" w:cstheme="minorHAnsi"/>
          <w:color w:val="000000" w:themeColor="text1"/>
          <w:sz w:val="24"/>
        </w:rPr>
        <w:lastRenderedPageBreak/>
        <w:t>Graf: Počet uchazečů a VM v Olomouckém kraji k 31. 12.</w:t>
      </w:r>
    </w:p>
    <w:p w:rsidR="00D438B3" w:rsidRPr="00002B63" w:rsidRDefault="00D732D2" w:rsidP="008977A5">
      <w:pPr>
        <w:pStyle w:val="Zkladntext"/>
        <w:spacing w:line="240" w:lineRule="atLeast"/>
        <w:ind w:firstLine="284"/>
        <w:rPr>
          <w:rFonts w:asciiTheme="minorHAnsi" w:hAnsiTheme="minorHAnsi" w:cstheme="minorHAnsi"/>
          <w:i/>
          <w:sz w:val="24"/>
        </w:rPr>
      </w:pPr>
      <w:r>
        <w:rPr>
          <w:noProof/>
        </w:rPr>
        <w:drawing>
          <wp:inline distT="0" distB="0" distL="0" distR="0" wp14:anchorId="50A67DEA" wp14:editId="1E3954D3">
            <wp:extent cx="5410200" cy="333756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44171" w:rsidRPr="00002B63">
        <w:rPr>
          <w:rFonts w:asciiTheme="minorHAnsi" w:hAnsiTheme="minorHAnsi" w:cstheme="minorHAnsi"/>
          <w:i/>
          <w:sz w:val="24"/>
        </w:rPr>
        <w:t xml:space="preserve"> </w:t>
      </w:r>
    </w:p>
    <w:p w:rsidR="001C3638" w:rsidRPr="007B0D92" w:rsidRDefault="00524A97" w:rsidP="005648D0">
      <w:pPr>
        <w:pStyle w:val="Zkladntext"/>
        <w:spacing w:line="240" w:lineRule="auto"/>
        <w:ind w:firstLine="720"/>
        <w:jc w:val="both"/>
        <w:rPr>
          <w:rFonts w:asciiTheme="minorHAnsi" w:hAnsiTheme="minorHAnsi" w:cstheme="minorHAnsi"/>
          <w:b w:val="0"/>
          <w:color w:val="000000" w:themeColor="text1"/>
          <w:sz w:val="24"/>
        </w:rPr>
      </w:pPr>
      <w:r w:rsidRPr="007B0D92">
        <w:rPr>
          <w:rFonts w:asciiTheme="minorHAnsi" w:hAnsiTheme="minorHAnsi" w:cstheme="minorHAnsi"/>
          <w:b w:val="0"/>
          <w:color w:val="000000" w:themeColor="text1"/>
          <w:sz w:val="24"/>
        </w:rPr>
        <w:t>V meziročním srovnání se zlepšila pozice Olomouckého kraje vůči ostatním krajům – zatímco na konci roku 2013 Olomoucký kraj vykázal</w:t>
      </w:r>
      <w:r w:rsidR="005648D0" w:rsidRPr="007B0D92">
        <w:rPr>
          <w:rFonts w:asciiTheme="minorHAnsi" w:hAnsiTheme="minorHAnsi" w:cstheme="minorHAnsi"/>
          <w:b w:val="0"/>
          <w:color w:val="000000" w:themeColor="text1"/>
          <w:sz w:val="24"/>
        </w:rPr>
        <w:t xml:space="preserve"> dr</w:t>
      </w:r>
      <w:r w:rsidRPr="007B0D92">
        <w:rPr>
          <w:rFonts w:asciiTheme="minorHAnsi" w:hAnsiTheme="minorHAnsi" w:cstheme="minorHAnsi"/>
          <w:b w:val="0"/>
          <w:color w:val="000000" w:themeColor="text1"/>
          <w:sz w:val="24"/>
        </w:rPr>
        <w:t xml:space="preserve">uhý nejvyšší počet UoZ na 1 VM (což byl zároveň více než dvojnásobek </w:t>
      </w:r>
      <w:r w:rsidR="005648D0" w:rsidRPr="007B0D92">
        <w:rPr>
          <w:rFonts w:asciiTheme="minorHAnsi" w:hAnsiTheme="minorHAnsi" w:cstheme="minorHAnsi"/>
          <w:b w:val="0"/>
          <w:color w:val="000000" w:themeColor="text1"/>
          <w:sz w:val="24"/>
        </w:rPr>
        <w:t>hodnoty za ČR</w:t>
      </w:r>
      <w:r w:rsidRPr="007B0D92">
        <w:rPr>
          <w:rFonts w:asciiTheme="minorHAnsi" w:hAnsiTheme="minorHAnsi" w:cstheme="minorHAnsi"/>
          <w:b w:val="0"/>
          <w:color w:val="000000" w:themeColor="text1"/>
          <w:sz w:val="24"/>
        </w:rPr>
        <w:t xml:space="preserve">), </w:t>
      </w:r>
      <w:r w:rsidR="007B0D92" w:rsidRPr="007B0D92">
        <w:rPr>
          <w:rFonts w:asciiTheme="minorHAnsi" w:hAnsiTheme="minorHAnsi" w:cstheme="minorHAnsi"/>
          <w:b w:val="0"/>
          <w:color w:val="000000" w:themeColor="text1"/>
          <w:sz w:val="24"/>
        </w:rPr>
        <w:t xml:space="preserve">o rok později se posunul až na 4. </w:t>
      </w:r>
      <w:r w:rsidR="007B0D92">
        <w:rPr>
          <w:rFonts w:asciiTheme="minorHAnsi" w:hAnsiTheme="minorHAnsi" w:cstheme="minorHAnsi"/>
          <w:b w:val="0"/>
          <w:color w:val="000000" w:themeColor="text1"/>
          <w:sz w:val="24"/>
        </w:rPr>
        <w:t>m</w:t>
      </w:r>
      <w:r w:rsidR="007B0D92" w:rsidRPr="007B0D92">
        <w:rPr>
          <w:rFonts w:asciiTheme="minorHAnsi" w:hAnsiTheme="minorHAnsi" w:cstheme="minorHAnsi"/>
          <w:b w:val="0"/>
          <w:color w:val="000000" w:themeColor="text1"/>
          <w:sz w:val="24"/>
        </w:rPr>
        <w:t xml:space="preserve">ísto a počet UoZ na 1 VM je pouze 1,5x vyšší než celorepubliková hodnota. </w:t>
      </w:r>
    </w:p>
    <w:p w:rsidR="007B0D92" w:rsidRPr="007B0D92" w:rsidRDefault="007B0D92" w:rsidP="005648D0">
      <w:pPr>
        <w:pStyle w:val="Zkladntext"/>
        <w:spacing w:line="240" w:lineRule="auto"/>
        <w:ind w:firstLine="720"/>
        <w:jc w:val="both"/>
        <w:rPr>
          <w:rFonts w:asciiTheme="minorHAnsi" w:hAnsiTheme="minorHAnsi" w:cstheme="minorHAnsi"/>
          <w:b w:val="0"/>
          <w:color w:val="000000" w:themeColor="text1"/>
          <w:sz w:val="24"/>
        </w:rPr>
      </w:pPr>
    </w:p>
    <w:p w:rsidR="005648D0" w:rsidRPr="00021C4E" w:rsidRDefault="005648D0" w:rsidP="005648D0">
      <w:pPr>
        <w:pStyle w:val="Zkladntext"/>
        <w:spacing w:line="240" w:lineRule="atLeast"/>
        <w:ind w:firstLine="720"/>
        <w:rPr>
          <w:rFonts w:asciiTheme="minorHAnsi" w:hAnsiTheme="minorHAnsi" w:cstheme="minorHAnsi"/>
          <w:noProof/>
        </w:rPr>
      </w:pPr>
      <w:r w:rsidRPr="00021C4E">
        <w:rPr>
          <w:rFonts w:asciiTheme="minorHAnsi" w:hAnsiTheme="minorHAnsi" w:cstheme="minorHAnsi"/>
          <w:sz w:val="24"/>
        </w:rPr>
        <w:t xml:space="preserve">Graf: Počet uchazečů </w:t>
      </w:r>
      <w:r>
        <w:rPr>
          <w:rFonts w:asciiTheme="minorHAnsi" w:hAnsiTheme="minorHAnsi" w:cstheme="minorHAnsi"/>
          <w:sz w:val="24"/>
        </w:rPr>
        <w:t>na 1 VM v krajích k 31. 12. 201</w:t>
      </w:r>
      <w:r w:rsidR="007E64DA">
        <w:rPr>
          <w:rFonts w:asciiTheme="minorHAnsi" w:hAnsiTheme="minorHAnsi" w:cstheme="minorHAnsi"/>
          <w:sz w:val="24"/>
        </w:rPr>
        <w:t>4</w:t>
      </w:r>
    </w:p>
    <w:p w:rsidR="00002B63" w:rsidRDefault="001C3638" w:rsidP="00987584">
      <w:pPr>
        <w:pStyle w:val="Zkladntext3"/>
        <w:jc w:val="both"/>
        <w:rPr>
          <w:rFonts w:asciiTheme="minorHAnsi" w:hAnsiTheme="minorHAnsi" w:cstheme="minorHAnsi"/>
          <w:b/>
          <w:caps/>
          <w:color w:val="FF0000"/>
          <w:sz w:val="28"/>
        </w:rPr>
      </w:pPr>
      <w:r>
        <w:rPr>
          <w:noProof/>
        </w:rPr>
        <w:drawing>
          <wp:inline distT="0" distB="0" distL="0" distR="0" wp14:anchorId="12A52A17" wp14:editId="333891C9">
            <wp:extent cx="5699760" cy="406146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7584" w:rsidRPr="00002B63" w:rsidRDefault="00207B4D" w:rsidP="00FB2587">
      <w:pPr>
        <w:pStyle w:val="Zkladntext3"/>
        <w:spacing w:line="360" w:lineRule="auto"/>
        <w:jc w:val="both"/>
        <w:rPr>
          <w:rFonts w:asciiTheme="minorHAnsi" w:hAnsiTheme="minorHAnsi" w:cstheme="minorHAnsi"/>
          <w:b/>
          <w:i w:val="0"/>
          <w:color w:val="FF0000"/>
          <w:sz w:val="28"/>
        </w:rPr>
      </w:pPr>
      <w:r w:rsidRPr="00002B63">
        <w:rPr>
          <w:rFonts w:asciiTheme="minorHAnsi" w:hAnsiTheme="minorHAnsi" w:cstheme="minorHAnsi"/>
          <w:b/>
          <w:i w:val="0"/>
          <w:caps/>
          <w:color w:val="FF0000"/>
          <w:sz w:val="28"/>
        </w:rPr>
        <w:lastRenderedPageBreak/>
        <w:t>2</w:t>
      </w:r>
      <w:r w:rsidR="00987584" w:rsidRPr="00002B63">
        <w:rPr>
          <w:rFonts w:asciiTheme="minorHAnsi" w:hAnsiTheme="minorHAnsi" w:cstheme="minorHAnsi"/>
          <w:b/>
          <w:i w:val="0"/>
          <w:caps/>
          <w:color w:val="FF0000"/>
          <w:sz w:val="28"/>
        </w:rPr>
        <w:t>.</w:t>
      </w:r>
      <w:r w:rsidR="00987584" w:rsidRPr="00002B63">
        <w:rPr>
          <w:rFonts w:asciiTheme="minorHAnsi" w:hAnsiTheme="minorHAnsi" w:cstheme="minorHAnsi"/>
          <w:b/>
          <w:i w:val="0"/>
          <w:caps/>
          <w:color w:val="FF0000"/>
          <w:sz w:val="28"/>
        </w:rPr>
        <w:tab/>
      </w:r>
      <w:r w:rsidR="00664A77" w:rsidRPr="00002B63">
        <w:rPr>
          <w:rFonts w:asciiTheme="minorHAnsi" w:hAnsiTheme="minorHAnsi" w:cstheme="minorHAnsi"/>
          <w:b/>
          <w:i w:val="0"/>
          <w:caps/>
          <w:color w:val="FF0000"/>
          <w:sz w:val="28"/>
        </w:rPr>
        <w:t xml:space="preserve"> </w:t>
      </w:r>
      <w:r w:rsidR="00987584" w:rsidRPr="00002B63">
        <w:rPr>
          <w:rFonts w:asciiTheme="minorHAnsi" w:hAnsiTheme="minorHAnsi" w:cstheme="minorHAnsi"/>
          <w:b/>
          <w:i w:val="0"/>
          <w:caps/>
          <w:color w:val="FF0000"/>
          <w:sz w:val="28"/>
        </w:rPr>
        <w:t>Nezaměstnanost</w:t>
      </w:r>
      <w:r w:rsidR="00987584" w:rsidRPr="00002B63">
        <w:rPr>
          <w:rFonts w:asciiTheme="minorHAnsi" w:hAnsiTheme="minorHAnsi" w:cstheme="minorHAnsi"/>
          <w:b/>
          <w:i w:val="0"/>
          <w:color w:val="FF0000"/>
          <w:sz w:val="28"/>
        </w:rPr>
        <w:t xml:space="preserve"> </w:t>
      </w:r>
    </w:p>
    <w:p w:rsidR="00987584" w:rsidRPr="006E18F2" w:rsidRDefault="00207B4D" w:rsidP="00FB2587">
      <w:pPr>
        <w:pStyle w:val="Nadpis6"/>
        <w:spacing w:before="120" w:line="360" w:lineRule="auto"/>
        <w:jc w:val="both"/>
        <w:rPr>
          <w:rFonts w:asciiTheme="minorHAnsi" w:hAnsiTheme="minorHAnsi" w:cstheme="minorHAnsi"/>
          <w:i w:val="0"/>
          <w:color w:val="0000FF"/>
        </w:rPr>
      </w:pPr>
      <w:bookmarkStart w:id="23" w:name="_III.1_Základní_charakteristika_vývo"/>
      <w:bookmarkEnd w:id="23"/>
      <w:r w:rsidRPr="006E18F2">
        <w:rPr>
          <w:rFonts w:asciiTheme="minorHAnsi" w:hAnsiTheme="minorHAnsi" w:cstheme="minorHAnsi"/>
          <w:i w:val="0"/>
          <w:color w:val="0000FF"/>
        </w:rPr>
        <w:t>2</w:t>
      </w:r>
      <w:r w:rsidR="004E1F10" w:rsidRPr="006E18F2">
        <w:rPr>
          <w:rFonts w:asciiTheme="minorHAnsi" w:hAnsiTheme="minorHAnsi" w:cstheme="minorHAnsi"/>
          <w:i w:val="0"/>
          <w:color w:val="0000FF"/>
        </w:rPr>
        <w:t>.1 Vývoj nezaměstnanosti</w:t>
      </w:r>
      <w:r w:rsidRPr="006E18F2">
        <w:rPr>
          <w:rFonts w:asciiTheme="minorHAnsi" w:hAnsiTheme="minorHAnsi" w:cstheme="minorHAnsi"/>
          <w:i w:val="0"/>
          <w:color w:val="0000FF"/>
        </w:rPr>
        <w:t xml:space="preserve"> v Olomouckém kraji a její struktura</w:t>
      </w:r>
    </w:p>
    <w:p w:rsidR="00CC26C9" w:rsidRPr="0056546D" w:rsidRDefault="0070337E" w:rsidP="001079F6">
      <w:pPr>
        <w:pStyle w:val="Zkladntext"/>
        <w:spacing w:line="240" w:lineRule="auto"/>
        <w:ind w:firstLine="709"/>
        <w:jc w:val="both"/>
        <w:rPr>
          <w:rFonts w:asciiTheme="minorHAnsi" w:hAnsiTheme="minorHAnsi" w:cstheme="minorHAnsi"/>
          <w:b w:val="0"/>
          <w:color w:val="000000" w:themeColor="text1"/>
          <w:sz w:val="24"/>
        </w:rPr>
      </w:pPr>
      <w:r w:rsidRPr="00CE2EE3">
        <w:rPr>
          <w:rFonts w:asciiTheme="minorHAnsi" w:hAnsiTheme="minorHAnsi" w:cstheme="minorHAnsi"/>
          <w:color w:val="000000" w:themeColor="text1"/>
          <w:sz w:val="24"/>
        </w:rPr>
        <w:t xml:space="preserve">Podíl nezaměstnaných osob </w:t>
      </w:r>
      <w:r w:rsidRPr="00CE2EE3">
        <w:rPr>
          <w:rFonts w:asciiTheme="minorHAnsi" w:hAnsiTheme="minorHAnsi" w:cstheme="minorHAnsi"/>
          <w:b w:val="0"/>
          <w:color w:val="000000" w:themeColor="text1"/>
          <w:sz w:val="24"/>
        </w:rPr>
        <w:t>(PNO</w:t>
      </w:r>
      <w:r w:rsidR="00CE2EE3" w:rsidRPr="00CE2EE3">
        <w:rPr>
          <w:rFonts w:asciiTheme="minorHAnsi" w:hAnsiTheme="minorHAnsi" w:cstheme="minorHAnsi"/>
          <w:b w:val="0"/>
          <w:color w:val="000000" w:themeColor="text1"/>
          <w:sz w:val="24"/>
        </w:rPr>
        <w:t xml:space="preserve"> </w:t>
      </w:r>
      <w:r w:rsidR="00CE2EE3" w:rsidRPr="00CE2EE3">
        <w:rPr>
          <w:rFonts w:asciiTheme="minorHAnsi" w:hAnsiTheme="minorHAnsi" w:cstheme="minorHAnsi"/>
          <w:b w:val="0"/>
          <w:color w:val="000000" w:themeColor="text1"/>
          <w:sz w:val="24"/>
        </w:rPr>
        <w:softHyphen/>
        <w:t>– jedná se o počet dosažitelných UoZ ve věku 15 </w:t>
      </w:r>
      <w:r w:rsidR="00CE2EE3" w:rsidRPr="00CE2EE3">
        <w:rPr>
          <w:rFonts w:asciiTheme="minorHAnsi" w:hAnsiTheme="minorHAnsi" w:cstheme="minorHAnsi"/>
          <w:b w:val="0"/>
          <w:color w:val="000000" w:themeColor="text1"/>
          <w:sz w:val="24"/>
        </w:rPr>
        <w:noBreakHyphen/>
        <w:t> 64 let k obyvatelstvu stejného věku)</w:t>
      </w:r>
      <w:r w:rsidRPr="0056546D">
        <w:rPr>
          <w:rFonts w:asciiTheme="minorHAnsi" w:hAnsiTheme="minorHAnsi" w:cstheme="minorHAnsi"/>
          <w:color w:val="000000" w:themeColor="text1"/>
          <w:sz w:val="24"/>
        </w:rPr>
        <w:t xml:space="preserve"> dosáhl</w:t>
      </w:r>
      <w:r w:rsidR="001079F6" w:rsidRPr="0056546D">
        <w:rPr>
          <w:rFonts w:asciiTheme="minorHAnsi" w:hAnsiTheme="minorHAnsi" w:cstheme="minorHAnsi"/>
          <w:color w:val="000000" w:themeColor="text1"/>
          <w:sz w:val="24"/>
        </w:rPr>
        <w:t xml:space="preserve"> v</w:t>
      </w:r>
      <w:r w:rsidR="00CC26C9" w:rsidRPr="0056546D">
        <w:rPr>
          <w:rFonts w:asciiTheme="minorHAnsi" w:hAnsiTheme="minorHAnsi" w:cstheme="minorHAnsi"/>
          <w:color w:val="000000" w:themeColor="text1"/>
          <w:sz w:val="24"/>
        </w:rPr>
        <w:t xml:space="preserve"> Olomouckém kraji k 31. 12. 2</w:t>
      </w:r>
      <w:r w:rsidR="0056546D" w:rsidRPr="0056546D">
        <w:rPr>
          <w:rFonts w:asciiTheme="minorHAnsi" w:hAnsiTheme="minorHAnsi" w:cstheme="minorHAnsi"/>
          <w:color w:val="000000" w:themeColor="text1"/>
          <w:sz w:val="24"/>
        </w:rPr>
        <w:t>014 hodnoty 8,8 % a meziročně se tedy snížil</w:t>
      </w:r>
      <w:r w:rsidR="00D438B3" w:rsidRPr="0056546D">
        <w:rPr>
          <w:rFonts w:asciiTheme="minorHAnsi" w:hAnsiTheme="minorHAnsi" w:cstheme="minorHAnsi"/>
          <w:color w:val="000000" w:themeColor="text1"/>
          <w:sz w:val="24"/>
        </w:rPr>
        <w:t xml:space="preserve"> o</w:t>
      </w:r>
      <w:r w:rsidR="0056546D" w:rsidRPr="0056546D">
        <w:rPr>
          <w:rFonts w:asciiTheme="minorHAnsi" w:hAnsiTheme="minorHAnsi" w:cstheme="minorHAnsi"/>
          <w:color w:val="000000" w:themeColor="text1"/>
          <w:sz w:val="24"/>
        </w:rPr>
        <w:t> 1</w:t>
      </w:r>
      <w:r w:rsidR="00FD615A" w:rsidRPr="0056546D">
        <w:rPr>
          <w:rFonts w:asciiTheme="minorHAnsi" w:hAnsiTheme="minorHAnsi" w:cstheme="minorHAnsi"/>
          <w:color w:val="000000" w:themeColor="text1"/>
          <w:sz w:val="24"/>
        </w:rPr>
        <w:t xml:space="preserve"> p. </w:t>
      </w:r>
      <w:r w:rsidR="00CC26C9" w:rsidRPr="0056546D">
        <w:rPr>
          <w:rFonts w:asciiTheme="minorHAnsi" w:hAnsiTheme="minorHAnsi" w:cstheme="minorHAnsi"/>
          <w:color w:val="000000" w:themeColor="text1"/>
          <w:sz w:val="24"/>
        </w:rPr>
        <w:t>b.</w:t>
      </w:r>
    </w:p>
    <w:p w:rsidR="001079F6" w:rsidRPr="0056546D" w:rsidRDefault="00B22F9C" w:rsidP="001079F6">
      <w:pPr>
        <w:adjustRightInd w:val="0"/>
        <w:ind w:firstLine="720"/>
        <w:jc w:val="both"/>
        <w:rPr>
          <w:rFonts w:asciiTheme="minorHAnsi" w:hAnsiTheme="minorHAnsi" w:cstheme="minorHAnsi"/>
          <w:color w:val="000000" w:themeColor="text1"/>
        </w:rPr>
      </w:pPr>
      <w:r w:rsidRPr="0056546D">
        <w:rPr>
          <w:rFonts w:asciiTheme="minorHAnsi" w:hAnsiTheme="minorHAnsi" w:cstheme="minorHAnsi"/>
          <w:b/>
          <w:color w:val="000000" w:themeColor="text1"/>
        </w:rPr>
        <w:t>Ve srovnání s ostatními kraji byl</w:t>
      </w:r>
      <w:r w:rsidR="001079F6" w:rsidRPr="0056546D">
        <w:rPr>
          <w:rFonts w:asciiTheme="minorHAnsi" w:hAnsiTheme="minorHAnsi" w:cstheme="minorHAnsi"/>
          <w:b/>
          <w:color w:val="000000" w:themeColor="text1"/>
        </w:rPr>
        <w:t xml:space="preserve"> Olomouc</w:t>
      </w:r>
      <w:r w:rsidR="0056546D" w:rsidRPr="0056546D">
        <w:rPr>
          <w:rFonts w:asciiTheme="minorHAnsi" w:hAnsiTheme="minorHAnsi" w:cstheme="minorHAnsi"/>
          <w:b/>
          <w:color w:val="000000" w:themeColor="text1"/>
        </w:rPr>
        <w:t>ký kraj na konci roku 2014</w:t>
      </w:r>
      <w:r w:rsidR="000D5431" w:rsidRPr="0056546D">
        <w:rPr>
          <w:rFonts w:asciiTheme="minorHAnsi" w:hAnsiTheme="minorHAnsi" w:cstheme="minorHAnsi"/>
          <w:b/>
          <w:color w:val="000000" w:themeColor="text1"/>
        </w:rPr>
        <w:t xml:space="preserve"> třetí</w:t>
      </w:r>
      <w:r w:rsidR="001079F6" w:rsidRPr="0056546D">
        <w:rPr>
          <w:rFonts w:asciiTheme="minorHAnsi" w:hAnsiTheme="minorHAnsi" w:cstheme="minorHAnsi"/>
          <w:b/>
          <w:color w:val="000000" w:themeColor="text1"/>
        </w:rPr>
        <w:t xml:space="preserve"> nejhorší</w:t>
      </w:r>
      <w:r w:rsidR="00C079B3" w:rsidRPr="0056546D">
        <w:rPr>
          <w:rFonts w:asciiTheme="minorHAnsi" w:hAnsiTheme="minorHAnsi" w:cstheme="minorHAnsi"/>
          <w:b/>
          <w:color w:val="000000" w:themeColor="text1"/>
        </w:rPr>
        <w:t xml:space="preserve"> – hned za Ústeckým (</w:t>
      </w:r>
      <w:r w:rsidR="0056546D" w:rsidRPr="0056546D">
        <w:rPr>
          <w:rFonts w:asciiTheme="minorHAnsi" w:hAnsiTheme="minorHAnsi" w:cstheme="minorHAnsi"/>
          <w:b/>
          <w:color w:val="000000" w:themeColor="text1"/>
        </w:rPr>
        <w:t>10,7</w:t>
      </w:r>
      <w:r w:rsidR="00521704" w:rsidRPr="0056546D">
        <w:rPr>
          <w:rFonts w:asciiTheme="minorHAnsi" w:hAnsiTheme="minorHAnsi" w:cstheme="minorHAnsi"/>
          <w:b/>
          <w:color w:val="000000" w:themeColor="text1"/>
        </w:rPr>
        <w:t xml:space="preserve"> </w:t>
      </w:r>
      <w:r w:rsidR="001079F6" w:rsidRPr="0056546D">
        <w:rPr>
          <w:rFonts w:asciiTheme="minorHAnsi" w:hAnsiTheme="minorHAnsi" w:cstheme="minorHAnsi"/>
          <w:b/>
          <w:color w:val="000000" w:themeColor="text1"/>
        </w:rPr>
        <w:t>%)</w:t>
      </w:r>
      <w:r w:rsidR="00C079B3" w:rsidRPr="0056546D">
        <w:rPr>
          <w:rFonts w:asciiTheme="minorHAnsi" w:hAnsiTheme="minorHAnsi" w:cstheme="minorHAnsi"/>
          <w:b/>
          <w:color w:val="000000" w:themeColor="text1"/>
        </w:rPr>
        <w:t xml:space="preserve"> a Moravskoslezským krajem (</w:t>
      </w:r>
      <w:r w:rsidR="0056546D" w:rsidRPr="0056546D">
        <w:rPr>
          <w:rFonts w:asciiTheme="minorHAnsi" w:hAnsiTheme="minorHAnsi" w:cstheme="minorHAnsi"/>
          <w:b/>
          <w:color w:val="000000" w:themeColor="text1"/>
        </w:rPr>
        <w:t>9,8</w:t>
      </w:r>
      <w:r w:rsidR="00521704" w:rsidRPr="0056546D">
        <w:rPr>
          <w:rFonts w:asciiTheme="minorHAnsi" w:hAnsiTheme="minorHAnsi" w:cstheme="minorHAnsi"/>
          <w:b/>
          <w:color w:val="000000" w:themeColor="text1"/>
        </w:rPr>
        <w:t xml:space="preserve"> %)</w:t>
      </w:r>
      <w:r w:rsidR="001079F6" w:rsidRPr="0056546D">
        <w:rPr>
          <w:rFonts w:asciiTheme="minorHAnsi" w:hAnsiTheme="minorHAnsi" w:cstheme="minorHAnsi"/>
          <w:b/>
          <w:color w:val="000000" w:themeColor="text1"/>
        </w:rPr>
        <w:t>.</w:t>
      </w:r>
      <w:r w:rsidR="001079F6" w:rsidRPr="0056546D">
        <w:rPr>
          <w:rFonts w:asciiTheme="minorHAnsi" w:hAnsiTheme="minorHAnsi" w:cstheme="minorHAnsi"/>
          <w:color w:val="000000" w:themeColor="text1"/>
        </w:rPr>
        <w:t xml:space="preserve"> </w:t>
      </w:r>
      <w:r w:rsidR="00541579" w:rsidRPr="0056546D">
        <w:rPr>
          <w:rFonts w:asciiTheme="minorHAnsi" w:hAnsiTheme="minorHAnsi" w:cstheme="minorHAnsi"/>
          <w:color w:val="000000" w:themeColor="text1"/>
        </w:rPr>
        <w:t>Jen pro připomenutí</w:t>
      </w:r>
      <w:r w:rsidR="001079F6" w:rsidRPr="0056546D">
        <w:rPr>
          <w:rFonts w:asciiTheme="minorHAnsi" w:hAnsiTheme="minorHAnsi" w:cstheme="minorHAnsi"/>
          <w:color w:val="000000" w:themeColor="text1"/>
        </w:rPr>
        <w:t xml:space="preserve"> –</w:t>
      </w:r>
      <w:r w:rsidR="00521704" w:rsidRPr="0056546D">
        <w:rPr>
          <w:rFonts w:asciiTheme="minorHAnsi" w:hAnsiTheme="minorHAnsi" w:cstheme="minorHAnsi"/>
          <w:color w:val="000000" w:themeColor="text1"/>
        </w:rPr>
        <w:t xml:space="preserve"> </w:t>
      </w:r>
      <w:r w:rsidR="001079F6" w:rsidRPr="0056546D">
        <w:rPr>
          <w:rFonts w:asciiTheme="minorHAnsi" w:hAnsiTheme="minorHAnsi" w:cstheme="minorHAnsi"/>
          <w:color w:val="000000" w:themeColor="text1"/>
        </w:rPr>
        <w:t>v červenci 2008 se Olomoucký kraj nachá</w:t>
      </w:r>
      <w:r w:rsidR="00521704" w:rsidRPr="0056546D">
        <w:rPr>
          <w:rFonts w:asciiTheme="minorHAnsi" w:hAnsiTheme="minorHAnsi" w:cstheme="minorHAnsi"/>
          <w:color w:val="000000" w:themeColor="text1"/>
        </w:rPr>
        <w:t>zel v polovině žebříčku krajů (</w:t>
      </w:r>
      <w:r w:rsidR="001079F6" w:rsidRPr="0056546D">
        <w:rPr>
          <w:rFonts w:asciiTheme="minorHAnsi" w:hAnsiTheme="minorHAnsi" w:cstheme="minorHAnsi"/>
          <w:color w:val="000000" w:themeColor="text1"/>
        </w:rPr>
        <w:t>vyšší nezaměstnanost tehdy vykazovaly nejen Ústecký a Moravskoslezský kraj, ale i Karlovarský, Jihomoravský a Liberecký kraj</w:t>
      </w:r>
      <w:r w:rsidR="00521704" w:rsidRPr="0056546D">
        <w:rPr>
          <w:rFonts w:asciiTheme="minorHAnsi" w:hAnsiTheme="minorHAnsi" w:cstheme="minorHAnsi"/>
          <w:color w:val="000000" w:themeColor="text1"/>
        </w:rPr>
        <w:t>)</w:t>
      </w:r>
      <w:r w:rsidR="001079F6" w:rsidRPr="0056546D">
        <w:rPr>
          <w:rFonts w:asciiTheme="minorHAnsi" w:hAnsiTheme="minorHAnsi" w:cstheme="minorHAnsi"/>
          <w:color w:val="000000" w:themeColor="text1"/>
        </w:rPr>
        <w:t>.</w:t>
      </w:r>
    </w:p>
    <w:p w:rsidR="0038030D" w:rsidRDefault="005A3FA3" w:rsidP="0056546D">
      <w:pPr>
        <w:adjustRightInd w:val="0"/>
        <w:ind w:firstLine="720"/>
        <w:jc w:val="both"/>
        <w:rPr>
          <w:rFonts w:asciiTheme="minorHAnsi" w:hAnsiTheme="minorHAnsi" w:cstheme="minorHAnsi"/>
          <w:color w:val="000000" w:themeColor="text1"/>
        </w:rPr>
      </w:pPr>
      <w:r w:rsidRPr="0056546D">
        <w:rPr>
          <w:rFonts w:asciiTheme="minorHAnsi" w:hAnsiTheme="minorHAnsi" w:cstheme="minorHAnsi"/>
          <w:color w:val="000000" w:themeColor="text1"/>
        </w:rPr>
        <w:t>K výraznému nárůstu nezaměstnanosti (i ve srovnání s ostatními kraji) došlo zejména v krizovém roce 2009</w:t>
      </w:r>
      <w:r w:rsidR="00FB691D" w:rsidRPr="0056546D">
        <w:rPr>
          <w:rFonts w:asciiTheme="minorHAnsi" w:hAnsiTheme="minorHAnsi" w:cstheme="minorHAnsi"/>
          <w:color w:val="000000" w:themeColor="text1"/>
        </w:rPr>
        <w:t xml:space="preserve">, kdy </w:t>
      </w:r>
      <w:r w:rsidR="00D91F88" w:rsidRPr="0056546D">
        <w:rPr>
          <w:rFonts w:asciiTheme="minorHAnsi" w:hAnsiTheme="minorHAnsi" w:cstheme="minorHAnsi"/>
          <w:color w:val="000000" w:themeColor="text1"/>
        </w:rPr>
        <w:t xml:space="preserve">nezaměstnanost </w:t>
      </w:r>
      <w:r w:rsidR="00851F12" w:rsidRPr="0056546D">
        <w:rPr>
          <w:rFonts w:asciiTheme="minorHAnsi" w:hAnsiTheme="minorHAnsi" w:cstheme="minorHAnsi"/>
          <w:color w:val="000000" w:themeColor="text1"/>
        </w:rPr>
        <w:t xml:space="preserve">poprvé od vzniku krajského uspořádání prakticky celý rok rostla. </w:t>
      </w:r>
      <w:r w:rsidR="00B16A4A" w:rsidRPr="0056546D">
        <w:rPr>
          <w:rFonts w:asciiTheme="minorHAnsi" w:hAnsiTheme="minorHAnsi" w:cstheme="minorHAnsi"/>
          <w:b/>
          <w:color w:val="000000" w:themeColor="text1"/>
        </w:rPr>
        <w:t>V únoru 201</w:t>
      </w:r>
      <w:r w:rsidR="00D55356" w:rsidRPr="0056546D">
        <w:rPr>
          <w:rFonts w:asciiTheme="minorHAnsi" w:hAnsiTheme="minorHAnsi" w:cstheme="minorHAnsi"/>
          <w:b/>
          <w:color w:val="000000" w:themeColor="text1"/>
        </w:rPr>
        <w:t>0 se počet UoZ</w:t>
      </w:r>
      <w:r w:rsidR="00B16A4A" w:rsidRPr="0056546D">
        <w:rPr>
          <w:rFonts w:asciiTheme="minorHAnsi" w:hAnsiTheme="minorHAnsi" w:cstheme="minorHAnsi"/>
          <w:b/>
          <w:color w:val="000000" w:themeColor="text1"/>
        </w:rPr>
        <w:t xml:space="preserve"> v Olomouckém kraji přiblížil k hranici 45 tisíc osob – jednalo se o </w:t>
      </w:r>
      <w:r w:rsidR="0056546D">
        <w:rPr>
          <w:rFonts w:asciiTheme="minorHAnsi" w:hAnsiTheme="minorHAnsi" w:cstheme="minorHAnsi"/>
          <w:b/>
          <w:color w:val="000000" w:themeColor="text1"/>
        </w:rPr>
        <w:t xml:space="preserve">dosavadní </w:t>
      </w:r>
      <w:r w:rsidR="00B16A4A" w:rsidRPr="0056546D">
        <w:rPr>
          <w:rFonts w:asciiTheme="minorHAnsi" w:hAnsiTheme="minorHAnsi" w:cstheme="minorHAnsi"/>
          <w:b/>
          <w:color w:val="000000" w:themeColor="text1"/>
        </w:rPr>
        <w:t>rekordní hodnotu</w:t>
      </w:r>
      <w:r w:rsidR="00B16A4A" w:rsidRPr="0056546D">
        <w:rPr>
          <w:rFonts w:asciiTheme="minorHAnsi" w:hAnsiTheme="minorHAnsi" w:cstheme="minorHAnsi"/>
          <w:color w:val="000000" w:themeColor="text1"/>
        </w:rPr>
        <w:t>.</w:t>
      </w:r>
      <w:r w:rsidR="000D5431" w:rsidRPr="0056546D">
        <w:rPr>
          <w:rFonts w:asciiTheme="minorHAnsi" w:hAnsiTheme="minorHAnsi" w:cstheme="minorHAnsi"/>
          <w:color w:val="000000" w:themeColor="text1"/>
        </w:rPr>
        <w:t xml:space="preserve"> </w:t>
      </w:r>
      <w:r w:rsidR="008324EC" w:rsidRPr="0056546D">
        <w:rPr>
          <w:rFonts w:asciiTheme="minorHAnsi" w:hAnsiTheme="minorHAnsi" w:cstheme="minorHAnsi"/>
          <w:b/>
          <w:color w:val="000000" w:themeColor="text1"/>
        </w:rPr>
        <w:t>V roce 2011 bylo nejvyšší hodnoty nezaměstnanosti dosaženo hned v lednu</w:t>
      </w:r>
      <w:r w:rsidR="008324EC" w:rsidRPr="0056546D">
        <w:rPr>
          <w:rFonts w:asciiTheme="minorHAnsi" w:hAnsiTheme="minorHAnsi" w:cstheme="minorHAnsi"/>
          <w:color w:val="000000" w:themeColor="text1"/>
        </w:rPr>
        <w:t xml:space="preserve"> (počet uchazečů o zaměstnání se opět přehoupl přes hranici 43 tisíc osob); poté už po většinu roku nezaměstnanost klesala.</w:t>
      </w:r>
      <w:r w:rsidR="000D5431" w:rsidRPr="0056546D">
        <w:rPr>
          <w:rFonts w:asciiTheme="minorHAnsi" w:hAnsiTheme="minorHAnsi" w:cstheme="minorHAnsi"/>
          <w:color w:val="000000" w:themeColor="text1"/>
        </w:rPr>
        <w:t xml:space="preserve"> </w:t>
      </w:r>
      <w:r w:rsidR="00D55356" w:rsidRPr="0056546D">
        <w:rPr>
          <w:rFonts w:asciiTheme="minorHAnsi" w:hAnsiTheme="minorHAnsi" w:cstheme="minorHAnsi"/>
          <w:color w:val="000000" w:themeColor="text1"/>
        </w:rPr>
        <w:t xml:space="preserve">Rok 2012 začínal z relativně lepší výchozí pozice – počet UoZ byl o téměř 3 tisíce osob nižší než ve stejném období předchozího roku. Od března do června sice nezaměstnanost postupně klesala, ale v nižším tempu </w:t>
      </w:r>
      <w:r w:rsidR="007C2FC8" w:rsidRPr="0056546D">
        <w:rPr>
          <w:rFonts w:asciiTheme="minorHAnsi" w:hAnsiTheme="minorHAnsi" w:cstheme="minorHAnsi"/>
          <w:color w:val="000000" w:themeColor="text1"/>
        </w:rPr>
        <w:t>než v roce 2011…a po dvouměsíční stagnaci začala narůstat a brzy se nejen vrátila k hodnotám z předchozího roku, ale nakonec je i výrazně překročila.</w:t>
      </w:r>
      <w:r w:rsidR="0056546D" w:rsidRPr="0056546D">
        <w:rPr>
          <w:rFonts w:asciiTheme="minorHAnsi" w:hAnsiTheme="minorHAnsi" w:cstheme="minorHAnsi"/>
          <w:color w:val="000000" w:themeColor="text1"/>
        </w:rPr>
        <w:t xml:space="preserve"> </w:t>
      </w:r>
      <w:r w:rsidR="0038030D" w:rsidRPr="0056546D">
        <w:rPr>
          <w:rFonts w:asciiTheme="minorHAnsi" w:hAnsiTheme="minorHAnsi" w:cstheme="minorHAnsi"/>
          <w:color w:val="000000" w:themeColor="text1"/>
        </w:rPr>
        <w:t>I v roce 2013 nezaměstnanost v meziročním srovnání rostla</w:t>
      </w:r>
      <w:r w:rsidR="0038030D" w:rsidRPr="0056546D">
        <w:rPr>
          <w:rFonts w:asciiTheme="minorHAnsi" w:hAnsiTheme="minorHAnsi" w:cstheme="minorHAnsi"/>
          <w:b/>
          <w:color w:val="000000" w:themeColor="text1"/>
        </w:rPr>
        <w:t xml:space="preserve"> </w:t>
      </w:r>
      <w:r w:rsidR="0038030D" w:rsidRPr="0056546D">
        <w:rPr>
          <w:rFonts w:asciiTheme="minorHAnsi" w:hAnsiTheme="minorHAnsi" w:cstheme="minorHAnsi"/>
          <w:color w:val="000000" w:themeColor="text1"/>
        </w:rPr>
        <w:t xml:space="preserve">– na konci roku činil nárůst počtu nezaměstnaných oproti prosinci 2012 více než 3 tisíce osob a bylo dosaženo dosud nejvyšší prosincové hodnoty nezaměstnanosti od vzniku krajského uspořádání. </w:t>
      </w:r>
    </w:p>
    <w:p w:rsidR="0056546D" w:rsidRDefault="0056546D" w:rsidP="0056546D">
      <w:pPr>
        <w:pStyle w:val="Zkladntext"/>
        <w:spacing w:line="240" w:lineRule="atLeast"/>
        <w:ind w:firstLine="708"/>
        <w:jc w:val="both"/>
        <w:rPr>
          <w:rFonts w:asciiTheme="minorHAnsi" w:hAnsiTheme="minorHAnsi" w:cstheme="minorHAnsi"/>
          <w:color w:val="000000" w:themeColor="text1"/>
          <w:sz w:val="24"/>
        </w:rPr>
      </w:pPr>
      <w:r w:rsidRPr="0056546D">
        <w:rPr>
          <w:rFonts w:asciiTheme="minorHAnsi" w:hAnsiTheme="minorHAnsi" w:cstheme="minorHAnsi"/>
          <w:color w:val="000000" w:themeColor="text1"/>
          <w:sz w:val="24"/>
        </w:rPr>
        <w:t>Rok 2014 byl ve znamení výrazných zvratů ve vývoji nezaměstnanosti – hned v lednu byla překonána dosavadní maxima nezaměstnanosti a počet nezaměstnaných překonal poprvé v historii hranici 46 tisíc osob.</w:t>
      </w:r>
      <w:r w:rsidRPr="009E52F5">
        <w:rPr>
          <w:rFonts w:asciiTheme="minorHAnsi" w:hAnsiTheme="minorHAnsi" w:cstheme="minorHAnsi"/>
          <w:b w:val="0"/>
          <w:color w:val="000000" w:themeColor="text1"/>
          <w:sz w:val="24"/>
        </w:rPr>
        <w:t xml:space="preserve"> V následujících měsících sice nezaměstnanost klesala, ale až do dubna byla v jednotlivých měsících v meziročním srovnání (tj. s rokem 2013) vyšší. </w:t>
      </w:r>
      <w:r w:rsidRPr="0056546D">
        <w:rPr>
          <w:rFonts w:asciiTheme="minorHAnsi" w:hAnsiTheme="minorHAnsi" w:cstheme="minorHAnsi"/>
          <w:color w:val="000000" w:themeColor="text1"/>
          <w:sz w:val="24"/>
        </w:rPr>
        <w:t>V květnu došlo ke zlomu – poprvé od roku 2012 nezaměstnanost meziročně klesla.</w:t>
      </w:r>
      <w:r>
        <w:rPr>
          <w:rFonts w:asciiTheme="minorHAnsi" w:hAnsiTheme="minorHAnsi" w:cstheme="minorHAnsi"/>
          <w:b w:val="0"/>
          <w:color w:val="000000" w:themeColor="text1"/>
          <w:sz w:val="24"/>
        </w:rPr>
        <w:t xml:space="preserve"> Nejprve </w:t>
      </w:r>
      <w:r w:rsidRPr="009E52F5">
        <w:rPr>
          <w:rFonts w:asciiTheme="minorHAnsi" w:hAnsiTheme="minorHAnsi" w:cstheme="minorHAnsi"/>
          <w:b w:val="0"/>
          <w:color w:val="000000" w:themeColor="text1"/>
          <w:sz w:val="24"/>
        </w:rPr>
        <w:t>tento meziroční rozdíl činil pouze 134 osob (tj. </w:t>
      </w:r>
      <w:r w:rsidRPr="009E52F5">
        <w:rPr>
          <w:rFonts w:asciiTheme="minorHAnsi" w:hAnsiTheme="minorHAnsi" w:cstheme="minorHAnsi"/>
          <w:b w:val="0"/>
          <w:color w:val="000000" w:themeColor="text1"/>
          <w:sz w:val="24"/>
        </w:rPr>
        <w:noBreakHyphen/>
        <w:t xml:space="preserve"> 0,3 %), ale </w:t>
      </w:r>
      <w:r w:rsidRPr="0056546D">
        <w:rPr>
          <w:rFonts w:asciiTheme="minorHAnsi" w:hAnsiTheme="minorHAnsi" w:cstheme="minorHAnsi"/>
          <w:color w:val="000000" w:themeColor="text1"/>
          <w:sz w:val="24"/>
        </w:rPr>
        <w:t xml:space="preserve">na konci roku 2014 se zvýšil až na 4 374 osob (tj. 10 %).  </w:t>
      </w:r>
    </w:p>
    <w:p w:rsidR="00CE2EE3" w:rsidRDefault="00CE2EE3" w:rsidP="00CE2EE3">
      <w:pPr>
        <w:pStyle w:val="Zkladntext"/>
        <w:spacing w:line="240" w:lineRule="atLeast"/>
        <w:ind w:firstLine="708"/>
        <w:jc w:val="both"/>
        <w:rPr>
          <w:rFonts w:asciiTheme="minorHAnsi" w:hAnsiTheme="minorHAnsi" w:cstheme="minorHAnsi"/>
          <w:b w:val="0"/>
          <w:color w:val="000000" w:themeColor="text1"/>
          <w:sz w:val="24"/>
        </w:rPr>
      </w:pPr>
      <w:r w:rsidRPr="00CE2EE3">
        <w:rPr>
          <w:rFonts w:asciiTheme="minorHAnsi" w:hAnsiTheme="minorHAnsi" w:cstheme="minorHAnsi"/>
          <w:b w:val="0"/>
          <w:color w:val="000000" w:themeColor="text1"/>
          <w:sz w:val="24"/>
        </w:rPr>
        <w:t xml:space="preserve">Graf na další straně ukazuje vývoj podílu nezaměstnaných osob v posledních pěti letech. </w:t>
      </w:r>
      <w:r w:rsidRPr="00CE2EE3">
        <w:rPr>
          <w:rFonts w:asciiTheme="minorHAnsi" w:hAnsiTheme="minorHAnsi" w:cstheme="minorHAnsi"/>
          <w:color w:val="000000" w:themeColor="text1"/>
          <w:sz w:val="24"/>
        </w:rPr>
        <w:t>Porovnání podílu nezaměstnaných osob mezi 14 kraji ČR</w:t>
      </w:r>
      <w:r w:rsidRPr="00CE2EE3">
        <w:rPr>
          <w:rFonts w:asciiTheme="minorHAnsi" w:hAnsiTheme="minorHAnsi" w:cstheme="minorHAnsi"/>
          <w:b w:val="0"/>
          <w:color w:val="000000" w:themeColor="text1"/>
          <w:sz w:val="24"/>
        </w:rPr>
        <w:t xml:space="preserve"> podle stavu ke 31. 12. 2014 je provedeno v Příloze č. 2. </w:t>
      </w:r>
    </w:p>
    <w:p w:rsidR="00CE2EE3" w:rsidRDefault="00CE2EE3" w:rsidP="00CE2EE3">
      <w:pPr>
        <w:pStyle w:val="Zkladntext"/>
        <w:spacing w:line="240" w:lineRule="atLeast"/>
        <w:ind w:firstLine="708"/>
        <w:jc w:val="both"/>
        <w:rPr>
          <w:rFonts w:asciiTheme="minorHAnsi" w:hAnsiTheme="minorHAnsi" w:cstheme="minorHAnsi"/>
          <w:b w:val="0"/>
          <w:color w:val="000000" w:themeColor="text1"/>
          <w:sz w:val="24"/>
        </w:rPr>
      </w:pPr>
      <w:r w:rsidRPr="00CE2EE3">
        <w:rPr>
          <w:rFonts w:asciiTheme="minorHAnsi" w:hAnsiTheme="minorHAnsi" w:cstheme="minorHAnsi"/>
          <w:b w:val="0"/>
          <w:color w:val="000000" w:themeColor="text1"/>
          <w:sz w:val="24"/>
        </w:rPr>
        <w:t>Graf, který porovná průběh PNO v Olomouckém kraji a v ČR je uveden na obálce.</w:t>
      </w:r>
    </w:p>
    <w:p w:rsidR="00CE2EE3" w:rsidRPr="00CE2EE3" w:rsidRDefault="00CE2EE3" w:rsidP="00CE2EE3">
      <w:pPr>
        <w:pStyle w:val="Zkladntext"/>
        <w:spacing w:line="240" w:lineRule="atLeast"/>
        <w:ind w:firstLine="708"/>
        <w:jc w:val="both"/>
        <w:rPr>
          <w:rFonts w:asciiTheme="minorHAnsi" w:hAnsiTheme="minorHAnsi" w:cstheme="minorHAnsi"/>
          <w:color w:val="000000" w:themeColor="text1"/>
          <w:sz w:val="24"/>
        </w:rPr>
      </w:pPr>
      <w:r w:rsidRPr="00CE2EE3">
        <w:rPr>
          <w:rFonts w:asciiTheme="minorHAnsi" w:hAnsiTheme="minorHAnsi" w:cstheme="minorHAnsi"/>
          <w:b w:val="0"/>
          <w:color w:val="000000" w:themeColor="text1"/>
          <w:sz w:val="24"/>
        </w:rPr>
        <w:t xml:space="preserve"> </w:t>
      </w:r>
      <w:r w:rsidRPr="00CE2EE3">
        <w:rPr>
          <w:rFonts w:asciiTheme="minorHAnsi" w:hAnsiTheme="minorHAnsi" w:cstheme="minorHAnsi"/>
          <w:color w:val="000000" w:themeColor="text1"/>
          <w:sz w:val="24"/>
        </w:rPr>
        <w:t>Vývoj nezaměstnanosti v jednotlivých okresech Olomouckého kraje je popsán v následující kapitole 2.2.</w:t>
      </w: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Default="00CE2EE3" w:rsidP="0056546D">
      <w:pPr>
        <w:pStyle w:val="Zkladntext"/>
        <w:spacing w:line="240" w:lineRule="atLeast"/>
        <w:ind w:firstLine="708"/>
        <w:jc w:val="both"/>
        <w:rPr>
          <w:rFonts w:asciiTheme="minorHAnsi" w:hAnsiTheme="minorHAnsi" w:cstheme="minorHAnsi"/>
          <w:color w:val="FF0000"/>
          <w:sz w:val="24"/>
        </w:rPr>
      </w:pPr>
    </w:p>
    <w:p w:rsidR="00CE2EE3" w:rsidRPr="0056546D" w:rsidRDefault="00CE2EE3" w:rsidP="0056546D">
      <w:pPr>
        <w:pStyle w:val="Zkladntext"/>
        <w:spacing w:line="240" w:lineRule="atLeast"/>
        <w:ind w:firstLine="708"/>
        <w:jc w:val="both"/>
        <w:rPr>
          <w:rFonts w:asciiTheme="minorHAnsi" w:hAnsiTheme="minorHAnsi" w:cstheme="minorHAnsi"/>
          <w:color w:val="FF0000"/>
          <w:sz w:val="24"/>
        </w:rPr>
      </w:pPr>
    </w:p>
    <w:p w:rsidR="0056546D" w:rsidRPr="0056546D" w:rsidRDefault="0056546D" w:rsidP="0056546D">
      <w:pPr>
        <w:adjustRightInd w:val="0"/>
        <w:ind w:firstLine="720"/>
        <w:jc w:val="both"/>
        <w:rPr>
          <w:rFonts w:asciiTheme="minorHAnsi" w:hAnsiTheme="minorHAnsi" w:cstheme="minorHAnsi"/>
          <w:color w:val="000000" w:themeColor="text1"/>
        </w:rPr>
      </w:pPr>
    </w:p>
    <w:p w:rsidR="00871A9E" w:rsidRPr="008977A5" w:rsidRDefault="008977A5" w:rsidP="00D67625">
      <w:pPr>
        <w:pStyle w:val="Zkladntext"/>
        <w:rPr>
          <w:rFonts w:asciiTheme="minorHAnsi" w:hAnsiTheme="minorHAnsi" w:cstheme="minorHAnsi"/>
          <w:noProof/>
          <w:sz w:val="24"/>
        </w:rPr>
      </w:pPr>
      <w:r w:rsidRPr="008977A5">
        <w:rPr>
          <w:rFonts w:asciiTheme="minorHAnsi" w:hAnsiTheme="minorHAnsi" w:cstheme="minorHAnsi"/>
          <w:sz w:val="24"/>
        </w:rPr>
        <w:lastRenderedPageBreak/>
        <w:t xml:space="preserve">Graf: </w:t>
      </w:r>
      <w:r w:rsidRPr="00B02189">
        <w:rPr>
          <w:rFonts w:asciiTheme="minorHAnsi" w:hAnsiTheme="minorHAnsi" w:cstheme="minorHAnsi"/>
          <w:color w:val="000000" w:themeColor="text1"/>
          <w:sz w:val="24"/>
        </w:rPr>
        <w:t>Podíl nezaměstnaných osob</w:t>
      </w:r>
      <w:r w:rsidR="00D67625" w:rsidRPr="00B02189">
        <w:rPr>
          <w:rFonts w:asciiTheme="minorHAnsi" w:hAnsiTheme="minorHAnsi" w:cstheme="minorHAnsi"/>
          <w:color w:val="000000" w:themeColor="text1"/>
          <w:sz w:val="24"/>
        </w:rPr>
        <w:t xml:space="preserve"> v Olomouckém kraji v posledních letech</w:t>
      </w:r>
    </w:p>
    <w:p w:rsidR="00F95764" w:rsidRPr="00002B63" w:rsidRDefault="00B02189" w:rsidP="00D67625">
      <w:pPr>
        <w:pStyle w:val="Zkladntext"/>
        <w:rPr>
          <w:rFonts w:asciiTheme="minorHAnsi" w:hAnsiTheme="minorHAnsi" w:cstheme="minorHAnsi"/>
          <w:i/>
          <w:sz w:val="24"/>
        </w:rPr>
      </w:pPr>
      <w:r>
        <w:rPr>
          <w:noProof/>
        </w:rPr>
        <w:drawing>
          <wp:inline distT="0" distB="0" distL="0" distR="0" wp14:anchorId="3E31F1EE" wp14:editId="1D1B13ED">
            <wp:extent cx="5524500" cy="341376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2EE3" w:rsidRPr="00CE05BE" w:rsidRDefault="00CE2EE3" w:rsidP="00CE2EE3">
      <w:pPr>
        <w:pStyle w:val="Zkladntext"/>
        <w:spacing w:line="240" w:lineRule="auto"/>
        <w:ind w:firstLine="709"/>
        <w:jc w:val="both"/>
        <w:rPr>
          <w:rFonts w:asciiTheme="minorHAnsi" w:hAnsiTheme="minorHAnsi" w:cstheme="minorHAnsi"/>
          <w:b w:val="0"/>
          <w:color w:val="000000" w:themeColor="text1"/>
          <w:sz w:val="24"/>
        </w:rPr>
      </w:pPr>
      <w:r w:rsidRPr="00CE05BE">
        <w:rPr>
          <w:rFonts w:asciiTheme="minorHAnsi" w:hAnsiTheme="minorHAnsi" w:cstheme="minorHAnsi"/>
          <w:color w:val="000000" w:themeColor="text1"/>
          <w:sz w:val="24"/>
        </w:rPr>
        <w:t>Následující tabulka ukazuje, že meziročně počet uchazečů o zaměstnání výrazně klesl</w:t>
      </w:r>
      <w:r w:rsidR="00840170" w:rsidRPr="00CE05BE">
        <w:rPr>
          <w:rFonts w:asciiTheme="minorHAnsi" w:hAnsiTheme="minorHAnsi" w:cstheme="minorHAnsi"/>
          <w:color w:val="000000" w:themeColor="text1"/>
          <w:sz w:val="24"/>
        </w:rPr>
        <w:t xml:space="preserve"> o 4 374 osob (tj. 10 %-ní pokles</w:t>
      </w:r>
      <w:r w:rsidRPr="00CE05BE">
        <w:rPr>
          <w:rFonts w:asciiTheme="minorHAnsi" w:hAnsiTheme="minorHAnsi" w:cstheme="minorHAnsi"/>
          <w:color w:val="000000" w:themeColor="text1"/>
          <w:sz w:val="24"/>
        </w:rPr>
        <w:t>).</w:t>
      </w:r>
      <w:r w:rsidR="00840170" w:rsidRPr="00CE05BE">
        <w:rPr>
          <w:rFonts w:asciiTheme="minorHAnsi" w:hAnsiTheme="minorHAnsi" w:cstheme="minorHAnsi"/>
          <w:b w:val="0"/>
          <w:color w:val="000000" w:themeColor="text1"/>
          <w:sz w:val="24"/>
        </w:rPr>
        <w:t xml:space="preserve"> I přes stále vysoký počet nezaměstnaných se jedná o </w:t>
      </w:r>
      <w:r w:rsidRPr="00CE05BE">
        <w:rPr>
          <w:rFonts w:asciiTheme="minorHAnsi" w:hAnsiTheme="minorHAnsi" w:cstheme="minorHAnsi"/>
          <w:b w:val="0"/>
          <w:color w:val="000000" w:themeColor="text1"/>
          <w:sz w:val="24"/>
        </w:rPr>
        <w:t xml:space="preserve"> </w:t>
      </w:r>
      <w:r w:rsidR="00840170" w:rsidRPr="00CE05BE">
        <w:rPr>
          <w:rFonts w:asciiTheme="minorHAnsi" w:hAnsiTheme="minorHAnsi" w:cstheme="minorHAnsi"/>
          <w:b w:val="0"/>
          <w:color w:val="000000" w:themeColor="text1"/>
          <w:sz w:val="24"/>
        </w:rPr>
        <w:t>znatelné zlepšení situace na trhu práce.</w:t>
      </w:r>
    </w:p>
    <w:p w:rsidR="00CE2EE3" w:rsidRDefault="00CE2EE3" w:rsidP="00CE2EE3">
      <w:pPr>
        <w:adjustRightInd w:val="0"/>
        <w:ind w:firstLine="720"/>
        <w:jc w:val="both"/>
        <w:rPr>
          <w:rFonts w:asciiTheme="minorHAnsi" w:hAnsiTheme="minorHAnsi" w:cstheme="minorHAnsi"/>
          <w:color w:val="000000" w:themeColor="text1"/>
        </w:rPr>
      </w:pPr>
      <w:r w:rsidRPr="00CE05BE">
        <w:rPr>
          <w:rFonts w:asciiTheme="minorHAnsi" w:hAnsiTheme="minorHAnsi" w:cstheme="minorHAnsi"/>
          <w:b/>
          <w:color w:val="000000" w:themeColor="text1"/>
        </w:rPr>
        <w:t xml:space="preserve">Počet uchazečů o zaměstnání připadající na 1 volné místo </w:t>
      </w:r>
      <w:r w:rsidR="00840170" w:rsidRPr="00CE05BE">
        <w:rPr>
          <w:rFonts w:asciiTheme="minorHAnsi" w:hAnsiTheme="minorHAnsi" w:cstheme="minorHAnsi"/>
          <w:b/>
          <w:color w:val="000000" w:themeColor="text1"/>
        </w:rPr>
        <w:t xml:space="preserve">výrazně </w:t>
      </w:r>
      <w:r w:rsidR="00AA5059" w:rsidRPr="00CE05BE">
        <w:rPr>
          <w:rFonts w:asciiTheme="minorHAnsi" w:hAnsiTheme="minorHAnsi" w:cstheme="minorHAnsi"/>
          <w:b/>
          <w:color w:val="000000" w:themeColor="text1"/>
        </w:rPr>
        <w:t>klesl z </w:t>
      </w:r>
      <w:r w:rsidRPr="00CE05BE">
        <w:rPr>
          <w:rFonts w:asciiTheme="minorHAnsi" w:hAnsiTheme="minorHAnsi" w:cstheme="minorHAnsi"/>
          <w:b/>
          <w:color w:val="000000" w:themeColor="text1"/>
        </w:rPr>
        <w:t>39</w:t>
      </w:r>
      <w:r w:rsidR="00AA5059" w:rsidRPr="00CE05BE">
        <w:rPr>
          <w:rFonts w:asciiTheme="minorHAnsi" w:hAnsiTheme="minorHAnsi" w:cstheme="minorHAnsi"/>
          <w:b/>
          <w:color w:val="000000" w:themeColor="text1"/>
        </w:rPr>
        <w:t xml:space="preserve"> na 14</w:t>
      </w:r>
      <w:r w:rsidRPr="00CE05BE">
        <w:rPr>
          <w:rFonts w:asciiTheme="minorHAnsi" w:hAnsiTheme="minorHAnsi" w:cstheme="minorHAnsi"/>
          <w:b/>
          <w:color w:val="000000" w:themeColor="text1"/>
        </w:rPr>
        <w:t xml:space="preserve"> osob</w:t>
      </w:r>
      <w:r w:rsidR="00AA5059" w:rsidRPr="00CE05BE">
        <w:rPr>
          <w:rFonts w:asciiTheme="minorHAnsi" w:hAnsiTheme="minorHAnsi" w:cstheme="minorHAnsi"/>
          <w:b/>
          <w:color w:val="000000" w:themeColor="text1"/>
        </w:rPr>
        <w:t xml:space="preserve"> (tj. na téměř třetinovou hodnotu)</w:t>
      </w:r>
      <w:r w:rsidRPr="00CE05BE">
        <w:rPr>
          <w:rFonts w:asciiTheme="minorHAnsi" w:hAnsiTheme="minorHAnsi" w:cstheme="minorHAnsi"/>
          <w:b/>
          <w:color w:val="000000" w:themeColor="text1"/>
        </w:rPr>
        <w:t>.</w:t>
      </w:r>
      <w:r w:rsidR="00B57F35" w:rsidRPr="00CE05BE">
        <w:rPr>
          <w:rFonts w:asciiTheme="minorHAnsi" w:hAnsiTheme="minorHAnsi" w:cstheme="minorHAnsi"/>
          <w:color w:val="000000" w:themeColor="text1"/>
        </w:rPr>
        <w:t xml:space="preserve"> Zároveň mírně klesl i</w:t>
      </w:r>
      <w:r w:rsidRPr="00CE05BE">
        <w:rPr>
          <w:rFonts w:asciiTheme="minorHAnsi" w:hAnsiTheme="minorHAnsi" w:cstheme="minorHAnsi"/>
          <w:color w:val="000000" w:themeColor="text1"/>
        </w:rPr>
        <w:t xml:space="preserve"> počet uchazečů pobírajících podpo</w:t>
      </w:r>
      <w:r w:rsidR="00B57F35" w:rsidRPr="00CE05BE">
        <w:rPr>
          <w:rFonts w:asciiTheme="minorHAnsi" w:hAnsiTheme="minorHAnsi" w:cstheme="minorHAnsi"/>
          <w:color w:val="000000" w:themeColor="text1"/>
        </w:rPr>
        <w:t>ru v nezaměstnanosti (a to o 237</w:t>
      </w:r>
      <w:r w:rsidRPr="00CE05BE">
        <w:rPr>
          <w:rFonts w:asciiTheme="minorHAnsi" w:hAnsiTheme="minorHAnsi" w:cstheme="minorHAnsi"/>
          <w:color w:val="000000" w:themeColor="text1"/>
        </w:rPr>
        <w:t xml:space="preserve">), ale </w:t>
      </w:r>
      <w:r w:rsidR="00B57F35" w:rsidRPr="00CE05BE">
        <w:rPr>
          <w:rFonts w:asciiTheme="minorHAnsi" w:hAnsiTheme="minorHAnsi" w:cstheme="minorHAnsi"/>
          <w:color w:val="000000" w:themeColor="text1"/>
        </w:rPr>
        <w:t xml:space="preserve">jejich podíl </w:t>
      </w:r>
      <w:r w:rsidRPr="00CE05BE">
        <w:rPr>
          <w:rFonts w:asciiTheme="minorHAnsi" w:hAnsiTheme="minorHAnsi" w:cstheme="minorHAnsi"/>
          <w:color w:val="000000" w:themeColor="text1"/>
        </w:rPr>
        <w:t xml:space="preserve">na celkové zaměstnanosti </w:t>
      </w:r>
      <w:r w:rsidR="00CE05BE" w:rsidRPr="00CE05BE">
        <w:rPr>
          <w:rFonts w:asciiTheme="minorHAnsi" w:hAnsiTheme="minorHAnsi" w:cstheme="minorHAnsi"/>
          <w:color w:val="000000" w:themeColor="text1"/>
        </w:rPr>
        <w:t>se zvýšil o 2 p.b. (z 19 </w:t>
      </w:r>
      <w:r w:rsidR="00B57F35" w:rsidRPr="00CE05BE">
        <w:rPr>
          <w:rFonts w:asciiTheme="minorHAnsi" w:hAnsiTheme="minorHAnsi" w:cstheme="minorHAnsi"/>
          <w:color w:val="000000" w:themeColor="text1"/>
        </w:rPr>
        <w:t>% v roce 2013 na 21 %</w:t>
      </w:r>
      <w:r w:rsidRPr="00CE05BE">
        <w:rPr>
          <w:rFonts w:asciiTheme="minorHAnsi" w:hAnsiTheme="minorHAnsi" w:cstheme="minorHAnsi"/>
          <w:color w:val="000000" w:themeColor="text1"/>
        </w:rPr>
        <w:t xml:space="preserve">). </w:t>
      </w:r>
    </w:p>
    <w:p w:rsidR="00CE05BE" w:rsidRPr="00CE05BE" w:rsidRDefault="00CE05BE" w:rsidP="00CE2EE3">
      <w:pPr>
        <w:adjustRightInd w:val="0"/>
        <w:ind w:firstLine="720"/>
        <w:jc w:val="both"/>
        <w:rPr>
          <w:rFonts w:asciiTheme="minorHAnsi" w:hAnsiTheme="minorHAnsi" w:cstheme="minorHAnsi"/>
          <w:color w:val="000000" w:themeColor="text1"/>
        </w:rPr>
      </w:pPr>
      <w:r>
        <w:rPr>
          <w:rFonts w:asciiTheme="minorHAnsi" w:hAnsiTheme="minorHAnsi" w:cstheme="minorHAnsi"/>
          <w:color w:val="000000" w:themeColor="text1"/>
        </w:rPr>
        <w:t>K zajímavému jevu došlo u nezaměstnaných žen – jejich celkový počet klesl o 1 564 osob, ale počet nezaměstnaných žen pobírajících podporu v nezaměstna</w:t>
      </w:r>
      <w:r w:rsidR="00FD480B">
        <w:rPr>
          <w:rFonts w:asciiTheme="minorHAnsi" w:hAnsiTheme="minorHAnsi" w:cstheme="minorHAnsi"/>
          <w:color w:val="000000" w:themeColor="text1"/>
        </w:rPr>
        <w:t>nosti se zvýšil o 507 osob (tj. </w:t>
      </w:r>
      <w:r w:rsidR="0039050E">
        <w:rPr>
          <w:rFonts w:asciiTheme="minorHAnsi" w:hAnsiTheme="minorHAnsi" w:cstheme="minorHAnsi"/>
          <w:color w:val="000000" w:themeColor="text1"/>
        </w:rPr>
        <w:t xml:space="preserve">o </w:t>
      </w:r>
      <w:r w:rsidR="00FD480B">
        <w:rPr>
          <w:rFonts w:asciiTheme="minorHAnsi" w:hAnsiTheme="minorHAnsi" w:cstheme="minorHAnsi"/>
          <w:color w:val="000000" w:themeColor="text1"/>
        </w:rPr>
        <w:t>16 %). Zatímco tedy na konci roku 2013 činil podíl žen pobírajících podporu z celkového počtu nezaměstnaných žen 15 %, o rok později tento podíl vzrostl na 19 %.</w:t>
      </w:r>
    </w:p>
    <w:p w:rsidR="00D438B3" w:rsidRPr="00002B63" w:rsidRDefault="00D438B3" w:rsidP="00987584">
      <w:pPr>
        <w:pStyle w:val="Zkladntext"/>
        <w:spacing w:line="240" w:lineRule="atLeast"/>
        <w:ind w:firstLine="708"/>
        <w:jc w:val="both"/>
        <w:rPr>
          <w:rFonts w:asciiTheme="minorHAnsi" w:hAnsiTheme="minorHAnsi" w:cstheme="minorHAnsi"/>
          <w:b w:val="0"/>
          <w:i/>
          <w:color w:val="000000"/>
          <w:sz w:val="24"/>
        </w:rPr>
      </w:pPr>
    </w:p>
    <w:p w:rsidR="00987584" w:rsidRPr="00BD6632" w:rsidRDefault="00994533" w:rsidP="00987584">
      <w:pPr>
        <w:rPr>
          <w:rFonts w:asciiTheme="minorHAnsi" w:hAnsiTheme="minorHAnsi" w:cstheme="minorHAnsi"/>
          <w:b/>
          <w:color w:val="000000"/>
        </w:rPr>
      </w:pPr>
      <w:r w:rsidRPr="00BD6632">
        <w:rPr>
          <w:rFonts w:asciiTheme="minorHAnsi" w:hAnsiTheme="minorHAnsi" w:cstheme="minorHAnsi"/>
          <w:b/>
          <w:color w:val="000000"/>
        </w:rPr>
        <w:t>Tabulka 3</w:t>
      </w:r>
      <w:r w:rsidR="00987584" w:rsidRPr="00BD6632">
        <w:rPr>
          <w:rFonts w:asciiTheme="minorHAnsi" w:hAnsiTheme="minorHAnsi" w:cstheme="minorHAnsi"/>
          <w:b/>
          <w:color w:val="000000"/>
        </w:rPr>
        <w:t xml:space="preserve"> – </w:t>
      </w:r>
      <w:r w:rsidR="000C61B9" w:rsidRPr="00BD6632">
        <w:rPr>
          <w:rFonts w:asciiTheme="minorHAnsi" w:hAnsiTheme="minorHAnsi" w:cstheme="minorHAnsi"/>
          <w:color w:val="000000"/>
        </w:rPr>
        <w:t>Nezaměstnanost ke 31. 12. 201</w:t>
      </w:r>
      <w:r w:rsidR="00CE05BE">
        <w:rPr>
          <w:rFonts w:asciiTheme="minorHAnsi" w:hAnsiTheme="minorHAnsi" w:cstheme="minorHAnsi"/>
          <w:color w:val="000000"/>
        </w:rPr>
        <w:t>4</w:t>
      </w:r>
      <w:r w:rsidR="00987584" w:rsidRPr="00BD6632">
        <w:rPr>
          <w:rFonts w:asciiTheme="minorHAnsi" w:hAnsiTheme="minorHAnsi" w:cstheme="minorHAnsi"/>
          <w:color w:val="000000"/>
        </w:rPr>
        <w:t xml:space="preserve"> v Olomouckém kraji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530"/>
        <w:gridCol w:w="1530"/>
        <w:gridCol w:w="1530"/>
        <w:gridCol w:w="1530"/>
      </w:tblGrid>
      <w:tr w:rsidR="00987584" w:rsidRPr="00002B63">
        <w:trPr>
          <w:cantSplit/>
          <w:trHeight w:val="508"/>
        </w:trPr>
        <w:tc>
          <w:tcPr>
            <w:tcW w:w="3240" w:type="dxa"/>
            <w:vMerge w:val="restart"/>
            <w:tcBorders>
              <w:top w:val="double" w:sz="4" w:space="0" w:color="auto"/>
              <w:left w:val="double" w:sz="4" w:space="0" w:color="auto"/>
              <w:bottom w:val="double" w:sz="4" w:space="0" w:color="auto"/>
              <w:right w:val="single" w:sz="12" w:space="0" w:color="auto"/>
            </w:tcBorders>
            <w:shd w:val="clear" w:color="auto" w:fill="CCFFFF"/>
            <w:vAlign w:val="center"/>
          </w:tcPr>
          <w:p w:rsidR="00987584" w:rsidRPr="008977A5" w:rsidRDefault="00E01494" w:rsidP="00E01494">
            <w:pPr>
              <w:pStyle w:val="Nadpis2"/>
              <w:jc w:val="center"/>
              <w:rPr>
                <w:rFonts w:asciiTheme="minorHAnsi" w:hAnsiTheme="minorHAnsi" w:cstheme="minorHAnsi"/>
                <w:b/>
                <w:color w:val="000000"/>
                <w:szCs w:val="24"/>
              </w:rPr>
            </w:pPr>
            <w:bookmarkStart w:id="24" w:name="_Toc321296404"/>
            <w:bookmarkStart w:id="25" w:name="_Toc321296521"/>
            <w:r w:rsidRPr="008977A5">
              <w:rPr>
                <w:rFonts w:asciiTheme="minorHAnsi" w:hAnsiTheme="minorHAnsi" w:cstheme="minorHAnsi"/>
                <w:b/>
                <w:color w:val="000000"/>
                <w:szCs w:val="24"/>
              </w:rPr>
              <w:t>Kategorie</w:t>
            </w:r>
            <w:bookmarkEnd w:id="24"/>
            <w:bookmarkEnd w:id="25"/>
          </w:p>
        </w:tc>
        <w:tc>
          <w:tcPr>
            <w:tcW w:w="3060" w:type="dxa"/>
            <w:gridSpan w:val="2"/>
            <w:tcBorders>
              <w:top w:val="double" w:sz="4" w:space="0" w:color="auto"/>
              <w:left w:val="nil"/>
              <w:bottom w:val="single" w:sz="12" w:space="0" w:color="auto"/>
              <w:right w:val="single" w:sz="4" w:space="0" w:color="auto"/>
            </w:tcBorders>
            <w:shd w:val="clear" w:color="auto" w:fill="CCFFFF"/>
            <w:vAlign w:val="center"/>
          </w:tcPr>
          <w:p w:rsidR="00987584" w:rsidRPr="008977A5" w:rsidRDefault="00987584" w:rsidP="00987584">
            <w:pPr>
              <w:jc w:val="center"/>
              <w:rPr>
                <w:rFonts w:asciiTheme="minorHAnsi" w:hAnsiTheme="minorHAnsi" w:cstheme="minorHAnsi"/>
                <w:b/>
                <w:color w:val="000000"/>
              </w:rPr>
            </w:pPr>
            <w:r w:rsidRPr="008977A5">
              <w:rPr>
                <w:rFonts w:asciiTheme="minorHAnsi" w:hAnsiTheme="minorHAnsi" w:cstheme="minorHAnsi"/>
                <w:b/>
                <w:color w:val="000000"/>
              </w:rPr>
              <w:t>celkem</w:t>
            </w:r>
          </w:p>
        </w:tc>
        <w:tc>
          <w:tcPr>
            <w:tcW w:w="3060" w:type="dxa"/>
            <w:gridSpan w:val="2"/>
            <w:tcBorders>
              <w:top w:val="double" w:sz="4" w:space="0" w:color="auto"/>
              <w:left w:val="single" w:sz="4" w:space="0" w:color="auto"/>
              <w:bottom w:val="single" w:sz="12" w:space="0" w:color="auto"/>
              <w:right w:val="double" w:sz="4" w:space="0" w:color="auto"/>
            </w:tcBorders>
            <w:shd w:val="clear" w:color="auto" w:fill="CCFFFF"/>
            <w:vAlign w:val="center"/>
          </w:tcPr>
          <w:p w:rsidR="00987584" w:rsidRPr="008977A5" w:rsidRDefault="00987584" w:rsidP="00987584">
            <w:pPr>
              <w:jc w:val="center"/>
              <w:rPr>
                <w:rFonts w:asciiTheme="minorHAnsi" w:hAnsiTheme="minorHAnsi" w:cstheme="minorHAnsi"/>
                <w:b/>
                <w:color w:val="000000"/>
              </w:rPr>
            </w:pPr>
            <w:r w:rsidRPr="008977A5">
              <w:rPr>
                <w:rFonts w:asciiTheme="minorHAnsi" w:hAnsiTheme="minorHAnsi" w:cstheme="minorHAnsi"/>
                <w:b/>
                <w:color w:val="000000"/>
              </w:rPr>
              <w:t>ženy</w:t>
            </w:r>
          </w:p>
        </w:tc>
      </w:tr>
      <w:tr w:rsidR="008977A5" w:rsidRPr="00002B63">
        <w:trPr>
          <w:cantSplit/>
          <w:trHeight w:val="345"/>
        </w:trPr>
        <w:tc>
          <w:tcPr>
            <w:tcW w:w="3240" w:type="dxa"/>
            <w:vMerge/>
            <w:tcBorders>
              <w:top w:val="nil"/>
              <w:left w:val="double" w:sz="4" w:space="0" w:color="auto"/>
              <w:bottom w:val="double" w:sz="4" w:space="0" w:color="auto"/>
              <w:right w:val="single" w:sz="12" w:space="0" w:color="auto"/>
            </w:tcBorders>
            <w:shd w:val="clear" w:color="auto" w:fill="CCFFFF"/>
            <w:vAlign w:val="center"/>
          </w:tcPr>
          <w:p w:rsidR="008977A5" w:rsidRPr="008977A5" w:rsidRDefault="008977A5" w:rsidP="00987584">
            <w:pPr>
              <w:pStyle w:val="Nadpis2"/>
              <w:jc w:val="both"/>
              <w:rPr>
                <w:rFonts w:asciiTheme="minorHAnsi" w:hAnsiTheme="minorHAnsi" w:cstheme="minorHAnsi"/>
                <w:color w:val="000000"/>
                <w:szCs w:val="24"/>
              </w:rPr>
            </w:pPr>
          </w:p>
        </w:tc>
        <w:tc>
          <w:tcPr>
            <w:tcW w:w="1530" w:type="dxa"/>
            <w:tcBorders>
              <w:top w:val="single" w:sz="12" w:space="0" w:color="auto"/>
              <w:left w:val="nil"/>
              <w:bottom w:val="double" w:sz="4" w:space="0" w:color="auto"/>
              <w:right w:val="single" w:sz="4" w:space="0" w:color="auto"/>
            </w:tcBorders>
            <w:shd w:val="clear" w:color="auto" w:fill="CCFFFF"/>
            <w:vAlign w:val="center"/>
          </w:tcPr>
          <w:p w:rsidR="008977A5" w:rsidRPr="008977A5" w:rsidRDefault="008977A5" w:rsidP="008977A5">
            <w:pPr>
              <w:jc w:val="center"/>
              <w:rPr>
                <w:rFonts w:asciiTheme="minorHAnsi" w:hAnsiTheme="minorHAnsi" w:cstheme="minorHAnsi"/>
                <w:color w:val="000000"/>
              </w:rPr>
            </w:pPr>
            <w:r w:rsidRPr="008977A5">
              <w:rPr>
                <w:rFonts w:asciiTheme="minorHAnsi" w:hAnsiTheme="minorHAnsi" w:cstheme="minorHAnsi"/>
                <w:color w:val="000000"/>
              </w:rPr>
              <w:t>31. 12. 201</w:t>
            </w:r>
            <w:r w:rsidR="00CB53FC">
              <w:rPr>
                <w:rFonts w:asciiTheme="minorHAnsi" w:hAnsiTheme="minorHAnsi" w:cstheme="minorHAnsi"/>
                <w:color w:val="000000"/>
              </w:rPr>
              <w:t>3</w:t>
            </w:r>
          </w:p>
        </w:tc>
        <w:tc>
          <w:tcPr>
            <w:tcW w:w="1530" w:type="dxa"/>
            <w:tcBorders>
              <w:top w:val="single" w:sz="12" w:space="0" w:color="auto"/>
              <w:left w:val="single" w:sz="4" w:space="0" w:color="auto"/>
              <w:bottom w:val="double" w:sz="4" w:space="0" w:color="auto"/>
              <w:right w:val="single" w:sz="4" w:space="0" w:color="auto"/>
            </w:tcBorders>
            <w:shd w:val="clear" w:color="auto" w:fill="CCFFFF"/>
            <w:vAlign w:val="center"/>
          </w:tcPr>
          <w:p w:rsidR="008977A5" w:rsidRPr="008977A5" w:rsidRDefault="008977A5" w:rsidP="008977A5">
            <w:pPr>
              <w:jc w:val="center"/>
              <w:rPr>
                <w:rFonts w:asciiTheme="minorHAnsi" w:hAnsiTheme="minorHAnsi" w:cstheme="minorHAnsi"/>
                <w:b/>
                <w:color w:val="000000"/>
              </w:rPr>
            </w:pPr>
            <w:r w:rsidRPr="008977A5">
              <w:rPr>
                <w:rFonts w:asciiTheme="minorHAnsi" w:hAnsiTheme="minorHAnsi" w:cstheme="minorHAnsi"/>
                <w:b/>
                <w:color w:val="000000"/>
              </w:rPr>
              <w:t>31. 12. 201</w:t>
            </w:r>
            <w:r w:rsidR="00CB53FC">
              <w:rPr>
                <w:rFonts w:asciiTheme="minorHAnsi" w:hAnsiTheme="minorHAnsi" w:cstheme="minorHAnsi"/>
                <w:b/>
                <w:color w:val="000000"/>
              </w:rPr>
              <w:t>4</w:t>
            </w:r>
          </w:p>
        </w:tc>
        <w:tc>
          <w:tcPr>
            <w:tcW w:w="1530" w:type="dxa"/>
            <w:tcBorders>
              <w:top w:val="single" w:sz="12" w:space="0" w:color="auto"/>
              <w:left w:val="single" w:sz="4" w:space="0" w:color="auto"/>
              <w:bottom w:val="double" w:sz="4" w:space="0" w:color="auto"/>
              <w:right w:val="single" w:sz="4" w:space="0" w:color="auto"/>
            </w:tcBorders>
            <w:shd w:val="clear" w:color="auto" w:fill="CCFFFF"/>
            <w:vAlign w:val="center"/>
          </w:tcPr>
          <w:p w:rsidR="008977A5" w:rsidRPr="008977A5" w:rsidRDefault="008977A5" w:rsidP="008977A5">
            <w:pPr>
              <w:jc w:val="center"/>
              <w:rPr>
                <w:rFonts w:asciiTheme="minorHAnsi" w:hAnsiTheme="minorHAnsi" w:cstheme="minorHAnsi"/>
                <w:color w:val="000000"/>
              </w:rPr>
            </w:pPr>
            <w:r w:rsidRPr="008977A5">
              <w:rPr>
                <w:rFonts w:asciiTheme="minorHAnsi" w:hAnsiTheme="minorHAnsi" w:cstheme="minorHAnsi"/>
                <w:color w:val="000000"/>
              </w:rPr>
              <w:t>31. 12. 201</w:t>
            </w:r>
            <w:r w:rsidR="00CB53FC">
              <w:rPr>
                <w:rFonts w:asciiTheme="minorHAnsi" w:hAnsiTheme="minorHAnsi" w:cstheme="minorHAnsi"/>
                <w:color w:val="000000"/>
              </w:rPr>
              <w:t>3</w:t>
            </w:r>
          </w:p>
        </w:tc>
        <w:tc>
          <w:tcPr>
            <w:tcW w:w="1530" w:type="dxa"/>
            <w:tcBorders>
              <w:top w:val="single" w:sz="12" w:space="0" w:color="auto"/>
              <w:left w:val="single" w:sz="4" w:space="0" w:color="auto"/>
              <w:bottom w:val="double" w:sz="4" w:space="0" w:color="auto"/>
              <w:right w:val="double" w:sz="4" w:space="0" w:color="auto"/>
            </w:tcBorders>
            <w:shd w:val="clear" w:color="auto" w:fill="CCFFFF"/>
            <w:vAlign w:val="center"/>
          </w:tcPr>
          <w:p w:rsidR="008977A5" w:rsidRPr="008977A5" w:rsidRDefault="008977A5" w:rsidP="008977A5">
            <w:pPr>
              <w:jc w:val="center"/>
              <w:rPr>
                <w:rFonts w:asciiTheme="minorHAnsi" w:hAnsiTheme="minorHAnsi" w:cstheme="minorHAnsi"/>
                <w:b/>
                <w:color w:val="000000"/>
              </w:rPr>
            </w:pPr>
            <w:r w:rsidRPr="008977A5">
              <w:rPr>
                <w:rFonts w:asciiTheme="minorHAnsi" w:hAnsiTheme="minorHAnsi" w:cstheme="minorHAnsi"/>
                <w:b/>
                <w:color w:val="000000"/>
              </w:rPr>
              <w:t>31. 12. 201</w:t>
            </w:r>
            <w:r w:rsidR="00CB53FC">
              <w:rPr>
                <w:rFonts w:asciiTheme="minorHAnsi" w:hAnsiTheme="minorHAnsi" w:cstheme="minorHAnsi"/>
                <w:b/>
                <w:color w:val="000000"/>
              </w:rPr>
              <w:t>4</w:t>
            </w:r>
          </w:p>
        </w:tc>
      </w:tr>
      <w:tr w:rsidR="00CB53FC" w:rsidRPr="00002B63">
        <w:trPr>
          <w:cantSplit/>
        </w:trPr>
        <w:tc>
          <w:tcPr>
            <w:tcW w:w="3240" w:type="dxa"/>
            <w:tcBorders>
              <w:top w:val="double" w:sz="4" w:space="0" w:color="auto"/>
              <w:left w:val="double" w:sz="4" w:space="0" w:color="auto"/>
              <w:bottom w:val="single" w:sz="8" w:space="0" w:color="auto"/>
              <w:right w:val="single" w:sz="12" w:space="0" w:color="auto"/>
            </w:tcBorders>
            <w:shd w:val="clear" w:color="auto" w:fill="CCFFFF"/>
          </w:tcPr>
          <w:p w:rsidR="00CB53FC" w:rsidRPr="008977A5" w:rsidRDefault="00CB53FC" w:rsidP="00987584">
            <w:pPr>
              <w:pStyle w:val="Nadpis2"/>
              <w:rPr>
                <w:rFonts w:asciiTheme="minorHAnsi" w:hAnsiTheme="minorHAnsi" w:cstheme="minorHAnsi"/>
                <w:color w:val="000000"/>
                <w:szCs w:val="24"/>
              </w:rPr>
            </w:pPr>
            <w:bookmarkStart w:id="26" w:name="_Toc321296405"/>
            <w:bookmarkStart w:id="27" w:name="_Toc321296522"/>
            <w:r w:rsidRPr="008977A5">
              <w:rPr>
                <w:rFonts w:asciiTheme="minorHAnsi" w:hAnsiTheme="minorHAnsi" w:cstheme="minorHAnsi"/>
                <w:color w:val="000000"/>
                <w:szCs w:val="24"/>
              </w:rPr>
              <w:t>evidovaní uchazeči o zaměstnání celkem</w:t>
            </w:r>
            <w:bookmarkEnd w:id="26"/>
            <w:bookmarkEnd w:id="27"/>
            <w:r w:rsidRPr="008977A5">
              <w:rPr>
                <w:rFonts w:asciiTheme="minorHAnsi" w:hAnsiTheme="minorHAnsi" w:cstheme="minorHAnsi"/>
                <w:color w:val="000000"/>
                <w:szCs w:val="24"/>
              </w:rPr>
              <w:t xml:space="preserve"> </w:t>
            </w:r>
          </w:p>
        </w:tc>
        <w:tc>
          <w:tcPr>
            <w:tcW w:w="1530" w:type="dxa"/>
            <w:tcBorders>
              <w:top w:val="double" w:sz="4" w:space="0" w:color="auto"/>
              <w:left w:val="nil"/>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43 364</w:t>
            </w:r>
          </w:p>
        </w:tc>
        <w:tc>
          <w:tcPr>
            <w:tcW w:w="1530" w:type="dxa"/>
            <w:tcBorders>
              <w:top w:val="double" w:sz="4" w:space="0" w:color="auto"/>
              <w:left w:val="single" w:sz="4" w:space="0" w:color="auto"/>
              <w:bottom w:val="single" w:sz="8" w:space="0" w:color="auto"/>
              <w:right w:val="single" w:sz="4" w:space="0" w:color="auto"/>
            </w:tcBorders>
            <w:vAlign w:val="center"/>
          </w:tcPr>
          <w:p w:rsidR="00CB53FC" w:rsidRPr="008977A5" w:rsidRDefault="00B86011"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38 990</w:t>
            </w:r>
          </w:p>
        </w:tc>
        <w:tc>
          <w:tcPr>
            <w:tcW w:w="1530" w:type="dxa"/>
            <w:tcBorders>
              <w:top w:val="double" w:sz="4" w:space="0" w:color="auto"/>
              <w:left w:val="single" w:sz="4" w:space="0" w:color="auto"/>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20 386</w:t>
            </w:r>
          </w:p>
        </w:tc>
        <w:tc>
          <w:tcPr>
            <w:tcW w:w="1530" w:type="dxa"/>
            <w:tcBorders>
              <w:top w:val="double" w:sz="4" w:space="0" w:color="auto"/>
              <w:left w:val="single" w:sz="4" w:space="0" w:color="auto"/>
              <w:bottom w:val="single" w:sz="8" w:space="0" w:color="auto"/>
              <w:right w:val="double" w:sz="4" w:space="0" w:color="auto"/>
            </w:tcBorders>
            <w:vAlign w:val="center"/>
          </w:tcPr>
          <w:p w:rsidR="00CB53FC" w:rsidRPr="008977A5" w:rsidRDefault="00922684"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18 822</w:t>
            </w:r>
          </w:p>
        </w:tc>
      </w:tr>
      <w:tr w:rsidR="00CB53FC" w:rsidRPr="00002B63">
        <w:trPr>
          <w:cantSplit/>
        </w:trPr>
        <w:tc>
          <w:tcPr>
            <w:tcW w:w="3240" w:type="dxa"/>
            <w:tcBorders>
              <w:top w:val="single" w:sz="8" w:space="0" w:color="auto"/>
              <w:left w:val="double" w:sz="4" w:space="0" w:color="auto"/>
              <w:bottom w:val="single" w:sz="8" w:space="0" w:color="auto"/>
              <w:right w:val="single" w:sz="12" w:space="0" w:color="auto"/>
            </w:tcBorders>
            <w:shd w:val="clear" w:color="auto" w:fill="CCFFFF"/>
          </w:tcPr>
          <w:p w:rsidR="00CB53FC" w:rsidRPr="008977A5" w:rsidRDefault="00CB53FC" w:rsidP="00F70322">
            <w:pPr>
              <w:pStyle w:val="Nadpis2"/>
              <w:jc w:val="both"/>
              <w:rPr>
                <w:rFonts w:asciiTheme="minorHAnsi" w:hAnsiTheme="minorHAnsi" w:cstheme="minorHAnsi"/>
                <w:color w:val="000000"/>
                <w:szCs w:val="24"/>
              </w:rPr>
            </w:pPr>
            <w:bookmarkStart w:id="28" w:name="_Toc321296410"/>
            <w:bookmarkStart w:id="29" w:name="_Toc321296527"/>
            <w:r w:rsidRPr="008977A5">
              <w:rPr>
                <w:rFonts w:asciiTheme="minorHAnsi" w:hAnsiTheme="minorHAnsi" w:cstheme="minorHAnsi"/>
                <w:color w:val="000000"/>
                <w:szCs w:val="24"/>
              </w:rPr>
              <w:t>- z toho dosažitelní</w:t>
            </w:r>
            <w:bookmarkEnd w:id="28"/>
            <w:bookmarkEnd w:id="29"/>
            <w:r w:rsidRPr="008977A5">
              <w:rPr>
                <w:rFonts w:asciiTheme="minorHAnsi" w:hAnsiTheme="minorHAnsi" w:cstheme="minorHAnsi"/>
                <w:color w:val="000000"/>
                <w:szCs w:val="24"/>
              </w:rPr>
              <w:t xml:space="preserve"> </w:t>
            </w:r>
          </w:p>
        </w:tc>
        <w:tc>
          <w:tcPr>
            <w:tcW w:w="1530" w:type="dxa"/>
            <w:tcBorders>
              <w:top w:val="single" w:sz="8" w:space="0" w:color="auto"/>
              <w:left w:val="nil"/>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42 130</w:t>
            </w:r>
          </w:p>
        </w:tc>
        <w:tc>
          <w:tcPr>
            <w:tcW w:w="1530" w:type="dxa"/>
            <w:tcBorders>
              <w:top w:val="single" w:sz="8" w:space="0" w:color="auto"/>
              <w:left w:val="single" w:sz="4" w:space="0" w:color="auto"/>
              <w:bottom w:val="single" w:sz="8" w:space="0" w:color="auto"/>
              <w:right w:val="single" w:sz="4" w:space="0" w:color="auto"/>
            </w:tcBorders>
            <w:vAlign w:val="center"/>
          </w:tcPr>
          <w:p w:rsidR="00CB53FC" w:rsidRPr="008977A5" w:rsidRDefault="00B86011"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37 494</w:t>
            </w:r>
          </w:p>
        </w:tc>
        <w:tc>
          <w:tcPr>
            <w:tcW w:w="1530" w:type="dxa"/>
            <w:tcBorders>
              <w:top w:val="single" w:sz="8" w:space="0" w:color="auto"/>
              <w:left w:val="single" w:sz="4" w:space="0" w:color="auto"/>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19 771</w:t>
            </w:r>
          </w:p>
        </w:tc>
        <w:tc>
          <w:tcPr>
            <w:tcW w:w="1530" w:type="dxa"/>
            <w:tcBorders>
              <w:top w:val="single" w:sz="8" w:space="0" w:color="auto"/>
              <w:left w:val="single" w:sz="4" w:space="0" w:color="auto"/>
              <w:bottom w:val="single" w:sz="8" w:space="0" w:color="auto"/>
              <w:right w:val="double" w:sz="4" w:space="0" w:color="auto"/>
            </w:tcBorders>
            <w:vAlign w:val="center"/>
          </w:tcPr>
          <w:p w:rsidR="00CB53FC" w:rsidRPr="008977A5" w:rsidRDefault="00922684"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18 035</w:t>
            </w:r>
          </w:p>
        </w:tc>
      </w:tr>
      <w:tr w:rsidR="00CB53FC" w:rsidRPr="00002B63">
        <w:trPr>
          <w:cantSplit/>
        </w:trPr>
        <w:tc>
          <w:tcPr>
            <w:tcW w:w="3240" w:type="dxa"/>
            <w:tcBorders>
              <w:top w:val="single" w:sz="8" w:space="0" w:color="auto"/>
              <w:left w:val="double" w:sz="4" w:space="0" w:color="auto"/>
              <w:bottom w:val="single" w:sz="8" w:space="0" w:color="auto"/>
              <w:right w:val="single" w:sz="12" w:space="0" w:color="auto"/>
            </w:tcBorders>
            <w:shd w:val="clear" w:color="auto" w:fill="CCFFFF"/>
          </w:tcPr>
          <w:p w:rsidR="00CB53FC" w:rsidRPr="008977A5" w:rsidRDefault="00CB53FC" w:rsidP="00987584">
            <w:pPr>
              <w:pStyle w:val="Nadpis2"/>
              <w:rPr>
                <w:rFonts w:asciiTheme="minorHAnsi" w:hAnsiTheme="minorHAnsi" w:cstheme="minorHAnsi"/>
                <w:color w:val="000000"/>
                <w:szCs w:val="24"/>
              </w:rPr>
            </w:pPr>
            <w:bookmarkStart w:id="30" w:name="_Toc321296415"/>
            <w:bookmarkStart w:id="31" w:name="_Toc321296532"/>
            <w:r w:rsidRPr="008977A5">
              <w:rPr>
                <w:rFonts w:asciiTheme="minorHAnsi" w:hAnsiTheme="minorHAnsi" w:cstheme="minorHAnsi"/>
                <w:color w:val="000000"/>
                <w:szCs w:val="24"/>
              </w:rPr>
              <w:t>volná pracovní místa</w:t>
            </w:r>
            <w:bookmarkEnd w:id="30"/>
            <w:bookmarkEnd w:id="31"/>
          </w:p>
        </w:tc>
        <w:tc>
          <w:tcPr>
            <w:tcW w:w="1530" w:type="dxa"/>
            <w:tcBorders>
              <w:top w:val="single" w:sz="8" w:space="0" w:color="auto"/>
              <w:left w:val="nil"/>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1 103</w:t>
            </w:r>
          </w:p>
        </w:tc>
        <w:tc>
          <w:tcPr>
            <w:tcW w:w="1530" w:type="dxa"/>
            <w:tcBorders>
              <w:top w:val="single" w:sz="8" w:space="0" w:color="auto"/>
              <w:left w:val="single" w:sz="4" w:space="0" w:color="auto"/>
              <w:bottom w:val="single" w:sz="8" w:space="0" w:color="auto"/>
              <w:right w:val="single" w:sz="4" w:space="0" w:color="auto"/>
            </w:tcBorders>
            <w:vAlign w:val="center"/>
          </w:tcPr>
          <w:p w:rsidR="00CB53FC" w:rsidRPr="008977A5" w:rsidRDefault="00B86011"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2 814</w:t>
            </w:r>
          </w:p>
        </w:tc>
        <w:tc>
          <w:tcPr>
            <w:tcW w:w="1530" w:type="dxa"/>
            <w:tcBorders>
              <w:top w:val="single" w:sz="8" w:space="0" w:color="auto"/>
              <w:left w:val="single" w:sz="4" w:space="0" w:color="auto"/>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w:t>
            </w:r>
          </w:p>
        </w:tc>
        <w:tc>
          <w:tcPr>
            <w:tcW w:w="1530" w:type="dxa"/>
            <w:tcBorders>
              <w:top w:val="single" w:sz="8" w:space="0" w:color="auto"/>
              <w:left w:val="single" w:sz="4" w:space="0" w:color="auto"/>
              <w:bottom w:val="single" w:sz="8" w:space="0" w:color="auto"/>
              <w:right w:val="double" w:sz="4" w:space="0" w:color="auto"/>
            </w:tcBorders>
            <w:vAlign w:val="center"/>
          </w:tcPr>
          <w:p w:rsidR="00CB53FC" w:rsidRPr="008977A5" w:rsidRDefault="00CB53FC"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w:t>
            </w:r>
          </w:p>
        </w:tc>
      </w:tr>
      <w:tr w:rsidR="00CB53FC" w:rsidRPr="00002B63">
        <w:trPr>
          <w:cantSplit/>
        </w:trPr>
        <w:tc>
          <w:tcPr>
            <w:tcW w:w="3240" w:type="dxa"/>
            <w:tcBorders>
              <w:top w:val="single" w:sz="8" w:space="0" w:color="auto"/>
              <w:left w:val="double" w:sz="4" w:space="0" w:color="auto"/>
              <w:bottom w:val="single" w:sz="8" w:space="0" w:color="auto"/>
              <w:right w:val="single" w:sz="12" w:space="0" w:color="auto"/>
            </w:tcBorders>
            <w:shd w:val="clear" w:color="auto" w:fill="CCFFFF"/>
          </w:tcPr>
          <w:p w:rsidR="00CB53FC" w:rsidRPr="008977A5" w:rsidRDefault="00CB53FC" w:rsidP="00987584">
            <w:pPr>
              <w:pStyle w:val="Nadpis2"/>
              <w:rPr>
                <w:rFonts w:asciiTheme="minorHAnsi" w:hAnsiTheme="minorHAnsi" w:cstheme="minorHAnsi"/>
                <w:color w:val="000000"/>
                <w:szCs w:val="24"/>
              </w:rPr>
            </w:pPr>
            <w:bookmarkStart w:id="32" w:name="_Toc321296420"/>
            <w:bookmarkStart w:id="33" w:name="_Toc321296537"/>
            <w:r w:rsidRPr="008977A5">
              <w:rPr>
                <w:rFonts w:asciiTheme="minorHAnsi" w:hAnsiTheme="minorHAnsi" w:cstheme="minorHAnsi"/>
                <w:color w:val="000000"/>
                <w:szCs w:val="24"/>
              </w:rPr>
              <w:t>uchazeči připadající na 1 VPM</w:t>
            </w:r>
            <w:bookmarkEnd w:id="32"/>
            <w:bookmarkEnd w:id="33"/>
          </w:p>
        </w:tc>
        <w:tc>
          <w:tcPr>
            <w:tcW w:w="1530" w:type="dxa"/>
            <w:tcBorders>
              <w:top w:val="single" w:sz="8" w:space="0" w:color="auto"/>
              <w:left w:val="nil"/>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39</w:t>
            </w:r>
          </w:p>
        </w:tc>
        <w:tc>
          <w:tcPr>
            <w:tcW w:w="1530" w:type="dxa"/>
            <w:tcBorders>
              <w:top w:val="single" w:sz="8" w:space="0" w:color="auto"/>
              <w:left w:val="single" w:sz="4" w:space="0" w:color="auto"/>
              <w:bottom w:val="single" w:sz="8" w:space="0" w:color="auto"/>
              <w:right w:val="single" w:sz="4" w:space="0" w:color="auto"/>
            </w:tcBorders>
            <w:vAlign w:val="center"/>
          </w:tcPr>
          <w:p w:rsidR="00CB53FC" w:rsidRPr="008977A5" w:rsidRDefault="00B86011"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14</w:t>
            </w:r>
          </w:p>
        </w:tc>
        <w:tc>
          <w:tcPr>
            <w:tcW w:w="1530" w:type="dxa"/>
            <w:tcBorders>
              <w:top w:val="single" w:sz="8" w:space="0" w:color="auto"/>
              <w:left w:val="single" w:sz="4" w:space="0" w:color="auto"/>
              <w:bottom w:val="single" w:sz="8"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w:t>
            </w:r>
          </w:p>
        </w:tc>
        <w:tc>
          <w:tcPr>
            <w:tcW w:w="1530" w:type="dxa"/>
            <w:tcBorders>
              <w:top w:val="single" w:sz="8" w:space="0" w:color="auto"/>
              <w:left w:val="single" w:sz="4" w:space="0" w:color="auto"/>
              <w:bottom w:val="single" w:sz="8" w:space="0" w:color="auto"/>
              <w:right w:val="double" w:sz="4" w:space="0" w:color="auto"/>
            </w:tcBorders>
            <w:vAlign w:val="center"/>
          </w:tcPr>
          <w:p w:rsidR="00CB53FC" w:rsidRPr="008977A5" w:rsidRDefault="00CB53FC"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w:t>
            </w:r>
          </w:p>
        </w:tc>
      </w:tr>
      <w:tr w:rsidR="00CB53FC" w:rsidRPr="00002B63">
        <w:trPr>
          <w:cantSplit/>
        </w:trPr>
        <w:tc>
          <w:tcPr>
            <w:tcW w:w="3240" w:type="dxa"/>
            <w:tcBorders>
              <w:top w:val="single" w:sz="8" w:space="0" w:color="auto"/>
              <w:left w:val="double" w:sz="4" w:space="0" w:color="auto"/>
              <w:bottom w:val="single" w:sz="4" w:space="0" w:color="auto"/>
              <w:right w:val="single" w:sz="12" w:space="0" w:color="auto"/>
            </w:tcBorders>
            <w:shd w:val="clear" w:color="auto" w:fill="CCFFFF"/>
          </w:tcPr>
          <w:p w:rsidR="00CB53FC" w:rsidRPr="008977A5" w:rsidRDefault="00CB53FC" w:rsidP="00987584">
            <w:pPr>
              <w:rPr>
                <w:rFonts w:asciiTheme="minorHAnsi" w:hAnsiTheme="minorHAnsi" w:cstheme="minorHAnsi"/>
                <w:color w:val="000000"/>
              </w:rPr>
            </w:pPr>
            <w:r w:rsidRPr="008977A5">
              <w:rPr>
                <w:rFonts w:asciiTheme="minorHAnsi" w:hAnsiTheme="minorHAnsi" w:cstheme="minorHAnsi"/>
                <w:color w:val="000000"/>
              </w:rPr>
              <w:t xml:space="preserve">uchazeči pobírající podporu v nezaměstnanosti </w:t>
            </w:r>
          </w:p>
        </w:tc>
        <w:tc>
          <w:tcPr>
            <w:tcW w:w="1530" w:type="dxa"/>
            <w:tcBorders>
              <w:top w:val="single" w:sz="8" w:space="0" w:color="auto"/>
              <w:left w:val="nil"/>
              <w:bottom w:val="single" w:sz="4"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8 345</w:t>
            </w:r>
          </w:p>
        </w:tc>
        <w:tc>
          <w:tcPr>
            <w:tcW w:w="1530" w:type="dxa"/>
            <w:tcBorders>
              <w:top w:val="single" w:sz="8" w:space="0" w:color="auto"/>
              <w:left w:val="single" w:sz="4" w:space="0" w:color="auto"/>
              <w:bottom w:val="single" w:sz="4" w:space="0" w:color="auto"/>
              <w:right w:val="single" w:sz="4" w:space="0" w:color="auto"/>
            </w:tcBorders>
            <w:vAlign w:val="center"/>
          </w:tcPr>
          <w:p w:rsidR="00CB53FC" w:rsidRPr="008977A5" w:rsidRDefault="00B86011"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8 108</w:t>
            </w:r>
          </w:p>
        </w:tc>
        <w:tc>
          <w:tcPr>
            <w:tcW w:w="1530" w:type="dxa"/>
            <w:tcBorders>
              <w:top w:val="single" w:sz="8" w:space="0" w:color="auto"/>
              <w:left w:val="single" w:sz="4" w:space="0" w:color="auto"/>
              <w:bottom w:val="single" w:sz="4"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3 130</w:t>
            </w:r>
          </w:p>
        </w:tc>
        <w:tc>
          <w:tcPr>
            <w:tcW w:w="1530" w:type="dxa"/>
            <w:tcBorders>
              <w:top w:val="single" w:sz="8" w:space="0" w:color="auto"/>
              <w:left w:val="single" w:sz="4" w:space="0" w:color="auto"/>
              <w:bottom w:val="single" w:sz="4" w:space="0" w:color="auto"/>
              <w:right w:val="double" w:sz="4" w:space="0" w:color="auto"/>
            </w:tcBorders>
            <w:vAlign w:val="center"/>
          </w:tcPr>
          <w:p w:rsidR="00CB53FC" w:rsidRPr="008977A5" w:rsidRDefault="00922684"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3 637</w:t>
            </w:r>
          </w:p>
        </w:tc>
      </w:tr>
      <w:tr w:rsidR="00CB53FC" w:rsidRPr="00002B63">
        <w:trPr>
          <w:cantSplit/>
        </w:trPr>
        <w:tc>
          <w:tcPr>
            <w:tcW w:w="3240" w:type="dxa"/>
            <w:tcBorders>
              <w:top w:val="single" w:sz="8" w:space="0" w:color="auto"/>
              <w:left w:val="double" w:sz="4" w:space="0" w:color="auto"/>
              <w:bottom w:val="double" w:sz="4" w:space="0" w:color="auto"/>
              <w:right w:val="single" w:sz="12" w:space="0" w:color="auto"/>
            </w:tcBorders>
            <w:shd w:val="clear" w:color="auto" w:fill="CCFFFF"/>
          </w:tcPr>
          <w:p w:rsidR="00CB53FC" w:rsidRPr="008977A5" w:rsidRDefault="00CB53FC" w:rsidP="00987584">
            <w:pPr>
              <w:pStyle w:val="Nadpis2"/>
              <w:rPr>
                <w:rFonts w:asciiTheme="minorHAnsi" w:hAnsiTheme="minorHAnsi" w:cstheme="minorHAnsi"/>
                <w:color w:val="000000"/>
                <w:szCs w:val="24"/>
              </w:rPr>
            </w:pPr>
            <w:r w:rsidRPr="008977A5">
              <w:rPr>
                <w:rFonts w:asciiTheme="minorHAnsi" w:hAnsiTheme="minorHAnsi" w:cstheme="minorHAnsi"/>
                <w:color w:val="000000"/>
                <w:szCs w:val="24"/>
              </w:rPr>
              <w:t>podíl nezaměstnaných osob</w:t>
            </w:r>
          </w:p>
        </w:tc>
        <w:tc>
          <w:tcPr>
            <w:tcW w:w="1530" w:type="dxa"/>
            <w:tcBorders>
              <w:top w:val="nil"/>
              <w:left w:val="nil"/>
              <w:bottom w:val="double" w:sz="4"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9,8</w:t>
            </w:r>
          </w:p>
        </w:tc>
        <w:tc>
          <w:tcPr>
            <w:tcW w:w="1530" w:type="dxa"/>
            <w:tcBorders>
              <w:top w:val="nil"/>
              <w:left w:val="single" w:sz="4" w:space="0" w:color="auto"/>
              <w:bottom w:val="double" w:sz="4" w:space="0" w:color="auto"/>
              <w:right w:val="single" w:sz="4" w:space="0" w:color="auto"/>
            </w:tcBorders>
            <w:vAlign w:val="center"/>
          </w:tcPr>
          <w:p w:rsidR="00CB53FC" w:rsidRPr="008977A5" w:rsidRDefault="00922684"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8,8</w:t>
            </w:r>
          </w:p>
        </w:tc>
        <w:tc>
          <w:tcPr>
            <w:tcW w:w="1530" w:type="dxa"/>
            <w:tcBorders>
              <w:top w:val="nil"/>
              <w:left w:val="single" w:sz="4" w:space="0" w:color="auto"/>
              <w:bottom w:val="double" w:sz="4" w:space="0" w:color="auto"/>
              <w:right w:val="single" w:sz="4" w:space="0" w:color="auto"/>
            </w:tcBorders>
            <w:vAlign w:val="center"/>
          </w:tcPr>
          <w:p w:rsidR="00CB53FC" w:rsidRPr="00CB53FC" w:rsidRDefault="00CB53FC" w:rsidP="00CB53FC">
            <w:pPr>
              <w:pStyle w:val="Nadpis2"/>
              <w:jc w:val="center"/>
              <w:rPr>
                <w:rFonts w:asciiTheme="minorHAnsi" w:hAnsiTheme="minorHAnsi" w:cstheme="minorHAnsi"/>
                <w:color w:val="000000"/>
                <w:szCs w:val="24"/>
              </w:rPr>
            </w:pPr>
            <w:r w:rsidRPr="00CB53FC">
              <w:rPr>
                <w:rFonts w:asciiTheme="minorHAnsi" w:hAnsiTheme="minorHAnsi" w:cstheme="minorHAnsi"/>
                <w:color w:val="000000"/>
                <w:szCs w:val="24"/>
              </w:rPr>
              <w:t>9,3</w:t>
            </w:r>
          </w:p>
        </w:tc>
        <w:tc>
          <w:tcPr>
            <w:tcW w:w="1530" w:type="dxa"/>
            <w:tcBorders>
              <w:top w:val="nil"/>
              <w:left w:val="single" w:sz="4" w:space="0" w:color="auto"/>
              <w:bottom w:val="double" w:sz="4" w:space="0" w:color="auto"/>
              <w:right w:val="double" w:sz="4" w:space="0" w:color="auto"/>
            </w:tcBorders>
            <w:vAlign w:val="center"/>
          </w:tcPr>
          <w:p w:rsidR="00CB53FC" w:rsidRPr="008977A5" w:rsidRDefault="00922684" w:rsidP="008977A5">
            <w:pPr>
              <w:pStyle w:val="Nadpis2"/>
              <w:jc w:val="center"/>
              <w:rPr>
                <w:rFonts w:asciiTheme="minorHAnsi" w:hAnsiTheme="minorHAnsi" w:cstheme="minorHAnsi"/>
                <w:b/>
                <w:color w:val="000000"/>
                <w:szCs w:val="24"/>
              </w:rPr>
            </w:pPr>
            <w:r>
              <w:rPr>
                <w:rFonts w:asciiTheme="minorHAnsi" w:hAnsiTheme="minorHAnsi" w:cstheme="minorHAnsi"/>
                <w:b/>
                <w:color w:val="000000"/>
                <w:szCs w:val="24"/>
              </w:rPr>
              <w:t>8,6</w:t>
            </w:r>
          </w:p>
        </w:tc>
      </w:tr>
    </w:tbl>
    <w:p w:rsidR="00987584" w:rsidRPr="00002B63" w:rsidRDefault="00987584" w:rsidP="00987584">
      <w:pPr>
        <w:rPr>
          <w:rFonts w:asciiTheme="minorHAnsi" w:hAnsiTheme="minorHAnsi" w:cstheme="minorHAnsi"/>
          <w:i/>
          <w:color w:val="000000"/>
          <w:sz w:val="16"/>
        </w:rPr>
      </w:pPr>
      <w:r w:rsidRPr="00002B63">
        <w:rPr>
          <w:rFonts w:asciiTheme="minorHAnsi" w:hAnsiTheme="minorHAnsi" w:cstheme="minorHAnsi"/>
          <w:i/>
          <w:color w:val="000000"/>
          <w:sz w:val="16"/>
          <w:vertAlign w:val="superscript"/>
        </w:rPr>
        <w:t xml:space="preserve">1) </w:t>
      </w:r>
      <w:r w:rsidRPr="00002B63">
        <w:rPr>
          <w:rFonts w:asciiTheme="minorHAnsi" w:hAnsiTheme="minorHAnsi" w:cstheme="minorHAnsi"/>
          <w:i/>
          <w:color w:val="000000"/>
          <w:sz w:val="16"/>
        </w:rPr>
        <w:t>Údaje z měsíční statistiky</w:t>
      </w:r>
    </w:p>
    <w:p w:rsidR="00987584" w:rsidRPr="00002B63" w:rsidRDefault="00987584" w:rsidP="00987584">
      <w:pPr>
        <w:jc w:val="both"/>
        <w:rPr>
          <w:rFonts w:asciiTheme="minorHAnsi" w:hAnsiTheme="minorHAnsi" w:cstheme="minorHAnsi"/>
          <w:i/>
          <w:color w:val="000000"/>
          <w:sz w:val="16"/>
        </w:rPr>
      </w:pPr>
    </w:p>
    <w:p w:rsidR="000E251B" w:rsidRPr="00B02189" w:rsidRDefault="00AF4B36" w:rsidP="00AF4B36">
      <w:pPr>
        <w:adjustRightInd w:val="0"/>
        <w:ind w:firstLine="720"/>
        <w:jc w:val="both"/>
        <w:rPr>
          <w:rFonts w:asciiTheme="minorHAnsi" w:hAnsiTheme="minorHAnsi" w:cstheme="minorHAnsi"/>
          <w:color w:val="000000" w:themeColor="text1"/>
        </w:rPr>
      </w:pPr>
      <w:r w:rsidRPr="00B02189">
        <w:rPr>
          <w:rFonts w:asciiTheme="minorHAnsi" w:hAnsiTheme="minorHAnsi" w:cstheme="minorHAnsi"/>
          <w:color w:val="000000" w:themeColor="text1"/>
        </w:rPr>
        <w:lastRenderedPageBreak/>
        <w:t xml:space="preserve">Následující graf názorně ukazuje </w:t>
      </w:r>
      <w:r w:rsidR="00B02189" w:rsidRPr="00B02189">
        <w:rPr>
          <w:rFonts w:asciiTheme="minorHAnsi" w:hAnsiTheme="minorHAnsi" w:cstheme="minorHAnsi"/>
          <w:color w:val="000000" w:themeColor="text1"/>
        </w:rPr>
        <w:t xml:space="preserve">obrovské </w:t>
      </w:r>
      <w:r w:rsidRPr="00B02189">
        <w:rPr>
          <w:rFonts w:asciiTheme="minorHAnsi" w:hAnsiTheme="minorHAnsi" w:cstheme="minorHAnsi"/>
          <w:color w:val="000000" w:themeColor="text1"/>
        </w:rPr>
        <w:t>meziroční nárůsty počtu uchazečů v krizovém roce 2009, doznívání první vlny v polovině roku 2010</w:t>
      </w:r>
      <w:r w:rsidR="00EC05A4" w:rsidRPr="00B02189">
        <w:rPr>
          <w:rFonts w:asciiTheme="minorHAnsi" w:hAnsiTheme="minorHAnsi" w:cstheme="minorHAnsi"/>
          <w:b/>
          <w:color w:val="000000" w:themeColor="text1"/>
        </w:rPr>
        <w:t xml:space="preserve"> </w:t>
      </w:r>
      <w:r w:rsidR="00B02189" w:rsidRPr="00B02189">
        <w:rPr>
          <w:rFonts w:asciiTheme="minorHAnsi" w:hAnsiTheme="minorHAnsi" w:cstheme="minorHAnsi"/>
          <w:color w:val="000000" w:themeColor="text1"/>
        </w:rPr>
        <w:t>a opětovný nárůst od srpna 2012 až do dubna 2014.</w:t>
      </w:r>
    </w:p>
    <w:p w:rsidR="001E788E" w:rsidRDefault="001E788E" w:rsidP="000E251B">
      <w:pPr>
        <w:pStyle w:val="Zkladntext"/>
        <w:rPr>
          <w:rFonts w:asciiTheme="minorHAnsi" w:hAnsiTheme="minorHAnsi" w:cstheme="minorHAnsi"/>
          <w:color w:val="FF0000"/>
          <w:sz w:val="16"/>
          <w:szCs w:val="16"/>
        </w:rPr>
      </w:pPr>
    </w:p>
    <w:p w:rsidR="000E251B" w:rsidRPr="00B02189" w:rsidRDefault="000E251B" w:rsidP="000E251B">
      <w:pPr>
        <w:pStyle w:val="Zkladntext"/>
        <w:rPr>
          <w:rFonts w:asciiTheme="minorHAnsi" w:hAnsiTheme="minorHAnsi" w:cstheme="minorHAnsi"/>
          <w:noProof/>
          <w:color w:val="000000" w:themeColor="text1"/>
          <w:sz w:val="24"/>
        </w:rPr>
      </w:pPr>
      <w:r w:rsidRPr="00CF3B8F">
        <w:rPr>
          <w:rFonts w:asciiTheme="minorHAnsi" w:hAnsiTheme="minorHAnsi" w:cstheme="minorHAnsi"/>
          <w:sz w:val="24"/>
        </w:rPr>
        <w:t>G</w:t>
      </w:r>
      <w:r w:rsidR="00AF4B36" w:rsidRPr="00CF3B8F">
        <w:rPr>
          <w:rFonts w:asciiTheme="minorHAnsi" w:hAnsiTheme="minorHAnsi" w:cstheme="minorHAnsi"/>
          <w:sz w:val="24"/>
        </w:rPr>
        <w:t xml:space="preserve">raf: </w:t>
      </w:r>
      <w:r w:rsidR="00AF4B36" w:rsidRPr="00B02189">
        <w:rPr>
          <w:rFonts w:asciiTheme="minorHAnsi" w:hAnsiTheme="minorHAnsi" w:cstheme="minorHAnsi"/>
          <w:color w:val="000000" w:themeColor="text1"/>
          <w:sz w:val="24"/>
        </w:rPr>
        <w:t>Meziroční vývoj nezaměstnanosti</w:t>
      </w:r>
      <w:r w:rsidR="00CB53FC" w:rsidRPr="00B02189">
        <w:rPr>
          <w:rFonts w:asciiTheme="minorHAnsi" w:hAnsiTheme="minorHAnsi" w:cstheme="minorHAnsi"/>
          <w:color w:val="000000" w:themeColor="text1"/>
          <w:sz w:val="24"/>
        </w:rPr>
        <w:t xml:space="preserve"> (2009 – 2014)</w:t>
      </w:r>
    </w:p>
    <w:p w:rsidR="000E251B" w:rsidRPr="00002B63" w:rsidRDefault="00B02189" w:rsidP="00CF3B8F">
      <w:pPr>
        <w:adjustRightInd w:val="0"/>
        <w:jc w:val="both"/>
        <w:rPr>
          <w:rFonts w:asciiTheme="minorHAnsi" w:hAnsiTheme="minorHAnsi" w:cstheme="minorHAnsi"/>
          <w:b/>
          <w:i/>
          <w:color w:val="FF0000"/>
        </w:rPr>
      </w:pPr>
      <w:r>
        <w:rPr>
          <w:noProof/>
        </w:rPr>
        <w:drawing>
          <wp:inline distT="0" distB="0" distL="0" distR="0" wp14:anchorId="60EB5D26" wp14:editId="7243A0BD">
            <wp:extent cx="5852160" cy="4127500"/>
            <wp:effectExtent l="0" t="0" r="15240" b="2540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16B9" w:rsidRDefault="00B716B9" w:rsidP="00987584">
      <w:pPr>
        <w:jc w:val="both"/>
        <w:rPr>
          <w:rFonts w:asciiTheme="minorHAnsi" w:hAnsiTheme="minorHAnsi" w:cstheme="minorHAnsi"/>
          <w:b/>
          <w:color w:val="000000"/>
        </w:rPr>
      </w:pPr>
    </w:p>
    <w:p w:rsidR="00987584" w:rsidRPr="00002B63" w:rsidRDefault="00987584" w:rsidP="00987584">
      <w:pPr>
        <w:jc w:val="both"/>
        <w:rPr>
          <w:rFonts w:asciiTheme="minorHAnsi" w:hAnsiTheme="minorHAnsi" w:cstheme="minorHAnsi"/>
          <w:color w:val="000000"/>
        </w:rPr>
      </w:pPr>
      <w:r w:rsidRPr="00002B63">
        <w:rPr>
          <w:rFonts w:asciiTheme="minorHAnsi" w:hAnsiTheme="minorHAnsi" w:cstheme="minorHAnsi"/>
          <w:b/>
          <w:color w:val="000000"/>
        </w:rPr>
        <w:t xml:space="preserve">Tabulka </w:t>
      </w:r>
      <w:r w:rsidR="00641144" w:rsidRPr="00002B63">
        <w:rPr>
          <w:rFonts w:asciiTheme="minorHAnsi" w:hAnsiTheme="minorHAnsi" w:cstheme="minorHAnsi"/>
          <w:b/>
          <w:color w:val="000000"/>
        </w:rPr>
        <w:t>4</w:t>
      </w:r>
      <w:r w:rsidRPr="00002B63">
        <w:rPr>
          <w:rFonts w:asciiTheme="minorHAnsi" w:hAnsiTheme="minorHAnsi" w:cstheme="minorHAnsi"/>
          <w:color w:val="000000"/>
        </w:rPr>
        <w:t xml:space="preserve"> - Vzdělanostní struktura uchazečů o zaměstnání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672"/>
        <w:gridCol w:w="810"/>
        <w:gridCol w:w="810"/>
        <w:gridCol w:w="810"/>
        <w:gridCol w:w="810"/>
        <w:gridCol w:w="810"/>
        <w:gridCol w:w="810"/>
      </w:tblGrid>
      <w:tr w:rsidR="00987584" w:rsidRPr="00002B63" w:rsidTr="00DB01AF">
        <w:trPr>
          <w:cantSplit/>
          <w:trHeight w:val="204"/>
        </w:trPr>
        <w:tc>
          <w:tcPr>
            <w:tcW w:w="2977" w:type="dxa"/>
            <w:vMerge w:val="restart"/>
            <w:tcBorders>
              <w:top w:val="double" w:sz="4" w:space="0" w:color="auto"/>
              <w:left w:val="double" w:sz="4" w:space="0" w:color="auto"/>
              <w:right w:val="single" w:sz="12" w:space="0" w:color="auto"/>
            </w:tcBorders>
            <w:shd w:val="clear" w:color="auto" w:fill="CCFFFF"/>
            <w:vAlign w:val="center"/>
          </w:tcPr>
          <w:p w:rsidR="00987584" w:rsidRPr="00002B63" w:rsidRDefault="005829F5" w:rsidP="005829F5">
            <w:pPr>
              <w:jc w:val="center"/>
              <w:rPr>
                <w:rFonts w:asciiTheme="minorHAnsi" w:hAnsiTheme="minorHAnsi" w:cstheme="minorHAnsi"/>
                <w:b/>
                <w:color w:val="000000"/>
              </w:rPr>
            </w:pPr>
            <w:r w:rsidRPr="00002B63">
              <w:rPr>
                <w:rFonts w:asciiTheme="minorHAnsi" w:hAnsiTheme="minorHAnsi" w:cstheme="minorHAnsi"/>
                <w:b/>
                <w:color w:val="000000"/>
              </w:rPr>
              <w:t>Stupeň vzdělání</w:t>
            </w:r>
          </w:p>
        </w:tc>
        <w:tc>
          <w:tcPr>
            <w:tcW w:w="3143" w:type="dxa"/>
            <w:gridSpan w:val="4"/>
            <w:tcBorders>
              <w:top w:val="double" w:sz="4" w:space="0" w:color="auto"/>
              <w:right w:val="single" w:sz="18" w:space="0" w:color="auto"/>
            </w:tcBorders>
            <w:shd w:val="clear" w:color="auto" w:fill="CCFFFF"/>
          </w:tcPr>
          <w:p w:rsidR="00987584" w:rsidRPr="00002B63" w:rsidRDefault="00987584" w:rsidP="00987584">
            <w:pPr>
              <w:jc w:val="center"/>
              <w:rPr>
                <w:rFonts w:asciiTheme="minorHAnsi" w:hAnsiTheme="minorHAnsi" w:cstheme="minorHAnsi"/>
                <w:b/>
                <w:color w:val="000000"/>
              </w:rPr>
            </w:pPr>
            <w:r w:rsidRPr="00002B63">
              <w:rPr>
                <w:rFonts w:asciiTheme="minorHAnsi" w:hAnsiTheme="minorHAnsi" w:cstheme="minorHAnsi"/>
                <w:b/>
                <w:color w:val="000000"/>
              </w:rPr>
              <w:t>celkem</w:t>
            </w:r>
          </w:p>
        </w:tc>
        <w:tc>
          <w:tcPr>
            <w:tcW w:w="3240" w:type="dxa"/>
            <w:gridSpan w:val="4"/>
            <w:tcBorders>
              <w:top w:val="double" w:sz="4" w:space="0" w:color="auto"/>
              <w:right w:val="double" w:sz="4" w:space="0" w:color="auto"/>
            </w:tcBorders>
            <w:shd w:val="clear" w:color="auto" w:fill="CCFFFF"/>
          </w:tcPr>
          <w:p w:rsidR="00987584" w:rsidRPr="00002B63" w:rsidRDefault="00987584" w:rsidP="00987584">
            <w:pPr>
              <w:jc w:val="center"/>
              <w:rPr>
                <w:rFonts w:asciiTheme="minorHAnsi" w:hAnsiTheme="minorHAnsi" w:cstheme="minorHAnsi"/>
                <w:b/>
                <w:color w:val="000000"/>
              </w:rPr>
            </w:pPr>
            <w:r w:rsidRPr="00002B63">
              <w:rPr>
                <w:rFonts w:asciiTheme="minorHAnsi" w:hAnsiTheme="minorHAnsi" w:cstheme="minorHAnsi"/>
                <w:b/>
                <w:color w:val="000000"/>
              </w:rPr>
              <w:t>ženy</w:t>
            </w:r>
          </w:p>
        </w:tc>
      </w:tr>
      <w:tr w:rsidR="00CF3B8F" w:rsidRPr="00002B63" w:rsidTr="00DB01AF">
        <w:trPr>
          <w:cantSplit/>
          <w:trHeight w:val="204"/>
        </w:trPr>
        <w:tc>
          <w:tcPr>
            <w:tcW w:w="2977" w:type="dxa"/>
            <w:vMerge/>
            <w:tcBorders>
              <w:left w:val="double" w:sz="4" w:space="0" w:color="auto"/>
              <w:right w:val="single" w:sz="12" w:space="0" w:color="auto"/>
            </w:tcBorders>
            <w:shd w:val="clear" w:color="auto" w:fill="CCFFFF"/>
            <w:vAlign w:val="center"/>
          </w:tcPr>
          <w:p w:rsidR="00CF3B8F" w:rsidRPr="00002B63" w:rsidRDefault="00CF3B8F" w:rsidP="00987584">
            <w:pPr>
              <w:jc w:val="both"/>
              <w:rPr>
                <w:rFonts w:asciiTheme="minorHAnsi" w:hAnsiTheme="minorHAnsi" w:cstheme="minorHAnsi"/>
                <w:color w:val="000000"/>
              </w:rPr>
            </w:pPr>
          </w:p>
        </w:tc>
        <w:tc>
          <w:tcPr>
            <w:tcW w:w="1523" w:type="dxa"/>
            <w:gridSpan w:val="2"/>
            <w:shd w:val="clear" w:color="auto" w:fill="CCFFFF"/>
          </w:tcPr>
          <w:p w:rsidR="00CF3B8F" w:rsidRPr="00002B63" w:rsidRDefault="00CF3B8F" w:rsidP="00CF3B8F">
            <w:pPr>
              <w:jc w:val="center"/>
              <w:rPr>
                <w:rFonts w:asciiTheme="minorHAnsi" w:hAnsiTheme="minorHAnsi" w:cstheme="minorHAnsi"/>
                <w:color w:val="000000"/>
              </w:rPr>
            </w:pPr>
            <w:r w:rsidRPr="00002B63">
              <w:rPr>
                <w:rFonts w:asciiTheme="minorHAnsi" w:hAnsiTheme="minorHAnsi" w:cstheme="minorHAnsi"/>
                <w:color w:val="000000"/>
              </w:rPr>
              <w:t>31.12.201</w:t>
            </w:r>
            <w:r w:rsidR="00CB53FC">
              <w:rPr>
                <w:rFonts w:asciiTheme="minorHAnsi" w:hAnsiTheme="minorHAnsi" w:cstheme="minorHAnsi"/>
                <w:color w:val="000000"/>
              </w:rPr>
              <w:t>3</w:t>
            </w:r>
          </w:p>
        </w:tc>
        <w:tc>
          <w:tcPr>
            <w:tcW w:w="1620" w:type="dxa"/>
            <w:gridSpan w:val="2"/>
            <w:tcBorders>
              <w:top w:val="single" w:sz="4" w:space="0" w:color="000000"/>
              <w:bottom w:val="single" w:sz="4" w:space="0" w:color="auto"/>
              <w:right w:val="single" w:sz="18" w:space="0" w:color="auto"/>
            </w:tcBorders>
            <w:shd w:val="clear" w:color="auto" w:fill="CCFFFF"/>
            <w:vAlign w:val="center"/>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4</w:t>
            </w:r>
          </w:p>
        </w:tc>
        <w:tc>
          <w:tcPr>
            <w:tcW w:w="1620" w:type="dxa"/>
            <w:gridSpan w:val="2"/>
            <w:tcBorders>
              <w:top w:val="single" w:sz="4" w:space="0" w:color="000000"/>
              <w:bottom w:val="single" w:sz="4" w:space="0" w:color="auto"/>
            </w:tcBorders>
            <w:shd w:val="clear" w:color="auto" w:fill="CCFFFF"/>
          </w:tcPr>
          <w:p w:rsidR="00CF3B8F" w:rsidRPr="00002B63" w:rsidRDefault="00CF3B8F" w:rsidP="00CF3B8F">
            <w:pPr>
              <w:jc w:val="center"/>
              <w:rPr>
                <w:rFonts w:asciiTheme="minorHAnsi" w:hAnsiTheme="minorHAnsi" w:cstheme="minorHAnsi"/>
                <w:color w:val="000000"/>
              </w:rPr>
            </w:pPr>
            <w:r w:rsidRPr="00002B63">
              <w:rPr>
                <w:rFonts w:asciiTheme="minorHAnsi" w:hAnsiTheme="minorHAnsi" w:cstheme="minorHAnsi"/>
                <w:color w:val="000000"/>
              </w:rPr>
              <w:t>31. 12. 201</w:t>
            </w:r>
            <w:r w:rsidR="00CB53FC">
              <w:rPr>
                <w:rFonts w:asciiTheme="minorHAnsi" w:hAnsiTheme="minorHAnsi" w:cstheme="minorHAnsi"/>
                <w:color w:val="000000"/>
              </w:rPr>
              <w:t>3</w:t>
            </w:r>
          </w:p>
        </w:tc>
        <w:tc>
          <w:tcPr>
            <w:tcW w:w="1620" w:type="dxa"/>
            <w:gridSpan w:val="2"/>
            <w:tcBorders>
              <w:top w:val="single" w:sz="4" w:space="0" w:color="000000"/>
              <w:bottom w:val="sing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4</w:t>
            </w:r>
          </w:p>
        </w:tc>
      </w:tr>
      <w:tr w:rsidR="00CF3B8F" w:rsidRPr="00002B63" w:rsidTr="00DB01AF">
        <w:trPr>
          <w:cantSplit/>
        </w:trPr>
        <w:tc>
          <w:tcPr>
            <w:tcW w:w="2977" w:type="dxa"/>
            <w:vMerge/>
            <w:tcBorders>
              <w:left w:val="double" w:sz="4" w:space="0" w:color="auto"/>
              <w:bottom w:val="double" w:sz="4" w:space="0" w:color="auto"/>
              <w:right w:val="single" w:sz="12" w:space="0" w:color="auto"/>
            </w:tcBorders>
            <w:shd w:val="clear" w:color="auto" w:fill="CCFFFF"/>
          </w:tcPr>
          <w:p w:rsidR="00CF3B8F" w:rsidRPr="00002B63" w:rsidRDefault="00CF3B8F" w:rsidP="00987584">
            <w:pPr>
              <w:jc w:val="both"/>
              <w:rPr>
                <w:rFonts w:asciiTheme="minorHAnsi" w:hAnsiTheme="minorHAnsi" w:cstheme="minorHAnsi"/>
                <w:color w:val="000000"/>
              </w:rPr>
            </w:pPr>
          </w:p>
        </w:tc>
        <w:tc>
          <w:tcPr>
            <w:tcW w:w="851" w:type="dxa"/>
            <w:tcBorders>
              <w:left w:val="nil"/>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color w:val="000000"/>
              </w:rPr>
              <w:t>abs</w:t>
            </w:r>
            <w:r w:rsidRPr="00002B63">
              <w:rPr>
                <w:rFonts w:asciiTheme="minorHAnsi" w:hAnsiTheme="minorHAnsi" w:cstheme="minorHAnsi"/>
                <w:b/>
                <w:color w:val="000000"/>
              </w:rPr>
              <w:t>.</w:t>
            </w:r>
          </w:p>
        </w:tc>
        <w:tc>
          <w:tcPr>
            <w:tcW w:w="672" w:type="dxa"/>
            <w:tcBorders>
              <w:top w:val="single" w:sz="4" w:space="0" w:color="auto"/>
              <w:left w:val="single" w:sz="4" w:space="0" w:color="auto"/>
              <w:bottom w:val="double" w:sz="4" w:space="0" w:color="auto"/>
            </w:tcBorders>
            <w:shd w:val="clear" w:color="auto" w:fill="CCFFFF"/>
          </w:tcPr>
          <w:p w:rsidR="00CF3B8F" w:rsidRPr="00002B63" w:rsidRDefault="00CF3B8F" w:rsidP="00CF3B8F">
            <w:pPr>
              <w:jc w:val="center"/>
              <w:rPr>
                <w:rFonts w:asciiTheme="minorHAnsi" w:hAnsiTheme="minorHAnsi" w:cstheme="minorHAnsi"/>
                <w:color w:val="000000"/>
              </w:rPr>
            </w:pPr>
            <w:r w:rsidRPr="00002B63">
              <w:rPr>
                <w:rFonts w:asciiTheme="minorHAnsi" w:hAnsiTheme="minorHAnsi" w:cstheme="minorHAnsi"/>
                <w:color w:val="000000"/>
              </w:rPr>
              <w:t>v %</w:t>
            </w:r>
          </w:p>
        </w:tc>
        <w:tc>
          <w:tcPr>
            <w:tcW w:w="810" w:type="dxa"/>
            <w:tcBorders>
              <w:top w:val="single" w:sz="4" w:space="0" w:color="auto"/>
              <w:left w:val="nil"/>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810" w:type="dxa"/>
            <w:tcBorders>
              <w:top w:val="single" w:sz="4" w:space="0" w:color="auto"/>
              <w:left w:val="single" w:sz="4" w:space="0" w:color="auto"/>
              <w:bottom w:val="double" w:sz="4" w:space="0" w:color="auto"/>
              <w:right w:val="single" w:sz="18"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810" w:type="dxa"/>
            <w:tcBorders>
              <w:top w:val="single" w:sz="4" w:space="0" w:color="auto"/>
              <w:left w:val="single" w:sz="18" w:space="0" w:color="auto"/>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color w:val="000000"/>
              </w:rPr>
              <w:t>abs</w:t>
            </w:r>
            <w:r w:rsidRPr="00002B63">
              <w:rPr>
                <w:rFonts w:asciiTheme="minorHAnsi" w:hAnsiTheme="minorHAnsi" w:cstheme="minorHAnsi"/>
                <w:b/>
                <w:color w:val="000000"/>
              </w:rPr>
              <w:t>.</w:t>
            </w:r>
          </w:p>
        </w:tc>
        <w:tc>
          <w:tcPr>
            <w:tcW w:w="810" w:type="dxa"/>
            <w:tcBorders>
              <w:top w:val="single" w:sz="4" w:space="0" w:color="auto"/>
              <w:left w:val="single" w:sz="4" w:space="0" w:color="auto"/>
              <w:bottom w:val="double" w:sz="4" w:space="0" w:color="auto"/>
            </w:tcBorders>
            <w:shd w:val="clear" w:color="auto" w:fill="CCFFFF"/>
          </w:tcPr>
          <w:p w:rsidR="00CF3B8F" w:rsidRPr="00002B63" w:rsidRDefault="00CF3B8F" w:rsidP="00CF3B8F">
            <w:pPr>
              <w:jc w:val="center"/>
              <w:rPr>
                <w:rFonts w:asciiTheme="minorHAnsi" w:hAnsiTheme="minorHAnsi" w:cstheme="minorHAnsi"/>
                <w:color w:val="000000"/>
              </w:rPr>
            </w:pPr>
            <w:r w:rsidRPr="00002B63">
              <w:rPr>
                <w:rFonts w:asciiTheme="minorHAnsi" w:hAnsiTheme="minorHAnsi" w:cstheme="minorHAnsi"/>
                <w:color w:val="000000"/>
              </w:rPr>
              <w:t>v %</w:t>
            </w:r>
          </w:p>
        </w:tc>
        <w:tc>
          <w:tcPr>
            <w:tcW w:w="810" w:type="dxa"/>
            <w:tcBorders>
              <w:top w:val="single" w:sz="4" w:space="0" w:color="auto"/>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810" w:type="dxa"/>
            <w:tcBorders>
              <w:top w:val="single" w:sz="4" w:space="0" w:color="auto"/>
              <w:left w:val="single" w:sz="4" w:space="0" w:color="auto"/>
              <w:bottom w:val="doub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r>
      <w:tr w:rsidR="00DF36F6" w:rsidRPr="00002B63" w:rsidTr="00DF36F6">
        <w:trPr>
          <w:cantSplit/>
        </w:trPr>
        <w:tc>
          <w:tcPr>
            <w:tcW w:w="2977" w:type="dxa"/>
            <w:tcBorders>
              <w:top w:val="double" w:sz="4" w:space="0" w:color="auto"/>
              <w:left w:val="double" w:sz="4" w:space="0" w:color="auto"/>
              <w:bottom w:val="single" w:sz="4" w:space="0" w:color="auto"/>
              <w:right w:val="single" w:sz="12" w:space="0" w:color="auto"/>
            </w:tcBorders>
            <w:shd w:val="clear" w:color="auto" w:fill="CCFFFF"/>
            <w:vAlign w:val="center"/>
          </w:tcPr>
          <w:p w:rsidR="00DF36F6" w:rsidRPr="00002B63" w:rsidRDefault="00DF36F6" w:rsidP="00987584">
            <w:pPr>
              <w:pStyle w:val="Zpat"/>
              <w:tabs>
                <w:tab w:val="clear" w:pos="4536"/>
                <w:tab w:val="clear" w:pos="9072"/>
              </w:tabs>
              <w:rPr>
                <w:rFonts w:asciiTheme="minorHAnsi" w:hAnsiTheme="minorHAnsi" w:cstheme="minorHAnsi"/>
                <w:color w:val="000000"/>
                <w:sz w:val="24"/>
                <w:szCs w:val="24"/>
              </w:rPr>
            </w:pPr>
            <w:r w:rsidRPr="00002B63">
              <w:rPr>
                <w:rFonts w:asciiTheme="minorHAnsi" w:hAnsiTheme="minorHAnsi" w:cstheme="minorHAnsi"/>
                <w:color w:val="000000"/>
                <w:sz w:val="24"/>
                <w:szCs w:val="24"/>
              </w:rPr>
              <w:t>ZŠ a nižší</w:t>
            </w:r>
          </w:p>
        </w:tc>
        <w:tc>
          <w:tcPr>
            <w:tcW w:w="851" w:type="dxa"/>
            <w:tcBorders>
              <w:top w:val="double" w:sz="4" w:space="0" w:color="auto"/>
              <w:left w:val="nil"/>
              <w:bottom w:val="single" w:sz="4"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10 949</w:t>
            </w:r>
          </w:p>
        </w:tc>
        <w:tc>
          <w:tcPr>
            <w:tcW w:w="672" w:type="dxa"/>
            <w:tcBorders>
              <w:top w:val="double" w:sz="4" w:space="0" w:color="auto"/>
              <w:left w:val="single" w:sz="4" w:space="0" w:color="auto"/>
              <w:bottom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25,2</w:t>
            </w:r>
          </w:p>
        </w:tc>
        <w:tc>
          <w:tcPr>
            <w:tcW w:w="810" w:type="dxa"/>
            <w:tcBorders>
              <w:top w:val="double" w:sz="4" w:space="0" w:color="auto"/>
              <w:left w:val="nil"/>
              <w:bottom w:val="single" w:sz="4" w:space="0" w:color="auto"/>
              <w:right w:val="single" w:sz="4" w:space="0" w:color="auto"/>
            </w:tcBorders>
            <w:vAlign w:val="center"/>
          </w:tcPr>
          <w:p w:rsidR="00DF36F6" w:rsidRPr="00DF36F6" w:rsidRDefault="00DF36F6" w:rsidP="00DF36F6">
            <w:pPr>
              <w:jc w:val="center"/>
              <w:rPr>
                <w:rFonts w:asciiTheme="minorHAnsi" w:hAnsiTheme="minorHAnsi" w:cstheme="minorHAnsi"/>
              </w:rPr>
            </w:pPr>
            <w:r w:rsidRPr="00DF36F6">
              <w:rPr>
                <w:rFonts w:asciiTheme="minorHAnsi" w:hAnsiTheme="minorHAnsi" w:cstheme="minorHAnsi"/>
              </w:rPr>
              <w:t>10 090</w:t>
            </w:r>
          </w:p>
        </w:tc>
        <w:tc>
          <w:tcPr>
            <w:tcW w:w="810" w:type="dxa"/>
            <w:tcBorders>
              <w:top w:val="double" w:sz="4" w:space="0" w:color="auto"/>
              <w:left w:val="single" w:sz="4" w:space="0" w:color="auto"/>
              <w:bottom w:val="single" w:sz="4" w:space="0" w:color="auto"/>
              <w:right w:val="single" w:sz="18" w:space="0" w:color="auto"/>
            </w:tcBorders>
            <w:vAlign w:val="bottom"/>
          </w:tcPr>
          <w:p w:rsidR="00DF36F6" w:rsidRPr="00002B63" w:rsidRDefault="000B4E27" w:rsidP="007E64DA">
            <w:pPr>
              <w:jc w:val="center"/>
              <w:rPr>
                <w:rFonts w:asciiTheme="minorHAnsi" w:hAnsiTheme="minorHAnsi" w:cstheme="minorHAnsi"/>
                <w:b/>
              </w:rPr>
            </w:pPr>
            <w:r>
              <w:rPr>
                <w:rFonts w:asciiTheme="minorHAnsi" w:hAnsiTheme="minorHAnsi" w:cstheme="minorHAnsi"/>
                <w:b/>
              </w:rPr>
              <w:t>25,9</w:t>
            </w:r>
          </w:p>
        </w:tc>
        <w:tc>
          <w:tcPr>
            <w:tcW w:w="810" w:type="dxa"/>
            <w:tcBorders>
              <w:top w:val="double" w:sz="4" w:space="0" w:color="auto"/>
              <w:left w:val="single" w:sz="18" w:space="0" w:color="auto"/>
              <w:bottom w:val="single" w:sz="4"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5 095</w:t>
            </w:r>
          </w:p>
        </w:tc>
        <w:tc>
          <w:tcPr>
            <w:tcW w:w="810" w:type="dxa"/>
            <w:tcBorders>
              <w:top w:val="double" w:sz="4" w:space="0" w:color="auto"/>
              <w:left w:val="single" w:sz="4" w:space="0" w:color="auto"/>
              <w:bottom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25,0</w:t>
            </w:r>
          </w:p>
        </w:tc>
        <w:tc>
          <w:tcPr>
            <w:tcW w:w="810" w:type="dxa"/>
            <w:tcBorders>
              <w:top w:val="double" w:sz="4" w:space="0" w:color="auto"/>
              <w:bottom w:val="single" w:sz="4" w:space="0" w:color="auto"/>
              <w:right w:val="sing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4 806</w:t>
            </w:r>
          </w:p>
        </w:tc>
        <w:tc>
          <w:tcPr>
            <w:tcW w:w="810" w:type="dxa"/>
            <w:tcBorders>
              <w:top w:val="double" w:sz="4" w:space="0" w:color="auto"/>
              <w:left w:val="single" w:sz="4" w:space="0" w:color="auto"/>
              <w:bottom w:val="single" w:sz="4" w:space="0" w:color="auto"/>
              <w:right w:val="doub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25,5</w:t>
            </w:r>
          </w:p>
        </w:tc>
      </w:tr>
      <w:tr w:rsidR="00DF36F6" w:rsidRPr="00002B63" w:rsidTr="00DF36F6">
        <w:trPr>
          <w:cantSplit/>
        </w:trPr>
        <w:tc>
          <w:tcPr>
            <w:tcW w:w="2977" w:type="dxa"/>
            <w:tcBorders>
              <w:top w:val="single" w:sz="4" w:space="0" w:color="auto"/>
              <w:left w:val="double" w:sz="4" w:space="0" w:color="auto"/>
              <w:right w:val="single" w:sz="12" w:space="0" w:color="auto"/>
            </w:tcBorders>
            <w:shd w:val="clear" w:color="auto" w:fill="CCFFFF"/>
          </w:tcPr>
          <w:p w:rsidR="00DF36F6" w:rsidRPr="00002B63" w:rsidRDefault="00DF36F6" w:rsidP="00987584">
            <w:pPr>
              <w:rPr>
                <w:rFonts w:asciiTheme="minorHAnsi" w:hAnsiTheme="minorHAnsi" w:cstheme="minorHAnsi"/>
                <w:color w:val="000000"/>
              </w:rPr>
            </w:pPr>
            <w:r w:rsidRPr="00002B63">
              <w:rPr>
                <w:rFonts w:asciiTheme="minorHAnsi" w:hAnsiTheme="minorHAnsi" w:cstheme="minorHAnsi"/>
                <w:color w:val="000000"/>
              </w:rPr>
              <w:t xml:space="preserve">střední odborné </w:t>
            </w:r>
          </w:p>
        </w:tc>
        <w:tc>
          <w:tcPr>
            <w:tcW w:w="851" w:type="dxa"/>
            <w:tcBorders>
              <w:left w:val="nil"/>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19 702</w:t>
            </w:r>
          </w:p>
        </w:tc>
        <w:tc>
          <w:tcPr>
            <w:tcW w:w="672"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45,4</w:t>
            </w:r>
          </w:p>
        </w:tc>
        <w:tc>
          <w:tcPr>
            <w:tcW w:w="810" w:type="dxa"/>
            <w:tcBorders>
              <w:left w:val="nil"/>
              <w:right w:val="single" w:sz="4" w:space="0" w:color="auto"/>
            </w:tcBorders>
            <w:vAlign w:val="center"/>
          </w:tcPr>
          <w:p w:rsidR="00DF36F6" w:rsidRPr="00DF36F6" w:rsidRDefault="00DF36F6" w:rsidP="00DF36F6">
            <w:pPr>
              <w:jc w:val="center"/>
              <w:rPr>
                <w:rFonts w:asciiTheme="minorHAnsi" w:hAnsiTheme="minorHAnsi" w:cstheme="minorHAnsi"/>
              </w:rPr>
            </w:pPr>
            <w:r w:rsidRPr="00DF36F6">
              <w:rPr>
                <w:rFonts w:asciiTheme="minorHAnsi" w:hAnsiTheme="minorHAnsi" w:cstheme="minorHAnsi"/>
              </w:rPr>
              <w:t>17 442</w:t>
            </w:r>
          </w:p>
        </w:tc>
        <w:tc>
          <w:tcPr>
            <w:tcW w:w="810" w:type="dxa"/>
            <w:tcBorders>
              <w:left w:val="single" w:sz="4" w:space="0" w:color="auto"/>
              <w:right w:val="single" w:sz="18" w:space="0" w:color="auto"/>
            </w:tcBorders>
            <w:vAlign w:val="bottom"/>
          </w:tcPr>
          <w:p w:rsidR="00DF36F6" w:rsidRPr="00002B63" w:rsidRDefault="000B4E27" w:rsidP="007E64DA">
            <w:pPr>
              <w:jc w:val="center"/>
              <w:rPr>
                <w:rFonts w:asciiTheme="minorHAnsi" w:hAnsiTheme="minorHAnsi" w:cstheme="minorHAnsi"/>
                <w:b/>
              </w:rPr>
            </w:pPr>
            <w:r>
              <w:rPr>
                <w:rFonts w:asciiTheme="minorHAnsi" w:hAnsiTheme="minorHAnsi" w:cstheme="minorHAnsi"/>
                <w:b/>
              </w:rPr>
              <w:t>44,7</w:t>
            </w:r>
          </w:p>
        </w:tc>
        <w:tc>
          <w:tcPr>
            <w:tcW w:w="810" w:type="dxa"/>
            <w:tcBorders>
              <w:left w:val="single" w:sz="18"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7 959</w:t>
            </w:r>
          </w:p>
        </w:tc>
        <w:tc>
          <w:tcPr>
            <w:tcW w:w="810"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39,0</w:t>
            </w:r>
          </w:p>
        </w:tc>
        <w:tc>
          <w:tcPr>
            <w:tcW w:w="810" w:type="dxa"/>
            <w:tcBorders>
              <w:right w:val="sing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7 316</w:t>
            </w:r>
          </w:p>
        </w:tc>
        <w:tc>
          <w:tcPr>
            <w:tcW w:w="810" w:type="dxa"/>
            <w:tcBorders>
              <w:left w:val="single" w:sz="4" w:space="0" w:color="auto"/>
              <w:right w:val="doub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38,9</w:t>
            </w:r>
          </w:p>
        </w:tc>
      </w:tr>
      <w:tr w:rsidR="00DF36F6" w:rsidRPr="00002B63" w:rsidTr="00DF36F6">
        <w:trPr>
          <w:cantSplit/>
        </w:trPr>
        <w:tc>
          <w:tcPr>
            <w:tcW w:w="2977" w:type="dxa"/>
            <w:tcBorders>
              <w:top w:val="single" w:sz="4" w:space="0" w:color="auto"/>
              <w:left w:val="double" w:sz="4" w:space="0" w:color="auto"/>
              <w:right w:val="single" w:sz="12" w:space="0" w:color="auto"/>
            </w:tcBorders>
            <w:shd w:val="clear" w:color="auto" w:fill="CCFFFF"/>
          </w:tcPr>
          <w:p w:rsidR="00DF36F6" w:rsidRPr="00002B63" w:rsidRDefault="00DF36F6" w:rsidP="00987584">
            <w:pPr>
              <w:rPr>
                <w:rFonts w:asciiTheme="minorHAnsi" w:hAnsiTheme="minorHAnsi" w:cstheme="minorHAnsi"/>
                <w:color w:val="000000"/>
              </w:rPr>
            </w:pPr>
            <w:r w:rsidRPr="00002B63">
              <w:rPr>
                <w:rFonts w:asciiTheme="minorHAnsi" w:hAnsiTheme="minorHAnsi" w:cstheme="minorHAnsi"/>
                <w:color w:val="000000"/>
              </w:rPr>
              <w:t>střední odborné s matur</w:t>
            </w:r>
            <w:r>
              <w:rPr>
                <w:rFonts w:asciiTheme="minorHAnsi" w:hAnsiTheme="minorHAnsi" w:cstheme="minorHAnsi"/>
                <w:color w:val="000000"/>
              </w:rPr>
              <w:t>itou</w:t>
            </w:r>
          </w:p>
        </w:tc>
        <w:tc>
          <w:tcPr>
            <w:tcW w:w="851" w:type="dxa"/>
            <w:tcBorders>
              <w:left w:val="nil"/>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9 873</w:t>
            </w:r>
          </w:p>
        </w:tc>
        <w:tc>
          <w:tcPr>
            <w:tcW w:w="672"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22,8</w:t>
            </w:r>
          </w:p>
        </w:tc>
        <w:tc>
          <w:tcPr>
            <w:tcW w:w="810" w:type="dxa"/>
            <w:tcBorders>
              <w:left w:val="nil"/>
              <w:right w:val="single" w:sz="4" w:space="0" w:color="auto"/>
            </w:tcBorders>
            <w:vAlign w:val="center"/>
          </w:tcPr>
          <w:p w:rsidR="00DF36F6" w:rsidRPr="00DF36F6" w:rsidRDefault="00DF36F6" w:rsidP="00DF36F6">
            <w:pPr>
              <w:jc w:val="center"/>
              <w:rPr>
                <w:rFonts w:asciiTheme="minorHAnsi" w:hAnsiTheme="minorHAnsi" w:cstheme="minorHAnsi"/>
              </w:rPr>
            </w:pPr>
            <w:r w:rsidRPr="00DF36F6">
              <w:rPr>
                <w:rFonts w:asciiTheme="minorHAnsi" w:hAnsiTheme="minorHAnsi" w:cstheme="minorHAnsi"/>
              </w:rPr>
              <w:t>8 915</w:t>
            </w:r>
          </w:p>
        </w:tc>
        <w:tc>
          <w:tcPr>
            <w:tcW w:w="810" w:type="dxa"/>
            <w:tcBorders>
              <w:left w:val="single" w:sz="4" w:space="0" w:color="auto"/>
              <w:right w:val="single" w:sz="18" w:space="0" w:color="auto"/>
            </w:tcBorders>
            <w:vAlign w:val="bottom"/>
          </w:tcPr>
          <w:p w:rsidR="00DF36F6" w:rsidRPr="00002B63" w:rsidRDefault="000B4E27" w:rsidP="007E64DA">
            <w:pPr>
              <w:jc w:val="center"/>
              <w:rPr>
                <w:rFonts w:asciiTheme="minorHAnsi" w:hAnsiTheme="minorHAnsi" w:cstheme="minorHAnsi"/>
                <w:b/>
              </w:rPr>
            </w:pPr>
            <w:r>
              <w:rPr>
                <w:rFonts w:asciiTheme="minorHAnsi" w:hAnsiTheme="minorHAnsi" w:cstheme="minorHAnsi"/>
                <w:b/>
              </w:rPr>
              <w:t>22,9</w:t>
            </w:r>
          </w:p>
        </w:tc>
        <w:tc>
          <w:tcPr>
            <w:tcW w:w="810" w:type="dxa"/>
            <w:tcBorders>
              <w:left w:val="single" w:sz="18"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5 743</w:t>
            </w:r>
          </w:p>
        </w:tc>
        <w:tc>
          <w:tcPr>
            <w:tcW w:w="810"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28,2</w:t>
            </w:r>
          </w:p>
        </w:tc>
        <w:tc>
          <w:tcPr>
            <w:tcW w:w="810" w:type="dxa"/>
            <w:tcBorders>
              <w:right w:val="sing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5 313</w:t>
            </w:r>
          </w:p>
        </w:tc>
        <w:tc>
          <w:tcPr>
            <w:tcW w:w="810" w:type="dxa"/>
            <w:tcBorders>
              <w:left w:val="single" w:sz="4" w:space="0" w:color="auto"/>
              <w:right w:val="doub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28,2</w:t>
            </w:r>
          </w:p>
        </w:tc>
      </w:tr>
      <w:tr w:rsidR="00DF36F6" w:rsidRPr="00002B63" w:rsidTr="00DF36F6">
        <w:trPr>
          <w:cantSplit/>
        </w:trPr>
        <w:tc>
          <w:tcPr>
            <w:tcW w:w="2977" w:type="dxa"/>
            <w:tcBorders>
              <w:top w:val="single" w:sz="4" w:space="0" w:color="auto"/>
              <w:left w:val="double" w:sz="4" w:space="0" w:color="auto"/>
              <w:right w:val="single" w:sz="12" w:space="0" w:color="auto"/>
            </w:tcBorders>
            <w:shd w:val="clear" w:color="auto" w:fill="CCFFFF"/>
          </w:tcPr>
          <w:p w:rsidR="00DF36F6" w:rsidRPr="00002B63" w:rsidRDefault="00DF36F6" w:rsidP="00987584">
            <w:pPr>
              <w:rPr>
                <w:rFonts w:asciiTheme="minorHAnsi" w:hAnsiTheme="minorHAnsi" w:cstheme="minorHAnsi"/>
                <w:color w:val="000000"/>
              </w:rPr>
            </w:pPr>
            <w:r w:rsidRPr="00002B63">
              <w:rPr>
                <w:rFonts w:asciiTheme="minorHAnsi" w:hAnsiTheme="minorHAnsi" w:cstheme="minorHAnsi"/>
                <w:color w:val="000000"/>
              </w:rPr>
              <w:t>vyšší odborné vzdělání</w:t>
            </w:r>
          </w:p>
        </w:tc>
        <w:tc>
          <w:tcPr>
            <w:tcW w:w="851" w:type="dxa"/>
            <w:tcBorders>
              <w:left w:val="nil"/>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356</w:t>
            </w:r>
          </w:p>
        </w:tc>
        <w:tc>
          <w:tcPr>
            <w:tcW w:w="672"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0,8</w:t>
            </w:r>
          </w:p>
        </w:tc>
        <w:tc>
          <w:tcPr>
            <w:tcW w:w="810" w:type="dxa"/>
            <w:tcBorders>
              <w:left w:val="nil"/>
              <w:right w:val="single" w:sz="4" w:space="0" w:color="auto"/>
            </w:tcBorders>
            <w:vAlign w:val="center"/>
          </w:tcPr>
          <w:p w:rsidR="00DF36F6" w:rsidRPr="00DF36F6" w:rsidRDefault="00DF36F6" w:rsidP="00DF36F6">
            <w:pPr>
              <w:jc w:val="center"/>
              <w:rPr>
                <w:rFonts w:asciiTheme="minorHAnsi" w:hAnsiTheme="minorHAnsi" w:cstheme="minorHAnsi"/>
              </w:rPr>
            </w:pPr>
            <w:r w:rsidRPr="00DF36F6">
              <w:rPr>
                <w:rFonts w:asciiTheme="minorHAnsi" w:hAnsiTheme="minorHAnsi" w:cstheme="minorHAnsi"/>
              </w:rPr>
              <w:t>306</w:t>
            </w:r>
          </w:p>
        </w:tc>
        <w:tc>
          <w:tcPr>
            <w:tcW w:w="810" w:type="dxa"/>
            <w:tcBorders>
              <w:left w:val="single" w:sz="4" w:space="0" w:color="auto"/>
              <w:right w:val="single" w:sz="18" w:space="0" w:color="auto"/>
            </w:tcBorders>
            <w:vAlign w:val="bottom"/>
          </w:tcPr>
          <w:p w:rsidR="00DF36F6" w:rsidRPr="00002B63" w:rsidRDefault="000B4E27" w:rsidP="007E64DA">
            <w:pPr>
              <w:jc w:val="center"/>
              <w:rPr>
                <w:rFonts w:asciiTheme="minorHAnsi" w:hAnsiTheme="minorHAnsi" w:cstheme="minorHAnsi"/>
                <w:b/>
              </w:rPr>
            </w:pPr>
            <w:r>
              <w:rPr>
                <w:rFonts w:asciiTheme="minorHAnsi" w:hAnsiTheme="minorHAnsi" w:cstheme="minorHAnsi"/>
                <w:b/>
              </w:rPr>
              <w:t>0,8</w:t>
            </w:r>
          </w:p>
        </w:tc>
        <w:tc>
          <w:tcPr>
            <w:tcW w:w="810" w:type="dxa"/>
            <w:tcBorders>
              <w:left w:val="single" w:sz="18"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258</w:t>
            </w:r>
          </w:p>
        </w:tc>
        <w:tc>
          <w:tcPr>
            <w:tcW w:w="810"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1,3</w:t>
            </w:r>
          </w:p>
        </w:tc>
        <w:tc>
          <w:tcPr>
            <w:tcW w:w="810" w:type="dxa"/>
            <w:tcBorders>
              <w:right w:val="sing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212</w:t>
            </w:r>
          </w:p>
        </w:tc>
        <w:tc>
          <w:tcPr>
            <w:tcW w:w="810" w:type="dxa"/>
            <w:tcBorders>
              <w:left w:val="single" w:sz="4" w:space="0" w:color="auto"/>
              <w:right w:val="doub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1,1</w:t>
            </w:r>
          </w:p>
        </w:tc>
      </w:tr>
      <w:tr w:rsidR="00DF36F6" w:rsidRPr="00002B63" w:rsidTr="00DF36F6">
        <w:trPr>
          <w:cantSplit/>
        </w:trPr>
        <w:tc>
          <w:tcPr>
            <w:tcW w:w="2977" w:type="dxa"/>
            <w:tcBorders>
              <w:top w:val="single" w:sz="4" w:space="0" w:color="auto"/>
              <w:left w:val="double" w:sz="4" w:space="0" w:color="auto"/>
              <w:right w:val="single" w:sz="12" w:space="0" w:color="auto"/>
            </w:tcBorders>
            <w:shd w:val="clear" w:color="auto" w:fill="CCFFFF"/>
          </w:tcPr>
          <w:p w:rsidR="00DF36F6" w:rsidRPr="00002B63" w:rsidRDefault="00DF36F6" w:rsidP="00987584">
            <w:pPr>
              <w:rPr>
                <w:rFonts w:asciiTheme="minorHAnsi" w:hAnsiTheme="minorHAnsi" w:cstheme="minorHAnsi"/>
                <w:color w:val="000000"/>
              </w:rPr>
            </w:pPr>
            <w:r w:rsidRPr="00002B63">
              <w:rPr>
                <w:rFonts w:asciiTheme="minorHAnsi" w:hAnsiTheme="minorHAnsi" w:cstheme="minorHAnsi"/>
                <w:color w:val="000000"/>
              </w:rPr>
              <w:t>vysokoškolské</w:t>
            </w:r>
          </w:p>
        </w:tc>
        <w:tc>
          <w:tcPr>
            <w:tcW w:w="851" w:type="dxa"/>
            <w:tcBorders>
              <w:left w:val="nil"/>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2 484</w:t>
            </w:r>
          </w:p>
        </w:tc>
        <w:tc>
          <w:tcPr>
            <w:tcW w:w="672"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5,7</w:t>
            </w:r>
          </w:p>
        </w:tc>
        <w:tc>
          <w:tcPr>
            <w:tcW w:w="810" w:type="dxa"/>
            <w:tcBorders>
              <w:left w:val="nil"/>
              <w:right w:val="single" w:sz="4" w:space="0" w:color="auto"/>
            </w:tcBorders>
            <w:vAlign w:val="center"/>
          </w:tcPr>
          <w:p w:rsidR="00DF36F6" w:rsidRPr="00DF36F6" w:rsidRDefault="00DF36F6" w:rsidP="00DF36F6">
            <w:pPr>
              <w:jc w:val="center"/>
              <w:rPr>
                <w:rFonts w:asciiTheme="minorHAnsi" w:hAnsiTheme="minorHAnsi" w:cstheme="minorHAnsi"/>
              </w:rPr>
            </w:pPr>
            <w:r w:rsidRPr="00DF36F6">
              <w:rPr>
                <w:rFonts w:asciiTheme="minorHAnsi" w:hAnsiTheme="minorHAnsi" w:cstheme="minorHAnsi"/>
              </w:rPr>
              <w:t>2 237</w:t>
            </w:r>
          </w:p>
        </w:tc>
        <w:tc>
          <w:tcPr>
            <w:tcW w:w="810" w:type="dxa"/>
            <w:tcBorders>
              <w:left w:val="single" w:sz="4" w:space="0" w:color="auto"/>
              <w:right w:val="single" w:sz="18" w:space="0" w:color="auto"/>
            </w:tcBorders>
            <w:vAlign w:val="bottom"/>
          </w:tcPr>
          <w:p w:rsidR="00DF36F6" w:rsidRPr="00002B63" w:rsidRDefault="000B4E27" w:rsidP="007E64DA">
            <w:pPr>
              <w:jc w:val="center"/>
              <w:rPr>
                <w:rFonts w:asciiTheme="minorHAnsi" w:hAnsiTheme="minorHAnsi" w:cstheme="minorHAnsi"/>
                <w:b/>
              </w:rPr>
            </w:pPr>
            <w:r>
              <w:rPr>
                <w:rFonts w:asciiTheme="minorHAnsi" w:hAnsiTheme="minorHAnsi" w:cstheme="minorHAnsi"/>
                <w:b/>
              </w:rPr>
              <w:t>5,7</w:t>
            </w:r>
          </w:p>
        </w:tc>
        <w:tc>
          <w:tcPr>
            <w:tcW w:w="810" w:type="dxa"/>
            <w:tcBorders>
              <w:left w:val="single" w:sz="18"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1 331</w:t>
            </w:r>
          </w:p>
        </w:tc>
        <w:tc>
          <w:tcPr>
            <w:tcW w:w="810" w:type="dxa"/>
            <w:tcBorders>
              <w:lef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6,5</w:t>
            </w:r>
          </w:p>
        </w:tc>
        <w:tc>
          <w:tcPr>
            <w:tcW w:w="810" w:type="dxa"/>
            <w:tcBorders>
              <w:right w:val="sing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1 175</w:t>
            </w:r>
          </w:p>
        </w:tc>
        <w:tc>
          <w:tcPr>
            <w:tcW w:w="810" w:type="dxa"/>
            <w:tcBorders>
              <w:left w:val="single" w:sz="4" w:space="0" w:color="auto"/>
              <w:right w:val="doub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6,2</w:t>
            </w:r>
          </w:p>
        </w:tc>
      </w:tr>
      <w:tr w:rsidR="00DF36F6" w:rsidRPr="00002B63" w:rsidTr="00DF36F6">
        <w:trPr>
          <w:cantSplit/>
        </w:trPr>
        <w:tc>
          <w:tcPr>
            <w:tcW w:w="2977" w:type="dxa"/>
            <w:tcBorders>
              <w:top w:val="single" w:sz="12" w:space="0" w:color="auto"/>
              <w:left w:val="double" w:sz="4" w:space="0" w:color="auto"/>
              <w:bottom w:val="double" w:sz="4" w:space="0" w:color="auto"/>
              <w:right w:val="single" w:sz="12" w:space="0" w:color="auto"/>
            </w:tcBorders>
            <w:shd w:val="clear" w:color="auto" w:fill="CCFFFF"/>
          </w:tcPr>
          <w:p w:rsidR="00DF36F6" w:rsidRPr="00002B63" w:rsidRDefault="00DF36F6" w:rsidP="00987584">
            <w:pPr>
              <w:rPr>
                <w:rFonts w:asciiTheme="minorHAnsi" w:hAnsiTheme="minorHAnsi" w:cstheme="minorHAnsi"/>
                <w:b/>
                <w:color w:val="000000"/>
              </w:rPr>
            </w:pPr>
            <w:r w:rsidRPr="00002B63">
              <w:rPr>
                <w:rFonts w:asciiTheme="minorHAnsi" w:hAnsiTheme="minorHAnsi" w:cstheme="minorHAnsi"/>
                <w:b/>
                <w:color w:val="000000"/>
              </w:rPr>
              <w:t>Celkem</w:t>
            </w:r>
          </w:p>
        </w:tc>
        <w:tc>
          <w:tcPr>
            <w:tcW w:w="851" w:type="dxa"/>
            <w:tcBorders>
              <w:top w:val="single" w:sz="12" w:space="0" w:color="auto"/>
              <w:left w:val="nil"/>
              <w:bottom w:val="double" w:sz="4"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43 364</w:t>
            </w:r>
          </w:p>
        </w:tc>
        <w:tc>
          <w:tcPr>
            <w:tcW w:w="672" w:type="dxa"/>
            <w:tcBorders>
              <w:top w:val="single" w:sz="12" w:space="0" w:color="auto"/>
              <w:left w:val="single" w:sz="4" w:space="0" w:color="auto"/>
              <w:bottom w:val="doub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100</w:t>
            </w:r>
          </w:p>
        </w:tc>
        <w:tc>
          <w:tcPr>
            <w:tcW w:w="810" w:type="dxa"/>
            <w:tcBorders>
              <w:top w:val="single" w:sz="12" w:space="0" w:color="auto"/>
              <w:left w:val="nil"/>
              <w:bottom w:val="double" w:sz="4" w:space="0" w:color="auto"/>
              <w:right w:val="single" w:sz="4" w:space="0" w:color="auto"/>
            </w:tcBorders>
            <w:vAlign w:val="center"/>
          </w:tcPr>
          <w:p w:rsidR="00DF36F6" w:rsidRPr="00DF36F6" w:rsidRDefault="00DF36F6" w:rsidP="00DF36F6">
            <w:pPr>
              <w:jc w:val="center"/>
              <w:rPr>
                <w:rFonts w:asciiTheme="minorHAnsi" w:hAnsiTheme="minorHAnsi" w:cstheme="minorHAnsi"/>
              </w:rPr>
            </w:pPr>
            <w:r w:rsidRPr="00DF36F6">
              <w:rPr>
                <w:rFonts w:asciiTheme="minorHAnsi" w:hAnsiTheme="minorHAnsi" w:cstheme="minorHAnsi"/>
              </w:rPr>
              <w:t>38 990</w:t>
            </w:r>
          </w:p>
        </w:tc>
        <w:tc>
          <w:tcPr>
            <w:tcW w:w="810" w:type="dxa"/>
            <w:tcBorders>
              <w:top w:val="single" w:sz="12" w:space="0" w:color="auto"/>
              <w:left w:val="single" w:sz="4" w:space="0" w:color="auto"/>
              <w:bottom w:val="double" w:sz="4" w:space="0" w:color="auto"/>
              <w:right w:val="single" w:sz="18" w:space="0" w:color="auto"/>
            </w:tcBorders>
            <w:vAlign w:val="bottom"/>
          </w:tcPr>
          <w:p w:rsidR="00DF36F6" w:rsidRPr="00002B63" w:rsidRDefault="000B4E27" w:rsidP="007E64DA">
            <w:pPr>
              <w:jc w:val="center"/>
              <w:rPr>
                <w:rFonts w:asciiTheme="minorHAnsi" w:hAnsiTheme="minorHAnsi" w:cstheme="minorHAnsi"/>
                <w:b/>
              </w:rPr>
            </w:pPr>
            <w:r>
              <w:rPr>
                <w:rFonts w:asciiTheme="minorHAnsi" w:hAnsiTheme="minorHAnsi" w:cstheme="minorHAnsi"/>
                <w:b/>
              </w:rPr>
              <w:t>100</w:t>
            </w:r>
          </w:p>
        </w:tc>
        <w:tc>
          <w:tcPr>
            <w:tcW w:w="810" w:type="dxa"/>
            <w:tcBorders>
              <w:top w:val="single" w:sz="12" w:space="0" w:color="auto"/>
              <w:left w:val="single" w:sz="18" w:space="0" w:color="auto"/>
              <w:bottom w:val="double" w:sz="4" w:space="0" w:color="auto"/>
              <w:right w:val="sing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20 386</w:t>
            </w:r>
          </w:p>
        </w:tc>
        <w:tc>
          <w:tcPr>
            <w:tcW w:w="810" w:type="dxa"/>
            <w:tcBorders>
              <w:top w:val="single" w:sz="12" w:space="0" w:color="auto"/>
              <w:left w:val="single" w:sz="4" w:space="0" w:color="auto"/>
              <w:bottom w:val="double" w:sz="4" w:space="0" w:color="auto"/>
            </w:tcBorders>
            <w:vAlign w:val="bottom"/>
          </w:tcPr>
          <w:p w:rsidR="00DF36F6" w:rsidRPr="00CB53FC" w:rsidRDefault="00DF36F6" w:rsidP="00CB53FC">
            <w:pPr>
              <w:jc w:val="center"/>
              <w:rPr>
                <w:rFonts w:asciiTheme="minorHAnsi" w:hAnsiTheme="minorHAnsi" w:cstheme="minorHAnsi"/>
              </w:rPr>
            </w:pPr>
            <w:r w:rsidRPr="00CB53FC">
              <w:rPr>
                <w:rFonts w:asciiTheme="minorHAnsi" w:hAnsiTheme="minorHAnsi" w:cstheme="minorHAnsi"/>
              </w:rPr>
              <w:t>100</w:t>
            </w:r>
          </w:p>
        </w:tc>
        <w:tc>
          <w:tcPr>
            <w:tcW w:w="810" w:type="dxa"/>
            <w:tcBorders>
              <w:top w:val="single" w:sz="12" w:space="0" w:color="auto"/>
              <w:bottom w:val="double" w:sz="4" w:space="0" w:color="auto"/>
              <w:right w:val="sing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18 822</w:t>
            </w:r>
          </w:p>
        </w:tc>
        <w:tc>
          <w:tcPr>
            <w:tcW w:w="810" w:type="dxa"/>
            <w:tcBorders>
              <w:top w:val="single" w:sz="12" w:space="0" w:color="auto"/>
              <w:left w:val="single" w:sz="4" w:space="0" w:color="auto"/>
              <w:bottom w:val="double" w:sz="4" w:space="0" w:color="auto"/>
              <w:right w:val="double" w:sz="4" w:space="0" w:color="auto"/>
            </w:tcBorders>
            <w:vAlign w:val="bottom"/>
          </w:tcPr>
          <w:p w:rsidR="00DF36F6" w:rsidRPr="00002B63" w:rsidRDefault="009812CA" w:rsidP="007E64DA">
            <w:pPr>
              <w:jc w:val="center"/>
              <w:rPr>
                <w:rFonts w:asciiTheme="minorHAnsi" w:hAnsiTheme="minorHAnsi" w:cstheme="minorHAnsi"/>
                <w:b/>
              </w:rPr>
            </w:pPr>
            <w:r>
              <w:rPr>
                <w:rFonts w:asciiTheme="minorHAnsi" w:hAnsiTheme="minorHAnsi" w:cstheme="minorHAnsi"/>
                <w:b/>
              </w:rPr>
              <w:t>100</w:t>
            </w:r>
          </w:p>
        </w:tc>
      </w:tr>
    </w:tbl>
    <w:p w:rsidR="00987584" w:rsidRPr="00002B63" w:rsidRDefault="00987584" w:rsidP="00987584">
      <w:pPr>
        <w:rPr>
          <w:rFonts w:asciiTheme="minorHAnsi" w:hAnsiTheme="minorHAnsi" w:cstheme="minorHAnsi"/>
          <w:color w:val="000000"/>
          <w:sz w:val="16"/>
        </w:rPr>
      </w:pPr>
      <w:r w:rsidRPr="00002B63">
        <w:rPr>
          <w:rFonts w:asciiTheme="minorHAnsi" w:hAnsiTheme="minorHAnsi" w:cstheme="minorHAnsi"/>
          <w:color w:val="000000"/>
          <w:sz w:val="16"/>
        </w:rPr>
        <w:t xml:space="preserve"> Údaje ze čtvrtletní statistiky</w:t>
      </w:r>
    </w:p>
    <w:p w:rsidR="00D67625" w:rsidRPr="00002B63" w:rsidRDefault="00D67625" w:rsidP="00D67625">
      <w:pPr>
        <w:adjustRightInd w:val="0"/>
        <w:ind w:firstLine="720"/>
        <w:jc w:val="both"/>
        <w:rPr>
          <w:rFonts w:asciiTheme="minorHAnsi" w:hAnsiTheme="minorHAnsi" w:cstheme="minorHAnsi"/>
          <w:b/>
          <w:i/>
        </w:rPr>
      </w:pPr>
    </w:p>
    <w:p w:rsidR="00207B4D" w:rsidRPr="00FD480B" w:rsidRDefault="00FF66D9" w:rsidP="00D67625">
      <w:pPr>
        <w:adjustRightInd w:val="0"/>
        <w:ind w:firstLine="720"/>
        <w:jc w:val="both"/>
        <w:rPr>
          <w:rFonts w:asciiTheme="minorHAnsi" w:hAnsiTheme="minorHAnsi" w:cstheme="minorHAnsi"/>
          <w:color w:val="000000" w:themeColor="text1"/>
        </w:rPr>
      </w:pPr>
      <w:r w:rsidRPr="00FD480B">
        <w:rPr>
          <w:rFonts w:asciiTheme="minorHAnsi" w:hAnsiTheme="minorHAnsi" w:cstheme="minorHAnsi"/>
          <w:b/>
          <w:color w:val="000000" w:themeColor="text1"/>
        </w:rPr>
        <w:t xml:space="preserve">Ve srovnání s předchozím rokem se vzdělanostní struktura uchazečů o zaměstnání prakticky nezměnila. </w:t>
      </w:r>
      <w:r w:rsidRPr="00FD480B">
        <w:rPr>
          <w:rFonts w:asciiTheme="minorHAnsi" w:hAnsiTheme="minorHAnsi" w:cstheme="minorHAnsi"/>
          <w:color w:val="000000" w:themeColor="text1"/>
        </w:rPr>
        <w:t xml:space="preserve">Ve srovnání s rokem 2007 ale pozorujeme už znatelné změny – během krize </w:t>
      </w:r>
      <w:r w:rsidR="007566D9" w:rsidRPr="00FD480B">
        <w:rPr>
          <w:rFonts w:asciiTheme="minorHAnsi" w:hAnsiTheme="minorHAnsi" w:cstheme="minorHAnsi"/>
          <w:color w:val="000000" w:themeColor="text1"/>
        </w:rPr>
        <w:t xml:space="preserve">o cca 5 p. b. klesl podíl uchazečů se základním vzděláním a komplementárně se zvýšil </w:t>
      </w:r>
      <w:r w:rsidR="003E00EB" w:rsidRPr="00FD480B">
        <w:rPr>
          <w:rFonts w:asciiTheme="minorHAnsi" w:hAnsiTheme="minorHAnsi" w:cstheme="minorHAnsi"/>
          <w:color w:val="000000" w:themeColor="text1"/>
        </w:rPr>
        <w:t xml:space="preserve">zejména </w:t>
      </w:r>
      <w:r w:rsidR="007566D9" w:rsidRPr="00FD480B">
        <w:rPr>
          <w:rFonts w:asciiTheme="minorHAnsi" w:hAnsiTheme="minorHAnsi" w:cstheme="minorHAnsi"/>
          <w:color w:val="000000" w:themeColor="text1"/>
        </w:rPr>
        <w:t>podíl vyučenců</w:t>
      </w:r>
      <w:r w:rsidR="00B3092D" w:rsidRPr="00FD480B">
        <w:rPr>
          <w:rFonts w:asciiTheme="minorHAnsi" w:hAnsiTheme="minorHAnsi" w:cstheme="minorHAnsi"/>
          <w:color w:val="000000" w:themeColor="text1"/>
        </w:rPr>
        <w:t xml:space="preserve"> a </w:t>
      </w:r>
      <w:r w:rsidR="003E00EB" w:rsidRPr="00FD480B">
        <w:rPr>
          <w:rFonts w:asciiTheme="minorHAnsi" w:hAnsiTheme="minorHAnsi" w:cstheme="minorHAnsi"/>
          <w:color w:val="000000" w:themeColor="text1"/>
        </w:rPr>
        <w:t>mírně i</w:t>
      </w:r>
      <w:r w:rsidR="00FD480B" w:rsidRPr="00FD480B">
        <w:rPr>
          <w:rFonts w:asciiTheme="minorHAnsi" w:hAnsiTheme="minorHAnsi" w:cstheme="minorHAnsi"/>
          <w:color w:val="000000" w:themeColor="text1"/>
        </w:rPr>
        <w:t xml:space="preserve"> vysokoškoláků a středoškoláků – a toto změněné procentuální rozložení jednotlivých vzdělanostních skupin přetrvává i nadále.</w:t>
      </w:r>
    </w:p>
    <w:p w:rsidR="00DB01AF" w:rsidRDefault="00DB01AF" w:rsidP="00D67625">
      <w:pPr>
        <w:adjustRightInd w:val="0"/>
        <w:ind w:firstLine="720"/>
        <w:jc w:val="both"/>
        <w:rPr>
          <w:rFonts w:asciiTheme="minorHAnsi" w:hAnsiTheme="minorHAnsi" w:cstheme="minorHAnsi"/>
          <w:i/>
          <w:color w:val="000000" w:themeColor="text1"/>
        </w:rPr>
      </w:pPr>
    </w:p>
    <w:p w:rsidR="00987584" w:rsidRPr="00002B63" w:rsidRDefault="00987584" w:rsidP="00987584">
      <w:pPr>
        <w:spacing w:before="120"/>
        <w:jc w:val="both"/>
        <w:rPr>
          <w:rFonts w:asciiTheme="minorHAnsi" w:hAnsiTheme="minorHAnsi" w:cstheme="minorHAnsi"/>
          <w:color w:val="000000"/>
        </w:rPr>
      </w:pPr>
      <w:r w:rsidRPr="00002B63">
        <w:rPr>
          <w:rFonts w:asciiTheme="minorHAnsi" w:hAnsiTheme="minorHAnsi" w:cstheme="minorHAnsi"/>
          <w:b/>
          <w:color w:val="000000"/>
        </w:rPr>
        <w:lastRenderedPageBreak/>
        <w:t xml:space="preserve">Tabulka </w:t>
      </w:r>
      <w:r w:rsidR="00641144" w:rsidRPr="00002B63">
        <w:rPr>
          <w:rFonts w:asciiTheme="minorHAnsi" w:hAnsiTheme="minorHAnsi" w:cstheme="minorHAnsi"/>
          <w:b/>
          <w:color w:val="000000"/>
        </w:rPr>
        <w:t>5</w:t>
      </w:r>
      <w:r w:rsidRPr="00002B63">
        <w:rPr>
          <w:rFonts w:asciiTheme="minorHAnsi" w:hAnsiTheme="minorHAnsi" w:cstheme="minorHAnsi"/>
          <w:color w:val="000000"/>
        </w:rPr>
        <w:t xml:space="preserve"> - Věková struktura uchazečů o zaměstnání v Olomouckém kraji</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012"/>
        <w:gridCol w:w="1013"/>
        <w:gridCol w:w="1012"/>
        <w:gridCol w:w="1013"/>
        <w:gridCol w:w="1012"/>
        <w:gridCol w:w="1013"/>
        <w:gridCol w:w="1012"/>
        <w:gridCol w:w="1013"/>
      </w:tblGrid>
      <w:tr w:rsidR="00987584" w:rsidRPr="00002B63">
        <w:trPr>
          <w:cantSplit/>
          <w:trHeight w:val="204"/>
        </w:trPr>
        <w:tc>
          <w:tcPr>
            <w:tcW w:w="1260" w:type="dxa"/>
            <w:vMerge w:val="restart"/>
            <w:tcBorders>
              <w:top w:val="double" w:sz="4" w:space="0" w:color="auto"/>
              <w:left w:val="double" w:sz="4" w:space="0" w:color="auto"/>
              <w:right w:val="single" w:sz="12" w:space="0" w:color="auto"/>
            </w:tcBorders>
            <w:shd w:val="clear" w:color="auto" w:fill="CCFFFF"/>
            <w:vAlign w:val="center"/>
          </w:tcPr>
          <w:p w:rsidR="00987584" w:rsidRPr="00002B63" w:rsidRDefault="002D3945" w:rsidP="002D3945">
            <w:pPr>
              <w:jc w:val="center"/>
              <w:rPr>
                <w:rFonts w:asciiTheme="minorHAnsi" w:hAnsiTheme="minorHAnsi" w:cstheme="minorHAnsi"/>
                <w:b/>
                <w:color w:val="000000"/>
              </w:rPr>
            </w:pPr>
            <w:r w:rsidRPr="00002B63">
              <w:rPr>
                <w:rFonts w:asciiTheme="minorHAnsi" w:hAnsiTheme="minorHAnsi" w:cstheme="minorHAnsi"/>
                <w:b/>
                <w:color w:val="000000"/>
              </w:rPr>
              <w:t>Věk</w:t>
            </w:r>
          </w:p>
        </w:tc>
        <w:tc>
          <w:tcPr>
            <w:tcW w:w="4050" w:type="dxa"/>
            <w:gridSpan w:val="4"/>
            <w:tcBorders>
              <w:top w:val="double" w:sz="4" w:space="0" w:color="auto"/>
              <w:right w:val="single" w:sz="18" w:space="0" w:color="auto"/>
            </w:tcBorders>
            <w:shd w:val="clear" w:color="auto" w:fill="CCFFFF"/>
          </w:tcPr>
          <w:p w:rsidR="00987584" w:rsidRPr="00002B63" w:rsidRDefault="00FA016F" w:rsidP="00FA016F">
            <w:pPr>
              <w:tabs>
                <w:tab w:val="center" w:pos="1910"/>
                <w:tab w:val="right" w:pos="3890"/>
              </w:tabs>
              <w:rPr>
                <w:rFonts w:asciiTheme="minorHAnsi" w:hAnsiTheme="minorHAnsi" w:cstheme="minorHAnsi"/>
                <w:b/>
                <w:color w:val="000000"/>
              </w:rPr>
            </w:pPr>
            <w:r w:rsidRPr="00002B63">
              <w:rPr>
                <w:rFonts w:asciiTheme="minorHAnsi" w:hAnsiTheme="minorHAnsi" w:cstheme="minorHAnsi"/>
                <w:b/>
                <w:color w:val="000000"/>
              </w:rPr>
              <w:tab/>
            </w:r>
            <w:r w:rsidR="00987584" w:rsidRPr="00002B63">
              <w:rPr>
                <w:rFonts w:asciiTheme="minorHAnsi" w:hAnsiTheme="minorHAnsi" w:cstheme="minorHAnsi"/>
                <w:b/>
                <w:color w:val="000000"/>
              </w:rPr>
              <w:t>celkem</w:t>
            </w:r>
          </w:p>
        </w:tc>
        <w:tc>
          <w:tcPr>
            <w:tcW w:w="4050" w:type="dxa"/>
            <w:gridSpan w:val="4"/>
            <w:tcBorders>
              <w:top w:val="double" w:sz="4" w:space="0" w:color="auto"/>
              <w:right w:val="double" w:sz="4" w:space="0" w:color="auto"/>
            </w:tcBorders>
            <w:shd w:val="clear" w:color="auto" w:fill="CCFFFF"/>
          </w:tcPr>
          <w:p w:rsidR="00987584" w:rsidRPr="00002B63" w:rsidRDefault="00987584" w:rsidP="00987584">
            <w:pPr>
              <w:jc w:val="center"/>
              <w:rPr>
                <w:rFonts w:asciiTheme="minorHAnsi" w:hAnsiTheme="minorHAnsi" w:cstheme="minorHAnsi"/>
                <w:b/>
                <w:color w:val="000000"/>
              </w:rPr>
            </w:pPr>
            <w:r w:rsidRPr="00002B63">
              <w:rPr>
                <w:rFonts w:asciiTheme="minorHAnsi" w:hAnsiTheme="minorHAnsi" w:cstheme="minorHAnsi"/>
                <w:b/>
                <w:color w:val="000000"/>
              </w:rPr>
              <w:t>ženy</w:t>
            </w:r>
          </w:p>
        </w:tc>
      </w:tr>
      <w:tr w:rsidR="00CF3B8F" w:rsidRPr="00002B63">
        <w:trPr>
          <w:cantSplit/>
          <w:trHeight w:val="204"/>
        </w:trPr>
        <w:tc>
          <w:tcPr>
            <w:tcW w:w="1260" w:type="dxa"/>
            <w:vMerge/>
            <w:tcBorders>
              <w:left w:val="double" w:sz="4" w:space="0" w:color="auto"/>
              <w:right w:val="single" w:sz="12" w:space="0" w:color="auto"/>
            </w:tcBorders>
            <w:shd w:val="clear" w:color="auto" w:fill="CCFFFF"/>
            <w:vAlign w:val="center"/>
          </w:tcPr>
          <w:p w:rsidR="00CF3B8F" w:rsidRPr="00002B63" w:rsidRDefault="00CF3B8F" w:rsidP="00987584">
            <w:pPr>
              <w:jc w:val="both"/>
              <w:rPr>
                <w:rFonts w:asciiTheme="minorHAnsi" w:hAnsiTheme="minorHAnsi" w:cstheme="minorHAnsi"/>
                <w:color w:val="000000"/>
                <w:sz w:val="22"/>
              </w:rPr>
            </w:pPr>
          </w:p>
        </w:tc>
        <w:tc>
          <w:tcPr>
            <w:tcW w:w="2025" w:type="dxa"/>
            <w:gridSpan w:val="2"/>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3</w:t>
            </w:r>
          </w:p>
        </w:tc>
        <w:tc>
          <w:tcPr>
            <w:tcW w:w="2025" w:type="dxa"/>
            <w:gridSpan w:val="2"/>
            <w:tcBorders>
              <w:top w:val="single" w:sz="4" w:space="0" w:color="000000"/>
              <w:bottom w:val="single" w:sz="4" w:space="0" w:color="auto"/>
              <w:right w:val="single" w:sz="18" w:space="0" w:color="auto"/>
            </w:tcBorders>
            <w:shd w:val="clear" w:color="auto" w:fill="CCFFFF"/>
            <w:vAlign w:val="center"/>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4</w:t>
            </w:r>
          </w:p>
        </w:tc>
        <w:tc>
          <w:tcPr>
            <w:tcW w:w="2025" w:type="dxa"/>
            <w:gridSpan w:val="2"/>
            <w:tcBorders>
              <w:top w:val="single" w:sz="4" w:space="0" w:color="000000"/>
              <w:bottom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3</w:t>
            </w:r>
          </w:p>
        </w:tc>
        <w:tc>
          <w:tcPr>
            <w:tcW w:w="2025" w:type="dxa"/>
            <w:gridSpan w:val="2"/>
            <w:tcBorders>
              <w:top w:val="single" w:sz="4" w:space="0" w:color="000000"/>
              <w:bottom w:val="sing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4</w:t>
            </w:r>
          </w:p>
        </w:tc>
      </w:tr>
      <w:tr w:rsidR="00CF3B8F" w:rsidRPr="00002B63">
        <w:trPr>
          <w:cantSplit/>
        </w:trPr>
        <w:tc>
          <w:tcPr>
            <w:tcW w:w="1260" w:type="dxa"/>
            <w:vMerge/>
            <w:tcBorders>
              <w:left w:val="double" w:sz="4" w:space="0" w:color="auto"/>
              <w:bottom w:val="double" w:sz="4" w:space="0" w:color="auto"/>
              <w:right w:val="single" w:sz="12" w:space="0" w:color="auto"/>
            </w:tcBorders>
            <w:shd w:val="clear" w:color="auto" w:fill="CCFFFF"/>
          </w:tcPr>
          <w:p w:rsidR="00CF3B8F" w:rsidRPr="00002B63" w:rsidRDefault="00CF3B8F" w:rsidP="00987584">
            <w:pPr>
              <w:jc w:val="both"/>
              <w:rPr>
                <w:rFonts w:asciiTheme="minorHAnsi" w:hAnsiTheme="minorHAnsi" w:cstheme="minorHAnsi"/>
                <w:color w:val="000000"/>
                <w:sz w:val="22"/>
              </w:rPr>
            </w:pPr>
          </w:p>
        </w:tc>
        <w:tc>
          <w:tcPr>
            <w:tcW w:w="1012" w:type="dxa"/>
            <w:tcBorders>
              <w:left w:val="nil"/>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1013" w:type="dxa"/>
            <w:tcBorders>
              <w:top w:val="single" w:sz="4" w:space="0" w:color="auto"/>
              <w:left w:val="single" w:sz="4" w:space="0" w:color="auto"/>
              <w:bottom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1012" w:type="dxa"/>
            <w:tcBorders>
              <w:top w:val="single" w:sz="4" w:space="0" w:color="auto"/>
              <w:left w:val="nil"/>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1013" w:type="dxa"/>
            <w:tcBorders>
              <w:top w:val="single" w:sz="4" w:space="0" w:color="auto"/>
              <w:left w:val="single" w:sz="4" w:space="0" w:color="auto"/>
              <w:bottom w:val="double" w:sz="4" w:space="0" w:color="auto"/>
              <w:right w:val="single" w:sz="18"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1012" w:type="dxa"/>
            <w:tcBorders>
              <w:top w:val="single" w:sz="4" w:space="0" w:color="auto"/>
              <w:left w:val="single" w:sz="18" w:space="0" w:color="auto"/>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1013" w:type="dxa"/>
            <w:tcBorders>
              <w:top w:val="single" w:sz="4" w:space="0" w:color="auto"/>
              <w:left w:val="single" w:sz="4" w:space="0" w:color="auto"/>
              <w:bottom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1012" w:type="dxa"/>
            <w:tcBorders>
              <w:top w:val="single" w:sz="4" w:space="0" w:color="auto"/>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1013" w:type="dxa"/>
            <w:tcBorders>
              <w:top w:val="single" w:sz="4" w:space="0" w:color="auto"/>
              <w:left w:val="single" w:sz="4" w:space="0" w:color="auto"/>
              <w:bottom w:val="doub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r>
      <w:tr w:rsidR="00CB53FC" w:rsidRPr="00002B63" w:rsidTr="00FF45C7">
        <w:trPr>
          <w:cantSplit/>
          <w:trHeight w:val="284"/>
        </w:trPr>
        <w:tc>
          <w:tcPr>
            <w:tcW w:w="1260" w:type="dxa"/>
            <w:tcBorders>
              <w:top w:val="double" w:sz="4" w:space="0" w:color="auto"/>
              <w:left w:val="double" w:sz="4" w:space="0" w:color="auto"/>
              <w:bottom w:val="single" w:sz="4" w:space="0" w:color="auto"/>
              <w:right w:val="single" w:sz="12" w:space="0" w:color="auto"/>
            </w:tcBorders>
            <w:shd w:val="clear" w:color="auto" w:fill="CCFFFF"/>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do 19 let</w:t>
            </w:r>
          </w:p>
        </w:tc>
        <w:tc>
          <w:tcPr>
            <w:tcW w:w="1012" w:type="dxa"/>
            <w:tcBorders>
              <w:top w:val="double" w:sz="4" w:space="0" w:color="auto"/>
              <w:left w:val="nil"/>
              <w:bottom w:val="sing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1 375</w:t>
            </w:r>
          </w:p>
        </w:tc>
        <w:tc>
          <w:tcPr>
            <w:tcW w:w="1013" w:type="dxa"/>
            <w:tcBorders>
              <w:top w:val="double" w:sz="4" w:space="0" w:color="auto"/>
              <w:left w:val="single" w:sz="4" w:space="0" w:color="auto"/>
              <w:bottom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3,2</w:t>
            </w:r>
          </w:p>
        </w:tc>
        <w:tc>
          <w:tcPr>
            <w:tcW w:w="1012" w:type="dxa"/>
            <w:tcBorders>
              <w:top w:val="double" w:sz="4" w:space="0" w:color="auto"/>
              <w:left w:val="nil"/>
              <w:bottom w:val="single" w:sz="4" w:space="0" w:color="auto"/>
              <w:right w:val="single" w:sz="4" w:space="0" w:color="auto"/>
            </w:tcBorders>
            <w:vAlign w:val="bottom"/>
          </w:tcPr>
          <w:p w:rsidR="00CB53FC" w:rsidRPr="00002B63" w:rsidRDefault="00C05A4B" w:rsidP="007E64DA">
            <w:pPr>
              <w:jc w:val="center"/>
              <w:rPr>
                <w:rFonts w:asciiTheme="minorHAnsi" w:hAnsiTheme="minorHAnsi" w:cstheme="minorHAnsi"/>
                <w:b/>
              </w:rPr>
            </w:pPr>
            <w:r>
              <w:rPr>
                <w:rFonts w:asciiTheme="minorHAnsi" w:hAnsiTheme="minorHAnsi" w:cstheme="minorHAnsi"/>
                <w:b/>
              </w:rPr>
              <w:t>1 123</w:t>
            </w:r>
          </w:p>
        </w:tc>
        <w:tc>
          <w:tcPr>
            <w:tcW w:w="1013" w:type="dxa"/>
            <w:tcBorders>
              <w:top w:val="double" w:sz="4" w:space="0" w:color="auto"/>
              <w:left w:val="single" w:sz="4" w:space="0" w:color="auto"/>
              <w:bottom w:val="single" w:sz="4" w:space="0" w:color="auto"/>
              <w:right w:val="single" w:sz="18" w:space="0" w:color="auto"/>
            </w:tcBorders>
            <w:vAlign w:val="bottom"/>
          </w:tcPr>
          <w:p w:rsidR="00CB53FC" w:rsidRPr="00002B63" w:rsidRDefault="00A269A7" w:rsidP="007E64DA">
            <w:pPr>
              <w:jc w:val="center"/>
              <w:rPr>
                <w:rFonts w:asciiTheme="minorHAnsi" w:hAnsiTheme="minorHAnsi" w:cstheme="minorHAnsi"/>
                <w:b/>
              </w:rPr>
            </w:pPr>
            <w:r>
              <w:rPr>
                <w:rFonts w:asciiTheme="minorHAnsi" w:hAnsiTheme="minorHAnsi" w:cstheme="minorHAnsi"/>
                <w:b/>
              </w:rPr>
              <w:t>2,9</w:t>
            </w:r>
          </w:p>
        </w:tc>
        <w:tc>
          <w:tcPr>
            <w:tcW w:w="1012" w:type="dxa"/>
            <w:tcBorders>
              <w:top w:val="double" w:sz="4" w:space="0" w:color="auto"/>
              <w:left w:val="single" w:sz="18" w:space="0" w:color="auto"/>
              <w:bottom w:val="sing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597</w:t>
            </w:r>
          </w:p>
        </w:tc>
        <w:tc>
          <w:tcPr>
            <w:tcW w:w="1013" w:type="dxa"/>
            <w:tcBorders>
              <w:top w:val="double" w:sz="4" w:space="0" w:color="auto"/>
              <w:left w:val="single" w:sz="4" w:space="0" w:color="auto"/>
              <w:bottom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2,9</w:t>
            </w:r>
          </w:p>
        </w:tc>
        <w:tc>
          <w:tcPr>
            <w:tcW w:w="1012" w:type="dxa"/>
            <w:tcBorders>
              <w:top w:val="double" w:sz="4" w:space="0" w:color="auto"/>
              <w:bottom w:val="single" w:sz="4" w:space="0" w:color="auto"/>
              <w:right w:val="single" w:sz="4" w:space="0" w:color="auto"/>
            </w:tcBorders>
            <w:vAlign w:val="bottom"/>
          </w:tcPr>
          <w:p w:rsidR="00CB53FC" w:rsidRPr="00002B63" w:rsidRDefault="002D03D0" w:rsidP="007E64DA">
            <w:pPr>
              <w:jc w:val="center"/>
              <w:rPr>
                <w:rFonts w:asciiTheme="minorHAnsi" w:hAnsiTheme="minorHAnsi" w:cstheme="minorHAnsi"/>
                <w:b/>
              </w:rPr>
            </w:pPr>
            <w:r>
              <w:rPr>
                <w:rFonts w:asciiTheme="minorHAnsi" w:hAnsiTheme="minorHAnsi" w:cstheme="minorHAnsi"/>
                <w:b/>
              </w:rPr>
              <w:t>528</w:t>
            </w:r>
          </w:p>
        </w:tc>
        <w:tc>
          <w:tcPr>
            <w:tcW w:w="1013" w:type="dxa"/>
            <w:tcBorders>
              <w:top w:val="double" w:sz="4" w:space="0" w:color="auto"/>
              <w:left w:val="single" w:sz="4" w:space="0" w:color="auto"/>
              <w:bottom w:val="single" w:sz="4" w:space="0" w:color="auto"/>
              <w:right w:val="double" w:sz="4" w:space="0" w:color="auto"/>
            </w:tcBorders>
            <w:vAlign w:val="bottom"/>
          </w:tcPr>
          <w:p w:rsidR="00CB53FC" w:rsidRPr="00002B63" w:rsidRDefault="00661DF0" w:rsidP="007E64DA">
            <w:pPr>
              <w:jc w:val="center"/>
              <w:rPr>
                <w:rFonts w:asciiTheme="minorHAnsi" w:hAnsiTheme="minorHAnsi" w:cstheme="minorHAnsi"/>
                <w:b/>
              </w:rPr>
            </w:pPr>
            <w:r>
              <w:rPr>
                <w:rFonts w:asciiTheme="minorHAnsi" w:hAnsiTheme="minorHAnsi" w:cstheme="minorHAnsi"/>
                <w:b/>
              </w:rPr>
              <w:t>2,8</w:t>
            </w:r>
          </w:p>
        </w:tc>
      </w:tr>
      <w:tr w:rsidR="00C05A4B" w:rsidRPr="00002B63" w:rsidTr="00C05A4B">
        <w:trPr>
          <w:cantSplit/>
          <w:trHeight w:val="284"/>
        </w:trPr>
        <w:tc>
          <w:tcPr>
            <w:tcW w:w="1260" w:type="dxa"/>
            <w:tcBorders>
              <w:top w:val="single" w:sz="4" w:space="0" w:color="auto"/>
              <w:left w:val="double" w:sz="4" w:space="0" w:color="auto"/>
              <w:bottom w:val="sing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20-24 let</w:t>
            </w:r>
          </w:p>
        </w:tc>
        <w:tc>
          <w:tcPr>
            <w:tcW w:w="1012" w:type="dxa"/>
            <w:tcBorders>
              <w:top w:val="single" w:sz="4" w:space="0" w:color="auto"/>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5 605</w:t>
            </w:r>
          </w:p>
        </w:tc>
        <w:tc>
          <w:tcPr>
            <w:tcW w:w="1013" w:type="dxa"/>
            <w:tcBorders>
              <w:top w:val="single" w:sz="4" w:space="0" w:color="auto"/>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12,9</w:t>
            </w:r>
          </w:p>
        </w:tc>
        <w:tc>
          <w:tcPr>
            <w:tcW w:w="1012" w:type="dxa"/>
            <w:tcBorders>
              <w:top w:val="single" w:sz="4" w:space="0" w:color="auto"/>
              <w:left w:val="nil"/>
              <w:right w:val="single" w:sz="4" w:space="0" w:color="auto"/>
            </w:tcBorders>
            <w:vAlign w:val="center"/>
          </w:tcPr>
          <w:p w:rsidR="00C05A4B" w:rsidRPr="00C05A4B" w:rsidRDefault="00C05A4B" w:rsidP="00C05A4B">
            <w:pPr>
              <w:jc w:val="center"/>
              <w:rPr>
                <w:rFonts w:asciiTheme="minorHAnsi" w:hAnsiTheme="minorHAnsi" w:cstheme="minorHAnsi"/>
                <w:b/>
              </w:rPr>
            </w:pPr>
            <w:r w:rsidRPr="00C05A4B">
              <w:rPr>
                <w:rFonts w:asciiTheme="minorHAnsi" w:hAnsiTheme="minorHAnsi" w:cstheme="minorHAnsi"/>
                <w:b/>
              </w:rPr>
              <w:t>4 374</w:t>
            </w:r>
          </w:p>
        </w:tc>
        <w:tc>
          <w:tcPr>
            <w:tcW w:w="1013" w:type="dxa"/>
            <w:tcBorders>
              <w:top w:val="single" w:sz="4" w:space="0" w:color="auto"/>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11,2</w:t>
            </w:r>
          </w:p>
        </w:tc>
        <w:tc>
          <w:tcPr>
            <w:tcW w:w="1012" w:type="dxa"/>
            <w:tcBorders>
              <w:top w:val="single" w:sz="4" w:space="0" w:color="auto"/>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2 475</w:t>
            </w:r>
          </w:p>
        </w:tc>
        <w:tc>
          <w:tcPr>
            <w:tcW w:w="1013" w:type="dxa"/>
            <w:tcBorders>
              <w:top w:val="single" w:sz="4" w:space="0" w:color="auto"/>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12,1</w:t>
            </w:r>
          </w:p>
        </w:tc>
        <w:tc>
          <w:tcPr>
            <w:tcW w:w="1012" w:type="dxa"/>
            <w:tcBorders>
              <w:top w:val="single" w:sz="4" w:space="0" w:color="auto"/>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1 939</w:t>
            </w:r>
          </w:p>
        </w:tc>
        <w:tc>
          <w:tcPr>
            <w:tcW w:w="1013" w:type="dxa"/>
            <w:tcBorders>
              <w:top w:val="single" w:sz="4" w:space="0" w:color="auto"/>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10,3</w:t>
            </w:r>
          </w:p>
        </w:tc>
      </w:tr>
      <w:tr w:rsidR="00C05A4B"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25-29 let</w:t>
            </w:r>
          </w:p>
        </w:tc>
        <w:tc>
          <w:tcPr>
            <w:tcW w:w="1012" w:type="dxa"/>
            <w:tcBorders>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4 712</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10,9</w:t>
            </w:r>
          </w:p>
        </w:tc>
        <w:tc>
          <w:tcPr>
            <w:tcW w:w="1012" w:type="dxa"/>
            <w:tcBorders>
              <w:left w:val="nil"/>
              <w:right w:val="single" w:sz="4" w:space="0" w:color="auto"/>
            </w:tcBorders>
            <w:vAlign w:val="center"/>
          </w:tcPr>
          <w:p w:rsidR="00C05A4B" w:rsidRPr="00C05A4B" w:rsidRDefault="00C05A4B" w:rsidP="00C05A4B">
            <w:pPr>
              <w:jc w:val="center"/>
              <w:rPr>
                <w:rFonts w:asciiTheme="minorHAnsi" w:hAnsiTheme="minorHAnsi" w:cstheme="minorHAnsi"/>
                <w:b/>
              </w:rPr>
            </w:pPr>
            <w:r w:rsidRPr="00C05A4B">
              <w:rPr>
                <w:rFonts w:asciiTheme="minorHAnsi" w:hAnsiTheme="minorHAnsi" w:cstheme="minorHAnsi"/>
                <w:b/>
              </w:rPr>
              <w:t>4 145</w:t>
            </w:r>
          </w:p>
        </w:tc>
        <w:tc>
          <w:tcPr>
            <w:tcW w:w="1013" w:type="dxa"/>
            <w:tcBorders>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10,6</w:t>
            </w:r>
          </w:p>
        </w:tc>
        <w:tc>
          <w:tcPr>
            <w:tcW w:w="1012" w:type="dxa"/>
            <w:tcBorders>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2 071</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10,2</w:t>
            </w:r>
          </w:p>
        </w:tc>
        <w:tc>
          <w:tcPr>
            <w:tcW w:w="1012" w:type="dxa"/>
            <w:tcBorders>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1 919</w:t>
            </w:r>
          </w:p>
        </w:tc>
        <w:tc>
          <w:tcPr>
            <w:tcW w:w="1013" w:type="dxa"/>
            <w:tcBorders>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10,2</w:t>
            </w:r>
          </w:p>
        </w:tc>
      </w:tr>
      <w:tr w:rsidR="00C05A4B"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30-34 let</w:t>
            </w:r>
          </w:p>
        </w:tc>
        <w:tc>
          <w:tcPr>
            <w:tcW w:w="1012" w:type="dxa"/>
            <w:tcBorders>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4 675</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10,8</w:t>
            </w:r>
          </w:p>
        </w:tc>
        <w:tc>
          <w:tcPr>
            <w:tcW w:w="1012" w:type="dxa"/>
            <w:tcBorders>
              <w:left w:val="nil"/>
              <w:right w:val="single" w:sz="4" w:space="0" w:color="auto"/>
            </w:tcBorders>
            <w:vAlign w:val="center"/>
          </w:tcPr>
          <w:p w:rsidR="00C05A4B" w:rsidRPr="00C05A4B" w:rsidRDefault="00C05A4B" w:rsidP="00C05A4B">
            <w:pPr>
              <w:jc w:val="center"/>
              <w:rPr>
                <w:rFonts w:asciiTheme="minorHAnsi" w:hAnsiTheme="minorHAnsi" w:cstheme="minorHAnsi"/>
                <w:b/>
              </w:rPr>
            </w:pPr>
            <w:r w:rsidRPr="00C05A4B">
              <w:rPr>
                <w:rFonts w:asciiTheme="minorHAnsi" w:hAnsiTheme="minorHAnsi" w:cstheme="minorHAnsi"/>
                <w:b/>
              </w:rPr>
              <w:t>3 983</w:t>
            </w:r>
          </w:p>
        </w:tc>
        <w:tc>
          <w:tcPr>
            <w:tcW w:w="1013" w:type="dxa"/>
            <w:tcBorders>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10,2</w:t>
            </w:r>
          </w:p>
        </w:tc>
        <w:tc>
          <w:tcPr>
            <w:tcW w:w="1012" w:type="dxa"/>
            <w:tcBorders>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2 307</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11,3</w:t>
            </w:r>
          </w:p>
        </w:tc>
        <w:tc>
          <w:tcPr>
            <w:tcW w:w="1012" w:type="dxa"/>
            <w:tcBorders>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1 991</w:t>
            </w:r>
          </w:p>
        </w:tc>
        <w:tc>
          <w:tcPr>
            <w:tcW w:w="1013" w:type="dxa"/>
            <w:tcBorders>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10,6</w:t>
            </w:r>
          </w:p>
        </w:tc>
      </w:tr>
      <w:tr w:rsidR="00C05A4B"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35-39 let</w:t>
            </w:r>
          </w:p>
        </w:tc>
        <w:tc>
          <w:tcPr>
            <w:tcW w:w="1012" w:type="dxa"/>
            <w:tcBorders>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5 611</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12,9</w:t>
            </w:r>
          </w:p>
        </w:tc>
        <w:tc>
          <w:tcPr>
            <w:tcW w:w="1012" w:type="dxa"/>
            <w:tcBorders>
              <w:left w:val="nil"/>
              <w:right w:val="single" w:sz="4" w:space="0" w:color="auto"/>
            </w:tcBorders>
            <w:vAlign w:val="center"/>
          </w:tcPr>
          <w:p w:rsidR="00C05A4B" w:rsidRPr="00C05A4B" w:rsidRDefault="00C05A4B" w:rsidP="00C05A4B">
            <w:pPr>
              <w:jc w:val="center"/>
              <w:rPr>
                <w:rFonts w:asciiTheme="minorHAnsi" w:hAnsiTheme="minorHAnsi" w:cstheme="minorHAnsi"/>
                <w:b/>
              </w:rPr>
            </w:pPr>
            <w:r>
              <w:rPr>
                <w:rFonts w:asciiTheme="minorHAnsi" w:hAnsiTheme="minorHAnsi" w:cstheme="minorHAnsi"/>
                <w:b/>
              </w:rPr>
              <w:t>4 945</w:t>
            </w:r>
          </w:p>
        </w:tc>
        <w:tc>
          <w:tcPr>
            <w:tcW w:w="1013" w:type="dxa"/>
            <w:tcBorders>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12,7</w:t>
            </w:r>
          </w:p>
        </w:tc>
        <w:tc>
          <w:tcPr>
            <w:tcW w:w="1012" w:type="dxa"/>
            <w:tcBorders>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2 893</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14,2</w:t>
            </w:r>
          </w:p>
        </w:tc>
        <w:tc>
          <w:tcPr>
            <w:tcW w:w="1012" w:type="dxa"/>
            <w:tcBorders>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2 651</w:t>
            </w:r>
          </w:p>
        </w:tc>
        <w:tc>
          <w:tcPr>
            <w:tcW w:w="1013" w:type="dxa"/>
            <w:tcBorders>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14,1</w:t>
            </w:r>
          </w:p>
        </w:tc>
      </w:tr>
      <w:tr w:rsidR="00C05A4B"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40-44 let</w:t>
            </w:r>
          </w:p>
        </w:tc>
        <w:tc>
          <w:tcPr>
            <w:tcW w:w="1012" w:type="dxa"/>
            <w:tcBorders>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4 662</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10,8</w:t>
            </w:r>
          </w:p>
        </w:tc>
        <w:tc>
          <w:tcPr>
            <w:tcW w:w="1012" w:type="dxa"/>
            <w:tcBorders>
              <w:left w:val="nil"/>
              <w:right w:val="single" w:sz="4" w:space="0" w:color="auto"/>
            </w:tcBorders>
            <w:vAlign w:val="center"/>
          </w:tcPr>
          <w:p w:rsidR="00C05A4B" w:rsidRPr="00C05A4B" w:rsidRDefault="00C05A4B" w:rsidP="00C05A4B">
            <w:pPr>
              <w:jc w:val="center"/>
              <w:rPr>
                <w:rFonts w:asciiTheme="minorHAnsi" w:hAnsiTheme="minorHAnsi" w:cstheme="minorHAnsi"/>
                <w:b/>
              </w:rPr>
            </w:pPr>
            <w:r>
              <w:rPr>
                <w:rFonts w:asciiTheme="minorHAnsi" w:hAnsiTheme="minorHAnsi" w:cstheme="minorHAnsi"/>
                <w:b/>
              </w:rPr>
              <w:t>4 518</w:t>
            </w:r>
          </w:p>
        </w:tc>
        <w:tc>
          <w:tcPr>
            <w:tcW w:w="1013" w:type="dxa"/>
            <w:tcBorders>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11,6</w:t>
            </w:r>
          </w:p>
        </w:tc>
        <w:tc>
          <w:tcPr>
            <w:tcW w:w="1012" w:type="dxa"/>
            <w:tcBorders>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2 406</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11,8</w:t>
            </w:r>
          </w:p>
        </w:tc>
        <w:tc>
          <w:tcPr>
            <w:tcW w:w="1012" w:type="dxa"/>
            <w:tcBorders>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2 395</w:t>
            </w:r>
          </w:p>
        </w:tc>
        <w:tc>
          <w:tcPr>
            <w:tcW w:w="1013" w:type="dxa"/>
            <w:tcBorders>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12,7</w:t>
            </w:r>
          </w:p>
        </w:tc>
      </w:tr>
      <w:tr w:rsidR="00C05A4B"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45-49 let</w:t>
            </w:r>
          </w:p>
        </w:tc>
        <w:tc>
          <w:tcPr>
            <w:tcW w:w="1012" w:type="dxa"/>
            <w:tcBorders>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4 650</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10,7</w:t>
            </w:r>
          </w:p>
        </w:tc>
        <w:tc>
          <w:tcPr>
            <w:tcW w:w="1012" w:type="dxa"/>
            <w:tcBorders>
              <w:left w:val="nil"/>
              <w:right w:val="single" w:sz="4" w:space="0" w:color="auto"/>
            </w:tcBorders>
            <w:vAlign w:val="center"/>
          </w:tcPr>
          <w:p w:rsidR="00C05A4B" w:rsidRPr="00C05A4B" w:rsidRDefault="00C05A4B" w:rsidP="00C05A4B">
            <w:pPr>
              <w:jc w:val="center"/>
              <w:rPr>
                <w:rFonts w:asciiTheme="minorHAnsi" w:hAnsiTheme="minorHAnsi" w:cstheme="minorHAnsi"/>
                <w:b/>
              </w:rPr>
            </w:pPr>
            <w:r>
              <w:rPr>
                <w:rFonts w:asciiTheme="minorHAnsi" w:hAnsiTheme="minorHAnsi" w:cstheme="minorHAnsi"/>
                <w:b/>
              </w:rPr>
              <w:t>4 207</w:t>
            </w:r>
          </w:p>
        </w:tc>
        <w:tc>
          <w:tcPr>
            <w:tcW w:w="1013" w:type="dxa"/>
            <w:tcBorders>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10,8</w:t>
            </w:r>
          </w:p>
        </w:tc>
        <w:tc>
          <w:tcPr>
            <w:tcW w:w="1012" w:type="dxa"/>
            <w:tcBorders>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2 380</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11,7</w:t>
            </w:r>
          </w:p>
        </w:tc>
        <w:tc>
          <w:tcPr>
            <w:tcW w:w="1012" w:type="dxa"/>
            <w:tcBorders>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2 178</w:t>
            </w:r>
          </w:p>
        </w:tc>
        <w:tc>
          <w:tcPr>
            <w:tcW w:w="1013" w:type="dxa"/>
            <w:tcBorders>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11,6</w:t>
            </w:r>
          </w:p>
        </w:tc>
      </w:tr>
      <w:tr w:rsidR="00C05A4B"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05A4B" w:rsidRPr="00002B63" w:rsidRDefault="00C05A4B" w:rsidP="00987584">
            <w:pPr>
              <w:jc w:val="both"/>
              <w:rPr>
                <w:rFonts w:asciiTheme="minorHAnsi" w:hAnsiTheme="minorHAnsi" w:cstheme="minorHAnsi"/>
                <w:color w:val="000000"/>
              </w:rPr>
            </w:pPr>
            <w:r w:rsidRPr="00002B63">
              <w:rPr>
                <w:rFonts w:asciiTheme="minorHAnsi" w:hAnsiTheme="minorHAnsi" w:cstheme="minorHAnsi"/>
                <w:color w:val="000000"/>
              </w:rPr>
              <w:t>50-54 let</w:t>
            </w:r>
          </w:p>
        </w:tc>
        <w:tc>
          <w:tcPr>
            <w:tcW w:w="1012" w:type="dxa"/>
            <w:tcBorders>
              <w:left w:val="nil"/>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4 883</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11,3</w:t>
            </w:r>
          </w:p>
        </w:tc>
        <w:tc>
          <w:tcPr>
            <w:tcW w:w="1012" w:type="dxa"/>
            <w:tcBorders>
              <w:left w:val="nil"/>
              <w:right w:val="single" w:sz="4" w:space="0" w:color="auto"/>
            </w:tcBorders>
            <w:vAlign w:val="center"/>
          </w:tcPr>
          <w:p w:rsidR="00C05A4B" w:rsidRPr="00C05A4B" w:rsidRDefault="00C05A4B" w:rsidP="00C05A4B">
            <w:pPr>
              <w:jc w:val="center"/>
              <w:rPr>
                <w:rFonts w:asciiTheme="minorHAnsi" w:hAnsiTheme="minorHAnsi" w:cstheme="minorHAnsi"/>
                <w:b/>
              </w:rPr>
            </w:pPr>
            <w:r>
              <w:rPr>
                <w:rFonts w:asciiTheme="minorHAnsi" w:hAnsiTheme="minorHAnsi" w:cstheme="minorHAnsi"/>
                <w:b/>
              </w:rPr>
              <w:t>4 566</w:t>
            </w:r>
          </w:p>
        </w:tc>
        <w:tc>
          <w:tcPr>
            <w:tcW w:w="1013" w:type="dxa"/>
            <w:tcBorders>
              <w:left w:val="single" w:sz="4" w:space="0" w:color="auto"/>
              <w:right w:val="single" w:sz="18" w:space="0" w:color="auto"/>
            </w:tcBorders>
            <w:vAlign w:val="bottom"/>
          </w:tcPr>
          <w:p w:rsidR="00C05A4B" w:rsidRPr="00002B63" w:rsidRDefault="00A269A7" w:rsidP="007E64DA">
            <w:pPr>
              <w:jc w:val="center"/>
              <w:rPr>
                <w:rFonts w:asciiTheme="minorHAnsi" w:hAnsiTheme="minorHAnsi" w:cstheme="minorHAnsi"/>
                <w:b/>
              </w:rPr>
            </w:pPr>
            <w:r>
              <w:rPr>
                <w:rFonts w:asciiTheme="minorHAnsi" w:hAnsiTheme="minorHAnsi" w:cstheme="minorHAnsi"/>
                <w:b/>
              </w:rPr>
              <w:t>11,7</w:t>
            </w:r>
          </w:p>
        </w:tc>
        <w:tc>
          <w:tcPr>
            <w:tcW w:w="1012" w:type="dxa"/>
            <w:tcBorders>
              <w:left w:val="single" w:sz="18" w:space="0" w:color="auto"/>
              <w:righ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2 449</w:t>
            </w:r>
          </w:p>
        </w:tc>
        <w:tc>
          <w:tcPr>
            <w:tcW w:w="1013" w:type="dxa"/>
            <w:tcBorders>
              <w:left w:val="single" w:sz="4" w:space="0" w:color="auto"/>
            </w:tcBorders>
            <w:vAlign w:val="bottom"/>
          </w:tcPr>
          <w:p w:rsidR="00C05A4B" w:rsidRPr="00CB53FC" w:rsidRDefault="00C05A4B" w:rsidP="00CB53FC">
            <w:pPr>
              <w:jc w:val="center"/>
              <w:rPr>
                <w:rFonts w:asciiTheme="minorHAnsi" w:hAnsiTheme="minorHAnsi" w:cstheme="minorHAnsi"/>
              </w:rPr>
            </w:pPr>
            <w:r w:rsidRPr="00CB53FC">
              <w:rPr>
                <w:rFonts w:asciiTheme="minorHAnsi" w:hAnsiTheme="minorHAnsi" w:cstheme="minorHAnsi"/>
              </w:rPr>
              <w:t>12,0</w:t>
            </w:r>
          </w:p>
        </w:tc>
        <w:tc>
          <w:tcPr>
            <w:tcW w:w="1012" w:type="dxa"/>
            <w:tcBorders>
              <w:right w:val="single" w:sz="4" w:space="0" w:color="auto"/>
            </w:tcBorders>
            <w:vAlign w:val="bottom"/>
          </w:tcPr>
          <w:p w:rsidR="00C05A4B" w:rsidRPr="00002B63" w:rsidRDefault="002D03D0" w:rsidP="007E64DA">
            <w:pPr>
              <w:jc w:val="center"/>
              <w:rPr>
                <w:rFonts w:asciiTheme="minorHAnsi" w:hAnsiTheme="minorHAnsi" w:cstheme="minorHAnsi"/>
                <w:b/>
              </w:rPr>
            </w:pPr>
            <w:r>
              <w:rPr>
                <w:rFonts w:asciiTheme="minorHAnsi" w:hAnsiTheme="minorHAnsi" w:cstheme="minorHAnsi"/>
                <w:b/>
              </w:rPr>
              <w:t>2 302</w:t>
            </w:r>
          </w:p>
        </w:tc>
        <w:tc>
          <w:tcPr>
            <w:tcW w:w="1013" w:type="dxa"/>
            <w:tcBorders>
              <w:left w:val="single" w:sz="4" w:space="0" w:color="auto"/>
              <w:right w:val="double" w:sz="4" w:space="0" w:color="auto"/>
            </w:tcBorders>
            <w:vAlign w:val="bottom"/>
          </w:tcPr>
          <w:p w:rsidR="00C05A4B" w:rsidRPr="00002B63" w:rsidRDefault="00661DF0" w:rsidP="007E64DA">
            <w:pPr>
              <w:jc w:val="center"/>
              <w:rPr>
                <w:rFonts w:asciiTheme="minorHAnsi" w:hAnsiTheme="minorHAnsi" w:cstheme="minorHAnsi"/>
                <w:b/>
              </w:rPr>
            </w:pPr>
            <w:r>
              <w:rPr>
                <w:rFonts w:asciiTheme="minorHAnsi" w:hAnsiTheme="minorHAnsi" w:cstheme="minorHAnsi"/>
                <w:b/>
              </w:rPr>
              <w:t>12,2</w:t>
            </w:r>
          </w:p>
        </w:tc>
      </w:tr>
      <w:tr w:rsidR="00CB53FC" w:rsidRPr="00002B63" w:rsidTr="00C05A4B">
        <w:trPr>
          <w:cantSplit/>
          <w:trHeight w:val="284"/>
        </w:trPr>
        <w:tc>
          <w:tcPr>
            <w:tcW w:w="1260" w:type="dxa"/>
            <w:tcBorders>
              <w:top w:val="single" w:sz="4" w:space="0" w:color="auto"/>
              <w:left w:val="double" w:sz="4" w:space="0" w:color="auto"/>
              <w:right w:val="single" w:sz="12" w:space="0" w:color="auto"/>
            </w:tcBorders>
            <w:shd w:val="clear" w:color="auto" w:fill="CCFFFF"/>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55-59 let</w:t>
            </w:r>
          </w:p>
        </w:tc>
        <w:tc>
          <w:tcPr>
            <w:tcW w:w="1012" w:type="dxa"/>
            <w:tcBorders>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5 728</w:t>
            </w:r>
          </w:p>
        </w:tc>
        <w:tc>
          <w:tcPr>
            <w:tcW w:w="1013"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13,2</w:t>
            </w:r>
          </w:p>
        </w:tc>
        <w:tc>
          <w:tcPr>
            <w:tcW w:w="1012" w:type="dxa"/>
            <w:tcBorders>
              <w:left w:val="nil"/>
              <w:right w:val="single" w:sz="4" w:space="0" w:color="auto"/>
            </w:tcBorders>
            <w:vAlign w:val="center"/>
          </w:tcPr>
          <w:p w:rsidR="00CB53FC" w:rsidRPr="00C05A4B" w:rsidRDefault="00C05A4B" w:rsidP="00C05A4B">
            <w:pPr>
              <w:jc w:val="center"/>
              <w:rPr>
                <w:rFonts w:asciiTheme="minorHAnsi" w:hAnsiTheme="minorHAnsi" w:cstheme="minorHAnsi"/>
                <w:b/>
              </w:rPr>
            </w:pPr>
            <w:r w:rsidRPr="00C05A4B">
              <w:rPr>
                <w:rFonts w:asciiTheme="minorHAnsi" w:hAnsiTheme="minorHAnsi" w:cstheme="minorHAnsi"/>
                <w:b/>
              </w:rPr>
              <w:t>5 452</w:t>
            </w:r>
          </w:p>
        </w:tc>
        <w:tc>
          <w:tcPr>
            <w:tcW w:w="1013" w:type="dxa"/>
            <w:tcBorders>
              <w:left w:val="single" w:sz="4" w:space="0" w:color="auto"/>
              <w:right w:val="single" w:sz="18" w:space="0" w:color="auto"/>
            </w:tcBorders>
            <w:vAlign w:val="bottom"/>
          </w:tcPr>
          <w:p w:rsidR="00CB53FC" w:rsidRPr="00002B63" w:rsidRDefault="00A269A7" w:rsidP="007E64DA">
            <w:pPr>
              <w:jc w:val="center"/>
              <w:rPr>
                <w:rFonts w:asciiTheme="minorHAnsi" w:hAnsiTheme="minorHAnsi" w:cstheme="minorHAnsi"/>
                <w:b/>
              </w:rPr>
            </w:pPr>
            <w:r>
              <w:rPr>
                <w:rFonts w:asciiTheme="minorHAnsi" w:hAnsiTheme="minorHAnsi" w:cstheme="minorHAnsi"/>
                <w:b/>
              </w:rPr>
              <w:t>14,0</w:t>
            </w:r>
          </w:p>
        </w:tc>
        <w:tc>
          <w:tcPr>
            <w:tcW w:w="1012" w:type="dxa"/>
            <w:tcBorders>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2 642</w:t>
            </w:r>
          </w:p>
        </w:tc>
        <w:tc>
          <w:tcPr>
            <w:tcW w:w="1013"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13,0</w:t>
            </w:r>
          </w:p>
        </w:tc>
        <w:tc>
          <w:tcPr>
            <w:tcW w:w="1012" w:type="dxa"/>
            <w:tcBorders>
              <w:right w:val="single" w:sz="4" w:space="0" w:color="auto"/>
            </w:tcBorders>
            <w:vAlign w:val="bottom"/>
          </w:tcPr>
          <w:p w:rsidR="00CB53FC" w:rsidRPr="00002B63" w:rsidRDefault="002D03D0" w:rsidP="007E64DA">
            <w:pPr>
              <w:jc w:val="center"/>
              <w:rPr>
                <w:rFonts w:asciiTheme="minorHAnsi" w:hAnsiTheme="minorHAnsi" w:cstheme="minorHAnsi"/>
                <w:b/>
              </w:rPr>
            </w:pPr>
            <w:r>
              <w:rPr>
                <w:rFonts w:asciiTheme="minorHAnsi" w:hAnsiTheme="minorHAnsi" w:cstheme="minorHAnsi"/>
                <w:b/>
              </w:rPr>
              <w:t>2 682</w:t>
            </w:r>
          </w:p>
        </w:tc>
        <w:tc>
          <w:tcPr>
            <w:tcW w:w="1013" w:type="dxa"/>
            <w:tcBorders>
              <w:left w:val="single" w:sz="4" w:space="0" w:color="auto"/>
              <w:right w:val="double" w:sz="4" w:space="0" w:color="auto"/>
            </w:tcBorders>
            <w:vAlign w:val="bottom"/>
          </w:tcPr>
          <w:p w:rsidR="00CB53FC" w:rsidRPr="00002B63" w:rsidRDefault="00661DF0" w:rsidP="007E64DA">
            <w:pPr>
              <w:jc w:val="center"/>
              <w:rPr>
                <w:rFonts w:asciiTheme="minorHAnsi" w:hAnsiTheme="minorHAnsi" w:cstheme="minorHAnsi"/>
                <w:b/>
              </w:rPr>
            </w:pPr>
            <w:r>
              <w:rPr>
                <w:rFonts w:asciiTheme="minorHAnsi" w:hAnsiTheme="minorHAnsi" w:cstheme="minorHAnsi"/>
                <w:b/>
              </w:rPr>
              <w:t>14,2</w:t>
            </w:r>
          </w:p>
        </w:tc>
      </w:tr>
      <w:tr w:rsidR="00CB53FC" w:rsidRPr="00002B63" w:rsidTr="00FF45C7">
        <w:trPr>
          <w:cantSplit/>
          <w:trHeight w:val="284"/>
        </w:trPr>
        <w:tc>
          <w:tcPr>
            <w:tcW w:w="1260" w:type="dxa"/>
            <w:tcBorders>
              <w:top w:val="single" w:sz="4" w:space="0" w:color="auto"/>
              <w:left w:val="double" w:sz="4" w:space="0" w:color="auto"/>
              <w:right w:val="single" w:sz="12" w:space="0" w:color="auto"/>
            </w:tcBorders>
            <w:shd w:val="clear" w:color="auto" w:fill="CCFFFF"/>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nad 60 let</w:t>
            </w:r>
          </w:p>
        </w:tc>
        <w:tc>
          <w:tcPr>
            <w:tcW w:w="1012" w:type="dxa"/>
            <w:tcBorders>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1 463</w:t>
            </w:r>
          </w:p>
        </w:tc>
        <w:tc>
          <w:tcPr>
            <w:tcW w:w="1013"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3,4</w:t>
            </w:r>
          </w:p>
        </w:tc>
        <w:tc>
          <w:tcPr>
            <w:tcW w:w="1012" w:type="dxa"/>
            <w:tcBorders>
              <w:left w:val="nil"/>
              <w:right w:val="single" w:sz="4" w:space="0" w:color="auto"/>
            </w:tcBorders>
            <w:vAlign w:val="bottom"/>
          </w:tcPr>
          <w:p w:rsidR="00CB53FC" w:rsidRPr="00C05A4B" w:rsidRDefault="00C05A4B" w:rsidP="007E64DA">
            <w:pPr>
              <w:jc w:val="center"/>
              <w:rPr>
                <w:rFonts w:asciiTheme="minorHAnsi" w:hAnsiTheme="minorHAnsi" w:cstheme="minorHAnsi"/>
                <w:b/>
              </w:rPr>
            </w:pPr>
            <w:r w:rsidRPr="00C05A4B">
              <w:rPr>
                <w:rFonts w:asciiTheme="minorHAnsi" w:hAnsiTheme="minorHAnsi" w:cstheme="minorHAnsi"/>
                <w:b/>
              </w:rPr>
              <w:t>1 677</w:t>
            </w:r>
          </w:p>
        </w:tc>
        <w:tc>
          <w:tcPr>
            <w:tcW w:w="1013" w:type="dxa"/>
            <w:tcBorders>
              <w:left w:val="single" w:sz="4" w:space="0" w:color="auto"/>
              <w:right w:val="single" w:sz="18" w:space="0" w:color="auto"/>
            </w:tcBorders>
            <w:vAlign w:val="bottom"/>
          </w:tcPr>
          <w:p w:rsidR="00CB53FC" w:rsidRPr="00002B63" w:rsidRDefault="00A269A7" w:rsidP="007E64DA">
            <w:pPr>
              <w:jc w:val="center"/>
              <w:rPr>
                <w:rFonts w:asciiTheme="minorHAnsi" w:hAnsiTheme="minorHAnsi" w:cstheme="minorHAnsi"/>
                <w:b/>
              </w:rPr>
            </w:pPr>
            <w:r>
              <w:rPr>
                <w:rFonts w:asciiTheme="minorHAnsi" w:hAnsiTheme="minorHAnsi" w:cstheme="minorHAnsi"/>
                <w:b/>
              </w:rPr>
              <w:t>4,3</w:t>
            </w:r>
          </w:p>
        </w:tc>
        <w:tc>
          <w:tcPr>
            <w:tcW w:w="1012" w:type="dxa"/>
            <w:tcBorders>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166</w:t>
            </w:r>
          </w:p>
        </w:tc>
        <w:tc>
          <w:tcPr>
            <w:tcW w:w="1013"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0,8</w:t>
            </w:r>
          </w:p>
        </w:tc>
        <w:tc>
          <w:tcPr>
            <w:tcW w:w="1012" w:type="dxa"/>
            <w:tcBorders>
              <w:right w:val="single" w:sz="4" w:space="0" w:color="auto"/>
            </w:tcBorders>
            <w:vAlign w:val="bottom"/>
          </w:tcPr>
          <w:p w:rsidR="00CB53FC" w:rsidRPr="00002B63" w:rsidRDefault="002D03D0" w:rsidP="007E64DA">
            <w:pPr>
              <w:jc w:val="center"/>
              <w:rPr>
                <w:rFonts w:asciiTheme="minorHAnsi" w:hAnsiTheme="minorHAnsi" w:cstheme="minorHAnsi"/>
                <w:b/>
              </w:rPr>
            </w:pPr>
            <w:r>
              <w:rPr>
                <w:rFonts w:asciiTheme="minorHAnsi" w:hAnsiTheme="minorHAnsi" w:cstheme="minorHAnsi"/>
                <w:b/>
              </w:rPr>
              <w:t>237</w:t>
            </w:r>
          </w:p>
        </w:tc>
        <w:tc>
          <w:tcPr>
            <w:tcW w:w="1013" w:type="dxa"/>
            <w:tcBorders>
              <w:left w:val="single" w:sz="4" w:space="0" w:color="auto"/>
              <w:right w:val="double" w:sz="4" w:space="0" w:color="auto"/>
            </w:tcBorders>
            <w:vAlign w:val="bottom"/>
          </w:tcPr>
          <w:p w:rsidR="00CB53FC" w:rsidRPr="00002B63" w:rsidRDefault="00661DF0" w:rsidP="007E64DA">
            <w:pPr>
              <w:jc w:val="center"/>
              <w:rPr>
                <w:rFonts w:asciiTheme="minorHAnsi" w:hAnsiTheme="minorHAnsi" w:cstheme="minorHAnsi"/>
                <w:b/>
              </w:rPr>
            </w:pPr>
            <w:r>
              <w:rPr>
                <w:rFonts w:asciiTheme="minorHAnsi" w:hAnsiTheme="minorHAnsi" w:cstheme="minorHAnsi"/>
                <w:b/>
              </w:rPr>
              <w:t>1,3</w:t>
            </w:r>
          </w:p>
        </w:tc>
      </w:tr>
      <w:tr w:rsidR="00CB53FC" w:rsidRPr="00002B63" w:rsidTr="00FF45C7">
        <w:trPr>
          <w:cantSplit/>
          <w:trHeight w:val="284"/>
        </w:trPr>
        <w:tc>
          <w:tcPr>
            <w:tcW w:w="1260" w:type="dxa"/>
            <w:tcBorders>
              <w:top w:val="single" w:sz="12" w:space="0" w:color="auto"/>
              <w:left w:val="double" w:sz="4" w:space="0" w:color="auto"/>
              <w:bottom w:val="double" w:sz="4" w:space="0" w:color="auto"/>
              <w:right w:val="single" w:sz="12" w:space="0" w:color="auto"/>
            </w:tcBorders>
            <w:shd w:val="clear" w:color="auto" w:fill="CCFFFF"/>
          </w:tcPr>
          <w:p w:rsidR="00CB53FC" w:rsidRPr="00002B63" w:rsidRDefault="00CB53FC" w:rsidP="00987584">
            <w:pPr>
              <w:rPr>
                <w:rFonts w:asciiTheme="minorHAnsi" w:hAnsiTheme="minorHAnsi" w:cstheme="minorHAnsi"/>
                <w:b/>
                <w:color w:val="000000"/>
              </w:rPr>
            </w:pPr>
            <w:r w:rsidRPr="00002B63">
              <w:rPr>
                <w:rFonts w:asciiTheme="minorHAnsi" w:hAnsiTheme="minorHAnsi" w:cstheme="minorHAnsi"/>
                <w:b/>
                <w:color w:val="000000"/>
              </w:rPr>
              <w:t>Celkem</w:t>
            </w:r>
          </w:p>
        </w:tc>
        <w:tc>
          <w:tcPr>
            <w:tcW w:w="1012" w:type="dxa"/>
            <w:tcBorders>
              <w:top w:val="single" w:sz="12" w:space="0" w:color="auto"/>
              <w:left w:val="nil"/>
              <w:bottom w:val="doub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43 364</w:t>
            </w:r>
          </w:p>
        </w:tc>
        <w:tc>
          <w:tcPr>
            <w:tcW w:w="1013" w:type="dxa"/>
            <w:tcBorders>
              <w:top w:val="single" w:sz="12" w:space="0" w:color="auto"/>
              <w:left w:val="single" w:sz="4" w:space="0" w:color="auto"/>
              <w:bottom w:val="doub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100</w:t>
            </w:r>
          </w:p>
        </w:tc>
        <w:tc>
          <w:tcPr>
            <w:tcW w:w="1012" w:type="dxa"/>
            <w:tcBorders>
              <w:top w:val="single" w:sz="12" w:space="0" w:color="auto"/>
              <w:left w:val="nil"/>
              <w:bottom w:val="double" w:sz="4" w:space="0" w:color="auto"/>
              <w:right w:val="single" w:sz="4" w:space="0" w:color="auto"/>
            </w:tcBorders>
            <w:vAlign w:val="bottom"/>
          </w:tcPr>
          <w:p w:rsidR="00CB53FC" w:rsidRPr="00002B63" w:rsidRDefault="00DA4453" w:rsidP="007E64DA">
            <w:pPr>
              <w:jc w:val="center"/>
              <w:rPr>
                <w:rFonts w:asciiTheme="minorHAnsi" w:hAnsiTheme="minorHAnsi" w:cstheme="minorHAnsi"/>
                <w:b/>
              </w:rPr>
            </w:pPr>
            <w:r>
              <w:rPr>
                <w:rFonts w:asciiTheme="minorHAnsi" w:hAnsiTheme="minorHAnsi" w:cstheme="minorHAnsi"/>
                <w:b/>
              </w:rPr>
              <w:t>38 990</w:t>
            </w:r>
          </w:p>
        </w:tc>
        <w:tc>
          <w:tcPr>
            <w:tcW w:w="1013" w:type="dxa"/>
            <w:tcBorders>
              <w:top w:val="single" w:sz="12" w:space="0" w:color="auto"/>
              <w:left w:val="single" w:sz="4" w:space="0" w:color="auto"/>
              <w:bottom w:val="double" w:sz="4" w:space="0" w:color="auto"/>
              <w:right w:val="single" w:sz="18" w:space="0" w:color="auto"/>
            </w:tcBorders>
            <w:vAlign w:val="bottom"/>
          </w:tcPr>
          <w:p w:rsidR="00CB53FC" w:rsidRPr="00002B63" w:rsidRDefault="00A269A7" w:rsidP="007E64DA">
            <w:pPr>
              <w:jc w:val="center"/>
              <w:rPr>
                <w:rFonts w:asciiTheme="minorHAnsi" w:hAnsiTheme="minorHAnsi" w:cstheme="minorHAnsi"/>
                <w:b/>
              </w:rPr>
            </w:pPr>
            <w:r>
              <w:rPr>
                <w:rFonts w:asciiTheme="minorHAnsi" w:hAnsiTheme="minorHAnsi" w:cstheme="minorHAnsi"/>
                <w:b/>
              </w:rPr>
              <w:t>100</w:t>
            </w:r>
          </w:p>
        </w:tc>
        <w:tc>
          <w:tcPr>
            <w:tcW w:w="1012" w:type="dxa"/>
            <w:tcBorders>
              <w:top w:val="single" w:sz="12" w:space="0" w:color="auto"/>
              <w:left w:val="single" w:sz="18" w:space="0" w:color="auto"/>
              <w:bottom w:val="doub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20 386</w:t>
            </w:r>
          </w:p>
        </w:tc>
        <w:tc>
          <w:tcPr>
            <w:tcW w:w="1013" w:type="dxa"/>
            <w:tcBorders>
              <w:top w:val="single" w:sz="12" w:space="0" w:color="auto"/>
              <w:left w:val="single" w:sz="4" w:space="0" w:color="auto"/>
              <w:bottom w:val="doub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100</w:t>
            </w:r>
          </w:p>
        </w:tc>
        <w:tc>
          <w:tcPr>
            <w:tcW w:w="1012" w:type="dxa"/>
            <w:tcBorders>
              <w:top w:val="single" w:sz="12" w:space="0" w:color="auto"/>
              <w:bottom w:val="double" w:sz="4" w:space="0" w:color="auto"/>
              <w:right w:val="single" w:sz="4" w:space="0" w:color="auto"/>
            </w:tcBorders>
            <w:vAlign w:val="bottom"/>
          </w:tcPr>
          <w:p w:rsidR="00CB53FC" w:rsidRPr="00002B63" w:rsidRDefault="002D03D0" w:rsidP="007E64DA">
            <w:pPr>
              <w:jc w:val="center"/>
              <w:rPr>
                <w:rFonts w:asciiTheme="minorHAnsi" w:hAnsiTheme="minorHAnsi" w:cstheme="minorHAnsi"/>
                <w:b/>
              </w:rPr>
            </w:pPr>
            <w:r>
              <w:rPr>
                <w:rFonts w:asciiTheme="minorHAnsi" w:hAnsiTheme="minorHAnsi" w:cstheme="minorHAnsi"/>
                <w:b/>
              </w:rPr>
              <w:t>18 822</w:t>
            </w:r>
          </w:p>
        </w:tc>
        <w:tc>
          <w:tcPr>
            <w:tcW w:w="1013" w:type="dxa"/>
            <w:tcBorders>
              <w:top w:val="single" w:sz="12" w:space="0" w:color="auto"/>
              <w:left w:val="single" w:sz="4" w:space="0" w:color="auto"/>
              <w:bottom w:val="double" w:sz="4" w:space="0" w:color="auto"/>
              <w:right w:val="double" w:sz="4" w:space="0" w:color="auto"/>
            </w:tcBorders>
            <w:vAlign w:val="bottom"/>
          </w:tcPr>
          <w:p w:rsidR="00CB53FC" w:rsidRPr="00002B63" w:rsidRDefault="00661DF0" w:rsidP="007E64DA">
            <w:pPr>
              <w:jc w:val="center"/>
              <w:rPr>
                <w:rFonts w:asciiTheme="minorHAnsi" w:hAnsiTheme="minorHAnsi" w:cstheme="minorHAnsi"/>
                <w:b/>
              </w:rPr>
            </w:pPr>
            <w:r>
              <w:rPr>
                <w:rFonts w:asciiTheme="minorHAnsi" w:hAnsiTheme="minorHAnsi" w:cstheme="minorHAnsi"/>
                <w:b/>
              </w:rPr>
              <w:t>100</w:t>
            </w:r>
          </w:p>
        </w:tc>
      </w:tr>
    </w:tbl>
    <w:p w:rsidR="00987584" w:rsidRPr="00002B63" w:rsidRDefault="00987584" w:rsidP="00987584">
      <w:pPr>
        <w:jc w:val="both"/>
        <w:rPr>
          <w:rFonts w:asciiTheme="minorHAnsi" w:hAnsiTheme="minorHAnsi" w:cstheme="minorHAnsi"/>
          <w:color w:val="000000"/>
          <w:sz w:val="16"/>
        </w:rPr>
      </w:pPr>
      <w:r w:rsidRPr="00002B63">
        <w:rPr>
          <w:rFonts w:asciiTheme="minorHAnsi" w:hAnsiTheme="minorHAnsi" w:cstheme="minorHAnsi"/>
          <w:color w:val="000000"/>
          <w:sz w:val="16"/>
        </w:rPr>
        <w:t xml:space="preserve"> Údaje ze čtvrtletní statistiky</w:t>
      </w:r>
    </w:p>
    <w:p w:rsidR="00C73843" w:rsidRPr="00002B63" w:rsidRDefault="00C73843" w:rsidP="00987584">
      <w:pPr>
        <w:pStyle w:val="Zkladntext"/>
        <w:spacing w:line="240" w:lineRule="atLeast"/>
        <w:ind w:firstLine="708"/>
        <w:jc w:val="both"/>
        <w:rPr>
          <w:rFonts w:asciiTheme="minorHAnsi" w:hAnsiTheme="minorHAnsi" w:cstheme="minorHAnsi"/>
          <w:b w:val="0"/>
          <w:color w:val="000000" w:themeColor="text1"/>
          <w:sz w:val="24"/>
        </w:rPr>
      </w:pPr>
    </w:p>
    <w:p w:rsidR="00EB640A" w:rsidRPr="00090656" w:rsidRDefault="00090C9A" w:rsidP="00D67625">
      <w:pPr>
        <w:adjustRightInd w:val="0"/>
        <w:ind w:firstLine="720"/>
        <w:jc w:val="both"/>
        <w:rPr>
          <w:rFonts w:asciiTheme="minorHAnsi" w:hAnsiTheme="minorHAnsi" w:cstheme="minorHAnsi"/>
          <w:color w:val="000000" w:themeColor="text1"/>
        </w:rPr>
      </w:pPr>
      <w:r w:rsidRPr="00002B63">
        <w:rPr>
          <w:rFonts w:asciiTheme="minorHAnsi" w:hAnsiTheme="minorHAnsi" w:cstheme="minorHAnsi"/>
          <w:b/>
          <w:color w:val="000000" w:themeColor="text1"/>
        </w:rPr>
        <w:tab/>
      </w:r>
      <w:r w:rsidR="00D67625" w:rsidRPr="00090656">
        <w:rPr>
          <w:rFonts w:asciiTheme="minorHAnsi" w:hAnsiTheme="minorHAnsi" w:cstheme="minorHAnsi"/>
          <w:color w:val="000000" w:themeColor="text1"/>
        </w:rPr>
        <w:t xml:space="preserve">Výše uvedená tabulka ukazuje, že meziročně </w:t>
      </w:r>
      <w:r w:rsidR="001225D6" w:rsidRPr="00090656">
        <w:rPr>
          <w:rFonts w:asciiTheme="minorHAnsi" w:hAnsiTheme="minorHAnsi" w:cstheme="minorHAnsi"/>
          <w:color w:val="000000" w:themeColor="text1"/>
        </w:rPr>
        <w:t>nedošlo k významnějším změnám ve věkové struktuře nezamě</w:t>
      </w:r>
      <w:r w:rsidR="009572D5" w:rsidRPr="00090656">
        <w:rPr>
          <w:rFonts w:asciiTheme="minorHAnsi" w:hAnsiTheme="minorHAnsi" w:cstheme="minorHAnsi"/>
          <w:color w:val="000000" w:themeColor="text1"/>
        </w:rPr>
        <w:t>stnaných.</w:t>
      </w:r>
      <w:r w:rsidR="00645F3E">
        <w:rPr>
          <w:rFonts w:asciiTheme="minorHAnsi" w:hAnsiTheme="minorHAnsi" w:cstheme="minorHAnsi"/>
          <w:b/>
          <w:color w:val="000000" w:themeColor="text1"/>
        </w:rPr>
        <w:t xml:space="preserve"> </w:t>
      </w:r>
      <w:r w:rsidR="00B716B9" w:rsidRPr="00090656">
        <w:rPr>
          <w:rFonts w:asciiTheme="minorHAnsi" w:hAnsiTheme="minorHAnsi" w:cstheme="minorHAnsi"/>
          <w:b/>
          <w:color w:val="000000" w:themeColor="text1"/>
        </w:rPr>
        <w:t xml:space="preserve">Nicméně pozorujeme znatelné snížení podílu mladých nezaměstnaných do 39 let (o 3,1 %). </w:t>
      </w:r>
      <w:r w:rsidR="00B716B9" w:rsidRPr="00090656">
        <w:rPr>
          <w:rFonts w:asciiTheme="minorHAnsi" w:hAnsiTheme="minorHAnsi" w:cstheme="minorHAnsi"/>
          <w:color w:val="000000" w:themeColor="text1"/>
        </w:rPr>
        <w:t>Zatímco na konci roku 2013 tyto mladší skupiny tvořily mírně nadpoloviční podíl</w:t>
      </w:r>
      <w:r w:rsidR="00090656">
        <w:rPr>
          <w:rFonts w:asciiTheme="minorHAnsi" w:hAnsiTheme="minorHAnsi" w:cstheme="minorHAnsi"/>
          <w:color w:val="000000" w:themeColor="text1"/>
        </w:rPr>
        <w:t xml:space="preserve"> nezaměstnaných</w:t>
      </w:r>
      <w:r w:rsidR="00B716B9" w:rsidRPr="00090656">
        <w:rPr>
          <w:rFonts w:asciiTheme="minorHAnsi" w:hAnsiTheme="minorHAnsi" w:cstheme="minorHAnsi"/>
          <w:color w:val="000000" w:themeColor="text1"/>
        </w:rPr>
        <w:t xml:space="preserve"> (50,7 %), o rok později </w:t>
      </w:r>
      <w:r w:rsidR="00090656" w:rsidRPr="00090656">
        <w:rPr>
          <w:rFonts w:asciiTheme="minorHAnsi" w:hAnsiTheme="minorHAnsi" w:cstheme="minorHAnsi"/>
          <w:color w:val="000000" w:themeColor="text1"/>
        </w:rPr>
        <w:t xml:space="preserve">klesly na </w:t>
      </w:r>
      <w:r w:rsidR="00090656">
        <w:rPr>
          <w:rFonts w:asciiTheme="minorHAnsi" w:hAnsiTheme="minorHAnsi" w:cstheme="minorHAnsi"/>
          <w:color w:val="000000" w:themeColor="text1"/>
        </w:rPr>
        <w:t>47,6 % a</w:t>
      </w:r>
      <w:r w:rsidR="00090656" w:rsidRPr="00090656">
        <w:rPr>
          <w:rFonts w:asciiTheme="minorHAnsi" w:hAnsiTheme="minorHAnsi" w:cstheme="minorHAnsi"/>
          <w:color w:val="000000" w:themeColor="text1"/>
        </w:rPr>
        <w:t xml:space="preserve"> začaly </w:t>
      </w:r>
      <w:r w:rsidR="00090656">
        <w:rPr>
          <w:rFonts w:asciiTheme="minorHAnsi" w:hAnsiTheme="minorHAnsi" w:cstheme="minorHAnsi"/>
          <w:color w:val="000000" w:themeColor="text1"/>
        </w:rPr>
        <w:t xml:space="preserve">tedy </w:t>
      </w:r>
      <w:r w:rsidR="00090656" w:rsidRPr="00090656">
        <w:rPr>
          <w:rFonts w:asciiTheme="minorHAnsi" w:hAnsiTheme="minorHAnsi" w:cstheme="minorHAnsi"/>
          <w:color w:val="000000" w:themeColor="text1"/>
        </w:rPr>
        <w:t>převažovat vyšší věkové skupiny.</w:t>
      </w:r>
    </w:p>
    <w:p w:rsidR="00EC6B44" w:rsidRDefault="00FE62C6" w:rsidP="00D67625">
      <w:pPr>
        <w:adjustRightInd w:val="0"/>
        <w:ind w:firstLine="720"/>
        <w:jc w:val="both"/>
        <w:rPr>
          <w:rFonts w:asciiTheme="minorHAnsi" w:hAnsiTheme="minorHAnsi" w:cstheme="minorHAnsi"/>
          <w:color w:val="000000" w:themeColor="text1"/>
        </w:rPr>
      </w:pPr>
      <w:r w:rsidRPr="00EC6B44">
        <w:rPr>
          <w:rFonts w:asciiTheme="minorHAnsi" w:hAnsiTheme="minorHAnsi" w:cstheme="minorHAnsi"/>
          <w:b/>
          <w:color w:val="000000" w:themeColor="text1"/>
        </w:rPr>
        <w:t xml:space="preserve">V roce 2007 byli </w:t>
      </w:r>
      <w:r w:rsidR="00CD7AD7" w:rsidRPr="00EC6B44">
        <w:rPr>
          <w:rFonts w:asciiTheme="minorHAnsi" w:hAnsiTheme="minorHAnsi" w:cstheme="minorHAnsi"/>
          <w:b/>
          <w:color w:val="000000" w:themeColor="text1"/>
        </w:rPr>
        <w:t xml:space="preserve">výrazně </w:t>
      </w:r>
      <w:r w:rsidRPr="00EC6B44">
        <w:rPr>
          <w:rFonts w:asciiTheme="minorHAnsi" w:hAnsiTheme="minorHAnsi" w:cstheme="minorHAnsi"/>
          <w:b/>
          <w:color w:val="000000" w:themeColor="text1"/>
        </w:rPr>
        <w:t>nej</w:t>
      </w:r>
      <w:r w:rsidR="008D3E3A" w:rsidRPr="00EC6B44">
        <w:rPr>
          <w:rFonts w:asciiTheme="minorHAnsi" w:hAnsiTheme="minorHAnsi" w:cstheme="minorHAnsi"/>
          <w:b/>
          <w:color w:val="000000" w:themeColor="text1"/>
        </w:rPr>
        <w:t>po</w:t>
      </w:r>
      <w:r w:rsidRPr="00EC6B44">
        <w:rPr>
          <w:rFonts w:asciiTheme="minorHAnsi" w:hAnsiTheme="minorHAnsi" w:cstheme="minorHAnsi"/>
          <w:b/>
          <w:color w:val="000000" w:themeColor="text1"/>
        </w:rPr>
        <w:t>četnější věkovou skupinou nezaměstnaní ve věku 5</w:t>
      </w:r>
      <w:r w:rsidR="00EC6B44" w:rsidRPr="00EC6B44">
        <w:rPr>
          <w:rFonts w:asciiTheme="minorHAnsi" w:hAnsiTheme="minorHAnsi" w:cstheme="minorHAnsi"/>
          <w:b/>
          <w:color w:val="000000" w:themeColor="text1"/>
        </w:rPr>
        <w:t>0 – </w:t>
      </w:r>
      <w:r w:rsidR="00282CA7" w:rsidRPr="00EC6B44">
        <w:rPr>
          <w:rFonts w:asciiTheme="minorHAnsi" w:hAnsiTheme="minorHAnsi" w:cstheme="minorHAnsi"/>
          <w:b/>
          <w:color w:val="000000" w:themeColor="text1"/>
        </w:rPr>
        <w:t>54 let, kteří tvořili 16</w:t>
      </w:r>
      <w:r w:rsidR="00EC6B44" w:rsidRPr="00EC6B44">
        <w:rPr>
          <w:rFonts w:asciiTheme="minorHAnsi" w:hAnsiTheme="minorHAnsi" w:cstheme="minorHAnsi"/>
          <w:b/>
          <w:color w:val="000000" w:themeColor="text1"/>
        </w:rPr>
        <w:t>,1</w:t>
      </w:r>
      <w:r w:rsidR="00282CA7" w:rsidRPr="00EC6B44">
        <w:rPr>
          <w:rFonts w:asciiTheme="minorHAnsi" w:hAnsiTheme="minorHAnsi" w:cstheme="minorHAnsi"/>
          <w:b/>
          <w:color w:val="000000" w:themeColor="text1"/>
        </w:rPr>
        <w:t xml:space="preserve"> %-ní podíl na celkové nezaměstnanosti. </w:t>
      </w:r>
      <w:r w:rsidR="00282CA7" w:rsidRPr="00EC6B44">
        <w:rPr>
          <w:rFonts w:asciiTheme="minorHAnsi" w:hAnsiTheme="minorHAnsi" w:cstheme="minorHAnsi"/>
          <w:color w:val="000000" w:themeColor="text1"/>
        </w:rPr>
        <w:t xml:space="preserve">S </w:t>
      </w:r>
      <w:r w:rsidR="00CD7AD7" w:rsidRPr="00EC6B44">
        <w:rPr>
          <w:rFonts w:asciiTheme="minorHAnsi" w:hAnsiTheme="minorHAnsi" w:cstheme="minorHAnsi"/>
          <w:color w:val="000000" w:themeColor="text1"/>
        </w:rPr>
        <w:t>m</w:t>
      </w:r>
      <w:r w:rsidRPr="00EC6B44">
        <w:rPr>
          <w:rFonts w:asciiTheme="minorHAnsi" w:hAnsiTheme="minorHAnsi" w:cstheme="minorHAnsi"/>
          <w:color w:val="000000" w:themeColor="text1"/>
        </w:rPr>
        <w:t xml:space="preserve">asovým přílivem nezaměstnaných od konce roku 2008 došlo k potlačení rozdílů mezi </w:t>
      </w:r>
      <w:r w:rsidR="00CD7AD7" w:rsidRPr="00EC6B44">
        <w:rPr>
          <w:rFonts w:asciiTheme="minorHAnsi" w:hAnsiTheme="minorHAnsi" w:cstheme="minorHAnsi"/>
          <w:color w:val="000000" w:themeColor="text1"/>
        </w:rPr>
        <w:t>j</w:t>
      </w:r>
      <w:r w:rsidR="00090656" w:rsidRPr="00EC6B44">
        <w:rPr>
          <w:rFonts w:asciiTheme="minorHAnsi" w:hAnsiTheme="minorHAnsi" w:cstheme="minorHAnsi"/>
          <w:color w:val="000000" w:themeColor="text1"/>
        </w:rPr>
        <w:t xml:space="preserve">ednotlivými věkovými skupinami – </w:t>
      </w:r>
      <w:r w:rsidR="00282CA7" w:rsidRPr="00EC6B44">
        <w:rPr>
          <w:rFonts w:asciiTheme="minorHAnsi" w:hAnsiTheme="minorHAnsi" w:cstheme="minorHAnsi"/>
          <w:color w:val="000000" w:themeColor="text1"/>
        </w:rPr>
        <w:t>podíl této skupiny se na konci roku 2009 sní</w:t>
      </w:r>
      <w:r w:rsidR="00EC6B44" w:rsidRPr="00EC6B44">
        <w:rPr>
          <w:rFonts w:asciiTheme="minorHAnsi" w:hAnsiTheme="minorHAnsi" w:cstheme="minorHAnsi"/>
          <w:color w:val="000000" w:themeColor="text1"/>
        </w:rPr>
        <w:t>žil na 12,9</w:t>
      </w:r>
      <w:r w:rsidR="00282CA7" w:rsidRPr="00EC6B44">
        <w:rPr>
          <w:rFonts w:asciiTheme="minorHAnsi" w:hAnsiTheme="minorHAnsi" w:cstheme="minorHAnsi"/>
          <w:color w:val="000000" w:themeColor="text1"/>
        </w:rPr>
        <w:t xml:space="preserve"> %. Také u skupiny 55 – 59 došlo k podobnému vývoji – její podíl se s</w:t>
      </w:r>
      <w:r w:rsidR="00EC6B44" w:rsidRPr="00EC6B44">
        <w:rPr>
          <w:rFonts w:asciiTheme="minorHAnsi" w:hAnsiTheme="minorHAnsi" w:cstheme="minorHAnsi"/>
          <w:color w:val="000000" w:themeColor="text1"/>
        </w:rPr>
        <w:t>nížil z 13,6 % v roce 2007 na 11,9</w:t>
      </w:r>
      <w:r w:rsidR="00282CA7" w:rsidRPr="00EC6B44">
        <w:rPr>
          <w:rFonts w:asciiTheme="minorHAnsi" w:hAnsiTheme="minorHAnsi" w:cstheme="minorHAnsi"/>
          <w:color w:val="000000" w:themeColor="text1"/>
        </w:rPr>
        <w:t xml:space="preserve"> % o dva roky později. Podíl nejstarší věkové skupiny (60 a více let) se nezměnil. </w:t>
      </w:r>
    </w:p>
    <w:p w:rsidR="00FE62C6" w:rsidRPr="00EC6B44" w:rsidRDefault="00282CA7" w:rsidP="00D67625">
      <w:pPr>
        <w:adjustRightInd w:val="0"/>
        <w:ind w:firstLine="720"/>
        <w:jc w:val="both"/>
        <w:rPr>
          <w:rFonts w:asciiTheme="minorHAnsi" w:hAnsiTheme="minorHAnsi" w:cstheme="minorHAnsi"/>
          <w:b/>
          <w:color w:val="000000" w:themeColor="text1"/>
        </w:rPr>
      </w:pPr>
      <w:r w:rsidRPr="00EC6B44">
        <w:rPr>
          <w:rFonts w:asciiTheme="minorHAnsi" w:hAnsiTheme="minorHAnsi" w:cstheme="minorHAnsi"/>
          <w:color w:val="000000" w:themeColor="text1"/>
        </w:rPr>
        <w:t xml:space="preserve">Na konci roku 2014 pozorujeme, že podíl skupiny 50 – 54 let (ve srovnání s rokem 2007) dále klesl na 11,7 %. Podíl vyšší věkové skupiny 55 – 59 let se </w:t>
      </w:r>
      <w:r w:rsidR="00EC6B44" w:rsidRPr="00EC6B44">
        <w:rPr>
          <w:rFonts w:asciiTheme="minorHAnsi" w:hAnsiTheme="minorHAnsi" w:cstheme="minorHAnsi"/>
          <w:color w:val="000000" w:themeColor="text1"/>
        </w:rPr>
        <w:t xml:space="preserve">ale </w:t>
      </w:r>
      <w:r w:rsidRPr="00EC6B44">
        <w:rPr>
          <w:rFonts w:asciiTheme="minorHAnsi" w:hAnsiTheme="minorHAnsi" w:cstheme="minorHAnsi"/>
          <w:color w:val="000000" w:themeColor="text1"/>
        </w:rPr>
        <w:t>vrátil zhruba na hodnotu z roku 2007 (14 %) a podíl nejstarší věkové kategorie se zdvojnásobil.</w:t>
      </w:r>
      <w:r w:rsidR="00EC6B44" w:rsidRPr="00EC6B44">
        <w:rPr>
          <w:rFonts w:asciiTheme="minorHAnsi" w:hAnsiTheme="minorHAnsi" w:cstheme="minorHAnsi"/>
          <w:color w:val="000000" w:themeColor="text1"/>
        </w:rPr>
        <w:t xml:space="preserve"> </w:t>
      </w:r>
      <w:r w:rsidR="00EC6B44" w:rsidRPr="00EC6B44">
        <w:rPr>
          <w:rFonts w:asciiTheme="minorHAnsi" w:hAnsiTheme="minorHAnsi" w:cstheme="minorHAnsi"/>
          <w:b/>
          <w:color w:val="000000" w:themeColor="text1"/>
        </w:rPr>
        <w:t>Znamená to tedy, že podíl nezaměstnaných ve věku nad 50 let (nyní celkem 30 %) se postupně vrací k hodnotě z roku 2007 (31,9 %) s tím, že narůstá podíl zejména nejvyšších věkových skupin.</w:t>
      </w:r>
    </w:p>
    <w:p w:rsidR="005E5A82" w:rsidRDefault="00E96599" w:rsidP="001225D6">
      <w:pPr>
        <w:pStyle w:val="Zkladntext"/>
        <w:spacing w:line="240" w:lineRule="atLeast"/>
        <w:ind w:firstLine="720"/>
        <w:jc w:val="both"/>
        <w:rPr>
          <w:rFonts w:asciiTheme="minorHAnsi" w:hAnsiTheme="minorHAnsi" w:cstheme="minorHAnsi"/>
          <w:b w:val="0"/>
          <w:color w:val="000000" w:themeColor="text1"/>
          <w:sz w:val="24"/>
        </w:rPr>
      </w:pPr>
      <w:r w:rsidRPr="00EC6B44">
        <w:rPr>
          <w:rFonts w:asciiTheme="minorHAnsi" w:hAnsiTheme="minorHAnsi" w:cstheme="minorHAnsi"/>
          <w:b w:val="0"/>
          <w:color w:val="000000" w:themeColor="text1"/>
          <w:sz w:val="24"/>
        </w:rPr>
        <w:t>Úřad práce pokládá</w:t>
      </w:r>
      <w:r w:rsidR="005E5A82" w:rsidRPr="00EC6B44">
        <w:rPr>
          <w:rFonts w:asciiTheme="minorHAnsi" w:hAnsiTheme="minorHAnsi" w:cstheme="minorHAnsi"/>
          <w:b w:val="0"/>
          <w:color w:val="000000" w:themeColor="text1"/>
          <w:sz w:val="24"/>
        </w:rPr>
        <w:t xml:space="preserve"> za </w:t>
      </w:r>
      <w:r w:rsidR="005E5A82" w:rsidRPr="00EC6B44">
        <w:rPr>
          <w:rFonts w:asciiTheme="minorHAnsi" w:hAnsiTheme="minorHAnsi" w:cstheme="minorHAnsi"/>
          <w:color w:val="000000" w:themeColor="text1"/>
          <w:sz w:val="24"/>
        </w:rPr>
        <w:t>nejproblémovější nejmladší věkové kategorie</w:t>
      </w:r>
      <w:r w:rsidR="005E5A82" w:rsidRPr="00EC6B44">
        <w:rPr>
          <w:rFonts w:asciiTheme="minorHAnsi" w:hAnsiTheme="minorHAnsi" w:cstheme="minorHAnsi"/>
          <w:b w:val="0"/>
          <w:color w:val="000000" w:themeColor="text1"/>
          <w:sz w:val="24"/>
        </w:rPr>
        <w:t xml:space="preserve"> (zejména kategorie do 24 let) a dále </w:t>
      </w:r>
      <w:r w:rsidR="00EC6B44" w:rsidRPr="00EC6B44">
        <w:rPr>
          <w:rFonts w:asciiTheme="minorHAnsi" w:hAnsiTheme="minorHAnsi" w:cstheme="minorHAnsi"/>
          <w:color w:val="000000" w:themeColor="text1"/>
          <w:sz w:val="24"/>
        </w:rPr>
        <w:t>starší</w:t>
      </w:r>
      <w:r w:rsidR="005E5A82" w:rsidRPr="00EC6B44">
        <w:rPr>
          <w:rFonts w:asciiTheme="minorHAnsi" w:hAnsiTheme="minorHAnsi" w:cstheme="minorHAnsi"/>
          <w:color w:val="000000" w:themeColor="text1"/>
          <w:sz w:val="24"/>
        </w:rPr>
        <w:t xml:space="preserve"> věkové </w:t>
      </w:r>
      <w:r w:rsidR="00EC6B44" w:rsidRPr="00EC6B44">
        <w:rPr>
          <w:rFonts w:asciiTheme="minorHAnsi" w:hAnsiTheme="minorHAnsi" w:cstheme="minorHAnsi"/>
          <w:color w:val="000000" w:themeColor="text1"/>
          <w:sz w:val="24"/>
        </w:rPr>
        <w:t>skupiny</w:t>
      </w:r>
      <w:r w:rsidR="00EC6B44" w:rsidRPr="00EC6B44">
        <w:rPr>
          <w:rFonts w:asciiTheme="minorHAnsi" w:hAnsiTheme="minorHAnsi" w:cstheme="minorHAnsi"/>
          <w:b w:val="0"/>
          <w:color w:val="000000" w:themeColor="text1"/>
          <w:sz w:val="24"/>
        </w:rPr>
        <w:t xml:space="preserve"> (hlavně skupinu 55</w:t>
      </w:r>
      <w:r w:rsidR="00CD7AD7" w:rsidRPr="00EC6B44">
        <w:rPr>
          <w:rFonts w:asciiTheme="minorHAnsi" w:hAnsiTheme="minorHAnsi" w:cstheme="minorHAnsi"/>
          <w:b w:val="0"/>
          <w:color w:val="000000" w:themeColor="text1"/>
          <w:sz w:val="24"/>
        </w:rPr>
        <w:t xml:space="preserve"> – 59 let) – a obě tyto skupiny jsou také nejpočetnější.</w:t>
      </w: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645F3E" w:rsidRPr="00EC6B44" w:rsidRDefault="00645F3E" w:rsidP="001225D6">
      <w:pPr>
        <w:pStyle w:val="Zkladntext"/>
        <w:spacing w:line="240" w:lineRule="atLeast"/>
        <w:ind w:firstLine="720"/>
        <w:jc w:val="both"/>
        <w:rPr>
          <w:rFonts w:asciiTheme="minorHAnsi" w:hAnsiTheme="minorHAnsi" w:cstheme="minorHAnsi"/>
          <w:b w:val="0"/>
          <w:color w:val="000000" w:themeColor="text1"/>
          <w:sz w:val="24"/>
        </w:rPr>
      </w:pPr>
    </w:p>
    <w:p w:rsidR="002D08D1" w:rsidRPr="00EC6B44" w:rsidRDefault="002D08D1" w:rsidP="00F21AA5">
      <w:pPr>
        <w:pStyle w:val="Zkladntext"/>
        <w:spacing w:line="240" w:lineRule="atLeast"/>
        <w:ind w:firstLine="720"/>
        <w:jc w:val="both"/>
        <w:rPr>
          <w:rFonts w:asciiTheme="minorHAnsi" w:hAnsiTheme="minorHAnsi" w:cstheme="minorHAnsi"/>
          <w:b w:val="0"/>
          <w:color w:val="000000" w:themeColor="text1"/>
          <w:sz w:val="24"/>
        </w:rPr>
      </w:pPr>
    </w:p>
    <w:p w:rsidR="00987584" w:rsidRPr="00002B63" w:rsidRDefault="00A5496D" w:rsidP="00987584">
      <w:pPr>
        <w:jc w:val="both"/>
        <w:rPr>
          <w:rFonts w:asciiTheme="minorHAnsi" w:hAnsiTheme="minorHAnsi" w:cstheme="minorHAnsi"/>
          <w:color w:val="000000"/>
        </w:rPr>
      </w:pPr>
      <w:r w:rsidRPr="00002B63">
        <w:rPr>
          <w:rFonts w:asciiTheme="minorHAnsi" w:hAnsiTheme="minorHAnsi" w:cstheme="minorHAnsi"/>
          <w:b/>
          <w:color w:val="000000"/>
        </w:rPr>
        <w:lastRenderedPageBreak/>
        <w:t xml:space="preserve">Tabulka </w:t>
      </w:r>
      <w:r w:rsidR="00641144" w:rsidRPr="00002B63">
        <w:rPr>
          <w:rFonts w:asciiTheme="minorHAnsi" w:hAnsiTheme="minorHAnsi" w:cstheme="minorHAnsi"/>
          <w:b/>
          <w:color w:val="000000"/>
        </w:rPr>
        <w:t>6</w:t>
      </w:r>
      <w:r w:rsidR="00987584" w:rsidRPr="00002B63">
        <w:rPr>
          <w:rFonts w:asciiTheme="minorHAnsi" w:hAnsiTheme="minorHAnsi" w:cstheme="minorHAnsi"/>
          <w:b/>
          <w:color w:val="000000"/>
        </w:rPr>
        <w:t xml:space="preserve"> - </w:t>
      </w:r>
      <w:r w:rsidR="00987584" w:rsidRPr="00002B63">
        <w:rPr>
          <w:rFonts w:asciiTheme="minorHAnsi" w:hAnsiTheme="minorHAnsi" w:cstheme="minorHAnsi"/>
          <w:color w:val="000000"/>
        </w:rPr>
        <w:t>Délka evidence</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945"/>
        <w:gridCol w:w="945"/>
        <w:gridCol w:w="945"/>
        <w:gridCol w:w="945"/>
        <w:gridCol w:w="945"/>
        <w:gridCol w:w="945"/>
        <w:gridCol w:w="945"/>
        <w:gridCol w:w="945"/>
      </w:tblGrid>
      <w:tr w:rsidR="00987584" w:rsidRPr="00002B63">
        <w:trPr>
          <w:cantSplit/>
          <w:trHeight w:val="204"/>
        </w:trPr>
        <w:tc>
          <w:tcPr>
            <w:tcW w:w="1800" w:type="dxa"/>
            <w:vMerge w:val="restart"/>
            <w:tcBorders>
              <w:top w:val="double" w:sz="4" w:space="0" w:color="auto"/>
              <w:left w:val="double" w:sz="4" w:space="0" w:color="auto"/>
              <w:right w:val="single" w:sz="12" w:space="0" w:color="auto"/>
            </w:tcBorders>
            <w:shd w:val="clear" w:color="auto" w:fill="CCFFFF"/>
            <w:vAlign w:val="center"/>
          </w:tcPr>
          <w:p w:rsidR="00987584" w:rsidRPr="00002B63" w:rsidRDefault="002D08D1" w:rsidP="002D08D1">
            <w:pPr>
              <w:jc w:val="center"/>
              <w:rPr>
                <w:rFonts w:asciiTheme="minorHAnsi" w:hAnsiTheme="minorHAnsi" w:cstheme="minorHAnsi"/>
                <w:b/>
                <w:color w:val="000000"/>
              </w:rPr>
            </w:pPr>
            <w:r w:rsidRPr="00002B63">
              <w:rPr>
                <w:rFonts w:asciiTheme="minorHAnsi" w:hAnsiTheme="minorHAnsi" w:cstheme="minorHAnsi"/>
                <w:b/>
                <w:color w:val="000000"/>
              </w:rPr>
              <w:t>Délka evidence</w:t>
            </w:r>
          </w:p>
        </w:tc>
        <w:tc>
          <w:tcPr>
            <w:tcW w:w="3780" w:type="dxa"/>
            <w:gridSpan w:val="4"/>
            <w:tcBorders>
              <w:top w:val="double" w:sz="4" w:space="0" w:color="auto"/>
              <w:right w:val="single" w:sz="18" w:space="0" w:color="auto"/>
            </w:tcBorders>
            <w:shd w:val="clear" w:color="auto" w:fill="CCFFFF"/>
          </w:tcPr>
          <w:p w:rsidR="00987584" w:rsidRPr="00002B63" w:rsidRDefault="00987584" w:rsidP="00987584">
            <w:pPr>
              <w:jc w:val="center"/>
              <w:rPr>
                <w:rFonts w:asciiTheme="minorHAnsi" w:hAnsiTheme="minorHAnsi" w:cstheme="minorHAnsi"/>
                <w:b/>
                <w:color w:val="000000"/>
              </w:rPr>
            </w:pPr>
            <w:r w:rsidRPr="00002B63">
              <w:rPr>
                <w:rFonts w:asciiTheme="minorHAnsi" w:hAnsiTheme="minorHAnsi" w:cstheme="minorHAnsi"/>
                <w:b/>
                <w:color w:val="000000"/>
              </w:rPr>
              <w:t>celkem</w:t>
            </w:r>
          </w:p>
        </w:tc>
        <w:tc>
          <w:tcPr>
            <w:tcW w:w="3780" w:type="dxa"/>
            <w:gridSpan w:val="4"/>
            <w:tcBorders>
              <w:top w:val="double" w:sz="4" w:space="0" w:color="auto"/>
              <w:right w:val="double" w:sz="4" w:space="0" w:color="auto"/>
            </w:tcBorders>
            <w:shd w:val="clear" w:color="auto" w:fill="CCFFFF"/>
          </w:tcPr>
          <w:p w:rsidR="00987584" w:rsidRPr="00002B63" w:rsidRDefault="00987584" w:rsidP="00987584">
            <w:pPr>
              <w:jc w:val="center"/>
              <w:rPr>
                <w:rFonts w:asciiTheme="minorHAnsi" w:hAnsiTheme="minorHAnsi" w:cstheme="minorHAnsi"/>
                <w:b/>
                <w:color w:val="000000"/>
              </w:rPr>
            </w:pPr>
            <w:r w:rsidRPr="00002B63">
              <w:rPr>
                <w:rFonts w:asciiTheme="minorHAnsi" w:hAnsiTheme="minorHAnsi" w:cstheme="minorHAnsi"/>
                <w:b/>
                <w:color w:val="000000"/>
              </w:rPr>
              <w:t>ženy</w:t>
            </w:r>
          </w:p>
        </w:tc>
      </w:tr>
      <w:tr w:rsidR="00CF3B8F" w:rsidRPr="00002B63">
        <w:trPr>
          <w:cantSplit/>
          <w:trHeight w:val="204"/>
        </w:trPr>
        <w:tc>
          <w:tcPr>
            <w:tcW w:w="1800" w:type="dxa"/>
            <w:vMerge/>
            <w:tcBorders>
              <w:left w:val="double" w:sz="4" w:space="0" w:color="auto"/>
              <w:right w:val="single" w:sz="12" w:space="0" w:color="auto"/>
            </w:tcBorders>
            <w:shd w:val="clear" w:color="auto" w:fill="CCFFFF"/>
            <w:vAlign w:val="center"/>
          </w:tcPr>
          <w:p w:rsidR="00CF3B8F" w:rsidRPr="00002B63" w:rsidRDefault="00CF3B8F" w:rsidP="00987584">
            <w:pPr>
              <w:jc w:val="both"/>
              <w:rPr>
                <w:rFonts w:asciiTheme="minorHAnsi" w:hAnsiTheme="minorHAnsi" w:cstheme="minorHAnsi"/>
                <w:color w:val="000000"/>
              </w:rPr>
            </w:pPr>
          </w:p>
        </w:tc>
        <w:tc>
          <w:tcPr>
            <w:tcW w:w="1890" w:type="dxa"/>
            <w:gridSpan w:val="2"/>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3</w:t>
            </w:r>
          </w:p>
        </w:tc>
        <w:tc>
          <w:tcPr>
            <w:tcW w:w="1890" w:type="dxa"/>
            <w:gridSpan w:val="2"/>
            <w:tcBorders>
              <w:top w:val="single" w:sz="4" w:space="0" w:color="000000"/>
              <w:bottom w:val="single" w:sz="4" w:space="0" w:color="auto"/>
              <w:right w:val="single" w:sz="18" w:space="0" w:color="auto"/>
            </w:tcBorders>
            <w:shd w:val="clear" w:color="auto" w:fill="CCFFFF"/>
            <w:vAlign w:val="center"/>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4</w:t>
            </w:r>
          </w:p>
        </w:tc>
        <w:tc>
          <w:tcPr>
            <w:tcW w:w="1890" w:type="dxa"/>
            <w:gridSpan w:val="2"/>
            <w:tcBorders>
              <w:top w:val="single" w:sz="4" w:space="0" w:color="000000"/>
              <w:bottom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3</w:t>
            </w:r>
          </w:p>
        </w:tc>
        <w:tc>
          <w:tcPr>
            <w:tcW w:w="1890" w:type="dxa"/>
            <w:gridSpan w:val="2"/>
            <w:tcBorders>
              <w:top w:val="single" w:sz="4" w:space="0" w:color="000000"/>
              <w:bottom w:val="sing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31. 12. 201</w:t>
            </w:r>
            <w:r w:rsidR="00CB53FC">
              <w:rPr>
                <w:rFonts w:asciiTheme="minorHAnsi" w:hAnsiTheme="minorHAnsi" w:cstheme="minorHAnsi"/>
                <w:b/>
                <w:color w:val="000000"/>
              </w:rPr>
              <w:t>4</w:t>
            </w:r>
          </w:p>
        </w:tc>
      </w:tr>
      <w:tr w:rsidR="00CF3B8F" w:rsidRPr="00002B63">
        <w:trPr>
          <w:cantSplit/>
        </w:trPr>
        <w:tc>
          <w:tcPr>
            <w:tcW w:w="1800" w:type="dxa"/>
            <w:vMerge/>
            <w:tcBorders>
              <w:left w:val="double" w:sz="4" w:space="0" w:color="auto"/>
              <w:bottom w:val="double" w:sz="4" w:space="0" w:color="auto"/>
              <w:right w:val="single" w:sz="12" w:space="0" w:color="auto"/>
            </w:tcBorders>
            <w:shd w:val="clear" w:color="auto" w:fill="CCFFFF"/>
          </w:tcPr>
          <w:p w:rsidR="00CF3B8F" w:rsidRPr="00002B63" w:rsidRDefault="00CF3B8F" w:rsidP="00987584">
            <w:pPr>
              <w:jc w:val="both"/>
              <w:rPr>
                <w:rFonts w:asciiTheme="minorHAnsi" w:hAnsiTheme="minorHAnsi" w:cstheme="minorHAnsi"/>
                <w:color w:val="000000"/>
              </w:rPr>
            </w:pPr>
          </w:p>
        </w:tc>
        <w:tc>
          <w:tcPr>
            <w:tcW w:w="945" w:type="dxa"/>
            <w:tcBorders>
              <w:left w:val="nil"/>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945" w:type="dxa"/>
            <w:tcBorders>
              <w:top w:val="single" w:sz="4" w:space="0" w:color="auto"/>
              <w:left w:val="single" w:sz="4" w:space="0" w:color="auto"/>
              <w:bottom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945" w:type="dxa"/>
            <w:tcBorders>
              <w:top w:val="single" w:sz="4" w:space="0" w:color="auto"/>
              <w:left w:val="nil"/>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945" w:type="dxa"/>
            <w:tcBorders>
              <w:top w:val="single" w:sz="4" w:space="0" w:color="auto"/>
              <w:left w:val="single" w:sz="4" w:space="0" w:color="auto"/>
              <w:bottom w:val="double" w:sz="4" w:space="0" w:color="auto"/>
              <w:right w:val="single" w:sz="18"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945" w:type="dxa"/>
            <w:tcBorders>
              <w:top w:val="single" w:sz="4" w:space="0" w:color="auto"/>
              <w:left w:val="single" w:sz="18" w:space="0" w:color="auto"/>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945" w:type="dxa"/>
            <w:tcBorders>
              <w:top w:val="single" w:sz="4" w:space="0" w:color="auto"/>
              <w:left w:val="single" w:sz="4" w:space="0" w:color="auto"/>
              <w:bottom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c>
          <w:tcPr>
            <w:tcW w:w="945" w:type="dxa"/>
            <w:tcBorders>
              <w:top w:val="single" w:sz="4" w:space="0" w:color="auto"/>
              <w:bottom w:val="double" w:sz="4" w:space="0" w:color="auto"/>
              <w:right w:val="sing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abs.</w:t>
            </w:r>
          </w:p>
        </w:tc>
        <w:tc>
          <w:tcPr>
            <w:tcW w:w="945" w:type="dxa"/>
            <w:tcBorders>
              <w:top w:val="single" w:sz="4" w:space="0" w:color="auto"/>
              <w:left w:val="single" w:sz="4" w:space="0" w:color="auto"/>
              <w:bottom w:val="doub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rPr>
            </w:pPr>
            <w:r w:rsidRPr="00002B63">
              <w:rPr>
                <w:rFonts w:asciiTheme="minorHAnsi" w:hAnsiTheme="minorHAnsi" w:cstheme="minorHAnsi"/>
                <w:b/>
                <w:color w:val="000000"/>
              </w:rPr>
              <w:t>v %</w:t>
            </w:r>
          </w:p>
        </w:tc>
      </w:tr>
      <w:tr w:rsidR="00CB53FC" w:rsidRPr="00002B63" w:rsidTr="00FF45C7">
        <w:trPr>
          <w:cantSplit/>
          <w:trHeight w:val="284"/>
        </w:trPr>
        <w:tc>
          <w:tcPr>
            <w:tcW w:w="1800" w:type="dxa"/>
            <w:tcBorders>
              <w:top w:val="double" w:sz="4" w:space="0" w:color="auto"/>
              <w:left w:val="double" w:sz="4" w:space="0" w:color="auto"/>
              <w:bottom w:val="single" w:sz="4" w:space="0" w:color="auto"/>
              <w:right w:val="single" w:sz="12" w:space="0" w:color="auto"/>
            </w:tcBorders>
            <w:shd w:val="clear" w:color="auto" w:fill="CCFFFF"/>
            <w:vAlign w:val="center"/>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do 3 měsíců</w:t>
            </w:r>
          </w:p>
        </w:tc>
        <w:tc>
          <w:tcPr>
            <w:tcW w:w="945" w:type="dxa"/>
            <w:tcBorders>
              <w:top w:val="double" w:sz="4" w:space="0" w:color="auto"/>
              <w:left w:val="nil"/>
              <w:bottom w:val="sing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11 742</w:t>
            </w:r>
          </w:p>
        </w:tc>
        <w:tc>
          <w:tcPr>
            <w:tcW w:w="945" w:type="dxa"/>
            <w:tcBorders>
              <w:top w:val="double" w:sz="4" w:space="0" w:color="auto"/>
              <w:left w:val="single" w:sz="4" w:space="0" w:color="auto"/>
              <w:bottom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27,1</w:t>
            </w:r>
          </w:p>
        </w:tc>
        <w:tc>
          <w:tcPr>
            <w:tcW w:w="945" w:type="dxa"/>
            <w:tcBorders>
              <w:top w:val="double" w:sz="4" w:space="0" w:color="auto"/>
              <w:left w:val="nil"/>
              <w:bottom w:val="single" w:sz="4" w:space="0" w:color="auto"/>
              <w:right w:val="single" w:sz="4" w:space="0" w:color="auto"/>
            </w:tcBorders>
            <w:vAlign w:val="bottom"/>
          </w:tcPr>
          <w:p w:rsidR="00CB53FC" w:rsidRPr="00002B63" w:rsidRDefault="00AB5065" w:rsidP="007E64DA">
            <w:pPr>
              <w:jc w:val="center"/>
              <w:rPr>
                <w:rFonts w:asciiTheme="minorHAnsi" w:hAnsiTheme="minorHAnsi" w:cstheme="minorHAnsi"/>
                <w:b/>
              </w:rPr>
            </w:pPr>
            <w:r>
              <w:rPr>
                <w:rFonts w:asciiTheme="minorHAnsi" w:hAnsiTheme="minorHAnsi" w:cstheme="minorHAnsi"/>
                <w:b/>
              </w:rPr>
              <w:t>9 832</w:t>
            </w:r>
          </w:p>
        </w:tc>
        <w:tc>
          <w:tcPr>
            <w:tcW w:w="945" w:type="dxa"/>
            <w:tcBorders>
              <w:top w:val="double" w:sz="4" w:space="0" w:color="auto"/>
              <w:left w:val="single" w:sz="4" w:space="0" w:color="auto"/>
              <w:bottom w:val="sing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25,2</w:t>
            </w:r>
          </w:p>
        </w:tc>
        <w:tc>
          <w:tcPr>
            <w:tcW w:w="945" w:type="dxa"/>
            <w:tcBorders>
              <w:top w:val="double" w:sz="4" w:space="0" w:color="auto"/>
              <w:left w:val="single" w:sz="18" w:space="0" w:color="auto"/>
              <w:bottom w:val="sing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4 243</w:t>
            </w:r>
          </w:p>
        </w:tc>
        <w:tc>
          <w:tcPr>
            <w:tcW w:w="945" w:type="dxa"/>
            <w:tcBorders>
              <w:top w:val="double" w:sz="4" w:space="0" w:color="auto"/>
              <w:left w:val="single" w:sz="4" w:space="0" w:color="auto"/>
              <w:bottom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20,8</w:t>
            </w:r>
          </w:p>
        </w:tc>
        <w:tc>
          <w:tcPr>
            <w:tcW w:w="945" w:type="dxa"/>
            <w:tcBorders>
              <w:top w:val="double" w:sz="4" w:space="0" w:color="auto"/>
              <w:bottom w:val="single" w:sz="4" w:space="0" w:color="auto"/>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3 587</w:t>
            </w:r>
          </w:p>
        </w:tc>
        <w:tc>
          <w:tcPr>
            <w:tcW w:w="945" w:type="dxa"/>
            <w:tcBorders>
              <w:top w:val="double" w:sz="4" w:space="0" w:color="auto"/>
              <w:left w:val="single" w:sz="4" w:space="0" w:color="auto"/>
              <w:bottom w:val="single" w:sz="4" w:space="0" w:color="auto"/>
              <w:right w:val="doub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19,1</w:t>
            </w:r>
          </w:p>
        </w:tc>
      </w:tr>
      <w:tr w:rsidR="00CB53FC" w:rsidRPr="00002B63" w:rsidTr="00FF45C7">
        <w:trPr>
          <w:cantSplit/>
          <w:trHeight w:val="284"/>
        </w:trPr>
        <w:tc>
          <w:tcPr>
            <w:tcW w:w="1800" w:type="dxa"/>
            <w:tcBorders>
              <w:top w:val="single" w:sz="4" w:space="0" w:color="auto"/>
              <w:left w:val="double" w:sz="4" w:space="0" w:color="auto"/>
              <w:bottom w:val="single" w:sz="4" w:space="0" w:color="auto"/>
              <w:right w:val="single" w:sz="12" w:space="0" w:color="auto"/>
            </w:tcBorders>
            <w:shd w:val="clear" w:color="auto" w:fill="CCFFFF"/>
            <w:vAlign w:val="center"/>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3 – 6 měsíců</w:t>
            </w:r>
          </w:p>
        </w:tc>
        <w:tc>
          <w:tcPr>
            <w:tcW w:w="945" w:type="dxa"/>
            <w:tcBorders>
              <w:top w:val="single" w:sz="4" w:space="0" w:color="auto"/>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6 621</w:t>
            </w:r>
          </w:p>
        </w:tc>
        <w:tc>
          <w:tcPr>
            <w:tcW w:w="945" w:type="dxa"/>
            <w:tcBorders>
              <w:top w:val="single" w:sz="4" w:space="0" w:color="auto"/>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15,3</w:t>
            </w:r>
          </w:p>
        </w:tc>
        <w:tc>
          <w:tcPr>
            <w:tcW w:w="945" w:type="dxa"/>
            <w:tcBorders>
              <w:top w:val="single" w:sz="4" w:space="0" w:color="auto"/>
              <w:left w:val="nil"/>
              <w:right w:val="single" w:sz="4" w:space="0" w:color="auto"/>
            </w:tcBorders>
            <w:vAlign w:val="bottom"/>
          </w:tcPr>
          <w:p w:rsidR="00CB53FC" w:rsidRPr="00002B63" w:rsidRDefault="00AB5065" w:rsidP="007E64DA">
            <w:pPr>
              <w:jc w:val="center"/>
              <w:rPr>
                <w:rFonts w:asciiTheme="minorHAnsi" w:hAnsiTheme="minorHAnsi" w:cstheme="minorHAnsi"/>
                <w:b/>
              </w:rPr>
            </w:pPr>
            <w:r>
              <w:rPr>
                <w:rFonts w:asciiTheme="minorHAnsi" w:hAnsiTheme="minorHAnsi" w:cstheme="minorHAnsi"/>
                <w:b/>
              </w:rPr>
              <w:t>5 493</w:t>
            </w:r>
          </w:p>
        </w:tc>
        <w:tc>
          <w:tcPr>
            <w:tcW w:w="945" w:type="dxa"/>
            <w:tcBorders>
              <w:top w:val="single" w:sz="4" w:space="0" w:color="auto"/>
              <w:left w:val="sing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14,1</w:t>
            </w:r>
          </w:p>
        </w:tc>
        <w:tc>
          <w:tcPr>
            <w:tcW w:w="945" w:type="dxa"/>
            <w:tcBorders>
              <w:top w:val="single" w:sz="4" w:space="0" w:color="auto"/>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3 364</w:t>
            </w:r>
          </w:p>
        </w:tc>
        <w:tc>
          <w:tcPr>
            <w:tcW w:w="945" w:type="dxa"/>
            <w:tcBorders>
              <w:top w:val="single" w:sz="4" w:space="0" w:color="auto"/>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16,5</w:t>
            </w:r>
          </w:p>
        </w:tc>
        <w:tc>
          <w:tcPr>
            <w:tcW w:w="945" w:type="dxa"/>
            <w:tcBorders>
              <w:top w:val="single" w:sz="4" w:space="0" w:color="auto"/>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2 906</w:t>
            </w:r>
          </w:p>
        </w:tc>
        <w:tc>
          <w:tcPr>
            <w:tcW w:w="945" w:type="dxa"/>
            <w:tcBorders>
              <w:top w:val="single" w:sz="4" w:space="0" w:color="auto"/>
              <w:left w:val="single" w:sz="4" w:space="0" w:color="auto"/>
              <w:right w:val="doub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15,4</w:t>
            </w:r>
          </w:p>
        </w:tc>
      </w:tr>
      <w:tr w:rsidR="00CB53FC" w:rsidRPr="00002B63" w:rsidTr="00FF45C7">
        <w:trPr>
          <w:cantSplit/>
          <w:trHeight w:val="284"/>
        </w:trPr>
        <w:tc>
          <w:tcPr>
            <w:tcW w:w="1800" w:type="dxa"/>
            <w:tcBorders>
              <w:top w:val="single" w:sz="4" w:space="0" w:color="auto"/>
              <w:left w:val="double" w:sz="4" w:space="0" w:color="auto"/>
              <w:right w:val="single" w:sz="12" w:space="0" w:color="auto"/>
            </w:tcBorders>
            <w:shd w:val="clear" w:color="auto" w:fill="CCFFFF"/>
            <w:vAlign w:val="center"/>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6 – 9 měsíců</w:t>
            </w:r>
          </w:p>
        </w:tc>
        <w:tc>
          <w:tcPr>
            <w:tcW w:w="945" w:type="dxa"/>
            <w:tcBorders>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3 825</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8,8</w:t>
            </w:r>
          </w:p>
        </w:tc>
        <w:tc>
          <w:tcPr>
            <w:tcW w:w="945" w:type="dxa"/>
            <w:tcBorders>
              <w:left w:val="nil"/>
              <w:right w:val="single" w:sz="4" w:space="0" w:color="auto"/>
            </w:tcBorders>
            <w:vAlign w:val="bottom"/>
          </w:tcPr>
          <w:p w:rsidR="00CB53FC" w:rsidRPr="00002B63" w:rsidRDefault="00AB5065" w:rsidP="007E64DA">
            <w:pPr>
              <w:jc w:val="center"/>
              <w:rPr>
                <w:rFonts w:asciiTheme="minorHAnsi" w:hAnsiTheme="minorHAnsi" w:cstheme="minorHAnsi"/>
                <w:b/>
              </w:rPr>
            </w:pPr>
            <w:r>
              <w:rPr>
                <w:rFonts w:asciiTheme="minorHAnsi" w:hAnsiTheme="minorHAnsi" w:cstheme="minorHAnsi"/>
                <w:b/>
              </w:rPr>
              <w:t>3 090</w:t>
            </w:r>
          </w:p>
        </w:tc>
        <w:tc>
          <w:tcPr>
            <w:tcW w:w="945" w:type="dxa"/>
            <w:tcBorders>
              <w:left w:val="sing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7,9</w:t>
            </w:r>
          </w:p>
        </w:tc>
        <w:tc>
          <w:tcPr>
            <w:tcW w:w="945" w:type="dxa"/>
            <w:tcBorders>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1 915</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9,4</w:t>
            </w:r>
          </w:p>
        </w:tc>
        <w:tc>
          <w:tcPr>
            <w:tcW w:w="945" w:type="dxa"/>
            <w:tcBorders>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1 656</w:t>
            </w:r>
          </w:p>
        </w:tc>
        <w:tc>
          <w:tcPr>
            <w:tcW w:w="945" w:type="dxa"/>
            <w:tcBorders>
              <w:left w:val="single" w:sz="4" w:space="0" w:color="auto"/>
              <w:right w:val="doub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8,8</w:t>
            </w:r>
          </w:p>
        </w:tc>
      </w:tr>
      <w:tr w:rsidR="00CB53FC" w:rsidRPr="00002B63" w:rsidTr="00FF45C7">
        <w:trPr>
          <w:cantSplit/>
          <w:trHeight w:val="284"/>
        </w:trPr>
        <w:tc>
          <w:tcPr>
            <w:tcW w:w="1800" w:type="dxa"/>
            <w:tcBorders>
              <w:top w:val="single" w:sz="4" w:space="0" w:color="auto"/>
              <w:left w:val="double" w:sz="4" w:space="0" w:color="auto"/>
              <w:right w:val="single" w:sz="12" w:space="0" w:color="auto"/>
            </w:tcBorders>
            <w:shd w:val="clear" w:color="auto" w:fill="CCFFFF"/>
            <w:vAlign w:val="center"/>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9 – 12 měsíců</w:t>
            </w:r>
          </w:p>
        </w:tc>
        <w:tc>
          <w:tcPr>
            <w:tcW w:w="945" w:type="dxa"/>
            <w:tcBorders>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3 419</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7,9</w:t>
            </w:r>
          </w:p>
        </w:tc>
        <w:tc>
          <w:tcPr>
            <w:tcW w:w="945" w:type="dxa"/>
            <w:tcBorders>
              <w:left w:val="nil"/>
              <w:right w:val="single" w:sz="4" w:space="0" w:color="auto"/>
            </w:tcBorders>
            <w:vAlign w:val="bottom"/>
          </w:tcPr>
          <w:p w:rsidR="00CB53FC" w:rsidRPr="00002B63" w:rsidRDefault="00AB5065" w:rsidP="007E64DA">
            <w:pPr>
              <w:jc w:val="center"/>
              <w:rPr>
                <w:rFonts w:asciiTheme="minorHAnsi" w:hAnsiTheme="minorHAnsi" w:cstheme="minorHAnsi"/>
                <w:b/>
              </w:rPr>
            </w:pPr>
            <w:r>
              <w:rPr>
                <w:rFonts w:asciiTheme="minorHAnsi" w:hAnsiTheme="minorHAnsi" w:cstheme="minorHAnsi"/>
                <w:b/>
              </w:rPr>
              <w:t>2 940</w:t>
            </w:r>
          </w:p>
        </w:tc>
        <w:tc>
          <w:tcPr>
            <w:tcW w:w="945" w:type="dxa"/>
            <w:tcBorders>
              <w:left w:val="sing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7,5</w:t>
            </w:r>
          </w:p>
        </w:tc>
        <w:tc>
          <w:tcPr>
            <w:tcW w:w="945" w:type="dxa"/>
            <w:tcBorders>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1 568</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7,7</w:t>
            </w:r>
          </w:p>
        </w:tc>
        <w:tc>
          <w:tcPr>
            <w:tcW w:w="945" w:type="dxa"/>
            <w:tcBorders>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1 473</w:t>
            </w:r>
          </w:p>
        </w:tc>
        <w:tc>
          <w:tcPr>
            <w:tcW w:w="945" w:type="dxa"/>
            <w:tcBorders>
              <w:left w:val="single" w:sz="4" w:space="0" w:color="auto"/>
              <w:right w:val="doub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7,8</w:t>
            </w:r>
          </w:p>
        </w:tc>
      </w:tr>
      <w:tr w:rsidR="00CB53FC" w:rsidRPr="00002B63" w:rsidTr="00FF45C7">
        <w:trPr>
          <w:cantSplit/>
          <w:trHeight w:val="284"/>
        </w:trPr>
        <w:tc>
          <w:tcPr>
            <w:tcW w:w="1800" w:type="dxa"/>
            <w:tcBorders>
              <w:top w:val="single" w:sz="4" w:space="0" w:color="auto"/>
              <w:left w:val="double" w:sz="4" w:space="0" w:color="auto"/>
              <w:right w:val="single" w:sz="12" w:space="0" w:color="auto"/>
            </w:tcBorders>
            <w:shd w:val="clear" w:color="auto" w:fill="CCFFFF"/>
            <w:vAlign w:val="center"/>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12 – 24 měsíců</w:t>
            </w:r>
          </w:p>
        </w:tc>
        <w:tc>
          <w:tcPr>
            <w:tcW w:w="945" w:type="dxa"/>
            <w:tcBorders>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7 506</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17,3</w:t>
            </w:r>
          </w:p>
        </w:tc>
        <w:tc>
          <w:tcPr>
            <w:tcW w:w="945" w:type="dxa"/>
            <w:tcBorders>
              <w:left w:val="nil"/>
              <w:right w:val="single" w:sz="4" w:space="0" w:color="auto"/>
            </w:tcBorders>
            <w:vAlign w:val="bottom"/>
          </w:tcPr>
          <w:p w:rsidR="00CB53FC" w:rsidRPr="00002B63" w:rsidRDefault="00AB5065" w:rsidP="007E64DA">
            <w:pPr>
              <w:jc w:val="center"/>
              <w:rPr>
                <w:rFonts w:asciiTheme="minorHAnsi" w:hAnsiTheme="minorHAnsi" w:cstheme="minorHAnsi"/>
                <w:b/>
              </w:rPr>
            </w:pPr>
            <w:r>
              <w:rPr>
                <w:rFonts w:asciiTheme="minorHAnsi" w:hAnsiTheme="minorHAnsi" w:cstheme="minorHAnsi"/>
                <w:b/>
              </w:rPr>
              <w:t>6 585</w:t>
            </w:r>
          </w:p>
        </w:tc>
        <w:tc>
          <w:tcPr>
            <w:tcW w:w="945" w:type="dxa"/>
            <w:tcBorders>
              <w:left w:val="sing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16,9</w:t>
            </w:r>
          </w:p>
        </w:tc>
        <w:tc>
          <w:tcPr>
            <w:tcW w:w="945" w:type="dxa"/>
            <w:tcBorders>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3 663</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18,0</w:t>
            </w:r>
          </w:p>
        </w:tc>
        <w:tc>
          <w:tcPr>
            <w:tcW w:w="945" w:type="dxa"/>
            <w:tcBorders>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3 287</w:t>
            </w:r>
          </w:p>
        </w:tc>
        <w:tc>
          <w:tcPr>
            <w:tcW w:w="945" w:type="dxa"/>
            <w:tcBorders>
              <w:left w:val="single" w:sz="4" w:space="0" w:color="auto"/>
              <w:right w:val="doub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17,5</w:t>
            </w:r>
          </w:p>
        </w:tc>
      </w:tr>
      <w:tr w:rsidR="00CB53FC" w:rsidRPr="00002B63" w:rsidTr="00FF45C7">
        <w:trPr>
          <w:cantSplit/>
          <w:trHeight w:val="284"/>
        </w:trPr>
        <w:tc>
          <w:tcPr>
            <w:tcW w:w="1800" w:type="dxa"/>
            <w:tcBorders>
              <w:top w:val="single" w:sz="4" w:space="0" w:color="auto"/>
              <w:left w:val="double" w:sz="4" w:space="0" w:color="auto"/>
              <w:right w:val="single" w:sz="12" w:space="0" w:color="auto"/>
            </w:tcBorders>
            <w:shd w:val="clear" w:color="auto" w:fill="CCFFFF"/>
            <w:vAlign w:val="center"/>
          </w:tcPr>
          <w:p w:rsidR="00CB53FC" w:rsidRPr="00002B63" w:rsidRDefault="00CB53FC" w:rsidP="00987584">
            <w:pPr>
              <w:jc w:val="both"/>
              <w:rPr>
                <w:rFonts w:asciiTheme="minorHAnsi" w:hAnsiTheme="minorHAnsi" w:cstheme="minorHAnsi"/>
                <w:color w:val="000000"/>
              </w:rPr>
            </w:pPr>
            <w:r w:rsidRPr="00002B63">
              <w:rPr>
                <w:rFonts w:asciiTheme="minorHAnsi" w:hAnsiTheme="minorHAnsi" w:cstheme="minorHAnsi"/>
                <w:color w:val="000000"/>
              </w:rPr>
              <w:t>nad 24 měsíců</w:t>
            </w:r>
          </w:p>
        </w:tc>
        <w:tc>
          <w:tcPr>
            <w:tcW w:w="945" w:type="dxa"/>
            <w:tcBorders>
              <w:left w:val="nil"/>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10 251</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23,6</w:t>
            </w:r>
          </w:p>
        </w:tc>
        <w:tc>
          <w:tcPr>
            <w:tcW w:w="945" w:type="dxa"/>
            <w:tcBorders>
              <w:left w:val="nil"/>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11 050</w:t>
            </w:r>
          </w:p>
        </w:tc>
        <w:tc>
          <w:tcPr>
            <w:tcW w:w="945" w:type="dxa"/>
            <w:tcBorders>
              <w:left w:val="sing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28,3</w:t>
            </w:r>
          </w:p>
        </w:tc>
        <w:tc>
          <w:tcPr>
            <w:tcW w:w="945" w:type="dxa"/>
            <w:tcBorders>
              <w:left w:val="single" w:sz="18"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5 633</w:t>
            </w:r>
          </w:p>
        </w:tc>
        <w:tc>
          <w:tcPr>
            <w:tcW w:w="945" w:type="dxa"/>
            <w:tcBorders>
              <w:lef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27,6</w:t>
            </w:r>
          </w:p>
        </w:tc>
        <w:tc>
          <w:tcPr>
            <w:tcW w:w="945" w:type="dxa"/>
            <w:tcBorders>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5 913</w:t>
            </w:r>
          </w:p>
        </w:tc>
        <w:tc>
          <w:tcPr>
            <w:tcW w:w="945" w:type="dxa"/>
            <w:tcBorders>
              <w:left w:val="single" w:sz="4" w:space="0" w:color="auto"/>
              <w:right w:val="doub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31,4</w:t>
            </w:r>
          </w:p>
        </w:tc>
      </w:tr>
      <w:tr w:rsidR="00CB53FC" w:rsidRPr="00002B63" w:rsidTr="00FF45C7">
        <w:trPr>
          <w:cantSplit/>
          <w:trHeight w:val="284"/>
        </w:trPr>
        <w:tc>
          <w:tcPr>
            <w:tcW w:w="1800" w:type="dxa"/>
            <w:tcBorders>
              <w:top w:val="single" w:sz="12" w:space="0" w:color="auto"/>
              <w:left w:val="double" w:sz="4" w:space="0" w:color="auto"/>
              <w:bottom w:val="double" w:sz="4" w:space="0" w:color="auto"/>
              <w:right w:val="single" w:sz="12" w:space="0" w:color="auto"/>
            </w:tcBorders>
            <w:shd w:val="clear" w:color="auto" w:fill="CCFFFF"/>
            <w:vAlign w:val="center"/>
          </w:tcPr>
          <w:p w:rsidR="00CB53FC" w:rsidRPr="00002B63" w:rsidRDefault="00CB53FC" w:rsidP="00987584">
            <w:pPr>
              <w:rPr>
                <w:rFonts w:asciiTheme="minorHAnsi" w:hAnsiTheme="minorHAnsi" w:cstheme="minorHAnsi"/>
                <w:b/>
                <w:color w:val="000000"/>
              </w:rPr>
            </w:pPr>
            <w:r w:rsidRPr="00002B63">
              <w:rPr>
                <w:rFonts w:asciiTheme="minorHAnsi" w:hAnsiTheme="minorHAnsi" w:cstheme="minorHAnsi"/>
                <w:b/>
                <w:color w:val="000000"/>
              </w:rPr>
              <w:t>Celkem</w:t>
            </w:r>
          </w:p>
        </w:tc>
        <w:tc>
          <w:tcPr>
            <w:tcW w:w="945" w:type="dxa"/>
            <w:tcBorders>
              <w:top w:val="single" w:sz="12" w:space="0" w:color="auto"/>
              <w:left w:val="nil"/>
              <w:bottom w:val="doub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43 364</w:t>
            </w:r>
          </w:p>
        </w:tc>
        <w:tc>
          <w:tcPr>
            <w:tcW w:w="945" w:type="dxa"/>
            <w:tcBorders>
              <w:top w:val="single" w:sz="12" w:space="0" w:color="auto"/>
              <w:left w:val="single" w:sz="4" w:space="0" w:color="auto"/>
              <w:bottom w:val="doub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100</w:t>
            </w:r>
          </w:p>
        </w:tc>
        <w:tc>
          <w:tcPr>
            <w:tcW w:w="945" w:type="dxa"/>
            <w:tcBorders>
              <w:top w:val="single" w:sz="12" w:space="0" w:color="auto"/>
              <w:left w:val="nil"/>
              <w:bottom w:val="double" w:sz="4" w:space="0" w:color="auto"/>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38 990</w:t>
            </w:r>
          </w:p>
        </w:tc>
        <w:tc>
          <w:tcPr>
            <w:tcW w:w="945" w:type="dxa"/>
            <w:tcBorders>
              <w:top w:val="single" w:sz="12" w:space="0" w:color="auto"/>
              <w:left w:val="single" w:sz="4" w:space="0" w:color="auto"/>
              <w:bottom w:val="double" w:sz="4" w:space="0" w:color="auto"/>
              <w:right w:val="single" w:sz="18"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100</w:t>
            </w:r>
          </w:p>
        </w:tc>
        <w:tc>
          <w:tcPr>
            <w:tcW w:w="945" w:type="dxa"/>
            <w:tcBorders>
              <w:top w:val="single" w:sz="12" w:space="0" w:color="auto"/>
              <w:left w:val="single" w:sz="18" w:space="0" w:color="auto"/>
              <w:bottom w:val="double" w:sz="4" w:space="0" w:color="auto"/>
              <w:right w:val="sing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20 386</w:t>
            </w:r>
          </w:p>
        </w:tc>
        <w:tc>
          <w:tcPr>
            <w:tcW w:w="945" w:type="dxa"/>
            <w:tcBorders>
              <w:top w:val="single" w:sz="12" w:space="0" w:color="auto"/>
              <w:left w:val="single" w:sz="4" w:space="0" w:color="auto"/>
              <w:bottom w:val="double" w:sz="4" w:space="0" w:color="auto"/>
            </w:tcBorders>
            <w:vAlign w:val="bottom"/>
          </w:tcPr>
          <w:p w:rsidR="00CB53FC" w:rsidRPr="00CB53FC" w:rsidRDefault="00CB53FC" w:rsidP="00CB53FC">
            <w:pPr>
              <w:jc w:val="center"/>
              <w:rPr>
                <w:rFonts w:asciiTheme="minorHAnsi" w:hAnsiTheme="minorHAnsi" w:cstheme="minorHAnsi"/>
              </w:rPr>
            </w:pPr>
            <w:r w:rsidRPr="00CB53FC">
              <w:rPr>
                <w:rFonts w:asciiTheme="minorHAnsi" w:hAnsiTheme="minorHAnsi" w:cstheme="minorHAnsi"/>
              </w:rPr>
              <w:t>100</w:t>
            </w:r>
          </w:p>
        </w:tc>
        <w:tc>
          <w:tcPr>
            <w:tcW w:w="945" w:type="dxa"/>
            <w:tcBorders>
              <w:top w:val="single" w:sz="12" w:space="0" w:color="auto"/>
              <w:bottom w:val="double" w:sz="4" w:space="0" w:color="auto"/>
              <w:right w:val="single" w:sz="4" w:space="0" w:color="auto"/>
            </w:tcBorders>
            <w:vAlign w:val="bottom"/>
          </w:tcPr>
          <w:p w:rsidR="00CB53FC" w:rsidRPr="00002B63" w:rsidRDefault="00A768E7" w:rsidP="007E64DA">
            <w:pPr>
              <w:jc w:val="center"/>
              <w:rPr>
                <w:rFonts w:asciiTheme="minorHAnsi" w:hAnsiTheme="minorHAnsi" w:cstheme="minorHAnsi"/>
                <w:b/>
              </w:rPr>
            </w:pPr>
            <w:r>
              <w:rPr>
                <w:rFonts w:asciiTheme="minorHAnsi" w:hAnsiTheme="minorHAnsi" w:cstheme="minorHAnsi"/>
                <w:b/>
              </w:rPr>
              <w:t>18 822</w:t>
            </w:r>
          </w:p>
        </w:tc>
        <w:tc>
          <w:tcPr>
            <w:tcW w:w="945" w:type="dxa"/>
            <w:tcBorders>
              <w:top w:val="single" w:sz="12" w:space="0" w:color="auto"/>
              <w:left w:val="single" w:sz="4" w:space="0" w:color="auto"/>
              <w:bottom w:val="double" w:sz="4" w:space="0" w:color="auto"/>
              <w:right w:val="double" w:sz="4" w:space="0" w:color="auto"/>
            </w:tcBorders>
            <w:vAlign w:val="bottom"/>
          </w:tcPr>
          <w:p w:rsidR="00CB53FC" w:rsidRPr="00002B63" w:rsidRDefault="00455DFB" w:rsidP="007E64DA">
            <w:pPr>
              <w:jc w:val="center"/>
              <w:rPr>
                <w:rFonts w:asciiTheme="minorHAnsi" w:hAnsiTheme="minorHAnsi" w:cstheme="minorHAnsi"/>
                <w:b/>
              </w:rPr>
            </w:pPr>
            <w:r>
              <w:rPr>
                <w:rFonts w:asciiTheme="minorHAnsi" w:hAnsiTheme="minorHAnsi" w:cstheme="minorHAnsi"/>
                <w:b/>
              </w:rPr>
              <w:t>100</w:t>
            </w:r>
          </w:p>
        </w:tc>
      </w:tr>
    </w:tbl>
    <w:p w:rsidR="00987584" w:rsidRPr="00002B63" w:rsidRDefault="00987584" w:rsidP="00987584">
      <w:pPr>
        <w:jc w:val="both"/>
        <w:rPr>
          <w:rFonts w:asciiTheme="minorHAnsi" w:hAnsiTheme="minorHAnsi" w:cstheme="minorHAnsi"/>
          <w:i/>
          <w:color w:val="000000"/>
        </w:rPr>
      </w:pPr>
      <w:r w:rsidRPr="00002B63">
        <w:rPr>
          <w:rFonts w:asciiTheme="minorHAnsi" w:hAnsiTheme="minorHAnsi" w:cstheme="minorHAnsi"/>
          <w:color w:val="000000"/>
          <w:sz w:val="16"/>
          <w:vertAlign w:val="superscript"/>
        </w:rPr>
        <w:t xml:space="preserve"> </w:t>
      </w:r>
      <w:r w:rsidRPr="00002B63">
        <w:rPr>
          <w:rFonts w:asciiTheme="minorHAnsi" w:hAnsiTheme="minorHAnsi" w:cstheme="minorHAnsi"/>
          <w:color w:val="000000"/>
          <w:sz w:val="16"/>
        </w:rPr>
        <w:t>Údaje ze čtvrtletní statistiky</w:t>
      </w:r>
    </w:p>
    <w:p w:rsidR="00987584" w:rsidRPr="00CD7AD7" w:rsidRDefault="00987584" w:rsidP="00987584">
      <w:pPr>
        <w:jc w:val="both"/>
        <w:rPr>
          <w:rFonts w:asciiTheme="minorHAnsi" w:hAnsiTheme="minorHAnsi" w:cstheme="minorHAnsi"/>
          <w:color w:val="000000"/>
          <w:sz w:val="16"/>
          <w:szCs w:val="16"/>
        </w:rPr>
      </w:pPr>
    </w:p>
    <w:p w:rsidR="006D3F79" w:rsidRPr="00BD78FB" w:rsidRDefault="006D3F79" w:rsidP="00B53234">
      <w:pPr>
        <w:pStyle w:val="Zkladntext"/>
        <w:tabs>
          <w:tab w:val="left" w:pos="5055"/>
        </w:tabs>
        <w:spacing w:line="240" w:lineRule="atLeast"/>
        <w:ind w:firstLine="720"/>
        <w:jc w:val="both"/>
        <w:rPr>
          <w:rFonts w:asciiTheme="minorHAnsi" w:hAnsiTheme="minorHAnsi" w:cstheme="minorHAnsi"/>
          <w:b w:val="0"/>
          <w:color w:val="000000" w:themeColor="text1"/>
          <w:sz w:val="24"/>
        </w:rPr>
      </w:pPr>
      <w:r w:rsidRPr="00BD78FB">
        <w:rPr>
          <w:rFonts w:asciiTheme="minorHAnsi" w:hAnsiTheme="minorHAnsi" w:cstheme="minorHAnsi"/>
          <w:b w:val="0"/>
          <w:color w:val="000000" w:themeColor="text1"/>
          <w:sz w:val="24"/>
        </w:rPr>
        <w:t>S obrovským přílivem nových nezaměstnaných</w:t>
      </w:r>
      <w:r w:rsidR="00D67625" w:rsidRPr="00BD78FB">
        <w:rPr>
          <w:rFonts w:asciiTheme="minorHAnsi" w:hAnsiTheme="minorHAnsi" w:cstheme="minorHAnsi"/>
          <w:b w:val="0"/>
          <w:color w:val="000000" w:themeColor="text1"/>
          <w:sz w:val="24"/>
        </w:rPr>
        <w:t xml:space="preserve"> </w:t>
      </w:r>
      <w:r w:rsidRPr="00BD78FB">
        <w:rPr>
          <w:rFonts w:asciiTheme="minorHAnsi" w:hAnsiTheme="minorHAnsi" w:cstheme="minorHAnsi"/>
          <w:b w:val="0"/>
          <w:color w:val="000000" w:themeColor="text1"/>
          <w:sz w:val="24"/>
        </w:rPr>
        <w:t xml:space="preserve">od </w:t>
      </w:r>
      <w:r w:rsidR="00E96599" w:rsidRPr="00BD78FB">
        <w:rPr>
          <w:rFonts w:asciiTheme="minorHAnsi" w:hAnsiTheme="minorHAnsi" w:cstheme="minorHAnsi"/>
          <w:b w:val="0"/>
          <w:color w:val="000000" w:themeColor="text1"/>
          <w:sz w:val="24"/>
        </w:rPr>
        <w:t xml:space="preserve">konce </w:t>
      </w:r>
      <w:r w:rsidRPr="00BD78FB">
        <w:rPr>
          <w:rFonts w:asciiTheme="minorHAnsi" w:hAnsiTheme="minorHAnsi" w:cstheme="minorHAnsi"/>
          <w:b w:val="0"/>
          <w:color w:val="000000" w:themeColor="text1"/>
          <w:sz w:val="24"/>
        </w:rPr>
        <w:t>roku 2008</w:t>
      </w:r>
      <w:r w:rsidR="001225D6" w:rsidRPr="00BD78FB">
        <w:rPr>
          <w:rFonts w:asciiTheme="minorHAnsi" w:hAnsiTheme="minorHAnsi" w:cstheme="minorHAnsi"/>
          <w:b w:val="0"/>
          <w:color w:val="000000" w:themeColor="text1"/>
          <w:sz w:val="24"/>
        </w:rPr>
        <w:t xml:space="preserve"> </w:t>
      </w:r>
      <w:r w:rsidR="005E5A82" w:rsidRPr="00BD78FB">
        <w:rPr>
          <w:rFonts w:asciiTheme="minorHAnsi" w:hAnsiTheme="minorHAnsi" w:cstheme="minorHAnsi"/>
          <w:b w:val="0"/>
          <w:color w:val="000000" w:themeColor="text1"/>
          <w:sz w:val="24"/>
        </w:rPr>
        <w:t xml:space="preserve">nejprve </w:t>
      </w:r>
      <w:r w:rsidR="00D67625" w:rsidRPr="00BD78FB">
        <w:rPr>
          <w:rFonts w:asciiTheme="minorHAnsi" w:hAnsiTheme="minorHAnsi" w:cstheme="minorHAnsi"/>
          <w:b w:val="0"/>
          <w:color w:val="000000" w:themeColor="text1"/>
          <w:sz w:val="24"/>
        </w:rPr>
        <w:t>výrazně klesl</w:t>
      </w:r>
      <w:r w:rsidR="005E5A82" w:rsidRPr="00BD78FB">
        <w:rPr>
          <w:rFonts w:asciiTheme="minorHAnsi" w:hAnsiTheme="minorHAnsi" w:cstheme="minorHAnsi"/>
          <w:b w:val="0"/>
          <w:color w:val="000000" w:themeColor="text1"/>
          <w:sz w:val="24"/>
        </w:rPr>
        <w:t xml:space="preserve"> podíl dlouhodobě nezaměstnaných</w:t>
      </w:r>
      <w:r w:rsidR="00BD78FB" w:rsidRPr="00BD78FB">
        <w:rPr>
          <w:rFonts w:asciiTheme="minorHAnsi" w:hAnsiTheme="minorHAnsi" w:cstheme="minorHAnsi"/>
          <w:b w:val="0"/>
          <w:color w:val="000000" w:themeColor="text1"/>
          <w:sz w:val="24"/>
        </w:rPr>
        <w:t xml:space="preserve"> (nad 2 roky)</w:t>
      </w:r>
      <w:r w:rsidR="008A35B4" w:rsidRPr="00BD78FB">
        <w:rPr>
          <w:rFonts w:asciiTheme="minorHAnsi" w:hAnsiTheme="minorHAnsi" w:cstheme="minorHAnsi"/>
          <w:b w:val="0"/>
          <w:color w:val="000000" w:themeColor="text1"/>
          <w:sz w:val="24"/>
        </w:rPr>
        <w:t xml:space="preserve"> – např. na konci roku 2009 jejich podíl činil pouze 9,4 %</w:t>
      </w:r>
      <w:r w:rsidRPr="00BD78FB">
        <w:rPr>
          <w:rFonts w:asciiTheme="minorHAnsi" w:hAnsiTheme="minorHAnsi" w:cstheme="minorHAnsi"/>
          <w:b w:val="0"/>
          <w:color w:val="000000" w:themeColor="text1"/>
          <w:sz w:val="24"/>
        </w:rPr>
        <w:t xml:space="preserve"> (původně tvořili dlouhodobě n</w:t>
      </w:r>
      <w:r w:rsidR="00BD78FB" w:rsidRPr="00BD78FB">
        <w:rPr>
          <w:rFonts w:asciiTheme="minorHAnsi" w:hAnsiTheme="minorHAnsi" w:cstheme="minorHAnsi"/>
          <w:b w:val="0"/>
          <w:color w:val="000000" w:themeColor="text1"/>
          <w:sz w:val="24"/>
        </w:rPr>
        <w:t xml:space="preserve">ezaměstnaní </w:t>
      </w:r>
      <w:r w:rsidRPr="00BD78FB">
        <w:rPr>
          <w:rFonts w:asciiTheme="minorHAnsi" w:hAnsiTheme="minorHAnsi" w:cstheme="minorHAnsi"/>
          <w:b w:val="0"/>
          <w:color w:val="000000" w:themeColor="text1"/>
          <w:sz w:val="24"/>
        </w:rPr>
        <w:t>čtvrtinu z celkového počtu uchazečů o zaměstnání</w:t>
      </w:r>
      <w:r w:rsidR="008D3E3A" w:rsidRPr="00BD78FB">
        <w:rPr>
          <w:rFonts w:asciiTheme="minorHAnsi" w:hAnsiTheme="minorHAnsi" w:cstheme="minorHAnsi"/>
          <w:b w:val="0"/>
          <w:color w:val="000000" w:themeColor="text1"/>
          <w:sz w:val="24"/>
        </w:rPr>
        <w:t>)</w:t>
      </w:r>
      <w:r w:rsidR="008A35B4" w:rsidRPr="00BD78FB">
        <w:rPr>
          <w:rFonts w:asciiTheme="minorHAnsi" w:hAnsiTheme="minorHAnsi" w:cstheme="minorHAnsi"/>
          <w:b w:val="0"/>
          <w:color w:val="000000" w:themeColor="text1"/>
          <w:sz w:val="24"/>
        </w:rPr>
        <w:t xml:space="preserve">. </w:t>
      </w:r>
      <w:r w:rsidR="005E5A82" w:rsidRPr="00BD78FB">
        <w:rPr>
          <w:rFonts w:asciiTheme="minorHAnsi" w:hAnsiTheme="minorHAnsi" w:cstheme="minorHAnsi"/>
          <w:b w:val="0"/>
          <w:color w:val="000000" w:themeColor="text1"/>
          <w:sz w:val="24"/>
        </w:rPr>
        <w:t>S postupujícím časem se</w:t>
      </w:r>
      <w:r w:rsidRPr="00BD78FB">
        <w:rPr>
          <w:rFonts w:asciiTheme="minorHAnsi" w:hAnsiTheme="minorHAnsi" w:cstheme="minorHAnsi"/>
          <w:b w:val="0"/>
          <w:color w:val="000000" w:themeColor="text1"/>
          <w:sz w:val="24"/>
        </w:rPr>
        <w:t xml:space="preserve"> podíl déle nezaměstnaných začíná</w:t>
      </w:r>
      <w:r w:rsidR="005E5A82" w:rsidRPr="00BD78FB">
        <w:rPr>
          <w:rFonts w:asciiTheme="minorHAnsi" w:hAnsiTheme="minorHAnsi" w:cstheme="minorHAnsi"/>
          <w:b w:val="0"/>
          <w:color w:val="000000" w:themeColor="text1"/>
          <w:sz w:val="24"/>
        </w:rPr>
        <w:t xml:space="preserve"> opět zvyšovat – </w:t>
      </w:r>
      <w:r w:rsidR="0083271C" w:rsidRPr="00BD78FB">
        <w:rPr>
          <w:rFonts w:asciiTheme="minorHAnsi" w:hAnsiTheme="minorHAnsi" w:cstheme="minorHAnsi"/>
          <w:color w:val="000000" w:themeColor="text1"/>
          <w:sz w:val="24"/>
        </w:rPr>
        <w:t>meziročně</w:t>
      </w:r>
      <w:r w:rsidR="001F782C" w:rsidRPr="00BD78FB">
        <w:rPr>
          <w:rFonts w:asciiTheme="minorHAnsi" w:hAnsiTheme="minorHAnsi" w:cstheme="minorHAnsi"/>
          <w:color w:val="000000" w:themeColor="text1"/>
          <w:sz w:val="24"/>
        </w:rPr>
        <w:t xml:space="preserve"> se podíl </w:t>
      </w:r>
      <w:r w:rsidRPr="00BD78FB">
        <w:rPr>
          <w:rFonts w:asciiTheme="minorHAnsi" w:hAnsiTheme="minorHAnsi" w:cstheme="minorHAnsi"/>
          <w:color w:val="000000" w:themeColor="text1"/>
          <w:sz w:val="24"/>
        </w:rPr>
        <w:t>nezaměstnaných evidovaných nad </w:t>
      </w:r>
      <w:r w:rsidR="001F782C" w:rsidRPr="00BD78FB">
        <w:rPr>
          <w:rFonts w:asciiTheme="minorHAnsi" w:hAnsiTheme="minorHAnsi" w:cstheme="minorHAnsi"/>
          <w:color w:val="000000" w:themeColor="text1"/>
          <w:sz w:val="24"/>
        </w:rPr>
        <w:t>24 měsíců zvýš</w:t>
      </w:r>
      <w:r w:rsidR="00BD78FB" w:rsidRPr="00BD78FB">
        <w:rPr>
          <w:rFonts w:asciiTheme="minorHAnsi" w:hAnsiTheme="minorHAnsi" w:cstheme="minorHAnsi"/>
          <w:color w:val="000000" w:themeColor="text1"/>
          <w:sz w:val="24"/>
        </w:rPr>
        <w:t>il o 4,7</w:t>
      </w:r>
      <w:r w:rsidRPr="00BD78FB">
        <w:rPr>
          <w:rFonts w:asciiTheme="minorHAnsi" w:hAnsiTheme="minorHAnsi" w:cstheme="minorHAnsi"/>
          <w:color w:val="000000" w:themeColor="text1"/>
          <w:sz w:val="24"/>
        </w:rPr>
        <w:t xml:space="preserve"> p. b</w:t>
      </w:r>
      <w:r w:rsidR="00B86226" w:rsidRPr="00BD78FB">
        <w:rPr>
          <w:rFonts w:asciiTheme="minorHAnsi" w:hAnsiTheme="minorHAnsi" w:cstheme="minorHAnsi"/>
          <w:color w:val="000000" w:themeColor="text1"/>
          <w:sz w:val="24"/>
        </w:rPr>
        <w:t>.</w:t>
      </w:r>
      <w:r w:rsidR="00BD78FB" w:rsidRPr="00BD78FB">
        <w:rPr>
          <w:rFonts w:asciiTheme="minorHAnsi" w:hAnsiTheme="minorHAnsi" w:cstheme="minorHAnsi"/>
          <w:b w:val="0"/>
          <w:color w:val="000000" w:themeColor="text1"/>
          <w:sz w:val="24"/>
        </w:rPr>
        <w:t xml:space="preserve"> a </w:t>
      </w:r>
      <w:r w:rsidR="00BD78FB">
        <w:rPr>
          <w:rFonts w:asciiTheme="minorHAnsi" w:hAnsiTheme="minorHAnsi" w:cstheme="minorHAnsi"/>
          <w:b w:val="0"/>
          <w:color w:val="000000" w:themeColor="text1"/>
          <w:sz w:val="24"/>
        </w:rPr>
        <w:t xml:space="preserve">překročil již </w:t>
      </w:r>
      <w:r w:rsidR="00BD78FB" w:rsidRPr="00BD78FB">
        <w:rPr>
          <w:rFonts w:asciiTheme="minorHAnsi" w:hAnsiTheme="minorHAnsi" w:cstheme="minorHAnsi"/>
          <w:b w:val="0"/>
          <w:color w:val="000000" w:themeColor="text1"/>
          <w:sz w:val="24"/>
        </w:rPr>
        <w:t>i „předkrizové“ hodnoty.</w:t>
      </w:r>
      <w:r w:rsidRPr="00BD78FB">
        <w:rPr>
          <w:rFonts w:asciiTheme="minorHAnsi" w:hAnsiTheme="minorHAnsi" w:cstheme="minorHAnsi"/>
          <w:b w:val="0"/>
          <w:color w:val="000000" w:themeColor="text1"/>
          <w:sz w:val="24"/>
        </w:rPr>
        <w:t xml:space="preserve"> Zároveň mírně klesl </w:t>
      </w:r>
      <w:r w:rsidR="00B86226" w:rsidRPr="00BD78FB">
        <w:rPr>
          <w:rFonts w:asciiTheme="minorHAnsi" w:hAnsiTheme="minorHAnsi" w:cstheme="minorHAnsi"/>
          <w:b w:val="0"/>
          <w:color w:val="000000" w:themeColor="text1"/>
          <w:sz w:val="24"/>
        </w:rPr>
        <w:t>podíl uchazečů, kteří jsou v evidenci krátkodobě (do 3 měsíců)</w:t>
      </w:r>
      <w:r w:rsidR="00BD78FB" w:rsidRPr="00BD78FB">
        <w:rPr>
          <w:rFonts w:asciiTheme="minorHAnsi" w:hAnsiTheme="minorHAnsi" w:cstheme="minorHAnsi"/>
          <w:b w:val="0"/>
          <w:color w:val="000000" w:themeColor="text1"/>
          <w:sz w:val="24"/>
        </w:rPr>
        <w:t xml:space="preserve"> – o 1,9 p.b</w:t>
      </w:r>
      <w:r w:rsidR="00B86226" w:rsidRPr="00BD78FB">
        <w:rPr>
          <w:rFonts w:asciiTheme="minorHAnsi" w:hAnsiTheme="minorHAnsi" w:cstheme="minorHAnsi"/>
          <w:b w:val="0"/>
          <w:color w:val="000000" w:themeColor="text1"/>
          <w:sz w:val="24"/>
        </w:rPr>
        <w:t xml:space="preserve">. </w:t>
      </w:r>
    </w:p>
    <w:p w:rsidR="00B86226" w:rsidRPr="00BD78FB" w:rsidRDefault="00B86226" w:rsidP="00B53234">
      <w:pPr>
        <w:pStyle w:val="Zkladntext"/>
        <w:tabs>
          <w:tab w:val="left" w:pos="5055"/>
        </w:tabs>
        <w:spacing w:line="240" w:lineRule="atLeast"/>
        <w:ind w:firstLine="720"/>
        <w:jc w:val="both"/>
        <w:rPr>
          <w:rFonts w:asciiTheme="minorHAnsi" w:hAnsiTheme="minorHAnsi" w:cstheme="minorHAnsi"/>
          <w:i/>
          <w:color w:val="000000" w:themeColor="text1"/>
          <w:sz w:val="24"/>
        </w:rPr>
      </w:pPr>
    </w:p>
    <w:p w:rsidR="00465178" w:rsidRPr="0047289E" w:rsidRDefault="00987584" w:rsidP="008D22AE">
      <w:pPr>
        <w:pStyle w:val="Zkladntext"/>
        <w:tabs>
          <w:tab w:val="left" w:pos="5055"/>
        </w:tabs>
        <w:spacing w:line="240" w:lineRule="atLeast"/>
        <w:rPr>
          <w:rFonts w:asciiTheme="minorHAnsi" w:hAnsiTheme="minorHAnsi" w:cstheme="minorHAnsi"/>
          <w:noProof/>
          <w:color w:val="000000" w:themeColor="text1"/>
          <w:sz w:val="24"/>
        </w:rPr>
      </w:pPr>
      <w:r w:rsidRPr="0047289E">
        <w:rPr>
          <w:rFonts w:asciiTheme="minorHAnsi" w:hAnsiTheme="minorHAnsi" w:cstheme="minorHAnsi"/>
          <w:color w:val="000000" w:themeColor="text1"/>
          <w:sz w:val="24"/>
        </w:rPr>
        <w:t>Graf: Podíly skupin uchazečů (podle délky</w:t>
      </w:r>
      <w:r w:rsidR="002B4D0E" w:rsidRPr="0047289E">
        <w:rPr>
          <w:rFonts w:asciiTheme="minorHAnsi" w:hAnsiTheme="minorHAnsi" w:cstheme="minorHAnsi"/>
          <w:color w:val="000000" w:themeColor="text1"/>
          <w:sz w:val="24"/>
        </w:rPr>
        <w:t xml:space="preserve"> </w:t>
      </w:r>
      <w:r w:rsidRPr="0047289E">
        <w:rPr>
          <w:rFonts w:asciiTheme="minorHAnsi" w:hAnsiTheme="minorHAnsi" w:cstheme="minorHAnsi"/>
          <w:color w:val="000000" w:themeColor="text1"/>
          <w:sz w:val="24"/>
        </w:rPr>
        <w:t>nezaměstnanosti)</w:t>
      </w:r>
      <w:r w:rsidR="00465178" w:rsidRPr="0047289E">
        <w:rPr>
          <w:rFonts w:asciiTheme="minorHAnsi" w:hAnsiTheme="minorHAnsi" w:cstheme="minorHAnsi"/>
          <w:noProof/>
          <w:color w:val="000000" w:themeColor="text1"/>
        </w:rPr>
        <w:t xml:space="preserve"> </w:t>
      </w:r>
    </w:p>
    <w:p w:rsidR="00D86C41" w:rsidRPr="00002B63" w:rsidRDefault="00D732D2" w:rsidP="008D22AE">
      <w:pPr>
        <w:pStyle w:val="Zkladntext"/>
        <w:tabs>
          <w:tab w:val="left" w:pos="5055"/>
        </w:tabs>
        <w:spacing w:line="240" w:lineRule="atLeast"/>
        <w:rPr>
          <w:rFonts w:asciiTheme="minorHAnsi" w:hAnsiTheme="minorHAnsi" w:cstheme="minorHAnsi"/>
          <w:sz w:val="24"/>
        </w:rPr>
      </w:pPr>
      <w:r>
        <w:rPr>
          <w:noProof/>
        </w:rPr>
        <w:drawing>
          <wp:inline distT="0" distB="0" distL="0" distR="0" wp14:anchorId="7CCAC5F8" wp14:editId="18F0DBD3">
            <wp:extent cx="3604260" cy="25527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1AA5" w:rsidRPr="00BD78FB" w:rsidRDefault="00F21AA5" w:rsidP="00F21AA5">
      <w:pPr>
        <w:pStyle w:val="Zkladntextodsazen3"/>
        <w:rPr>
          <w:rFonts w:asciiTheme="minorHAnsi" w:hAnsiTheme="minorHAnsi" w:cstheme="minorHAnsi"/>
          <w:color w:val="000000" w:themeColor="text1"/>
        </w:rPr>
      </w:pPr>
      <w:r w:rsidRPr="00BD78FB">
        <w:rPr>
          <w:rFonts w:asciiTheme="minorHAnsi" w:hAnsiTheme="minorHAnsi" w:cstheme="minorHAnsi"/>
          <w:b/>
          <w:color w:val="000000" w:themeColor="text1"/>
        </w:rPr>
        <w:t>Mezi</w:t>
      </w:r>
      <w:r w:rsidR="00B86226" w:rsidRPr="00BD78FB">
        <w:rPr>
          <w:rFonts w:asciiTheme="minorHAnsi" w:hAnsiTheme="minorHAnsi" w:cstheme="minorHAnsi"/>
          <w:b/>
          <w:color w:val="000000" w:themeColor="text1"/>
        </w:rPr>
        <w:t xml:space="preserve"> dlouhodobě neza</w:t>
      </w:r>
      <w:r w:rsidR="00F93BD2" w:rsidRPr="00BD78FB">
        <w:rPr>
          <w:rFonts w:asciiTheme="minorHAnsi" w:hAnsiTheme="minorHAnsi" w:cstheme="minorHAnsi"/>
          <w:b/>
          <w:color w:val="000000" w:themeColor="text1"/>
        </w:rPr>
        <w:t>městnanými tvoří</w:t>
      </w:r>
      <w:r w:rsidRPr="00BD78FB">
        <w:rPr>
          <w:rFonts w:asciiTheme="minorHAnsi" w:hAnsiTheme="minorHAnsi" w:cstheme="minorHAnsi"/>
          <w:b/>
          <w:color w:val="000000" w:themeColor="text1"/>
        </w:rPr>
        <w:t xml:space="preserve"> vysoký podíl </w:t>
      </w:r>
      <w:r w:rsidR="00554DF2" w:rsidRPr="00BD78FB">
        <w:rPr>
          <w:rFonts w:asciiTheme="minorHAnsi" w:hAnsiTheme="minorHAnsi" w:cstheme="minorHAnsi"/>
          <w:b/>
          <w:color w:val="000000" w:themeColor="text1"/>
        </w:rPr>
        <w:t xml:space="preserve">zejména </w:t>
      </w:r>
      <w:r w:rsidRPr="00BD78FB">
        <w:rPr>
          <w:rFonts w:asciiTheme="minorHAnsi" w:hAnsiTheme="minorHAnsi" w:cstheme="minorHAnsi"/>
          <w:b/>
          <w:color w:val="000000" w:themeColor="text1"/>
        </w:rPr>
        <w:t>uchazeči nad 50 let, často ještě s nevyhovujícím zdravotním stavem. Dalším důvodem dlouhodobé evidence  mohou být nízká kvalifikace, nedostatečné znalosti a dovednosti, n</w:t>
      </w:r>
      <w:r w:rsidR="00FC2CB8" w:rsidRPr="00BD78FB">
        <w:rPr>
          <w:rFonts w:asciiTheme="minorHAnsi" w:hAnsiTheme="minorHAnsi" w:cstheme="minorHAnsi"/>
          <w:b/>
          <w:color w:val="000000" w:themeColor="text1"/>
        </w:rPr>
        <w:t>epříznivé možnosti dojíždění do </w:t>
      </w:r>
      <w:r w:rsidRPr="00BD78FB">
        <w:rPr>
          <w:rFonts w:asciiTheme="minorHAnsi" w:hAnsiTheme="minorHAnsi" w:cstheme="minorHAnsi"/>
          <w:b/>
          <w:color w:val="000000" w:themeColor="text1"/>
        </w:rPr>
        <w:t>zaměstnání apod</w:t>
      </w:r>
      <w:r w:rsidRPr="00BD78FB">
        <w:rPr>
          <w:rFonts w:asciiTheme="minorHAnsi" w:hAnsiTheme="minorHAnsi" w:cstheme="minorHAnsi"/>
          <w:color w:val="000000" w:themeColor="text1"/>
        </w:rPr>
        <w:t>. Nezřídka dochází i ke kumulaci tě</w:t>
      </w:r>
      <w:r w:rsidR="00B86226" w:rsidRPr="00BD78FB">
        <w:rPr>
          <w:rFonts w:asciiTheme="minorHAnsi" w:hAnsiTheme="minorHAnsi" w:cstheme="minorHAnsi"/>
          <w:color w:val="000000" w:themeColor="text1"/>
        </w:rPr>
        <w:t>chto důvodů u jednoho uchazeče. S masovým přílivem</w:t>
      </w:r>
      <w:r w:rsidR="00554DF2" w:rsidRPr="00BD78FB">
        <w:rPr>
          <w:rFonts w:asciiTheme="minorHAnsi" w:hAnsiTheme="minorHAnsi" w:cstheme="minorHAnsi"/>
          <w:color w:val="000000" w:themeColor="text1"/>
        </w:rPr>
        <w:t xml:space="preserve"> nezaměstnaných v letech </w:t>
      </w:r>
      <w:r w:rsidR="00B86226" w:rsidRPr="00BD78FB">
        <w:rPr>
          <w:rFonts w:asciiTheme="minorHAnsi" w:hAnsiTheme="minorHAnsi" w:cstheme="minorHAnsi"/>
          <w:color w:val="000000" w:themeColor="text1"/>
        </w:rPr>
        <w:t>2009</w:t>
      </w:r>
      <w:r w:rsidR="00554DF2" w:rsidRPr="00BD78FB">
        <w:rPr>
          <w:rFonts w:asciiTheme="minorHAnsi" w:hAnsiTheme="minorHAnsi" w:cstheme="minorHAnsi"/>
          <w:color w:val="000000" w:themeColor="text1"/>
        </w:rPr>
        <w:t xml:space="preserve"> - 2010</w:t>
      </w:r>
      <w:r w:rsidR="00B86226" w:rsidRPr="00BD78FB">
        <w:rPr>
          <w:rFonts w:asciiTheme="minorHAnsi" w:hAnsiTheme="minorHAnsi" w:cstheme="minorHAnsi"/>
          <w:color w:val="000000" w:themeColor="text1"/>
        </w:rPr>
        <w:t xml:space="preserve"> se mezi dl</w:t>
      </w:r>
      <w:r w:rsidR="00FC2CB8" w:rsidRPr="00BD78FB">
        <w:rPr>
          <w:rFonts w:asciiTheme="minorHAnsi" w:hAnsiTheme="minorHAnsi" w:cstheme="minorHAnsi"/>
          <w:color w:val="000000" w:themeColor="text1"/>
        </w:rPr>
        <w:t>ouhodobě nezaměstnanými objevili</w:t>
      </w:r>
      <w:r w:rsidR="00B86226" w:rsidRPr="00BD78FB">
        <w:rPr>
          <w:rFonts w:asciiTheme="minorHAnsi" w:hAnsiTheme="minorHAnsi" w:cstheme="minorHAnsi"/>
          <w:color w:val="000000" w:themeColor="text1"/>
        </w:rPr>
        <w:t xml:space="preserve"> ve větš</w:t>
      </w:r>
      <w:r w:rsidR="00FC2CB8" w:rsidRPr="00BD78FB">
        <w:rPr>
          <w:rFonts w:asciiTheme="minorHAnsi" w:hAnsiTheme="minorHAnsi" w:cstheme="minorHAnsi"/>
          <w:color w:val="000000" w:themeColor="text1"/>
        </w:rPr>
        <w:t>í míře i uchazeči, kteří nespadají do výše uvedených rizikových skupin.</w:t>
      </w:r>
    </w:p>
    <w:p w:rsidR="00BD78FB" w:rsidRDefault="00F21AA5" w:rsidP="00F21AA5">
      <w:pPr>
        <w:pStyle w:val="Zkladntextodsazen3"/>
        <w:rPr>
          <w:rFonts w:asciiTheme="minorHAnsi" w:hAnsiTheme="minorHAnsi" w:cstheme="minorHAnsi"/>
          <w:color w:val="000000" w:themeColor="text1"/>
        </w:rPr>
      </w:pPr>
      <w:r w:rsidRPr="00BD78FB">
        <w:rPr>
          <w:rFonts w:asciiTheme="minorHAnsi" w:hAnsiTheme="minorHAnsi" w:cstheme="minorHAnsi"/>
          <w:b/>
          <w:color w:val="000000" w:themeColor="text1"/>
        </w:rPr>
        <w:t>Hlavním problémem dlouhodobé nezaměstnanosti je změna životního stylu</w:t>
      </w:r>
      <w:r w:rsidRPr="00BD78FB">
        <w:rPr>
          <w:rFonts w:asciiTheme="minorHAnsi" w:hAnsiTheme="minorHAnsi" w:cstheme="minorHAnsi"/>
          <w:color w:val="000000" w:themeColor="text1"/>
        </w:rPr>
        <w:t xml:space="preserve">, k níž dochází zhruba po jednom roce nezaměstnanosti. </w:t>
      </w:r>
      <w:r w:rsidRPr="00BD78FB">
        <w:rPr>
          <w:rFonts w:asciiTheme="minorHAnsi" w:hAnsiTheme="minorHAnsi" w:cstheme="minorHAnsi"/>
          <w:b/>
          <w:color w:val="000000" w:themeColor="text1"/>
        </w:rPr>
        <w:t>Část dlouhodobé nezaměstnanosti je záměrná a dobrovolná</w:t>
      </w:r>
      <w:r w:rsidRPr="00BD78FB">
        <w:rPr>
          <w:rFonts w:asciiTheme="minorHAnsi" w:hAnsiTheme="minorHAnsi" w:cstheme="minorHAnsi"/>
          <w:color w:val="000000" w:themeColor="text1"/>
        </w:rPr>
        <w:t>, ať už kvůli rozhodnutí uchazeče o zaměstnání raději pobírat sociální dávky než pracovat (případně si k sociálním dávkám přivydělávat prací „na černo“) nebo kvůli tomu, že na šanci uplatnit se na trhu práce pro opakované neúspěchy rezignoval.</w:t>
      </w:r>
    </w:p>
    <w:p w:rsidR="00207B4D" w:rsidRPr="006E18F2" w:rsidRDefault="001F658A" w:rsidP="00207B4D">
      <w:pPr>
        <w:pStyle w:val="Zkladntext"/>
        <w:spacing w:line="240" w:lineRule="auto"/>
        <w:jc w:val="both"/>
        <w:rPr>
          <w:rFonts w:asciiTheme="minorHAnsi" w:hAnsiTheme="minorHAnsi" w:cstheme="minorHAnsi"/>
          <w:color w:val="0000FF"/>
          <w:sz w:val="24"/>
        </w:rPr>
      </w:pPr>
      <w:r w:rsidRPr="006E18F2">
        <w:rPr>
          <w:rFonts w:asciiTheme="minorHAnsi" w:hAnsiTheme="minorHAnsi" w:cstheme="minorHAnsi"/>
          <w:color w:val="0000FF"/>
          <w:sz w:val="24"/>
        </w:rPr>
        <w:lastRenderedPageBreak/>
        <w:t>2.2 Územní rozložení nezaměstnanosti</w:t>
      </w:r>
    </w:p>
    <w:p w:rsidR="00207B4D" w:rsidRPr="0086295B" w:rsidRDefault="00AE638C" w:rsidP="00207B4D">
      <w:pPr>
        <w:pStyle w:val="Nadpis7"/>
        <w:spacing w:before="120"/>
        <w:jc w:val="both"/>
        <w:rPr>
          <w:rFonts w:asciiTheme="minorHAnsi" w:hAnsiTheme="minorHAnsi" w:cstheme="minorHAnsi"/>
          <w:b w:val="0"/>
          <w:sz w:val="24"/>
        </w:rPr>
      </w:pPr>
      <w:r w:rsidRPr="00002B63">
        <w:rPr>
          <w:rFonts w:asciiTheme="minorHAnsi" w:hAnsiTheme="minorHAnsi" w:cstheme="minorHAnsi"/>
          <w:color w:val="000000"/>
          <w:sz w:val="24"/>
        </w:rPr>
        <w:t>Tabulka 7</w:t>
      </w:r>
      <w:r w:rsidR="00207B4D" w:rsidRPr="00002B63">
        <w:rPr>
          <w:rFonts w:asciiTheme="minorHAnsi" w:hAnsiTheme="minorHAnsi" w:cstheme="minorHAnsi"/>
          <w:color w:val="000000"/>
          <w:sz w:val="24"/>
        </w:rPr>
        <w:t xml:space="preserve"> –</w:t>
      </w:r>
      <w:r w:rsidR="00207B4D" w:rsidRPr="00002B63">
        <w:rPr>
          <w:rFonts w:asciiTheme="minorHAnsi" w:hAnsiTheme="minorHAnsi" w:cstheme="minorHAnsi"/>
          <w:b w:val="0"/>
          <w:color w:val="000000"/>
          <w:sz w:val="24"/>
        </w:rPr>
        <w:t xml:space="preserve"> </w:t>
      </w:r>
      <w:r w:rsidR="00207B4D" w:rsidRPr="0086295B">
        <w:rPr>
          <w:rFonts w:asciiTheme="minorHAnsi" w:hAnsiTheme="minorHAnsi" w:cstheme="minorHAnsi"/>
          <w:b w:val="0"/>
          <w:sz w:val="24"/>
        </w:rPr>
        <w:t>Nezaměstnanost ke 31. 12. 20</w:t>
      </w:r>
      <w:r w:rsidR="00FF45C7" w:rsidRPr="0086295B">
        <w:rPr>
          <w:rFonts w:asciiTheme="minorHAnsi" w:hAnsiTheme="minorHAnsi" w:cstheme="minorHAnsi"/>
          <w:b w:val="0"/>
          <w:sz w:val="24"/>
        </w:rPr>
        <w:t>1</w:t>
      </w:r>
      <w:r w:rsidR="00CE0936" w:rsidRPr="0086295B">
        <w:rPr>
          <w:rFonts w:asciiTheme="minorHAnsi" w:hAnsiTheme="minorHAnsi" w:cstheme="minorHAnsi"/>
          <w:b w:val="0"/>
          <w:sz w:val="24"/>
        </w:rPr>
        <w:t>4</w:t>
      </w:r>
      <w:r w:rsidR="00207B4D" w:rsidRPr="0086295B">
        <w:rPr>
          <w:rFonts w:asciiTheme="minorHAnsi" w:hAnsiTheme="minorHAnsi" w:cstheme="minorHAnsi"/>
          <w:b w:val="0"/>
          <w:sz w:val="24"/>
        </w:rPr>
        <w:t xml:space="preserve"> v okresech Olomouckého kraje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260"/>
        <w:gridCol w:w="1080"/>
        <w:gridCol w:w="1080"/>
        <w:gridCol w:w="1240"/>
        <w:gridCol w:w="1276"/>
      </w:tblGrid>
      <w:tr w:rsidR="00207B4D" w:rsidRPr="00CB53FC" w:rsidTr="00207B4D">
        <w:trPr>
          <w:cantSplit/>
          <w:trHeight w:val="345"/>
        </w:trPr>
        <w:tc>
          <w:tcPr>
            <w:tcW w:w="3420" w:type="dxa"/>
            <w:vMerge w:val="restart"/>
            <w:tcBorders>
              <w:top w:val="double" w:sz="4" w:space="0" w:color="auto"/>
              <w:left w:val="double" w:sz="4" w:space="0" w:color="auto"/>
              <w:right w:val="single" w:sz="12" w:space="0" w:color="auto"/>
            </w:tcBorders>
            <w:shd w:val="clear" w:color="auto" w:fill="CCFFFF"/>
            <w:vAlign w:val="center"/>
          </w:tcPr>
          <w:p w:rsidR="00207B4D" w:rsidRPr="00CB53FC" w:rsidRDefault="00207B4D" w:rsidP="00207B4D">
            <w:pPr>
              <w:pStyle w:val="Nadpis2"/>
              <w:jc w:val="center"/>
              <w:rPr>
                <w:rFonts w:asciiTheme="minorHAnsi" w:hAnsiTheme="minorHAnsi" w:cstheme="minorHAnsi"/>
                <w:b/>
                <w:color w:val="FF0000"/>
                <w:szCs w:val="24"/>
                <w:vertAlign w:val="superscript"/>
              </w:rPr>
            </w:pPr>
            <w:bookmarkStart w:id="34" w:name="_Toc321296434"/>
            <w:bookmarkStart w:id="35" w:name="_Toc321296551"/>
            <w:r w:rsidRPr="00CE0936">
              <w:rPr>
                <w:rFonts w:asciiTheme="minorHAnsi" w:hAnsiTheme="minorHAnsi" w:cstheme="minorHAnsi"/>
                <w:b/>
                <w:szCs w:val="24"/>
              </w:rPr>
              <w:t xml:space="preserve">ukazatel (celkový počet) </w:t>
            </w:r>
            <w:r w:rsidRPr="00CE0936">
              <w:rPr>
                <w:rFonts w:asciiTheme="minorHAnsi" w:hAnsiTheme="minorHAnsi" w:cstheme="minorHAnsi"/>
                <w:b/>
                <w:szCs w:val="24"/>
                <w:vertAlign w:val="superscript"/>
              </w:rPr>
              <w:t>1)</w:t>
            </w:r>
            <w:bookmarkEnd w:id="34"/>
            <w:bookmarkEnd w:id="35"/>
          </w:p>
        </w:tc>
        <w:tc>
          <w:tcPr>
            <w:tcW w:w="5936" w:type="dxa"/>
            <w:gridSpan w:val="5"/>
            <w:tcBorders>
              <w:top w:val="double" w:sz="4" w:space="0" w:color="auto"/>
              <w:left w:val="nil"/>
              <w:bottom w:val="single" w:sz="6" w:space="0" w:color="auto"/>
              <w:right w:val="double" w:sz="4" w:space="0" w:color="auto"/>
            </w:tcBorders>
            <w:shd w:val="clear" w:color="auto" w:fill="CCFFFF"/>
            <w:vAlign w:val="center"/>
          </w:tcPr>
          <w:p w:rsidR="00207B4D" w:rsidRPr="0086295B" w:rsidRDefault="00207B4D" w:rsidP="00207B4D">
            <w:pPr>
              <w:jc w:val="center"/>
              <w:rPr>
                <w:rFonts w:asciiTheme="minorHAnsi" w:hAnsiTheme="minorHAnsi" w:cstheme="minorHAnsi"/>
                <w:b/>
              </w:rPr>
            </w:pPr>
            <w:r w:rsidRPr="0086295B">
              <w:rPr>
                <w:rFonts w:asciiTheme="minorHAnsi" w:hAnsiTheme="minorHAnsi" w:cstheme="minorHAnsi"/>
                <w:b/>
              </w:rPr>
              <w:t>okresy</w:t>
            </w:r>
          </w:p>
        </w:tc>
      </w:tr>
      <w:tr w:rsidR="00207B4D" w:rsidRPr="00CB53FC" w:rsidTr="00207B4D">
        <w:trPr>
          <w:cantSplit/>
          <w:trHeight w:val="345"/>
        </w:trPr>
        <w:tc>
          <w:tcPr>
            <w:tcW w:w="3420" w:type="dxa"/>
            <w:vMerge/>
            <w:tcBorders>
              <w:top w:val="nil"/>
              <w:left w:val="double" w:sz="4" w:space="0" w:color="auto"/>
              <w:bottom w:val="double" w:sz="4" w:space="0" w:color="auto"/>
              <w:right w:val="single" w:sz="12" w:space="0" w:color="auto"/>
            </w:tcBorders>
            <w:shd w:val="clear" w:color="auto" w:fill="CCFFFF"/>
            <w:vAlign w:val="center"/>
          </w:tcPr>
          <w:p w:rsidR="00207B4D" w:rsidRPr="00CB53FC" w:rsidRDefault="00207B4D" w:rsidP="00207B4D">
            <w:pPr>
              <w:pStyle w:val="Nadpis2"/>
              <w:jc w:val="both"/>
              <w:rPr>
                <w:rFonts w:asciiTheme="minorHAnsi" w:hAnsiTheme="minorHAnsi" w:cstheme="minorHAnsi"/>
                <w:b/>
                <w:color w:val="FF0000"/>
                <w:szCs w:val="24"/>
              </w:rPr>
            </w:pPr>
          </w:p>
        </w:tc>
        <w:tc>
          <w:tcPr>
            <w:tcW w:w="1260" w:type="dxa"/>
            <w:tcBorders>
              <w:top w:val="nil"/>
              <w:left w:val="nil"/>
              <w:bottom w:val="double" w:sz="4" w:space="0" w:color="auto"/>
              <w:right w:val="single" w:sz="6" w:space="0" w:color="auto"/>
            </w:tcBorders>
            <w:shd w:val="clear" w:color="auto" w:fill="CCFFFF"/>
            <w:vAlign w:val="center"/>
          </w:tcPr>
          <w:p w:rsidR="00207B4D" w:rsidRPr="0086295B" w:rsidRDefault="00207B4D" w:rsidP="00207B4D">
            <w:pPr>
              <w:jc w:val="center"/>
              <w:rPr>
                <w:rFonts w:asciiTheme="minorHAnsi" w:hAnsiTheme="minorHAnsi" w:cstheme="minorHAnsi"/>
                <w:b/>
              </w:rPr>
            </w:pPr>
            <w:r w:rsidRPr="0086295B">
              <w:rPr>
                <w:rFonts w:asciiTheme="minorHAnsi" w:hAnsiTheme="minorHAnsi" w:cstheme="minorHAnsi"/>
                <w:b/>
              </w:rPr>
              <w:t>JE</w:t>
            </w:r>
          </w:p>
        </w:tc>
        <w:tc>
          <w:tcPr>
            <w:tcW w:w="1080" w:type="dxa"/>
            <w:tcBorders>
              <w:top w:val="nil"/>
              <w:left w:val="nil"/>
              <w:bottom w:val="double" w:sz="4" w:space="0" w:color="auto"/>
              <w:right w:val="single" w:sz="6" w:space="0" w:color="auto"/>
            </w:tcBorders>
            <w:shd w:val="clear" w:color="auto" w:fill="CCFFFF"/>
            <w:vAlign w:val="center"/>
          </w:tcPr>
          <w:p w:rsidR="00207B4D" w:rsidRPr="0086295B" w:rsidRDefault="00207B4D" w:rsidP="00207B4D">
            <w:pPr>
              <w:jc w:val="center"/>
              <w:rPr>
                <w:rFonts w:asciiTheme="minorHAnsi" w:hAnsiTheme="minorHAnsi" w:cstheme="minorHAnsi"/>
                <w:b/>
              </w:rPr>
            </w:pPr>
            <w:r w:rsidRPr="0086295B">
              <w:rPr>
                <w:rFonts w:asciiTheme="minorHAnsi" w:hAnsiTheme="minorHAnsi" w:cstheme="minorHAnsi"/>
                <w:b/>
              </w:rPr>
              <w:t>OC</w:t>
            </w:r>
          </w:p>
        </w:tc>
        <w:tc>
          <w:tcPr>
            <w:tcW w:w="1080" w:type="dxa"/>
            <w:tcBorders>
              <w:top w:val="nil"/>
              <w:left w:val="nil"/>
              <w:bottom w:val="double" w:sz="4" w:space="0" w:color="auto"/>
              <w:right w:val="single" w:sz="6" w:space="0" w:color="auto"/>
            </w:tcBorders>
            <w:shd w:val="clear" w:color="auto" w:fill="CCFFFF"/>
            <w:vAlign w:val="center"/>
          </w:tcPr>
          <w:p w:rsidR="00207B4D" w:rsidRPr="0086295B" w:rsidRDefault="00207B4D" w:rsidP="00207B4D">
            <w:pPr>
              <w:jc w:val="center"/>
              <w:rPr>
                <w:rFonts w:asciiTheme="minorHAnsi" w:hAnsiTheme="minorHAnsi" w:cstheme="minorHAnsi"/>
                <w:b/>
              </w:rPr>
            </w:pPr>
            <w:r w:rsidRPr="0086295B">
              <w:rPr>
                <w:rFonts w:asciiTheme="minorHAnsi" w:hAnsiTheme="minorHAnsi" w:cstheme="minorHAnsi"/>
                <w:b/>
              </w:rPr>
              <w:t>PV</w:t>
            </w:r>
          </w:p>
        </w:tc>
        <w:tc>
          <w:tcPr>
            <w:tcW w:w="1240" w:type="dxa"/>
            <w:tcBorders>
              <w:top w:val="nil"/>
              <w:left w:val="nil"/>
              <w:bottom w:val="double" w:sz="4" w:space="0" w:color="auto"/>
              <w:right w:val="single" w:sz="6" w:space="0" w:color="auto"/>
            </w:tcBorders>
            <w:shd w:val="clear" w:color="auto" w:fill="CCFFFF"/>
            <w:vAlign w:val="center"/>
          </w:tcPr>
          <w:p w:rsidR="00207B4D" w:rsidRPr="0086295B" w:rsidRDefault="00207B4D" w:rsidP="00207B4D">
            <w:pPr>
              <w:jc w:val="center"/>
              <w:rPr>
                <w:rFonts w:asciiTheme="minorHAnsi" w:hAnsiTheme="minorHAnsi" w:cstheme="minorHAnsi"/>
                <w:b/>
              </w:rPr>
            </w:pPr>
            <w:r w:rsidRPr="0086295B">
              <w:rPr>
                <w:rFonts w:asciiTheme="minorHAnsi" w:hAnsiTheme="minorHAnsi" w:cstheme="minorHAnsi"/>
                <w:b/>
              </w:rPr>
              <w:t>PR</w:t>
            </w:r>
          </w:p>
        </w:tc>
        <w:tc>
          <w:tcPr>
            <w:tcW w:w="1276" w:type="dxa"/>
            <w:tcBorders>
              <w:top w:val="single" w:sz="6" w:space="0" w:color="auto"/>
              <w:left w:val="nil"/>
              <w:bottom w:val="double" w:sz="4" w:space="0" w:color="auto"/>
              <w:right w:val="double" w:sz="4" w:space="0" w:color="auto"/>
            </w:tcBorders>
            <w:shd w:val="clear" w:color="auto" w:fill="CCFFFF"/>
            <w:vAlign w:val="center"/>
          </w:tcPr>
          <w:p w:rsidR="00207B4D" w:rsidRPr="0086295B" w:rsidRDefault="00207B4D" w:rsidP="00207B4D">
            <w:pPr>
              <w:jc w:val="center"/>
              <w:rPr>
                <w:rFonts w:asciiTheme="minorHAnsi" w:hAnsiTheme="minorHAnsi" w:cstheme="minorHAnsi"/>
                <w:b/>
              </w:rPr>
            </w:pPr>
            <w:r w:rsidRPr="0086295B">
              <w:rPr>
                <w:rFonts w:asciiTheme="minorHAnsi" w:hAnsiTheme="minorHAnsi" w:cstheme="minorHAnsi"/>
                <w:b/>
              </w:rPr>
              <w:t>SU</w:t>
            </w:r>
          </w:p>
        </w:tc>
      </w:tr>
      <w:tr w:rsidR="00CF3B8F" w:rsidRPr="00CB53FC" w:rsidTr="000A0BE3">
        <w:trPr>
          <w:cantSplit/>
          <w:trHeight w:val="340"/>
        </w:trPr>
        <w:tc>
          <w:tcPr>
            <w:tcW w:w="3420" w:type="dxa"/>
            <w:tcBorders>
              <w:top w:val="nil"/>
              <w:left w:val="double" w:sz="4" w:space="0" w:color="auto"/>
              <w:bottom w:val="single" w:sz="8" w:space="0" w:color="auto"/>
              <w:right w:val="nil"/>
            </w:tcBorders>
            <w:shd w:val="clear" w:color="auto" w:fill="CCFFFF"/>
            <w:vAlign w:val="center"/>
          </w:tcPr>
          <w:p w:rsidR="00CF3B8F" w:rsidRPr="000A0BE3" w:rsidRDefault="00CF3B8F" w:rsidP="00CF3B8F">
            <w:pPr>
              <w:pStyle w:val="Nadpis2"/>
              <w:rPr>
                <w:rFonts w:asciiTheme="minorHAnsi" w:hAnsiTheme="minorHAnsi" w:cstheme="minorHAnsi"/>
                <w:szCs w:val="24"/>
              </w:rPr>
            </w:pPr>
            <w:bookmarkStart w:id="36" w:name="_Toc321296435"/>
            <w:bookmarkStart w:id="37" w:name="_Toc321296552"/>
            <w:r w:rsidRPr="000A0BE3">
              <w:rPr>
                <w:rFonts w:asciiTheme="minorHAnsi" w:hAnsiTheme="minorHAnsi" w:cstheme="minorHAnsi"/>
                <w:szCs w:val="24"/>
              </w:rPr>
              <w:t>evidovaní uchazeči o zaměstnání</w:t>
            </w:r>
            <w:bookmarkEnd w:id="36"/>
            <w:bookmarkEnd w:id="37"/>
          </w:p>
        </w:tc>
        <w:tc>
          <w:tcPr>
            <w:tcW w:w="1260" w:type="dxa"/>
            <w:tcBorders>
              <w:top w:val="nil"/>
              <w:left w:val="single" w:sz="12"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3 046</w:t>
            </w:r>
          </w:p>
        </w:tc>
        <w:tc>
          <w:tcPr>
            <w:tcW w:w="1080" w:type="dxa"/>
            <w:tcBorders>
              <w:top w:val="nil"/>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13 262</w:t>
            </w:r>
          </w:p>
        </w:tc>
        <w:tc>
          <w:tcPr>
            <w:tcW w:w="1080" w:type="dxa"/>
            <w:tcBorders>
              <w:top w:val="nil"/>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5 508</w:t>
            </w:r>
          </w:p>
        </w:tc>
        <w:tc>
          <w:tcPr>
            <w:tcW w:w="1240" w:type="dxa"/>
            <w:tcBorders>
              <w:top w:val="nil"/>
              <w:left w:val="single" w:sz="6" w:space="0" w:color="auto"/>
              <w:bottom w:val="single" w:sz="6" w:space="0" w:color="auto"/>
              <w:right w:val="single" w:sz="6" w:space="0" w:color="auto"/>
            </w:tcBorders>
            <w:vAlign w:val="center"/>
          </w:tcPr>
          <w:p w:rsidR="00CF3B8F" w:rsidRPr="000A0BE3" w:rsidRDefault="00CF3B8F" w:rsidP="000A0BE3">
            <w:pPr>
              <w:jc w:val="center"/>
              <w:rPr>
                <w:rFonts w:asciiTheme="minorHAnsi" w:hAnsiTheme="minorHAnsi" w:cstheme="minorHAnsi"/>
              </w:rPr>
            </w:pPr>
            <w:r w:rsidRPr="000A0BE3">
              <w:rPr>
                <w:rFonts w:asciiTheme="minorHAnsi" w:hAnsiTheme="minorHAnsi" w:cstheme="minorHAnsi"/>
              </w:rPr>
              <w:t xml:space="preserve">9 </w:t>
            </w:r>
            <w:r w:rsidR="000A0BE3" w:rsidRPr="000A0BE3">
              <w:rPr>
                <w:rFonts w:asciiTheme="minorHAnsi" w:hAnsiTheme="minorHAnsi" w:cstheme="minorHAnsi"/>
              </w:rPr>
              <w:t>248</w:t>
            </w:r>
          </w:p>
        </w:tc>
        <w:tc>
          <w:tcPr>
            <w:tcW w:w="1276" w:type="dxa"/>
            <w:tcBorders>
              <w:top w:val="double" w:sz="4" w:space="0" w:color="auto"/>
              <w:left w:val="single" w:sz="6" w:space="0" w:color="auto"/>
              <w:bottom w:val="single" w:sz="6" w:space="0" w:color="auto"/>
              <w:right w:val="doub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7 557</w:t>
            </w:r>
          </w:p>
        </w:tc>
      </w:tr>
      <w:tr w:rsidR="00CF3B8F" w:rsidRPr="00CB53FC" w:rsidTr="000A0BE3">
        <w:trPr>
          <w:cantSplit/>
          <w:trHeight w:val="340"/>
        </w:trPr>
        <w:tc>
          <w:tcPr>
            <w:tcW w:w="3420" w:type="dxa"/>
            <w:tcBorders>
              <w:top w:val="single" w:sz="8" w:space="0" w:color="auto"/>
              <w:left w:val="double" w:sz="4" w:space="0" w:color="auto"/>
              <w:bottom w:val="single" w:sz="8" w:space="0" w:color="auto"/>
              <w:right w:val="nil"/>
            </w:tcBorders>
            <w:shd w:val="clear" w:color="auto" w:fill="CCFFFF"/>
            <w:vAlign w:val="center"/>
          </w:tcPr>
          <w:p w:rsidR="00CF3B8F" w:rsidRPr="000A0BE3" w:rsidRDefault="00CF3B8F" w:rsidP="00CF3B8F">
            <w:pPr>
              <w:pStyle w:val="Nadpis2"/>
              <w:rPr>
                <w:rFonts w:asciiTheme="minorHAnsi" w:hAnsiTheme="minorHAnsi" w:cstheme="minorHAnsi"/>
                <w:szCs w:val="24"/>
              </w:rPr>
            </w:pPr>
            <w:bookmarkStart w:id="38" w:name="_Toc321296436"/>
            <w:bookmarkStart w:id="39" w:name="_Toc321296553"/>
            <w:r w:rsidRPr="000A0BE3">
              <w:rPr>
                <w:rFonts w:asciiTheme="minorHAnsi" w:hAnsiTheme="minorHAnsi" w:cstheme="minorHAnsi"/>
                <w:szCs w:val="24"/>
              </w:rPr>
              <w:t>volná pracovní místa</w:t>
            </w:r>
            <w:bookmarkEnd w:id="38"/>
            <w:bookmarkEnd w:id="39"/>
          </w:p>
        </w:tc>
        <w:tc>
          <w:tcPr>
            <w:tcW w:w="1260" w:type="dxa"/>
            <w:tcBorders>
              <w:top w:val="single" w:sz="6" w:space="0" w:color="auto"/>
              <w:left w:val="single" w:sz="12"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89</w:t>
            </w:r>
          </w:p>
        </w:tc>
        <w:tc>
          <w:tcPr>
            <w:tcW w:w="1080" w:type="dxa"/>
            <w:tcBorders>
              <w:top w:val="single" w:sz="6" w:space="0" w:color="auto"/>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799</w:t>
            </w:r>
          </w:p>
        </w:tc>
        <w:tc>
          <w:tcPr>
            <w:tcW w:w="1080" w:type="dxa"/>
            <w:tcBorders>
              <w:top w:val="single" w:sz="6" w:space="0" w:color="auto"/>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538</w:t>
            </w:r>
          </w:p>
        </w:tc>
        <w:tc>
          <w:tcPr>
            <w:tcW w:w="1240" w:type="dxa"/>
            <w:tcBorders>
              <w:top w:val="single" w:sz="6" w:space="0" w:color="auto"/>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808</w:t>
            </w:r>
          </w:p>
        </w:tc>
        <w:tc>
          <w:tcPr>
            <w:tcW w:w="1276" w:type="dxa"/>
            <w:tcBorders>
              <w:top w:val="single" w:sz="6" w:space="0" w:color="auto"/>
              <w:left w:val="single" w:sz="6" w:space="0" w:color="auto"/>
              <w:bottom w:val="single" w:sz="6" w:space="0" w:color="auto"/>
              <w:right w:val="doub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580</w:t>
            </w:r>
          </w:p>
        </w:tc>
      </w:tr>
      <w:tr w:rsidR="00CF3B8F" w:rsidRPr="00CB53FC" w:rsidTr="000A0BE3">
        <w:trPr>
          <w:cantSplit/>
          <w:trHeight w:val="340"/>
        </w:trPr>
        <w:tc>
          <w:tcPr>
            <w:tcW w:w="3420" w:type="dxa"/>
            <w:tcBorders>
              <w:top w:val="single" w:sz="8" w:space="0" w:color="auto"/>
              <w:left w:val="double" w:sz="4" w:space="0" w:color="auto"/>
              <w:bottom w:val="single" w:sz="8" w:space="0" w:color="auto"/>
              <w:right w:val="nil"/>
            </w:tcBorders>
            <w:shd w:val="clear" w:color="auto" w:fill="CCFFFF"/>
            <w:vAlign w:val="center"/>
          </w:tcPr>
          <w:p w:rsidR="00CF3B8F" w:rsidRPr="000A0BE3" w:rsidRDefault="00CF3B8F" w:rsidP="00CF3B8F">
            <w:pPr>
              <w:pStyle w:val="Nadpis2"/>
              <w:rPr>
                <w:rFonts w:asciiTheme="minorHAnsi" w:hAnsiTheme="minorHAnsi" w:cstheme="minorHAnsi"/>
                <w:szCs w:val="24"/>
              </w:rPr>
            </w:pPr>
            <w:bookmarkStart w:id="40" w:name="_Toc321296437"/>
            <w:bookmarkStart w:id="41" w:name="_Toc321296554"/>
            <w:r w:rsidRPr="000A0BE3">
              <w:rPr>
                <w:rFonts w:asciiTheme="minorHAnsi" w:hAnsiTheme="minorHAnsi" w:cstheme="minorHAnsi"/>
                <w:szCs w:val="24"/>
              </w:rPr>
              <w:t>uchazeči připadající na 1 VPM</w:t>
            </w:r>
            <w:bookmarkEnd w:id="40"/>
            <w:bookmarkEnd w:id="41"/>
          </w:p>
        </w:tc>
        <w:tc>
          <w:tcPr>
            <w:tcW w:w="1260" w:type="dxa"/>
            <w:tcBorders>
              <w:top w:val="single" w:sz="6" w:space="0" w:color="auto"/>
              <w:left w:val="single" w:sz="12"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34,2</w:t>
            </w:r>
          </w:p>
        </w:tc>
        <w:tc>
          <w:tcPr>
            <w:tcW w:w="1080" w:type="dxa"/>
            <w:tcBorders>
              <w:top w:val="single" w:sz="6" w:space="0" w:color="auto"/>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17,1</w:t>
            </w:r>
          </w:p>
        </w:tc>
        <w:tc>
          <w:tcPr>
            <w:tcW w:w="1080" w:type="dxa"/>
            <w:tcBorders>
              <w:top w:val="single" w:sz="6" w:space="0" w:color="auto"/>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10,2</w:t>
            </w:r>
          </w:p>
        </w:tc>
        <w:tc>
          <w:tcPr>
            <w:tcW w:w="1240" w:type="dxa"/>
            <w:tcBorders>
              <w:top w:val="single" w:sz="6" w:space="0" w:color="auto"/>
              <w:left w:val="single" w:sz="6" w:space="0" w:color="auto"/>
              <w:bottom w:val="single" w:sz="6" w:space="0" w:color="auto"/>
              <w:right w:val="single" w:sz="6"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11,4</w:t>
            </w:r>
          </w:p>
        </w:tc>
        <w:tc>
          <w:tcPr>
            <w:tcW w:w="1276" w:type="dxa"/>
            <w:tcBorders>
              <w:top w:val="single" w:sz="6" w:space="0" w:color="auto"/>
              <w:left w:val="single" w:sz="6" w:space="0" w:color="auto"/>
              <w:bottom w:val="single" w:sz="6" w:space="0" w:color="auto"/>
              <w:right w:val="doub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13,0</w:t>
            </w:r>
          </w:p>
        </w:tc>
      </w:tr>
      <w:tr w:rsidR="00CF3B8F" w:rsidRPr="00CB53FC" w:rsidTr="000A0BE3">
        <w:trPr>
          <w:cantSplit/>
          <w:trHeight w:val="340"/>
        </w:trPr>
        <w:tc>
          <w:tcPr>
            <w:tcW w:w="3420" w:type="dxa"/>
            <w:tcBorders>
              <w:top w:val="single" w:sz="8" w:space="0" w:color="auto"/>
              <w:left w:val="double" w:sz="4" w:space="0" w:color="auto"/>
              <w:bottom w:val="single" w:sz="8" w:space="0" w:color="auto"/>
              <w:right w:val="single" w:sz="12" w:space="0" w:color="auto"/>
            </w:tcBorders>
            <w:shd w:val="clear" w:color="auto" w:fill="CCFFFF"/>
            <w:vAlign w:val="center"/>
          </w:tcPr>
          <w:p w:rsidR="00CF3B8F" w:rsidRPr="000A0BE3" w:rsidRDefault="00CF3B8F" w:rsidP="00CF3B8F">
            <w:pPr>
              <w:pStyle w:val="Nadpis2"/>
              <w:rPr>
                <w:rFonts w:asciiTheme="minorHAnsi" w:hAnsiTheme="minorHAnsi" w:cstheme="minorHAnsi"/>
                <w:szCs w:val="24"/>
              </w:rPr>
            </w:pPr>
            <w:r w:rsidRPr="000A0BE3">
              <w:rPr>
                <w:rFonts w:asciiTheme="minorHAnsi" w:hAnsiTheme="minorHAnsi" w:cstheme="minorHAnsi"/>
                <w:szCs w:val="24"/>
              </w:rPr>
              <w:t>podíl nezaměstnaných osob</w:t>
            </w:r>
          </w:p>
        </w:tc>
        <w:tc>
          <w:tcPr>
            <w:tcW w:w="1260" w:type="dxa"/>
            <w:tcBorders>
              <w:top w:val="nil"/>
              <w:left w:val="nil"/>
              <w:bottom w:val="single" w:sz="4" w:space="0" w:color="auto"/>
              <w:right w:val="single" w:sz="4" w:space="0" w:color="auto"/>
            </w:tcBorders>
            <w:vAlign w:val="center"/>
          </w:tcPr>
          <w:p w:rsidR="00CF3B8F" w:rsidRPr="00CC31D3" w:rsidRDefault="000A0BE3" w:rsidP="000A0BE3">
            <w:pPr>
              <w:jc w:val="center"/>
              <w:rPr>
                <w:rFonts w:asciiTheme="minorHAnsi" w:hAnsiTheme="minorHAnsi" w:cstheme="minorHAnsi"/>
                <w:b/>
              </w:rPr>
            </w:pPr>
            <w:r w:rsidRPr="00CC31D3">
              <w:rPr>
                <w:rFonts w:asciiTheme="minorHAnsi" w:hAnsiTheme="minorHAnsi" w:cstheme="minorHAnsi"/>
                <w:b/>
              </w:rPr>
              <w:t>10,7</w:t>
            </w:r>
            <w:r w:rsidR="00CF3B8F" w:rsidRPr="00CC31D3">
              <w:rPr>
                <w:rFonts w:asciiTheme="minorHAnsi" w:hAnsiTheme="minorHAnsi" w:cstheme="minorHAnsi"/>
                <w:b/>
              </w:rPr>
              <w:t xml:space="preserve"> %</w:t>
            </w:r>
          </w:p>
        </w:tc>
        <w:tc>
          <w:tcPr>
            <w:tcW w:w="1080" w:type="dxa"/>
            <w:tcBorders>
              <w:top w:val="nil"/>
              <w:left w:val="single" w:sz="4" w:space="0" w:color="auto"/>
              <w:bottom w:val="single" w:sz="4" w:space="0" w:color="auto"/>
              <w:right w:val="single" w:sz="4" w:space="0" w:color="auto"/>
            </w:tcBorders>
            <w:vAlign w:val="center"/>
          </w:tcPr>
          <w:p w:rsidR="00CF3B8F" w:rsidRPr="00CC31D3" w:rsidRDefault="000A0BE3" w:rsidP="000A0BE3">
            <w:pPr>
              <w:jc w:val="center"/>
              <w:rPr>
                <w:rFonts w:asciiTheme="minorHAnsi" w:hAnsiTheme="minorHAnsi" w:cstheme="minorHAnsi"/>
                <w:b/>
              </w:rPr>
            </w:pPr>
            <w:r w:rsidRPr="00CC31D3">
              <w:rPr>
                <w:rFonts w:asciiTheme="minorHAnsi" w:hAnsiTheme="minorHAnsi" w:cstheme="minorHAnsi"/>
                <w:b/>
              </w:rPr>
              <w:t>8,5</w:t>
            </w:r>
            <w:r w:rsidR="00CF3B8F" w:rsidRPr="00CC31D3">
              <w:rPr>
                <w:rFonts w:asciiTheme="minorHAnsi" w:hAnsiTheme="minorHAnsi" w:cstheme="minorHAnsi"/>
                <w:b/>
              </w:rPr>
              <w:t xml:space="preserve"> %</w:t>
            </w:r>
          </w:p>
        </w:tc>
        <w:tc>
          <w:tcPr>
            <w:tcW w:w="1080" w:type="dxa"/>
            <w:tcBorders>
              <w:top w:val="nil"/>
              <w:left w:val="single" w:sz="4" w:space="0" w:color="auto"/>
              <w:bottom w:val="single" w:sz="4" w:space="0" w:color="auto"/>
              <w:right w:val="single" w:sz="4" w:space="0" w:color="auto"/>
            </w:tcBorders>
            <w:vAlign w:val="center"/>
          </w:tcPr>
          <w:p w:rsidR="00CF3B8F" w:rsidRPr="00CC31D3" w:rsidRDefault="000A0BE3" w:rsidP="000A0BE3">
            <w:pPr>
              <w:jc w:val="center"/>
              <w:rPr>
                <w:rFonts w:asciiTheme="minorHAnsi" w:hAnsiTheme="minorHAnsi" w:cstheme="minorHAnsi"/>
                <w:b/>
              </w:rPr>
            </w:pPr>
            <w:r w:rsidRPr="00CC31D3">
              <w:rPr>
                <w:rFonts w:asciiTheme="minorHAnsi" w:hAnsiTheme="minorHAnsi" w:cstheme="minorHAnsi"/>
                <w:b/>
              </w:rPr>
              <w:t>6,9</w:t>
            </w:r>
            <w:r w:rsidR="00CF3B8F" w:rsidRPr="00CC31D3">
              <w:rPr>
                <w:rFonts w:asciiTheme="minorHAnsi" w:hAnsiTheme="minorHAnsi" w:cstheme="minorHAnsi"/>
                <w:b/>
              </w:rPr>
              <w:t xml:space="preserve"> %</w:t>
            </w:r>
          </w:p>
        </w:tc>
        <w:tc>
          <w:tcPr>
            <w:tcW w:w="1240" w:type="dxa"/>
            <w:tcBorders>
              <w:top w:val="nil"/>
              <w:left w:val="single" w:sz="4" w:space="0" w:color="auto"/>
              <w:bottom w:val="single" w:sz="4" w:space="0" w:color="auto"/>
              <w:right w:val="single" w:sz="4" w:space="0" w:color="auto"/>
            </w:tcBorders>
            <w:vAlign w:val="center"/>
          </w:tcPr>
          <w:p w:rsidR="00CF3B8F" w:rsidRPr="00CC31D3" w:rsidRDefault="000A0BE3" w:rsidP="000A0BE3">
            <w:pPr>
              <w:jc w:val="center"/>
              <w:rPr>
                <w:rFonts w:asciiTheme="minorHAnsi" w:hAnsiTheme="minorHAnsi" w:cstheme="minorHAnsi"/>
                <w:b/>
              </w:rPr>
            </w:pPr>
            <w:r w:rsidRPr="00CC31D3">
              <w:rPr>
                <w:rFonts w:asciiTheme="minorHAnsi" w:hAnsiTheme="minorHAnsi" w:cstheme="minorHAnsi"/>
                <w:b/>
              </w:rPr>
              <w:t>10,2</w:t>
            </w:r>
            <w:r w:rsidR="00CF3B8F" w:rsidRPr="00CC31D3">
              <w:rPr>
                <w:rFonts w:asciiTheme="minorHAnsi" w:hAnsiTheme="minorHAnsi" w:cstheme="minorHAnsi"/>
                <w:b/>
              </w:rPr>
              <w:t xml:space="preserve"> %</w:t>
            </w:r>
          </w:p>
        </w:tc>
        <w:tc>
          <w:tcPr>
            <w:tcW w:w="1276" w:type="dxa"/>
            <w:tcBorders>
              <w:top w:val="single" w:sz="6" w:space="0" w:color="auto"/>
              <w:left w:val="single" w:sz="4" w:space="0" w:color="auto"/>
              <w:bottom w:val="single" w:sz="6" w:space="0" w:color="auto"/>
              <w:right w:val="double" w:sz="4" w:space="0" w:color="auto"/>
            </w:tcBorders>
            <w:vAlign w:val="center"/>
          </w:tcPr>
          <w:p w:rsidR="00CF3B8F" w:rsidRPr="00CC31D3" w:rsidRDefault="000A0BE3" w:rsidP="000A0BE3">
            <w:pPr>
              <w:jc w:val="center"/>
              <w:rPr>
                <w:rFonts w:asciiTheme="minorHAnsi" w:hAnsiTheme="minorHAnsi" w:cstheme="minorHAnsi"/>
                <w:b/>
              </w:rPr>
            </w:pPr>
            <w:r w:rsidRPr="00CC31D3">
              <w:rPr>
                <w:rFonts w:asciiTheme="minorHAnsi" w:hAnsiTheme="minorHAnsi" w:cstheme="minorHAnsi"/>
                <w:b/>
              </w:rPr>
              <w:t>9,0</w:t>
            </w:r>
            <w:r w:rsidR="00CF3B8F" w:rsidRPr="00CC31D3">
              <w:rPr>
                <w:rFonts w:asciiTheme="minorHAnsi" w:hAnsiTheme="minorHAnsi" w:cstheme="minorHAnsi"/>
                <w:b/>
              </w:rPr>
              <w:t xml:space="preserve"> %</w:t>
            </w:r>
          </w:p>
        </w:tc>
      </w:tr>
      <w:tr w:rsidR="00CF3B8F" w:rsidRPr="00CB53FC" w:rsidTr="000A0BE3">
        <w:trPr>
          <w:cantSplit/>
          <w:trHeight w:val="340"/>
        </w:trPr>
        <w:tc>
          <w:tcPr>
            <w:tcW w:w="3420" w:type="dxa"/>
            <w:tcBorders>
              <w:top w:val="single" w:sz="8" w:space="0" w:color="auto"/>
              <w:left w:val="double" w:sz="4" w:space="0" w:color="auto"/>
              <w:bottom w:val="single" w:sz="8" w:space="0" w:color="auto"/>
              <w:right w:val="single" w:sz="12" w:space="0" w:color="auto"/>
            </w:tcBorders>
            <w:shd w:val="clear" w:color="auto" w:fill="CCFFFF"/>
            <w:vAlign w:val="center"/>
          </w:tcPr>
          <w:p w:rsidR="00CF3B8F" w:rsidRPr="000A0BE3" w:rsidRDefault="00CF3B8F" w:rsidP="00CF3B8F">
            <w:pPr>
              <w:pStyle w:val="Nadpis2"/>
              <w:rPr>
                <w:rFonts w:asciiTheme="minorHAnsi" w:hAnsiTheme="minorHAnsi" w:cstheme="minorHAnsi"/>
                <w:szCs w:val="24"/>
              </w:rPr>
            </w:pPr>
            <w:bookmarkStart w:id="42" w:name="_Toc321296439"/>
            <w:bookmarkStart w:id="43" w:name="_Toc321296556"/>
            <w:r w:rsidRPr="000A0BE3">
              <w:rPr>
                <w:rFonts w:asciiTheme="minorHAnsi" w:hAnsiTheme="minorHAnsi" w:cstheme="minorHAnsi"/>
                <w:szCs w:val="24"/>
              </w:rPr>
              <w:t>meziroční srovnání PNO (v p.</w:t>
            </w:r>
            <w:r w:rsidR="00BD78FB">
              <w:rPr>
                <w:rFonts w:asciiTheme="minorHAnsi" w:hAnsiTheme="minorHAnsi" w:cstheme="minorHAnsi"/>
                <w:szCs w:val="24"/>
              </w:rPr>
              <w:t xml:space="preserve"> </w:t>
            </w:r>
            <w:r w:rsidRPr="000A0BE3">
              <w:rPr>
                <w:rFonts w:asciiTheme="minorHAnsi" w:hAnsiTheme="minorHAnsi" w:cstheme="minorHAnsi"/>
                <w:szCs w:val="24"/>
              </w:rPr>
              <w:t>b.)</w:t>
            </w:r>
            <w:bookmarkEnd w:id="42"/>
            <w:bookmarkEnd w:id="43"/>
          </w:p>
        </w:tc>
        <w:tc>
          <w:tcPr>
            <w:tcW w:w="1260" w:type="dxa"/>
            <w:tcBorders>
              <w:top w:val="single" w:sz="4" w:space="0" w:color="auto"/>
              <w:left w:val="nil"/>
              <w:bottom w:val="single" w:sz="4" w:space="0" w:color="auto"/>
              <w:right w:val="sing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-1,2</w:t>
            </w:r>
          </w:p>
        </w:tc>
        <w:tc>
          <w:tcPr>
            <w:tcW w:w="1080" w:type="dxa"/>
            <w:tcBorders>
              <w:top w:val="single" w:sz="4" w:space="0" w:color="auto"/>
              <w:left w:val="single" w:sz="4" w:space="0" w:color="auto"/>
              <w:bottom w:val="single" w:sz="4" w:space="0" w:color="auto"/>
              <w:right w:val="sing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-0,7</w:t>
            </w:r>
          </w:p>
        </w:tc>
        <w:tc>
          <w:tcPr>
            <w:tcW w:w="1080" w:type="dxa"/>
            <w:tcBorders>
              <w:top w:val="single" w:sz="4" w:space="0" w:color="auto"/>
              <w:left w:val="single" w:sz="4" w:space="0" w:color="auto"/>
              <w:bottom w:val="single" w:sz="4" w:space="0" w:color="auto"/>
              <w:right w:val="sing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-1,4</w:t>
            </w:r>
          </w:p>
        </w:tc>
        <w:tc>
          <w:tcPr>
            <w:tcW w:w="1240" w:type="dxa"/>
            <w:tcBorders>
              <w:top w:val="single" w:sz="4" w:space="0" w:color="auto"/>
              <w:left w:val="single" w:sz="4" w:space="0" w:color="auto"/>
              <w:bottom w:val="single" w:sz="4" w:space="0" w:color="auto"/>
              <w:right w:val="sing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-0,5</w:t>
            </w:r>
          </w:p>
        </w:tc>
        <w:tc>
          <w:tcPr>
            <w:tcW w:w="1276" w:type="dxa"/>
            <w:tcBorders>
              <w:top w:val="single" w:sz="6" w:space="0" w:color="auto"/>
              <w:left w:val="single" w:sz="4" w:space="0" w:color="auto"/>
              <w:bottom w:val="single" w:sz="6" w:space="0" w:color="auto"/>
              <w:right w:val="double" w:sz="4" w:space="0" w:color="auto"/>
            </w:tcBorders>
            <w:vAlign w:val="center"/>
          </w:tcPr>
          <w:p w:rsidR="00CF3B8F" w:rsidRPr="000A0BE3" w:rsidRDefault="000A0BE3" w:rsidP="000A0BE3">
            <w:pPr>
              <w:jc w:val="center"/>
              <w:rPr>
                <w:rFonts w:asciiTheme="minorHAnsi" w:hAnsiTheme="minorHAnsi" w:cstheme="minorHAnsi"/>
              </w:rPr>
            </w:pPr>
            <w:r w:rsidRPr="000A0BE3">
              <w:rPr>
                <w:rFonts w:asciiTheme="minorHAnsi" w:hAnsiTheme="minorHAnsi" w:cstheme="minorHAnsi"/>
              </w:rPr>
              <w:t>-1,4</w:t>
            </w:r>
          </w:p>
        </w:tc>
      </w:tr>
      <w:tr w:rsidR="00CF3B8F" w:rsidRPr="00CB53FC" w:rsidTr="000A0BE3">
        <w:trPr>
          <w:cantSplit/>
          <w:trHeight w:val="340"/>
        </w:trPr>
        <w:tc>
          <w:tcPr>
            <w:tcW w:w="3420" w:type="dxa"/>
            <w:tcBorders>
              <w:top w:val="single" w:sz="8" w:space="0" w:color="auto"/>
              <w:left w:val="double" w:sz="4" w:space="0" w:color="auto"/>
              <w:bottom w:val="double" w:sz="4" w:space="0" w:color="auto"/>
              <w:right w:val="single" w:sz="12" w:space="0" w:color="auto"/>
            </w:tcBorders>
            <w:shd w:val="clear" w:color="auto" w:fill="CCFFFF"/>
            <w:vAlign w:val="center"/>
          </w:tcPr>
          <w:p w:rsidR="00CF3B8F" w:rsidRPr="000A0BE3" w:rsidRDefault="00CF3B8F" w:rsidP="00CF3B8F">
            <w:pPr>
              <w:pStyle w:val="Nadpis2"/>
              <w:rPr>
                <w:rFonts w:asciiTheme="minorHAnsi" w:hAnsiTheme="minorHAnsi" w:cstheme="minorHAnsi"/>
                <w:szCs w:val="24"/>
              </w:rPr>
            </w:pPr>
            <w:bookmarkStart w:id="44" w:name="_Toc321296440"/>
            <w:bookmarkStart w:id="45" w:name="_Toc321296557"/>
            <w:r w:rsidRPr="000A0BE3">
              <w:rPr>
                <w:rFonts w:asciiTheme="minorHAnsi" w:hAnsiTheme="minorHAnsi" w:cstheme="minorHAnsi"/>
                <w:szCs w:val="24"/>
              </w:rPr>
              <w:t>pořadí podle PNO mezi okresy ČR</w:t>
            </w:r>
            <w:bookmarkEnd w:id="44"/>
            <w:bookmarkEnd w:id="45"/>
          </w:p>
        </w:tc>
        <w:tc>
          <w:tcPr>
            <w:tcW w:w="1260" w:type="dxa"/>
            <w:tcBorders>
              <w:top w:val="single" w:sz="4" w:space="0" w:color="auto"/>
              <w:left w:val="nil"/>
              <w:bottom w:val="double" w:sz="4" w:space="0" w:color="auto"/>
              <w:right w:val="single" w:sz="4" w:space="0" w:color="auto"/>
            </w:tcBorders>
            <w:vAlign w:val="center"/>
          </w:tcPr>
          <w:p w:rsidR="00CF3B8F" w:rsidRPr="000A0BE3" w:rsidRDefault="000A0BE3" w:rsidP="000A0BE3">
            <w:pPr>
              <w:jc w:val="center"/>
              <w:rPr>
                <w:rFonts w:asciiTheme="minorHAnsi" w:hAnsiTheme="minorHAnsi" w:cstheme="minorHAnsi"/>
              </w:rPr>
            </w:pPr>
            <w:r>
              <w:rPr>
                <w:rFonts w:asciiTheme="minorHAnsi" w:hAnsiTheme="minorHAnsi" w:cstheme="minorHAnsi"/>
              </w:rPr>
              <w:t>8</w:t>
            </w:r>
            <w:r w:rsidR="00CF3B8F" w:rsidRPr="000A0BE3">
              <w:rPr>
                <w:rFonts w:asciiTheme="minorHAnsi" w:hAnsiTheme="minorHAnsi" w:cstheme="minorHAnsi"/>
              </w:rPr>
              <w:t>.</w:t>
            </w:r>
          </w:p>
        </w:tc>
        <w:tc>
          <w:tcPr>
            <w:tcW w:w="1080" w:type="dxa"/>
            <w:tcBorders>
              <w:top w:val="single" w:sz="4" w:space="0" w:color="auto"/>
              <w:left w:val="single" w:sz="4" w:space="0" w:color="auto"/>
              <w:bottom w:val="double" w:sz="4" w:space="0" w:color="auto"/>
              <w:right w:val="single" w:sz="4" w:space="0" w:color="auto"/>
            </w:tcBorders>
            <w:vAlign w:val="center"/>
          </w:tcPr>
          <w:p w:rsidR="00CF3B8F" w:rsidRPr="000A0BE3" w:rsidRDefault="00CF3B8F" w:rsidP="000A0BE3">
            <w:pPr>
              <w:jc w:val="center"/>
              <w:rPr>
                <w:rFonts w:asciiTheme="minorHAnsi" w:hAnsiTheme="minorHAnsi" w:cstheme="minorHAnsi"/>
              </w:rPr>
            </w:pPr>
            <w:r w:rsidRPr="000A0BE3">
              <w:rPr>
                <w:rFonts w:asciiTheme="minorHAnsi" w:hAnsiTheme="minorHAnsi" w:cstheme="minorHAnsi"/>
              </w:rPr>
              <w:t>2</w:t>
            </w:r>
            <w:r w:rsidR="000A0BE3">
              <w:rPr>
                <w:rFonts w:asciiTheme="minorHAnsi" w:hAnsiTheme="minorHAnsi" w:cstheme="minorHAnsi"/>
              </w:rPr>
              <w:t>3</w:t>
            </w:r>
            <w:r w:rsidRPr="000A0BE3">
              <w:rPr>
                <w:rFonts w:asciiTheme="minorHAnsi" w:hAnsiTheme="minorHAnsi" w:cstheme="minorHAnsi"/>
              </w:rPr>
              <w:t>.</w:t>
            </w:r>
          </w:p>
        </w:tc>
        <w:tc>
          <w:tcPr>
            <w:tcW w:w="1080" w:type="dxa"/>
            <w:tcBorders>
              <w:top w:val="single" w:sz="4" w:space="0" w:color="auto"/>
              <w:left w:val="single" w:sz="4" w:space="0" w:color="auto"/>
              <w:bottom w:val="double" w:sz="4" w:space="0" w:color="auto"/>
              <w:right w:val="single" w:sz="4" w:space="0" w:color="auto"/>
            </w:tcBorders>
            <w:vAlign w:val="center"/>
          </w:tcPr>
          <w:p w:rsidR="00CF3B8F" w:rsidRPr="000A0BE3" w:rsidRDefault="000A0BE3" w:rsidP="000A0BE3">
            <w:pPr>
              <w:jc w:val="center"/>
              <w:rPr>
                <w:rFonts w:asciiTheme="minorHAnsi" w:hAnsiTheme="minorHAnsi" w:cstheme="minorHAnsi"/>
              </w:rPr>
            </w:pPr>
            <w:r>
              <w:rPr>
                <w:rFonts w:asciiTheme="minorHAnsi" w:hAnsiTheme="minorHAnsi" w:cstheme="minorHAnsi"/>
              </w:rPr>
              <w:t>47</w:t>
            </w:r>
            <w:r w:rsidR="00CF3B8F" w:rsidRPr="000A0BE3">
              <w:rPr>
                <w:rFonts w:asciiTheme="minorHAnsi" w:hAnsiTheme="minorHAnsi" w:cstheme="minorHAnsi"/>
              </w:rPr>
              <w:t>.</w:t>
            </w:r>
          </w:p>
        </w:tc>
        <w:tc>
          <w:tcPr>
            <w:tcW w:w="1240" w:type="dxa"/>
            <w:tcBorders>
              <w:top w:val="single" w:sz="4" w:space="0" w:color="auto"/>
              <w:left w:val="single" w:sz="4" w:space="0" w:color="auto"/>
              <w:bottom w:val="double" w:sz="4" w:space="0" w:color="auto"/>
              <w:right w:val="single" w:sz="4" w:space="0" w:color="auto"/>
            </w:tcBorders>
            <w:vAlign w:val="center"/>
          </w:tcPr>
          <w:p w:rsidR="00CF3B8F" w:rsidRPr="000A0BE3" w:rsidRDefault="00CF3B8F" w:rsidP="000A0BE3">
            <w:pPr>
              <w:jc w:val="center"/>
              <w:rPr>
                <w:rFonts w:asciiTheme="minorHAnsi" w:hAnsiTheme="minorHAnsi" w:cstheme="minorHAnsi"/>
              </w:rPr>
            </w:pPr>
            <w:r w:rsidRPr="000A0BE3">
              <w:rPr>
                <w:rFonts w:asciiTheme="minorHAnsi" w:hAnsiTheme="minorHAnsi" w:cstheme="minorHAnsi"/>
              </w:rPr>
              <w:t>1</w:t>
            </w:r>
            <w:r w:rsidR="000A0BE3">
              <w:rPr>
                <w:rFonts w:asciiTheme="minorHAnsi" w:hAnsiTheme="minorHAnsi" w:cstheme="minorHAnsi"/>
              </w:rPr>
              <w:t>1</w:t>
            </w:r>
            <w:r w:rsidRPr="000A0BE3">
              <w:rPr>
                <w:rFonts w:asciiTheme="minorHAnsi" w:hAnsiTheme="minorHAnsi" w:cstheme="minorHAnsi"/>
              </w:rPr>
              <w:t>.</w:t>
            </w:r>
          </w:p>
        </w:tc>
        <w:tc>
          <w:tcPr>
            <w:tcW w:w="1276" w:type="dxa"/>
            <w:tcBorders>
              <w:top w:val="single" w:sz="6" w:space="0" w:color="auto"/>
              <w:left w:val="single" w:sz="4" w:space="0" w:color="auto"/>
              <w:bottom w:val="double" w:sz="4" w:space="0" w:color="auto"/>
              <w:right w:val="double" w:sz="4" w:space="0" w:color="auto"/>
            </w:tcBorders>
            <w:vAlign w:val="center"/>
          </w:tcPr>
          <w:p w:rsidR="00CF3B8F" w:rsidRPr="000A0BE3" w:rsidRDefault="00CF3B8F" w:rsidP="000A0BE3">
            <w:pPr>
              <w:jc w:val="center"/>
              <w:rPr>
                <w:rFonts w:asciiTheme="minorHAnsi" w:hAnsiTheme="minorHAnsi" w:cstheme="minorHAnsi"/>
              </w:rPr>
            </w:pPr>
            <w:r w:rsidRPr="000A0BE3">
              <w:rPr>
                <w:rFonts w:asciiTheme="minorHAnsi" w:hAnsiTheme="minorHAnsi" w:cstheme="minorHAnsi"/>
              </w:rPr>
              <w:t>1</w:t>
            </w:r>
            <w:r w:rsidR="000A0BE3">
              <w:rPr>
                <w:rFonts w:asciiTheme="minorHAnsi" w:hAnsiTheme="minorHAnsi" w:cstheme="minorHAnsi"/>
              </w:rPr>
              <w:t>7</w:t>
            </w:r>
            <w:r w:rsidRPr="000A0BE3">
              <w:rPr>
                <w:rFonts w:asciiTheme="minorHAnsi" w:hAnsiTheme="minorHAnsi" w:cstheme="minorHAnsi"/>
              </w:rPr>
              <w:t>.</w:t>
            </w:r>
          </w:p>
        </w:tc>
      </w:tr>
    </w:tbl>
    <w:p w:rsidR="00207B4D" w:rsidRPr="00002B63" w:rsidRDefault="00207B4D" w:rsidP="00207B4D">
      <w:pPr>
        <w:numPr>
          <w:ilvl w:val="0"/>
          <w:numId w:val="4"/>
        </w:numPr>
        <w:jc w:val="both"/>
        <w:rPr>
          <w:rFonts w:asciiTheme="minorHAnsi" w:hAnsiTheme="minorHAnsi" w:cstheme="minorHAnsi"/>
          <w:color w:val="000000"/>
          <w:sz w:val="16"/>
        </w:rPr>
      </w:pPr>
      <w:r w:rsidRPr="00002B63">
        <w:rPr>
          <w:rFonts w:asciiTheme="minorHAnsi" w:hAnsiTheme="minorHAnsi" w:cstheme="minorHAnsi"/>
          <w:color w:val="000000"/>
          <w:sz w:val="16"/>
        </w:rPr>
        <w:t>Údaje z měsíční statistiky</w:t>
      </w:r>
    </w:p>
    <w:p w:rsidR="00207B4D" w:rsidRPr="00002B63" w:rsidRDefault="00207B4D" w:rsidP="00207B4D">
      <w:pPr>
        <w:adjustRightInd w:val="0"/>
        <w:ind w:firstLine="720"/>
        <w:jc w:val="both"/>
        <w:rPr>
          <w:rFonts w:asciiTheme="minorHAnsi" w:hAnsiTheme="minorHAnsi" w:cstheme="minorHAnsi"/>
          <w:b/>
        </w:rPr>
      </w:pPr>
    </w:p>
    <w:p w:rsidR="00207B4D" w:rsidRPr="00CC31D3" w:rsidRDefault="00207B4D" w:rsidP="00207B4D">
      <w:pPr>
        <w:pStyle w:val="Zkladntext"/>
        <w:spacing w:line="240" w:lineRule="atLeast"/>
        <w:ind w:firstLine="708"/>
        <w:jc w:val="both"/>
        <w:rPr>
          <w:rFonts w:asciiTheme="minorHAnsi" w:hAnsiTheme="minorHAnsi" w:cstheme="minorHAnsi"/>
          <w:b w:val="0"/>
          <w:color w:val="000000" w:themeColor="text1"/>
          <w:sz w:val="24"/>
        </w:rPr>
      </w:pPr>
      <w:r w:rsidRPr="00CC31D3">
        <w:rPr>
          <w:rFonts w:asciiTheme="minorHAnsi" w:hAnsiTheme="minorHAnsi" w:cstheme="minorHAnsi"/>
          <w:b w:val="0"/>
          <w:color w:val="000000" w:themeColor="text1"/>
          <w:sz w:val="24"/>
        </w:rPr>
        <w:t xml:space="preserve">Olomoucký kraj je </w:t>
      </w:r>
      <w:r w:rsidRPr="00CC31D3">
        <w:rPr>
          <w:rFonts w:asciiTheme="minorHAnsi" w:hAnsiTheme="minorHAnsi" w:cstheme="minorHAnsi"/>
          <w:color w:val="000000" w:themeColor="text1"/>
          <w:sz w:val="24"/>
        </w:rPr>
        <w:t>území, které je vnitřně poměrně výrazně diferencované</w:t>
      </w:r>
      <w:r w:rsidRPr="00CC31D3">
        <w:rPr>
          <w:rFonts w:asciiTheme="minorHAnsi" w:hAnsiTheme="minorHAnsi" w:cstheme="minorHAnsi"/>
          <w:b w:val="0"/>
          <w:color w:val="000000" w:themeColor="text1"/>
          <w:sz w:val="24"/>
        </w:rPr>
        <w:t xml:space="preserve">. Odlišnosti mezi centrální a severní částí kraje (které najdeme již na úrovni geografických charakteristik), se pak promítají i do charakteru a stupně rozvoje ekonomiky, do oblasti infrastruktury, lidských zdrojů a samozřejmě i (ne)zaměstnanosti. Pro zjednodušení můžeme mluvit o trhu práce </w:t>
      </w:r>
      <w:r w:rsidRPr="00CC31D3">
        <w:rPr>
          <w:rFonts w:asciiTheme="minorHAnsi" w:hAnsiTheme="minorHAnsi" w:cstheme="minorHAnsi"/>
          <w:color w:val="000000" w:themeColor="text1"/>
          <w:sz w:val="24"/>
        </w:rPr>
        <w:t>v horských okresech (Jeseník a Šumperk) a v hanáckých okresech (Olomouc, Prostějov a Přerov)</w:t>
      </w:r>
      <w:r w:rsidRPr="00CC31D3">
        <w:rPr>
          <w:rFonts w:asciiTheme="minorHAnsi" w:hAnsiTheme="minorHAnsi" w:cstheme="minorHAnsi"/>
          <w:b w:val="0"/>
          <w:color w:val="000000" w:themeColor="text1"/>
          <w:sz w:val="24"/>
        </w:rPr>
        <w:t xml:space="preserve">, i když samozřejmě i v rámci jednotlivých okresů existují v mnoha případech velké rozdíly v charakteru mikroregionů. </w:t>
      </w:r>
    </w:p>
    <w:p w:rsidR="00207B4D" w:rsidRPr="00CC31D3" w:rsidRDefault="00207B4D" w:rsidP="00207B4D">
      <w:pPr>
        <w:adjustRightInd w:val="0"/>
        <w:ind w:firstLine="720"/>
        <w:jc w:val="both"/>
        <w:rPr>
          <w:rFonts w:asciiTheme="minorHAnsi" w:hAnsiTheme="minorHAnsi" w:cstheme="minorHAnsi"/>
          <w:b/>
          <w:color w:val="000000" w:themeColor="text1"/>
        </w:rPr>
      </w:pPr>
      <w:r w:rsidRPr="00CC31D3">
        <w:rPr>
          <w:rFonts w:asciiTheme="minorHAnsi" w:hAnsiTheme="minorHAnsi" w:cstheme="minorHAnsi"/>
          <w:color w:val="000000" w:themeColor="text1"/>
        </w:rPr>
        <w:t>Ekonomika</w:t>
      </w:r>
      <w:r w:rsidRPr="00CC31D3">
        <w:rPr>
          <w:rFonts w:asciiTheme="minorHAnsi" w:hAnsiTheme="minorHAnsi" w:cstheme="minorHAnsi"/>
          <w:b/>
          <w:color w:val="000000" w:themeColor="text1"/>
        </w:rPr>
        <w:t xml:space="preserve"> hanáckých okresů je více stabilní a více diverzifikovaná, ekonomika v horských okresech je silněji ovlivněna sezónností a možnosti jejího rozvoje jsou limitovány infrastrukturou, zvláště dopravní. </w:t>
      </w:r>
    </w:p>
    <w:p w:rsidR="00CC31D3" w:rsidRPr="00CC31D3" w:rsidRDefault="00CC31D3" w:rsidP="00CC31D3">
      <w:pPr>
        <w:pStyle w:val="Zkladntext"/>
        <w:spacing w:line="240" w:lineRule="atLeast"/>
        <w:ind w:firstLine="708"/>
        <w:jc w:val="both"/>
        <w:rPr>
          <w:rFonts w:asciiTheme="minorHAnsi" w:hAnsiTheme="minorHAnsi" w:cstheme="minorHAnsi"/>
          <w:b w:val="0"/>
          <w:color w:val="000000" w:themeColor="text1"/>
          <w:sz w:val="24"/>
        </w:rPr>
      </w:pPr>
      <w:r w:rsidRPr="00CC31D3">
        <w:rPr>
          <w:rFonts w:asciiTheme="minorHAnsi" w:hAnsiTheme="minorHAnsi" w:cstheme="minorHAnsi"/>
          <w:b w:val="0"/>
          <w:color w:val="000000" w:themeColor="text1"/>
          <w:sz w:val="24"/>
        </w:rPr>
        <w:t xml:space="preserve">Zatímco v minulosti existovaly (v oblasti nezaměstnanosti) mezi těmito dvěma skupinami okresů výrazné rozdíly, zejména v posledním </w:t>
      </w:r>
      <w:r>
        <w:rPr>
          <w:rFonts w:asciiTheme="minorHAnsi" w:hAnsiTheme="minorHAnsi" w:cstheme="minorHAnsi"/>
          <w:b w:val="0"/>
          <w:color w:val="000000" w:themeColor="text1"/>
          <w:sz w:val="24"/>
        </w:rPr>
        <w:t>roce se tyto odlišnosti</w:t>
      </w:r>
      <w:r w:rsidRPr="00CC31D3">
        <w:rPr>
          <w:rFonts w:asciiTheme="minorHAnsi" w:hAnsiTheme="minorHAnsi" w:cstheme="minorHAnsi"/>
          <w:b w:val="0"/>
          <w:color w:val="000000" w:themeColor="text1"/>
          <w:sz w:val="24"/>
        </w:rPr>
        <w:t xml:space="preserve"> dosti setřely.</w:t>
      </w:r>
    </w:p>
    <w:p w:rsidR="00207B4D" w:rsidRPr="00CC31D3" w:rsidRDefault="00207B4D" w:rsidP="00207B4D">
      <w:pPr>
        <w:ind w:firstLine="708"/>
        <w:jc w:val="both"/>
        <w:rPr>
          <w:rFonts w:asciiTheme="minorHAnsi" w:hAnsiTheme="minorHAnsi" w:cstheme="minorHAnsi"/>
          <w:color w:val="000000" w:themeColor="text1"/>
          <w:szCs w:val="12"/>
        </w:rPr>
      </w:pPr>
      <w:r w:rsidRPr="00CC31D3">
        <w:rPr>
          <w:rFonts w:asciiTheme="minorHAnsi" w:hAnsiTheme="minorHAnsi" w:cstheme="minorHAnsi"/>
          <w:color w:val="000000" w:themeColor="text1"/>
        </w:rPr>
        <w:t>Okres</w:t>
      </w:r>
      <w:r w:rsidRPr="00CC31D3">
        <w:rPr>
          <w:rFonts w:asciiTheme="minorHAnsi" w:hAnsiTheme="minorHAnsi" w:cstheme="minorHAnsi"/>
          <w:b/>
          <w:color w:val="000000" w:themeColor="text1"/>
        </w:rPr>
        <w:t xml:space="preserve"> Jeseník </w:t>
      </w:r>
      <w:r w:rsidRPr="00CC31D3">
        <w:rPr>
          <w:rFonts w:asciiTheme="minorHAnsi" w:hAnsiTheme="minorHAnsi" w:cstheme="minorHAnsi"/>
          <w:color w:val="000000" w:themeColor="text1"/>
          <w:szCs w:val="12"/>
        </w:rPr>
        <w:t>se nachází v nejsevernějším výběžku Moravy a Slezska při hranici s Polskou republikou. K negativním stránkám tohoto okresu patří ztížené podmínky pro přepravu přes hřebeny hor a špatná dopravní obslužnost při dojíždění do zaměstnání (zejména v zimním období). Průběh nezaměstnanosti vykazuje extrémní sezónní výkyvy a zejména v zimním období pravidelně ten</w:t>
      </w:r>
      <w:r w:rsidR="00CC31D3" w:rsidRPr="00CC31D3">
        <w:rPr>
          <w:rFonts w:asciiTheme="minorHAnsi" w:hAnsiTheme="minorHAnsi" w:cstheme="minorHAnsi"/>
          <w:color w:val="000000" w:themeColor="text1"/>
          <w:szCs w:val="12"/>
        </w:rPr>
        <w:t xml:space="preserve">to okres dosahuje nejvyšší </w:t>
      </w:r>
      <w:r w:rsidRPr="00CC31D3">
        <w:rPr>
          <w:rFonts w:asciiTheme="minorHAnsi" w:hAnsiTheme="minorHAnsi" w:cstheme="minorHAnsi"/>
          <w:color w:val="000000" w:themeColor="text1"/>
          <w:szCs w:val="12"/>
        </w:rPr>
        <w:t xml:space="preserve">nezaměstnanosti v rámci celé ČR. </w:t>
      </w:r>
    </w:p>
    <w:p w:rsidR="008D0C0C" w:rsidRPr="00B03CBE" w:rsidRDefault="0054732A" w:rsidP="00207B4D">
      <w:pPr>
        <w:ind w:firstLine="708"/>
        <w:jc w:val="both"/>
        <w:rPr>
          <w:rFonts w:asciiTheme="minorHAnsi" w:hAnsiTheme="minorHAnsi" w:cstheme="minorHAnsi"/>
          <w:color w:val="000000" w:themeColor="text1"/>
          <w:szCs w:val="12"/>
        </w:rPr>
      </w:pPr>
      <w:r w:rsidRPr="00B03CBE">
        <w:rPr>
          <w:rFonts w:asciiTheme="minorHAnsi" w:hAnsiTheme="minorHAnsi" w:cstheme="minorHAnsi"/>
          <w:b/>
          <w:color w:val="000000" w:themeColor="text1"/>
          <w:szCs w:val="12"/>
        </w:rPr>
        <w:t>V </w:t>
      </w:r>
      <w:r w:rsidR="00CC31D3" w:rsidRPr="00B03CBE">
        <w:rPr>
          <w:rFonts w:asciiTheme="minorHAnsi" w:hAnsiTheme="minorHAnsi" w:cstheme="minorHAnsi"/>
          <w:b/>
          <w:color w:val="000000" w:themeColor="text1"/>
          <w:szCs w:val="12"/>
        </w:rPr>
        <w:t xml:space="preserve">meziročním srovnání se počet uchazečů </w:t>
      </w:r>
      <w:r w:rsidR="00CC42D7" w:rsidRPr="00B03CBE">
        <w:rPr>
          <w:rFonts w:asciiTheme="minorHAnsi" w:hAnsiTheme="minorHAnsi" w:cstheme="minorHAnsi"/>
          <w:b/>
          <w:color w:val="000000" w:themeColor="text1"/>
          <w:szCs w:val="12"/>
        </w:rPr>
        <w:t>snížil – a to o 429</w:t>
      </w:r>
      <w:r w:rsidRPr="00B03CBE">
        <w:rPr>
          <w:rFonts w:asciiTheme="minorHAnsi" w:hAnsiTheme="minorHAnsi" w:cstheme="minorHAnsi"/>
          <w:b/>
          <w:color w:val="000000" w:themeColor="text1"/>
          <w:szCs w:val="12"/>
        </w:rPr>
        <w:t xml:space="preserve"> osob</w:t>
      </w:r>
      <w:r w:rsidR="00CC42D7" w:rsidRPr="00B03CBE">
        <w:rPr>
          <w:rFonts w:asciiTheme="minorHAnsi" w:hAnsiTheme="minorHAnsi" w:cstheme="minorHAnsi"/>
          <w:b/>
          <w:color w:val="000000" w:themeColor="text1"/>
          <w:szCs w:val="12"/>
        </w:rPr>
        <w:t xml:space="preserve"> (tj. – 12,3 %)</w:t>
      </w:r>
      <w:r w:rsidR="00CC42D7" w:rsidRPr="00B03CBE">
        <w:rPr>
          <w:rFonts w:asciiTheme="minorHAnsi" w:hAnsiTheme="minorHAnsi" w:cstheme="minorHAnsi"/>
          <w:color w:val="000000" w:themeColor="text1"/>
          <w:szCs w:val="12"/>
        </w:rPr>
        <w:t>;</w:t>
      </w:r>
      <w:r w:rsidRPr="00B03CBE">
        <w:rPr>
          <w:rFonts w:asciiTheme="minorHAnsi" w:hAnsiTheme="minorHAnsi" w:cstheme="minorHAnsi"/>
          <w:color w:val="000000" w:themeColor="text1"/>
          <w:szCs w:val="12"/>
        </w:rPr>
        <w:t xml:space="preserve"> pod</w:t>
      </w:r>
      <w:r w:rsidR="00CC42D7" w:rsidRPr="00B03CBE">
        <w:rPr>
          <w:rFonts w:asciiTheme="minorHAnsi" w:hAnsiTheme="minorHAnsi" w:cstheme="minorHAnsi"/>
          <w:color w:val="000000" w:themeColor="text1"/>
          <w:szCs w:val="12"/>
        </w:rPr>
        <w:t>íl nezaměstnaných osob se snížil o 1</w:t>
      </w:r>
      <w:r w:rsidRPr="00B03CBE">
        <w:rPr>
          <w:rFonts w:asciiTheme="minorHAnsi" w:hAnsiTheme="minorHAnsi" w:cstheme="minorHAnsi"/>
          <w:color w:val="000000" w:themeColor="text1"/>
          <w:szCs w:val="12"/>
        </w:rPr>
        <w:t xml:space="preserve">,2 </w:t>
      </w:r>
      <w:r w:rsidR="00CC42D7" w:rsidRPr="00B03CBE">
        <w:rPr>
          <w:rFonts w:asciiTheme="minorHAnsi" w:hAnsiTheme="minorHAnsi" w:cstheme="minorHAnsi"/>
          <w:color w:val="000000" w:themeColor="text1"/>
          <w:szCs w:val="12"/>
        </w:rPr>
        <w:t>p. b.</w:t>
      </w:r>
      <w:r w:rsidRPr="00B03CBE">
        <w:rPr>
          <w:rFonts w:asciiTheme="minorHAnsi" w:hAnsiTheme="minorHAnsi" w:cstheme="minorHAnsi"/>
          <w:color w:val="000000" w:themeColor="text1"/>
          <w:szCs w:val="12"/>
        </w:rPr>
        <w:t xml:space="preserve"> </w:t>
      </w:r>
      <w:r w:rsidRPr="00B03CBE">
        <w:rPr>
          <w:rFonts w:asciiTheme="minorHAnsi" w:hAnsiTheme="minorHAnsi" w:cstheme="minorHAnsi"/>
          <w:b/>
          <w:color w:val="000000" w:themeColor="text1"/>
          <w:szCs w:val="12"/>
        </w:rPr>
        <w:t xml:space="preserve">Počet volných míst se meziročně zvýšil </w:t>
      </w:r>
      <w:r w:rsidR="008D0C0C" w:rsidRPr="00B03CBE">
        <w:rPr>
          <w:rFonts w:asciiTheme="minorHAnsi" w:hAnsiTheme="minorHAnsi" w:cstheme="minorHAnsi"/>
          <w:b/>
          <w:color w:val="000000" w:themeColor="text1"/>
          <w:szCs w:val="12"/>
        </w:rPr>
        <w:t xml:space="preserve">o necelé dvě desítky a počet nezaměstnaných připadajících na 1 VM se snížil z 50 na 34. </w:t>
      </w:r>
      <w:r w:rsidR="008D0C0C" w:rsidRPr="00B03CBE">
        <w:rPr>
          <w:rFonts w:asciiTheme="minorHAnsi" w:hAnsiTheme="minorHAnsi" w:cstheme="minorHAnsi"/>
          <w:color w:val="000000" w:themeColor="text1"/>
          <w:szCs w:val="12"/>
        </w:rPr>
        <w:t>I nadále se ale jedná o vysokou hodnotu – např. v rámci ČR byl Jeseník v tomto ukazateli na 3. nejhorším místě (hned za okresy Sokolov a Bruntál). Nut</w:t>
      </w:r>
      <w:r w:rsidR="00885668" w:rsidRPr="00B03CBE">
        <w:rPr>
          <w:rFonts w:asciiTheme="minorHAnsi" w:hAnsiTheme="minorHAnsi" w:cstheme="minorHAnsi"/>
          <w:color w:val="000000" w:themeColor="text1"/>
          <w:szCs w:val="12"/>
        </w:rPr>
        <w:t xml:space="preserve">no doplnit, že na konci roku 2014 sice </w:t>
      </w:r>
      <w:r w:rsidR="008D0C0C" w:rsidRPr="00B03CBE">
        <w:rPr>
          <w:rFonts w:asciiTheme="minorHAnsi" w:hAnsiTheme="minorHAnsi" w:cstheme="minorHAnsi"/>
          <w:color w:val="000000" w:themeColor="text1"/>
          <w:szCs w:val="12"/>
        </w:rPr>
        <w:t xml:space="preserve">vykazoval tento okres nejvyšší nezaměstnanost v Olomouckém kraji, ale </w:t>
      </w:r>
      <w:r w:rsidR="00885668" w:rsidRPr="00B03CBE">
        <w:rPr>
          <w:rFonts w:asciiTheme="minorHAnsi" w:hAnsiTheme="minorHAnsi" w:cstheme="minorHAnsi"/>
          <w:b/>
          <w:color w:val="000000" w:themeColor="text1"/>
          <w:szCs w:val="12"/>
        </w:rPr>
        <w:t>v období 6 –</w:t>
      </w:r>
      <w:r w:rsidR="00B03CBE">
        <w:rPr>
          <w:rFonts w:asciiTheme="minorHAnsi" w:hAnsiTheme="minorHAnsi" w:cstheme="minorHAnsi"/>
          <w:b/>
          <w:color w:val="000000" w:themeColor="text1"/>
          <w:szCs w:val="12"/>
        </w:rPr>
        <w:t xml:space="preserve"> 11/2014 byl poprvé po </w:t>
      </w:r>
      <w:r w:rsidR="00B03CBE" w:rsidRPr="00B03CBE">
        <w:rPr>
          <w:rFonts w:asciiTheme="minorHAnsi" w:hAnsiTheme="minorHAnsi" w:cstheme="minorHAnsi"/>
          <w:b/>
          <w:color w:val="000000" w:themeColor="text1"/>
          <w:szCs w:val="12"/>
        </w:rPr>
        <w:t>13 letech až na 2.</w:t>
      </w:r>
      <w:r w:rsidR="00885668" w:rsidRPr="00B03CBE">
        <w:rPr>
          <w:rFonts w:asciiTheme="minorHAnsi" w:hAnsiTheme="minorHAnsi" w:cstheme="minorHAnsi"/>
          <w:b/>
          <w:color w:val="000000" w:themeColor="text1"/>
          <w:szCs w:val="12"/>
        </w:rPr>
        <w:t xml:space="preserve"> místě</w:t>
      </w:r>
      <w:r w:rsidR="00885668" w:rsidRPr="00B03CBE">
        <w:rPr>
          <w:rFonts w:asciiTheme="minorHAnsi" w:hAnsiTheme="minorHAnsi" w:cstheme="minorHAnsi"/>
          <w:color w:val="000000" w:themeColor="text1"/>
          <w:szCs w:val="12"/>
        </w:rPr>
        <w:t xml:space="preserve"> –</w:t>
      </w:r>
      <w:r w:rsidR="00B03CBE" w:rsidRPr="00B03CBE">
        <w:rPr>
          <w:rFonts w:asciiTheme="minorHAnsi" w:hAnsiTheme="minorHAnsi" w:cstheme="minorHAnsi"/>
          <w:color w:val="000000" w:themeColor="text1"/>
          <w:szCs w:val="12"/>
        </w:rPr>
        <w:t xml:space="preserve"> </w:t>
      </w:r>
      <w:r w:rsidR="00B03CBE">
        <w:rPr>
          <w:rFonts w:asciiTheme="minorHAnsi" w:hAnsiTheme="minorHAnsi" w:cstheme="minorHAnsi"/>
          <w:color w:val="000000" w:themeColor="text1"/>
          <w:szCs w:val="12"/>
        </w:rPr>
        <w:t xml:space="preserve">nezaměstnaností byl více zasažen </w:t>
      </w:r>
      <w:r w:rsidR="00885668" w:rsidRPr="00B03CBE">
        <w:rPr>
          <w:rFonts w:asciiTheme="minorHAnsi" w:hAnsiTheme="minorHAnsi" w:cstheme="minorHAnsi"/>
          <w:color w:val="000000" w:themeColor="text1"/>
          <w:szCs w:val="12"/>
        </w:rPr>
        <w:t>okres</w:t>
      </w:r>
      <w:r w:rsidR="00B03CBE">
        <w:rPr>
          <w:rFonts w:asciiTheme="minorHAnsi" w:hAnsiTheme="minorHAnsi" w:cstheme="minorHAnsi"/>
          <w:color w:val="000000" w:themeColor="text1"/>
          <w:szCs w:val="12"/>
        </w:rPr>
        <w:t xml:space="preserve"> Přerov</w:t>
      </w:r>
      <w:r w:rsidR="00885668" w:rsidRPr="00B03CBE">
        <w:rPr>
          <w:rFonts w:asciiTheme="minorHAnsi" w:hAnsiTheme="minorHAnsi" w:cstheme="minorHAnsi"/>
          <w:color w:val="000000" w:themeColor="text1"/>
          <w:szCs w:val="12"/>
        </w:rPr>
        <w:t xml:space="preserve">. </w:t>
      </w:r>
    </w:p>
    <w:p w:rsidR="00207B4D" w:rsidRPr="00B03CBE" w:rsidRDefault="00207B4D" w:rsidP="00207B4D">
      <w:pPr>
        <w:ind w:firstLine="708"/>
        <w:jc w:val="both"/>
        <w:rPr>
          <w:rFonts w:asciiTheme="minorHAnsi" w:hAnsiTheme="minorHAnsi" w:cstheme="minorHAnsi"/>
          <w:color w:val="000000" w:themeColor="text1"/>
        </w:rPr>
      </w:pPr>
      <w:r w:rsidRPr="00B03CBE">
        <w:rPr>
          <w:rFonts w:asciiTheme="minorHAnsi" w:hAnsiTheme="minorHAnsi" w:cstheme="minorHAnsi"/>
          <w:color w:val="000000" w:themeColor="text1"/>
          <w:szCs w:val="12"/>
        </w:rPr>
        <w:t>Okres</w:t>
      </w:r>
      <w:r w:rsidRPr="00B03CBE">
        <w:rPr>
          <w:rFonts w:asciiTheme="minorHAnsi" w:hAnsiTheme="minorHAnsi" w:cstheme="minorHAnsi"/>
          <w:b/>
          <w:color w:val="000000" w:themeColor="text1"/>
          <w:szCs w:val="12"/>
        </w:rPr>
        <w:t xml:space="preserve"> Olomouc</w:t>
      </w:r>
      <w:r w:rsidRPr="00B03CBE">
        <w:rPr>
          <w:rFonts w:asciiTheme="minorHAnsi" w:hAnsiTheme="minorHAnsi" w:cstheme="minorHAnsi"/>
          <w:color w:val="000000" w:themeColor="text1"/>
          <w:szCs w:val="12"/>
        </w:rPr>
        <w:t xml:space="preserve"> leží v centrální části kraje, ekonomika je poměrně diferencovaná a </w:t>
      </w:r>
      <w:r w:rsidRPr="00B03CBE">
        <w:rPr>
          <w:rFonts w:asciiTheme="minorHAnsi" w:hAnsiTheme="minorHAnsi" w:cstheme="minorHAnsi"/>
          <w:color w:val="000000" w:themeColor="text1"/>
        </w:rPr>
        <w:t xml:space="preserve">poskytuje pracovní příležitosti pro osoby z různých oborů vzdělání - v  průmyslu, v zemědělství  i ve službách. </w:t>
      </w:r>
      <w:r w:rsidRPr="00B03CBE">
        <w:rPr>
          <w:rFonts w:asciiTheme="minorHAnsi" w:hAnsiTheme="minorHAnsi" w:cstheme="minorHAnsi"/>
          <w:color w:val="000000" w:themeColor="text1"/>
          <w:szCs w:val="12"/>
        </w:rPr>
        <w:t xml:space="preserve"> Z</w:t>
      </w:r>
      <w:r w:rsidRPr="00B03CBE">
        <w:rPr>
          <w:rFonts w:asciiTheme="minorHAnsi" w:hAnsiTheme="minorHAnsi" w:cstheme="minorHAnsi"/>
          <w:color w:val="000000" w:themeColor="text1"/>
        </w:rPr>
        <w:t xml:space="preserve">ejména v krajském městě jsou příhodné podmínky pro rozvoj nejrůznějších služeb, z nichž některé (např. vzdělávací a zdravotnické) jsou poskytovány širšímu okruhu občanů, než jsou obyvatelé okresu. </w:t>
      </w:r>
      <w:r w:rsidR="000300AC" w:rsidRPr="00B03CBE">
        <w:rPr>
          <w:rFonts w:asciiTheme="minorHAnsi" w:hAnsiTheme="minorHAnsi" w:cstheme="minorHAnsi"/>
          <w:color w:val="000000" w:themeColor="text1"/>
        </w:rPr>
        <w:t xml:space="preserve">I když v rámci Olomouckého kraje vykazuje tento okres </w:t>
      </w:r>
      <w:r w:rsidR="0054732A" w:rsidRPr="00B03CBE">
        <w:rPr>
          <w:rFonts w:asciiTheme="minorHAnsi" w:hAnsiTheme="minorHAnsi" w:cstheme="minorHAnsi"/>
          <w:color w:val="000000" w:themeColor="text1"/>
        </w:rPr>
        <w:t>druhý nejnižší PNO</w:t>
      </w:r>
      <w:r w:rsidR="000300AC" w:rsidRPr="00B03CBE">
        <w:rPr>
          <w:rFonts w:asciiTheme="minorHAnsi" w:hAnsiTheme="minorHAnsi" w:cstheme="minorHAnsi"/>
          <w:color w:val="000000" w:themeColor="text1"/>
        </w:rPr>
        <w:t xml:space="preserve">, </w:t>
      </w:r>
      <w:r w:rsidRPr="00B03CBE">
        <w:rPr>
          <w:rFonts w:asciiTheme="minorHAnsi" w:hAnsiTheme="minorHAnsi" w:cstheme="minorHAnsi"/>
          <w:color w:val="000000" w:themeColor="text1"/>
        </w:rPr>
        <w:t xml:space="preserve">v celorepublikovém srovnání </w:t>
      </w:r>
      <w:r w:rsidR="000300AC" w:rsidRPr="00B03CBE">
        <w:rPr>
          <w:rFonts w:asciiTheme="minorHAnsi" w:hAnsiTheme="minorHAnsi" w:cstheme="minorHAnsi"/>
          <w:color w:val="000000" w:themeColor="text1"/>
        </w:rPr>
        <w:t xml:space="preserve">se jedná o </w:t>
      </w:r>
      <w:r w:rsidRPr="00B03CBE">
        <w:rPr>
          <w:rFonts w:asciiTheme="minorHAnsi" w:hAnsiTheme="minorHAnsi" w:cstheme="minorHAnsi"/>
          <w:color w:val="000000" w:themeColor="text1"/>
        </w:rPr>
        <w:t>pomě</w:t>
      </w:r>
      <w:r w:rsidR="000300AC" w:rsidRPr="00B03CBE">
        <w:rPr>
          <w:rFonts w:asciiTheme="minorHAnsi" w:hAnsiTheme="minorHAnsi" w:cstheme="minorHAnsi"/>
          <w:color w:val="000000" w:themeColor="text1"/>
        </w:rPr>
        <w:t>rně vysokou hodnotu</w:t>
      </w:r>
      <w:r w:rsidR="000E5009">
        <w:rPr>
          <w:rFonts w:asciiTheme="minorHAnsi" w:hAnsiTheme="minorHAnsi" w:cstheme="minorHAnsi"/>
          <w:color w:val="000000" w:themeColor="text1"/>
        </w:rPr>
        <w:t xml:space="preserve"> (23. nejvyšší nezaměstnanost ze 77 okresů)</w:t>
      </w:r>
      <w:r w:rsidR="000300AC" w:rsidRPr="00B03CBE">
        <w:rPr>
          <w:rFonts w:asciiTheme="minorHAnsi" w:hAnsiTheme="minorHAnsi" w:cstheme="minorHAnsi"/>
          <w:color w:val="000000" w:themeColor="text1"/>
        </w:rPr>
        <w:t xml:space="preserve">, která svědčí o nízkém využití </w:t>
      </w:r>
      <w:r w:rsidRPr="00B03CBE">
        <w:rPr>
          <w:rFonts w:asciiTheme="minorHAnsi" w:hAnsiTheme="minorHAnsi" w:cstheme="minorHAnsi"/>
          <w:color w:val="000000" w:themeColor="text1"/>
        </w:rPr>
        <w:t>potenciálu</w:t>
      </w:r>
      <w:r w:rsidR="000300AC" w:rsidRPr="00B03CBE">
        <w:rPr>
          <w:rFonts w:asciiTheme="minorHAnsi" w:hAnsiTheme="minorHAnsi" w:cstheme="minorHAnsi"/>
          <w:color w:val="000000" w:themeColor="text1"/>
        </w:rPr>
        <w:t xml:space="preserve"> regionu</w:t>
      </w:r>
      <w:r w:rsidRPr="00B03CBE">
        <w:rPr>
          <w:rFonts w:asciiTheme="minorHAnsi" w:hAnsiTheme="minorHAnsi" w:cstheme="minorHAnsi"/>
          <w:color w:val="000000" w:themeColor="text1"/>
        </w:rPr>
        <w:t>.</w:t>
      </w:r>
    </w:p>
    <w:p w:rsidR="000300AC" w:rsidRPr="0022696E" w:rsidRDefault="00B03CBE" w:rsidP="00207B4D">
      <w:pPr>
        <w:ind w:firstLine="708"/>
        <w:jc w:val="both"/>
        <w:rPr>
          <w:rFonts w:asciiTheme="minorHAnsi" w:hAnsiTheme="minorHAnsi" w:cstheme="minorHAnsi"/>
          <w:b/>
          <w:color w:val="000000" w:themeColor="text1"/>
        </w:rPr>
      </w:pPr>
      <w:r w:rsidRPr="0022696E">
        <w:rPr>
          <w:rFonts w:asciiTheme="minorHAnsi" w:hAnsiTheme="minorHAnsi" w:cstheme="minorHAnsi"/>
          <w:b/>
          <w:color w:val="000000" w:themeColor="text1"/>
        </w:rPr>
        <w:lastRenderedPageBreak/>
        <w:t xml:space="preserve">V meziročním srovnání se </w:t>
      </w:r>
      <w:r w:rsidR="00006C13" w:rsidRPr="0022696E">
        <w:rPr>
          <w:rFonts w:asciiTheme="minorHAnsi" w:hAnsiTheme="minorHAnsi" w:cstheme="minorHAnsi"/>
          <w:b/>
          <w:color w:val="000000" w:themeColor="text1"/>
        </w:rPr>
        <w:t>po</w:t>
      </w:r>
      <w:r w:rsidR="000E5009" w:rsidRPr="0022696E">
        <w:rPr>
          <w:rFonts w:asciiTheme="minorHAnsi" w:hAnsiTheme="minorHAnsi" w:cstheme="minorHAnsi"/>
          <w:b/>
          <w:color w:val="000000" w:themeColor="text1"/>
        </w:rPr>
        <w:t>čet uchazečů poměrně výrazně snížil o 1 147 osob (-7,8 </w:t>
      </w:r>
      <w:r w:rsidR="000300AC" w:rsidRPr="0022696E">
        <w:rPr>
          <w:rFonts w:asciiTheme="minorHAnsi" w:hAnsiTheme="minorHAnsi" w:cstheme="minorHAnsi"/>
          <w:b/>
          <w:color w:val="000000" w:themeColor="text1"/>
        </w:rPr>
        <w:t>%)</w:t>
      </w:r>
      <w:r w:rsidR="00006C13" w:rsidRPr="0022696E">
        <w:rPr>
          <w:rFonts w:asciiTheme="minorHAnsi" w:hAnsiTheme="minorHAnsi" w:cstheme="minorHAnsi"/>
          <w:b/>
          <w:color w:val="000000" w:themeColor="text1"/>
        </w:rPr>
        <w:t>, počet volných míst s</w:t>
      </w:r>
      <w:r w:rsidR="000E5009" w:rsidRPr="0022696E">
        <w:rPr>
          <w:rFonts w:asciiTheme="minorHAnsi" w:hAnsiTheme="minorHAnsi" w:cstheme="minorHAnsi"/>
          <w:b/>
          <w:color w:val="000000" w:themeColor="text1"/>
        </w:rPr>
        <w:t>e zvýšil 2,6x (z 305 na 799</w:t>
      </w:r>
      <w:r w:rsidR="00006C13" w:rsidRPr="0022696E">
        <w:rPr>
          <w:rFonts w:asciiTheme="minorHAnsi" w:hAnsiTheme="minorHAnsi" w:cstheme="minorHAnsi"/>
          <w:b/>
          <w:color w:val="000000" w:themeColor="text1"/>
        </w:rPr>
        <w:t xml:space="preserve">) </w:t>
      </w:r>
      <w:r w:rsidR="001D0CCA" w:rsidRPr="0022696E">
        <w:rPr>
          <w:rFonts w:asciiTheme="minorHAnsi" w:hAnsiTheme="minorHAnsi" w:cstheme="minorHAnsi"/>
          <w:b/>
          <w:color w:val="000000" w:themeColor="text1"/>
        </w:rPr>
        <w:t>a počet uchazečů připadající</w:t>
      </w:r>
      <w:r w:rsidR="00006C13" w:rsidRPr="0022696E">
        <w:rPr>
          <w:rFonts w:asciiTheme="minorHAnsi" w:hAnsiTheme="minorHAnsi" w:cstheme="minorHAnsi"/>
          <w:b/>
          <w:color w:val="000000" w:themeColor="text1"/>
        </w:rPr>
        <w:t xml:space="preserve">ch na </w:t>
      </w:r>
      <w:r w:rsidR="000A33D8" w:rsidRPr="0022696E">
        <w:rPr>
          <w:rFonts w:asciiTheme="minorHAnsi" w:hAnsiTheme="minorHAnsi" w:cstheme="minorHAnsi"/>
          <w:b/>
          <w:color w:val="000000" w:themeColor="text1"/>
        </w:rPr>
        <w:t>1 VM se snížil téměř na třetinu</w:t>
      </w:r>
      <w:r w:rsidR="001D0CCA" w:rsidRPr="0022696E">
        <w:rPr>
          <w:rFonts w:asciiTheme="minorHAnsi" w:hAnsiTheme="minorHAnsi" w:cstheme="minorHAnsi"/>
          <w:b/>
          <w:color w:val="000000" w:themeColor="text1"/>
        </w:rPr>
        <w:t xml:space="preserve"> </w:t>
      </w:r>
      <w:r w:rsidR="0022696E" w:rsidRPr="0022696E">
        <w:rPr>
          <w:rFonts w:asciiTheme="minorHAnsi" w:hAnsiTheme="minorHAnsi" w:cstheme="minorHAnsi"/>
          <w:b/>
          <w:color w:val="000000" w:themeColor="text1"/>
        </w:rPr>
        <w:t>(z 49 na 17</w:t>
      </w:r>
      <w:r w:rsidR="001D0CCA" w:rsidRPr="0022696E">
        <w:rPr>
          <w:rFonts w:asciiTheme="minorHAnsi" w:hAnsiTheme="minorHAnsi" w:cstheme="minorHAnsi"/>
          <w:b/>
          <w:color w:val="000000" w:themeColor="text1"/>
        </w:rPr>
        <w:t>).</w:t>
      </w:r>
    </w:p>
    <w:p w:rsidR="0022696E" w:rsidRPr="0022696E" w:rsidRDefault="001D0CCA" w:rsidP="00207B4D">
      <w:pPr>
        <w:ind w:firstLine="708"/>
        <w:jc w:val="both"/>
        <w:rPr>
          <w:rFonts w:asciiTheme="minorHAnsi" w:hAnsiTheme="minorHAnsi" w:cstheme="minorHAnsi"/>
          <w:color w:val="000000" w:themeColor="text1"/>
        </w:rPr>
      </w:pPr>
      <w:r w:rsidRPr="0022696E">
        <w:rPr>
          <w:rFonts w:asciiTheme="minorHAnsi" w:hAnsiTheme="minorHAnsi" w:cstheme="minorHAnsi"/>
          <w:color w:val="000000" w:themeColor="text1"/>
        </w:rPr>
        <w:t>O</w:t>
      </w:r>
      <w:r w:rsidR="00207B4D" w:rsidRPr="0022696E">
        <w:rPr>
          <w:rFonts w:asciiTheme="minorHAnsi" w:hAnsiTheme="minorHAnsi" w:cstheme="minorHAnsi"/>
          <w:color w:val="000000" w:themeColor="text1"/>
        </w:rPr>
        <w:t>kres</w:t>
      </w:r>
      <w:r w:rsidR="00207B4D" w:rsidRPr="0022696E">
        <w:rPr>
          <w:rFonts w:asciiTheme="minorHAnsi" w:hAnsiTheme="minorHAnsi" w:cstheme="minorHAnsi"/>
          <w:b/>
          <w:color w:val="000000" w:themeColor="text1"/>
        </w:rPr>
        <w:t xml:space="preserve"> Prostějov</w:t>
      </w:r>
      <w:r w:rsidRPr="0022696E">
        <w:rPr>
          <w:rFonts w:asciiTheme="minorHAnsi" w:hAnsiTheme="minorHAnsi" w:cstheme="minorHAnsi"/>
          <w:b/>
          <w:color w:val="000000" w:themeColor="text1"/>
        </w:rPr>
        <w:t xml:space="preserve"> </w:t>
      </w:r>
      <w:r w:rsidRPr="0022696E">
        <w:rPr>
          <w:rFonts w:asciiTheme="minorHAnsi" w:hAnsiTheme="minorHAnsi" w:cstheme="minorHAnsi"/>
          <w:color w:val="000000" w:themeColor="text1"/>
        </w:rPr>
        <w:t xml:space="preserve">dlouhodobě </w:t>
      </w:r>
      <w:r w:rsidR="00006C13" w:rsidRPr="0022696E">
        <w:rPr>
          <w:rFonts w:asciiTheme="minorHAnsi" w:hAnsiTheme="minorHAnsi" w:cstheme="minorHAnsi"/>
          <w:color w:val="000000" w:themeColor="text1"/>
        </w:rPr>
        <w:t>vykazoval nejnižší nezaměstnanost</w:t>
      </w:r>
      <w:r w:rsidRPr="0022696E">
        <w:rPr>
          <w:rFonts w:asciiTheme="minorHAnsi" w:hAnsiTheme="minorHAnsi" w:cstheme="minorHAnsi"/>
          <w:color w:val="000000" w:themeColor="text1"/>
        </w:rPr>
        <w:t xml:space="preserve"> v rámci Olomouckého kraje, ale v letech 2010 -</w:t>
      </w:r>
      <w:r w:rsidR="00006C13" w:rsidRPr="0022696E">
        <w:rPr>
          <w:rFonts w:asciiTheme="minorHAnsi" w:hAnsiTheme="minorHAnsi" w:cstheme="minorHAnsi"/>
          <w:color w:val="000000" w:themeColor="text1"/>
        </w:rPr>
        <w:t xml:space="preserve"> </w:t>
      </w:r>
      <w:r w:rsidRPr="0022696E">
        <w:rPr>
          <w:rFonts w:asciiTheme="minorHAnsi" w:hAnsiTheme="minorHAnsi" w:cstheme="minorHAnsi"/>
          <w:color w:val="000000" w:themeColor="text1"/>
        </w:rPr>
        <w:t xml:space="preserve">2011 se nezaměstnanost skokově zvýšila </w:t>
      </w:r>
      <w:r w:rsidR="00207B4D" w:rsidRPr="0022696E">
        <w:rPr>
          <w:rFonts w:asciiTheme="minorHAnsi" w:hAnsiTheme="minorHAnsi" w:cstheme="minorHAnsi"/>
          <w:color w:val="000000" w:themeColor="text1"/>
        </w:rPr>
        <w:t>z důvodu masového propouštění v</w:t>
      </w:r>
      <w:r w:rsidRPr="0022696E">
        <w:rPr>
          <w:rFonts w:asciiTheme="minorHAnsi" w:hAnsiTheme="minorHAnsi" w:cstheme="minorHAnsi"/>
          <w:color w:val="000000" w:themeColor="text1"/>
        </w:rPr>
        <w:t xml:space="preserve"> tehdy </w:t>
      </w:r>
      <w:r w:rsidR="00207B4D" w:rsidRPr="0022696E">
        <w:rPr>
          <w:rFonts w:asciiTheme="minorHAnsi" w:hAnsiTheme="minorHAnsi" w:cstheme="minorHAnsi"/>
          <w:color w:val="000000" w:themeColor="text1"/>
        </w:rPr>
        <w:t>největším průmyslovém podnik</w:t>
      </w:r>
      <w:r w:rsidRPr="0022696E">
        <w:rPr>
          <w:rFonts w:asciiTheme="minorHAnsi" w:hAnsiTheme="minorHAnsi" w:cstheme="minorHAnsi"/>
          <w:color w:val="000000" w:themeColor="text1"/>
        </w:rPr>
        <w:t>u okresu – Oděvním podniku a.s.</w:t>
      </w:r>
      <w:r w:rsidR="00207B4D" w:rsidRPr="0022696E">
        <w:rPr>
          <w:rFonts w:asciiTheme="minorHAnsi" w:hAnsiTheme="minorHAnsi" w:cstheme="minorHAnsi"/>
          <w:color w:val="000000" w:themeColor="text1"/>
        </w:rPr>
        <w:t xml:space="preserve"> </w:t>
      </w:r>
      <w:r w:rsidR="00BB4372" w:rsidRPr="0022696E">
        <w:rPr>
          <w:rFonts w:asciiTheme="minorHAnsi" w:hAnsiTheme="minorHAnsi" w:cstheme="minorHAnsi"/>
          <w:color w:val="000000" w:themeColor="text1"/>
        </w:rPr>
        <w:t>Během roku 2012 se relativní hodnota nezaměstnanosti začala opět přibližovat k hodnotě okresu Olomouc. Od začátku roku 2013 opět tento okres vykazuje nejnižší ne</w:t>
      </w:r>
      <w:r w:rsidR="0022696E" w:rsidRPr="0022696E">
        <w:rPr>
          <w:rFonts w:asciiTheme="minorHAnsi" w:hAnsiTheme="minorHAnsi" w:cstheme="minorHAnsi"/>
          <w:color w:val="000000" w:themeColor="text1"/>
        </w:rPr>
        <w:t xml:space="preserve">zaměstnanost v Olomouckém kraji. </w:t>
      </w:r>
      <w:r w:rsidR="0022696E">
        <w:rPr>
          <w:rFonts w:asciiTheme="minorHAnsi" w:hAnsiTheme="minorHAnsi" w:cstheme="minorHAnsi"/>
          <w:color w:val="000000" w:themeColor="text1"/>
        </w:rPr>
        <w:t xml:space="preserve">Zároveň </w:t>
      </w:r>
      <w:r w:rsidR="0022696E" w:rsidRPr="0022696E">
        <w:rPr>
          <w:rFonts w:asciiTheme="minorHAnsi" w:hAnsiTheme="minorHAnsi" w:cstheme="minorHAnsi"/>
          <w:b/>
          <w:color w:val="000000" w:themeColor="text1"/>
        </w:rPr>
        <w:t>je jediným okresem v kraji, který vykazuje pr</w:t>
      </w:r>
      <w:r w:rsidR="0022696E">
        <w:rPr>
          <w:rFonts w:asciiTheme="minorHAnsi" w:hAnsiTheme="minorHAnsi" w:cstheme="minorHAnsi"/>
          <w:b/>
          <w:color w:val="000000" w:themeColor="text1"/>
        </w:rPr>
        <w:t xml:space="preserve">avidelně nižší hodnotu nezaměstnanosti než je v </w:t>
      </w:r>
      <w:r w:rsidR="0022696E" w:rsidRPr="0022696E">
        <w:rPr>
          <w:rFonts w:asciiTheme="minorHAnsi" w:hAnsiTheme="minorHAnsi" w:cstheme="minorHAnsi"/>
          <w:b/>
          <w:color w:val="000000" w:themeColor="text1"/>
        </w:rPr>
        <w:t>ČR</w:t>
      </w:r>
      <w:r w:rsidR="0022696E">
        <w:rPr>
          <w:rFonts w:asciiTheme="minorHAnsi" w:hAnsiTheme="minorHAnsi" w:cstheme="minorHAnsi"/>
          <w:color w:val="000000" w:themeColor="text1"/>
        </w:rPr>
        <w:t xml:space="preserve">. </w:t>
      </w:r>
      <w:r w:rsidR="00207B4D" w:rsidRPr="0022696E">
        <w:rPr>
          <w:rFonts w:asciiTheme="minorHAnsi" w:hAnsiTheme="minorHAnsi" w:cstheme="minorHAnsi"/>
          <w:color w:val="000000" w:themeColor="text1"/>
        </w:rPr>
        <w:t xml:space="preserve">Tento okres leží v jižní části Olomouckého kraje, má průmyslově – zemědělský charakter. </w:t>
      </w:r>
    </w:p>
    <w:p w:rsidR="001D0CCA" w:rsidRPr="0022696E" w:rsidRDefault="0022696E" w:rsidP="00207B4D">
      <w:pPr>
        <w:ind w:firstLine="708"/>
        <w:jc w:val="both"/>
        <w:rPr>
          <w:rFonts w:asciiTheme="minorHAnsi" w:hAnsiTheme="minorHAnsi" w:cstheme="minorHAnsi"/>
          <w:b/>
          <w:color w:val="000000" w:themeColor="text1"/>
        </w:rPr>
      </w:pPr>
      <w:r w:rsidRPr="0022696E">
        <w:rPr>
          <w:rFonts w:asciiTheme="minorHAnsi" w:hAnsiTheme="minorHAnsi" w:cstheme="minorHAnsi"/>
          <w:b/>
          <w:color w:val="000000" w:themeColor="text1"/>
        </w:rPr>
        <w:t xml:space="preserve">Také zde meziročně výrazně klesl </w:t>
      </w:r>
      <w:r w:rsidR="001D0CCA" w:rsidRPr="0022696E">
        <w:rPr>
          <w:rFonts w:asciiTheme="minorHAnsi" w:hAnsiTheme="minorHAnsi" w:cstheme="minorHAnsi"/>
          <w:b/>
          <w:color w:val="000000" w:themeColor="text1"/>
        </w:rPr>
        <w:t>počet UoZ – a to o</w:t>
      </w:r>
      <w:r w:rsidRPr="0022696E">
        <w:rPr>
          <w:rFonts w:asciiTheme="minorHAnsi" w:hAnsiTheme="minorHAnsi" w:cstheme="minorHAnsi"/>
          <w:b/>
          <w:color w:val="000000" w:themeColor="text1"/>
        </w:rPr>
        <w:t xml:space="preserve"> 947 osob (tj. – 14,7</w:t>
      </w:r>
      <w:r w:rsidR="001D0CCA" w:rsidRPr="0022696E">
        <w:rPr>
          <w:rFonts w:asciiTheme="minorHAnsi" w:hAnsiTheme="minorHAnsi" w:cstheme="minorHAnsi"/>
          <w:b/>
          <w:color w:val="000000" w:themeColor="text1"/>
        </w:rPr>
        <w:t xml:space="preserve"> %</w:t>
      </w:r>
      <w:r w:rsidR="00BB4372" w:rsidRPr="0022696E">
        <w:rPr>
          <w:rFonts w:asciiTheme="minorHAnsi" w:hAnsiTheme="minorHAnsi" w:cstheme="minorHAnsi"/>
          <w:b/>
          <w:color w:val="000000" w:themeColor="text1"/>
        </w:rPr>
        <w:t>)</w:t>
      </w:r>
      <w:r w:rsidR="001D0CCA" w:rsidRPr="0022696E">
        <w:rPr>
          <w:rFonts w:asciiTheme="minorHAnsi" w:hAnsiTheme="minorHAnsi" w:cstheme="minorHAnsi"/>
          <w:b/>
          <w:color w:val="000000" w:themeColor="text1"/>
        </w:rPr>
        <w:t xml:space="preserve">. </w:t>
      </w:r>
      <w:r w:rsidR="00BB4372" w:rsidRPr="0022696E">
        <w:rPr>
          <w:rFonts w:asciiTheme="minorHAnsi" w:hAnsiTheme="minorHAnsi" w:cstheme="minorHAnsi"/>
          <w:b/>
          <w:color w:val="000000" w:themeColor="text1"/>
        </w:rPr>
        <w:t xml:space="preserve">Počet volných míst se </w:t>
      </w:r>
      <w:r w:rsidR="001D0CCA" w:rsidRPr="0022696E">
        <w:rPr>
          <w:rFonts w:asciiTheme="minorHAnsi" w:hAnsiTheme="minorHAnsi" w:cstheme="minorHAnsi"/>
          <w:b/>
          <w:color w:val="000000" w:themeColor="text1"/>
        </w:rPr>
        <w:t>zvýšil</w:t>
      </w:r>
      <w:r w:rsidRPr="0022696E">
        <w:rPr>
          <w:rFonts w:asciiTheme="minorHAnsi" w:hAnsiTheme="minorHAnsi" w:cstheme="minorHAnsi"/>
          <w:b/>
          <w:color w:val="000000" w:themeColor="text1"/>
        </w:rPr>
        <w:t xml:space="preserve"> o 81</w:t>
      </w:r>
      <w:r w:rsidR="00BB4372" w:rsidRPr="0022696E">
        <w:rPr>
          <w:rFonts w:asciiTheme="minorHAnsi" w:hAnsiTheme="minorHAnsi" w:cstheme="minorHAnsi"/>
          <w:b/>
          <w:color w:val="000000" w:themeColor="text1"/>
        </w:rPr>
        <w:t xml:space="preserve"> % a </w:t>
      </w:r>
      <w:r w:rsidR="001D0CCA" w:rsidRPr="0022696E">
        <w:rPr>
          <w:rFonts w:asciiTheme="minorHAnsi" w:hAnsiTheme="minorHAnsi" w:cstheme="minorHAnsi"/>
          <w:b/>
          <w:color w:val="000000" w:themeColor="text1"/>
        </w:rPr>
        <w:t xml:space="preserve">počet UoZ na 1 VM </w:t>
      </w:r>
      <w:r w:rsidRPr="0022696E">
        <w:rPr>
          <w:rFonts w:asciiTheme="minorHAnsi" w:hAnsiTheme="minorHAnsi" w:cstheme="minorHAnsi"/>
          <w:b/>
          <w:color w:val="000000" w:themeColor="text1"/>
        </w:rPr>
        <w:t xml:space="preserve">se snížil na méně než polovinu (z </w:t>
      </w:r>
      <w:r w:rsidR="00BB4372" w:rsidRPr="0022696E">
        <w:rPr>
          <w:rFonts w:asciiTheme="minorHAnsi" w:hAnsiTheme="minorHAnsi" w:cstheme="minorHAnsi"/>
          <w:b/>
          <w:color w:val="000000" w:themeColor="text1"/>
        </w:rPr>
        <w:t>22</w:t>
      </w:r>
      <w:r w:rsidRPr="0022696E">
        <w:rPr>
          <w:rFonts w:asciiTheme="minorHAnsi" w:hAnsiTheme="minorHAnsi" w:cstheme="minorHAnsi"/>
          <w:b/>
          <w:color w:val="000000" w:themeColor="text1"/>
        </w:rPr>
        <w:t xml:space="preserve"> na 10</w:t>
      </w:r>
      <w:r w:rsidR="00BB4372" w:rsidRPr="0022696E">
        <w:rPr>
          <w:rFonts w:asciiTheme="minorHAnsi" w:hAnsiTheme="minorHAnsi" w:cstheme="minorHAnsi"/>
          <w:b/>
          <w:color w:val="000000" w:themeColor="text1"/>
        </w:rPr>
        <w:t>)</w:t>
      </w:r>
      <w:r w:rsidR="001D0CCA" w:rsidRPr="0022696E">
        <w:rPr>
          <w:rFonts w:asciiTheme="minorHAnsi" w:hAnsiTheme="minorHAnsi" w:cstheme="minorHAnsi"/>
          <w:b/>
          <w:color w:val="000000" w:themeColor="text1"/>
        </w:rPr>
        <w:t>.</w:t>
      </w:r>
    </w:p>
    <w:p w:rsidR="00207B4D" w:rsidRPr="0022696E" w:rsidRDefault="00207B4D" w:rsidP="00207B4D">
      <w:pPr>
        <w:ind w:firstLine="708"/>
        <w:jc w:val="both"/>
        <w:rPr>
          <w:rFonts w:asciiTheme="minorHAnsi" w:hAnsiTheme="minorHAnsi" w:cstheme="minorHAnsi"/>
          <w:color w:val="000000" w:themeColor="text1"/>
        </w:rPr>
      </w:pPr>
      <w:r w:rsidRPr="0022696E">
        <w:rPr>
          <w:rFonts w:asciiTheme="minorHAnsi" w:hAnsiTheme="minorHAnsi" w:cstheme="minorHAnsi"/>
          <w:color w:val="000000" w:themeColor="text1"/>
        </w:rPr>
        <w:t>Okres</w:t>
      </w:r>
      <w:r w:rsidRPr="0022696E">
        <w:rPr>
          <w:rFonts w:asciiTheme="minorHAnsi" w:hAnsiTheme="minorHAnsi" w:cstheme="minorHAnsi"/>
          <w:b/>
          <w:color w:val="000000" w:themeColor="text1"/>
        </w:rPr>
        <w:t xml:space="preserve"> Přerov</w:t>
      </w:r>
      <w:r w:rsidRPr="0022696E">
        <w:rPr>
          <w:rFonts w:asciiTheme="minorHAnsi" w:hAnsiTheme="minorHAnsi" w:cstheme="minorHAnsi"/>
          <w:color w:val="000000" w:themeColor="text1"/>
        </w:rPr>
        <w:t xml:space="preserve"> patří mezi průmyslové oblasti, leží v centrální části kraje. Přes příznivé podmínky k rozvoji vykazuje v celorepublikovém srovnání poměrně vysok</w:t>
      </w:r>
      <w:r w:rsidR="00BB4372" w:rsidRPr="0022696E">
        <w:rPr>
          <w:rFonts w:asciiTheme="minorHAnsi" w:hAnsiTheme="minorHAnsi" w:cstheme="minorHAnsi"/>
          <w:color w:val="000000" w:themeColor="text1"/>
        </w:rPr>
        <w:t>ý PNO, který v</w:t>
      </w:r>
      <w:r w:rsidR="00D340A9" w:rsidRPr="0022696E">
        <w:rPr>
          <w:rFonts w:asciiTheme="minorHAnsi" w:hAnsiTheme="minorHAnsi" w:cstheme="minorHAnsi"/>
          <w:color w:val="000000" w:themeColor="text1"/>
        </w:rPr>
        <w:t> </w:t>
      </w:r>
      <w:r w:rsidR="00BB4372" w:rsidRPr="0022696E">
        <w:rPr>
          <w:rFonts w:asciiTheme="minorHAnsi" w:hAnsiTheme="minorHAnsi" w:cstheme="minorHAnsi"/>
          <w:color w:val="000000" w:themeColor="text1"/>
        </w:rPr>
        <w:t>roce</w:t>
      </w:r>
      <w:r w:rsidR="0022696E">
        <w:rPr>
          <w:rFonts w:asciiTheme="minorHAnsi" w:hAnsiTheme="minorHAnsi" w:cstheme="minorHAnsi"/>
          <w:color w:val="000000" w:themeColor="text1"/>
        </w:rPr>
        <w:t xml:space="preserve"> 2013 </w:t>
      </w:r>
      <w:r w:rsidR="00D340A9" w:rsidRPr="0022696E">
        <w:rPr>
          <w:rFonts w:asciiTheme="minorHAnsi" w:hAnsiTheme="minorHAnsi" w:cstheme="minorHAnsi"/>
          <w:color w:val="000000" w:themeColor="text1"/>
        </w:rPr>
        <w:t xml:space="preserve">dosáhl vyšších hodnot než v </w:t>
      </w:r>
      <w:r w:rsidR="0022696E">
        <w:rPr>
          <w:rFonts w:asciiTheme="minorHAnsi" w:hAnsiTheme="minorHAnsi" w:cstheme="minorHAnsi"/>
          <w:color w:val="000000" w:themeColor="text1"/>
        </w:rPr>
        <w:t>horském okrese Šumperk a v polovině roku 2014 překonal dokonce i příhraniční okres Jeseník.</w:t>
      </w:r>
    </w:p>
    <w:p w:rsidR="00484D74" w:rsidRPr="00FF2255" w:rsidRDefault="0022696E" w:rsidP="00207B4D">
      <w:pPr>
        <w:ind w:firstLine="708"/>
        <w:jc w:val="both"/>
        <w:rPr>
          <w:rFonts w:asciiTheme="minorHAnsi" w:hAnsiTheme="minorHAnsi" w:cstheme="minorHAnsi"/>
          <w:b/>
          <w:color w:val="000000" w:themeColor="text1"/>
        </w:rPr>
      </w:pPr>
      <w:r w:rsidRPr="00FF2255">
        <w:rPr>
          <w:rFonts w:asciiTheme="minorHAnsi" w:hAnsiTheme="minorHAnsi" w:cstheme="minorHAnsi"/>
          <w:b/>
          <w:color w:val="000000" w:themeColor="text1"/>
        </w:rPr>
        <w:t xml:space="preserve">Na Přerovsku </w:t>
      </w:r>
      <w:r w:rsidR="00484D74" w:rsidRPr="00FF2255">
        <w:rPr>
          <w:rFonts w:asciiTheme="minorHAnsi" w:hAnsiTheme="minorHAnsi" w:cstheme="minorHAnsi"/>
          <w:b/>
          <w:color w:val="000000" w:themeColor="text1"/>
        </w:rPr>
        <w:t>nezamě</w:t>
      </w:r>
      <w:r w:rsidRPr="00FF2255">
        <w:rPr>
          <w:rFonts w:asciiTheme="minorHAnsi" w:hAnsiTheme="minorHAnsi" w:cstheme="minorHAnsi"/>
          <w:b/>
          <w:color w:val="000000" w:themeColor="text1"/>
        </w:rPr>
        <w:t>stnanost meziročně klesla o 504</w:t>
      </w:r>
      <w:r w:rsidR="00D340A9" w:rsidRPr="00FF2255">
        <w:rPr>
          <w:rFonts w:asciiTheme="minorHAnsi" w:hAnsiTheme="minorHAnsi" w:cstheme="minorHAnsi"/>
          <w:b/>
          <w:color w:val="000000" w:themeColor="text1"/>
        </w:rPr>
        <w:t xml:space="preserve"> osob</w:t>
      </w:r>
      <w:r w:rsidRPr="00FF2255">
        <w:rPr>
          <w:rFonts w:asciiTheme="minorHAnsi" w:hAnsiTheme="minorHAnsi" w:cstheme="minorHAnsi"/>
          <w:b/>
          <w:color w:val="000000" w:themeColor="text1"/>
        </w:rPr>
        <w:t>, což v procentuálním vyjádření bylo pouze 5,2 % (jednalo se o nejnižší r</w:t>
      </w:r>
      <w:r w:rsidR="00FF2255" w:rsidRPr="00FF2255">
        <w:rPr>
          <w:rFonts w:asciiTheme="minorHAnsi" w:hAnsiTheme="minorHAnsi" w:cstheme="minorHAnsi"/>
          <w:b/>
          <w:color w:val="000000" w:themeColor="text1"/>
        </w:rPr>
        <w:t>elativní pokles ze všech okresů v kraji). P</w:t>
      </w:r>
      <w:r w:rsidR="00484D74" w:rsidRPr="00FF2255">
        <w:rPr>
          <w:rFonts w:asciiTheme="minorHAnsi" w:hAnsiTheme="minorHAnsi" w:cstheme="minorHAnsi"/>
          <w:b/>
          <w:color w:val="000000" w:themeColor="text1"/>
        </w:rPr>
        <w:t>očet voln</w:t>
      </w:r>
      <w:r w:rsidR="00FF2255" w:rsidRPr="00FF2255">
        <w:rPr>
          <w:rFonts w:asciiTheme="minorHAnsi" w:hAnsiTheme="minorHAnsi" w:cstheme="minorHAnsi"/>
          <w:b/>
          <w:color w:val="000000" w:themeColor="text1"/>
        </w:rPr>
        <w:t>ých míst se ale zvýšil téměř na čtyřnásobek (z 212 na 808) a zároveň prudce klesl p</w:t>
      </w:r>
      <w:r w:rsidR="00D340A9" w:rsidRPr="00FF2255">
        <w:rPr>
          <w:rFonts w:asciiTheme="minorHAnsi" w:hAnsiTheme="minorHAnsi" w:cstheme="minorHAnsi"/>
          <w:b/>
          <w:color w:val="000000" w:themeColor="text1"/>
        </w:rPr>
        <w:t>o</w:t>
      </w:r>
      <w:r w:rsidR="00FF2255" w:rsidRPr="00FF2255">
        <w:rPr>
          <w:rFonts w:asciiTheme="minorHAnsi" w:hAnsiTheme="minorHAnsi" w:cstheme="minorHAnsi"/>
          <w:b/>
          <w:color w:val="000000" w:themeColor="text1"/>
        </w:rPr>
        <w:t>čet UoZ na 1 VM (z 46 na 11</w:t>
      </w:r>
      <w:r w:rsidR="00D340A9" w:rsidRPr="00FF2255">
        <w:rPr>
          <w:rFonts w:asciiTheme="minorHAnsi" w:hAnsiTheme="minorHAnsi" w:cstheme="minorHAnsi"/>
          <w:b/>
          <w:color w:val="000000" w:themeColor="text1"/>
        </w:rPr>
        <w:t>)</w:t>
      </w:r>
      <w:r w:rsidR="00484D74" w:rsidRPr="00FF2255">
        <w:rPr>
          <w:rFonts w:asciiTheme="minorHAnsi" w:hAnsiTheme="minorHAnsi" w:cstheme="minorHAnsi"/>
          <w:b/>
          <w:color w:val="000000" w:themeColor="text1"/>
        </w:rPr>
        <w:t>.</w:t>
      </w:r>
    </w:p>
    <w:p w:rsidR="00207B4D" w:rsidRPr="00007895" w:rsidRDefault="00207B4D" w:rsidP="00207B4D">
      <w:pPr>
        <w:ind w:firstLine="708"/>
        <w:jc w:val="both"/>
        <w:rPr>
          <w:rFonts w:asciiTheme="minorHAnsi" w:hAnsiTheme="minorHAnsi" w:cstheme="minorHAnsi"/>
          <w:color w:val="000000" w:themeColor="text1"/>
        </w:rPr>
      </w:pPr>
      <w:r w:rsidRPr="00007895">
        <w:rPr>
          <w:rFonts w:asciiTheme="minorHAnsi" w:hAnsiTheme="minorHAnsi" w:cstheme="minorHAnsi"/>
          <w:color w:val="000000" w:themeColor="text1"/>
        </w:rPr>
        <w:t>Okres</w:t>
      </w:r>
      <w:r w:rsidRPr="00007895">
        <w:rPr>
          <w:rFonts w:asciiTheme="minorHAnsi" w:hAnsiTheme="minorHAnsi" w:cstheme="minorHAnsi"/>
          <w:b/>
          <w:color w:val="000000" w:themeColor="text1"/>
        </w:rPr>
        <w:t xml:space="preserve"> Šumperk</w:t>
      </w:r>
      <w:r w:rsidRPr="00007895">
        <w:rPr>
          <w:rFonts w:asciiTheme="minorHAnsi" w:hAnsiTheme="minorHAnsi" w:cstheme="minorHAnsi"/>
          <w:color w:val="000000" w:themeColor="text1"/>
        </w:rPr>
        <w:t xml:space="preserve"> leží v dopravně odlehlejší části kraje</w:t>
      </w:r>
      <w:r w:rsidR="00007895" w:rsidRPr="00007895">
        <w:rPr>
          <w:rFonts w:asciiTheme="minorHAnsi" w:hAnsiTheme="minorHAnsi" w:cstheme="minorHAnsi"/>
          <w:color w:val="000000" w:themeColor="text1"/>
        </w:rPr>
        <w:t>, nezaměstnanost je z velké míry</w:t>
      </w:r>
      <w:r w:rsidRPr="00007895">
        <w:rPr>
          <w:rFonts w:asciiTheme="minorHAnsi" w:hAnsiTheme="minorHAnsi" w:cstheme="minorHAnsi"/>
          <w:color w:val="000000" w:themeColor="text1"/>
        </w:rPr>
        <w:t xml:space="preserve"> ovlivněna existencí špatně dostupných oblastí s minimem pracovních příležitostí. V tomto okrese se důsledky světové hospodářské krize projevily</w:t>
      </w:r>
      <w:r w:rsidR="00D340A9" w:rsidRPr="00007895">
        <w:rPr>
          <w:rFonts w:asciiTheme="minorHAnsi" w:hAnsiTheme="minorHAnsi" w:cstheme="minorHAnsi"/>
          <w:color w:val="000000" w:themeColor="text1"/>
        </w:rPr>
        <w:t xml:space="preserve"> v minulých letech</w:t>
      </w:r>
      <w:r w:rsidRPr="00007895">
        <w:rPr>
          <w:rFonts w:asciiTheme="minorHAnsi" w:hAnsiTheme="minorHAnsi" w:cstheme="minorHAnsi"/>
          <w:color w:val="000000" w:themeColor="text1"/>
        </w:rPr>
        <w:t xml:space="preserve"> s největší silou. Šumpersko bylo postiženo nejen masovým propouštěním u velkých zaměstnavatelů, ale i krachem významných podniků s dlouholetou tradicí, jejich</w:t>
      </w:r>
      <w:r w:rsidR="00D340A9" w:rsidRPr="00007895">
        <w:rPr>
          <w:rFonts w:asciiTheme="minorHAnsi" w:hAnsiTheme="minorHAnsi" w:cstheme="minorHAnsi"/>
          <w:color w:val="000000" w:themeColor="text1"/>
        </w:rPr>
        <w:t>ž případná obnova v budoucnu je </w:t>
      </w:r>
      <w:r w:rsidRPr="00007895">
        <w:rPr>
          <w:rFonts w:asciiTheme="minorHAnsi" w:hAnsiTheme="minorHAnsi" w:cstheme="minorHAnsi"/>
          <w:color w:val="000000" w:themeColor="text1"/>
        </w:rPr>
        <w:t xml:space="preserve">v mnoha případech nereálná. </w:t>
      </w:r>
    </w:p>
    <w:p w:rsidR="00484D74" w:rsidRPr="00007895" w:rsidRDefault="00D340A9" w:rsidP="00207B4D">
      <w:pPr>
        <w:ind w:firstLine="708"/>
        <w:jc w:val="both"/>
        <w:rPr>
          <w:rFonts w:asciiTheme="minorHAnsi" w:hAnsiTheme="minorHAnsi" w:cstheme="minorHAnsi"/>
          <w:color w:val="000000" w:themeColor="text1"/>
          <w:sz w:val="12"/>
          <w:szCs w:val="12"/>
        </w:rPr>
      </w:pPr>
      <w:r w:rsidRPr="00007895">
        <w:rPr>
          <w:rFonts w:asciiTheme="minorHAnsi" w:hAnsiTheme="minorHAnsi" w:cstheme="minorHAnsi"/>
          <w:b/>
          <w:color w:val="000000" w:themeColor="text1"/>
        </w:rPr>
        <w:t>P</w:t>
      </w:r>
      <w:r w:rsidR="00484D74" w:rsidRPr="00007895">
        <w:rPr>
          <w:rFonts w:asciiTheme="minorHAnsi" w:hAnsiTheme="minorHAnsi" w:cstheme="minorHAnsi"/>
          <w:b/>
          <w:color w:val="000000" w:themeColor="text1"/>
        </w:rPr>
        <w:t xml:space="preserve">očet nezaměstnaných </w:t>
      </w:r>
      <w:r w:rsidR="00007895" w:rsidRPr="00007895">
        <w:rPr>
          <w:rFonts w:asciiTheme="minorHAnsi" w:hAnsiTheme="minorHAnsi" w:cstheme="minorHAnsi"/>
          <w:b/>
          <w:color w:val="000000" w:themeColor="text1"/>
        </w:rPr>
        <w:t>meziročně klesl o 1 347</w:t>
      </w:r>
      <w:r w:rsidR="00484D74" w:rsidRPr="00007895">
        <w:rPr>
          <w:rFonts w:asciiTheme="minorHAnsi" w:hAnsiTheme="minorHAnsi" w:cstheme="minorHAnsi"/>
          <w:b/>
          <w:color w:val="000000" w:themeColor="text1"/>
        </w:rPr>
        <w:t xml:space="preserve"> osob (</w:t>
      </w:r>
      <w:r w:rsidR="00007895" w:rsidRPr="00007895">
        <w:rPr>
          <w:rFonts w:asciiTheme="minorHAnsi" w:hAnsiTheme="minorHAnsi" w:cstheme="minorHAnsi"/>
          <w:b/>
          <w:color w:val="000000" w:themeColor="text1"/>
        </w:rPr>
        <w:t>tj. o 15 %, což byl v rámci kraje největší pokles)</w:t>
      </w:r>
      <w:r w:rsidR="006B3676" w:rsidRPr="00007895">
        <w:rPr>
          <w:rFonts w:asciiTheme="minorHAnsi" w:hAnsiTheme="minorHAnsi" w:cstheme="minorHAnsi"/>
          <w:b/>
          <w:color w:val="000000" w:themeColor="text1"/>
        </w:rPr>
        <w:t xml:space="preserve">. Počet VM </w:t>
      </w:r>
      <w:r w:rsidR="00007895" w:rsidRPr="00007895">
        <w:rPr>
          <w:rFonts w:asciiTheme="minorHAnsi" w:hAnsiTheme="minorHAnsi" w:cstheme="minorHAnsi"/>
          <w:b/>
          <w:color w:val="000000" w:themeColor="text1"/>
        </w:rPr>
        <w:t>se zvýšil na 2,7 násobek z 218 na 580 míst</w:t>
      </w:r>
      <w:r w:rsidR="008544DB" w:rsidRPr="00007895">
        <w:rPr>
          <w:rFonts w:asciiTheme="minorHAnsi" w:hAnsiTheme="minorHAnsi" w:cstheme="minorHAnsi"/>
          <w:b/>
          <w:color w:val="000000" w:themeColor="text1"/>
        </w:rPr>
        <w:t>;</w:t>
      </w:r>
      <w:r w:rsidR="00007895" w:rsidRPr="00007895">
        <w:rPr>
          <w:rFonts w:asciiTheme="minorHAnsi" w:hAnsiTheme="minorHAnsi" w:cstheme="minorHAnsi"/>
          <w:b/>
          <w:color w:val="000000" w:themeColor="text1"/>
        </w:rPr>
        <w:t xml:space="preserve"> počet UOZ na 1 VM se snížil na méně než třetinu (z 41 na 13 osob)</w:t>
      </w:r>
      <w:r w:rsidR="006B3676" w:rsidRPr="00007895">
        <w:rPr>
          <w:rFonts w:asciiTheme="minorHAnsi" w:hAnsiTheme="minorHAnsi" w:cstheme="minorHAnsi"/>
          <w:b/>
          <w:color w:val="000000" w:themeColor="text1"/>
        </w:rPr>
        <w:t>.</w:t>
      </w:r>
      <w:r w:rsidR="00007895">
        <w:rPr>
          <w:rFonts w:asciiTheme="minorHAnsi" w:hAnsiTheme="minorHAnsi" w:cstheme="minorHAnsi"/>
          <w:b/>
          <w:color w:val="000000" w:themeColor="text1"/>
        </w:rPr>
        <w:t xml:space="preserve"> </w:t>
      </w:r>
      <w:r w:rsidR="00007895" w:rsidRPr="00007895">
        <w:rPr>
          <w:rFonts w:asciiTheme="minorHAnsi" w:hAnsiTheme="minorHAnsi" w:cstheme="minorHAnsi"/>
          <w:color w:val="000000" w:themeColor="text1"/>
        </w:rPr>
        <w:t>Ačkoliv se jedná o horský okres, hodnoty PNO se během roku těsně přiblížily k hodnotám v cen</w:t>
      </w:r>
      <w:r w:rsidR="009472A0">
        <w:rPr>
          <w:rFonts w:asciiTheme="minorHAnsi" w:hAnsiTheme="minorHAnsi" w:cstheme="minorHAnsi"/>
          <w:color w:val="000000" w:themeColor="text1"/>
        </w:rPr>
        <w:t>trálním okrese Olomouc (rozdíl byl i jen</w:t>
      </w:r>
      <w:r w:rsidR="00007895" w:rsidRPr="00007895">
        <w:rPr>
          <w:rFonts w:asciiTheme="minorHAnsi" w:hAnsiTheme="minorHAnsi" w:cstheme="minorHAnsi"/>
          <w:color w:val="000000" w:themeColor="text1"/>
        </w:rPr>
        <w:t xml:space="preserve"> 0,1 p.</w:t>
      </w:r>
      <w:r w:rsidR="009472A0">
        <w:rPr>
          <w:rFonts w:asciiTheme="minorHAnsi" w:hAnsiTheme="minorHAnsi" w:cstheme="minorHAnsi"/>
          <w:color w:val="000000" w:themeColor="text1"/>
        </w:rPr>
        <w:t xml:space="preserve"> </w:t>
      </w:r>
      <w:r w:rsidR="00007895" w:rsidRPr="00007895">
        <w:rPr>
          <w:rFonts w:asciiTheme="minorHAnsi" w:hAnsiTheme="minorHAnsi" w:cstheme="minorHAnsi"/>
          <w:color w:val="000000" w:themeColor="text1"/>
        </w:rPr>
        <w:t>b.).</w:t>
      </w:r>
    </w:p>
    <w:p w:rsidR="00207B4D" w:rsidRPr="009472A0" w:rsidRDefault="00207B4D" w:rsidP="00207B4D">
      <w:pPr>
        <w:adjustRightInd w:val="0"/>
        <w:ind w:firstLine="720"/>
        <w:jc w:val="both"/>
        <w:rPr>
          <w:rFonts w:asciiTheme="minorHAnsi" w:hAnsiTheme="minorHAnsi" w:cstheme="minorHAnsi"/>
          <w:color w:val="000000" w:themeColor="text1"/>
        </w:rPr>
      </w:pPr>
      <w:r w:rsidRPr="009472A0">
        <w:rPr>
          <w:rFonts w:asciiTheme="minorHAnsi" w:hAnsiTheme="minorHAnsi" w:cstheme="minorHAnsi"/>
          <w:b/>
          <w:color w:val="000000" w:themeColor="text1"/>
        </w:rPr>
        <w:t xml:space="preserve">Meziročně </w:t>
      </w:r>
      <w:r w:rsidR="009472A0" w:rsidRPr="009472A0">
        <w:rPr>
          <w:rFonts w:asciiTheme="minorHAnsi" w:hAnsiTheme="minorHAnsi" w:cstheme="minorHAnsi"/>
          <w:b/>
          <w:color w:val="000000" w:themeColor="text1"/>
        </w:rPr>
        <w:t xml:space="preserve">tedy klesl </w:t>
      </w:r>
      <w:r w:rsidR="006B3676" w:rsidRPr="009472A0">
        <w:rPr>
          <w:rFonts w:asciiTheme="minorHAnsi" w:hAnsiTheme="minorHAnsi" w:cstheme="minorHAnsi"/>
          <w:b/>
          <w:color w:val="000000" w:themeColor="text1"/>
        </w:rPr>
        <w:t>počet uchazečů v</w:t>
      </w:r>
      <w:r w:rsidR="008544DB" w:rsidRPr="009472A0">
        <w:rPr>
          <w:rFonts w:asciiTheme="minorHAnsi" w:hAnsiTheme="minorHAnsi" w:cstheme="minorHAnsi"/>
          <w:b/>
          <w:color w:val="000000" w:themeColor="text1"/>
        </w:rPr>
        <w:t>e všech okresech kraje – nejvíce v </w:t>
      </w:r>
      <w:r w:rsidR="006B3676" w:rsidRPr="009472A0">
        <w:rPr>
          <w:rFonts w:asciiTheme="minorHAnsi" w:hAnsiTheme="minorHAnsi" w:cstheme="minorHAnsi"/>
          <w:b/>
          <w:color w:val="000000" w:themeColor="text1"/>
        </w:rPr>
        <w:t>okresech</w:t>
      </w:r>
      <w:r w:rsidR="009472A0" w:rsidRPr="009472A0">
        <w:rPr>
          <w:rFonts w:asciiTheme="minorHAnsi" w:hAnsiTheme="minorHAnsi" w:cstheme="minorHAnsi"/>
          <w:b/>
          <w:color w:val="000000" w:themeColor="text1"/>
        </w:rPr>
        <w:t xml:space="preserve"> Šumperk a Prostějov (o 15 %), naopak nejméně v okrese Přerov</w:t>
      </w:r>
      <w:r w:rsidR="008544DB" w:rsidRPr="009472A0">
        <w:rPr>
          <w:rFonts w:asciiTheme="minorHAnsi" w:hAnsiTheme="minorHAnsi" w:cstheme="minorHAnsi"/>
          <w:b/>
          <w:color w:val="000000" w:themeColor="text1"/>
        </w:rPr>
        <w:t xml:space="preserve"> (o</w:t>
      </w:r>
      <w:r w:rsidR="009472A0" w:rsidRPr="009472A0">
        <w:rPr>
          <w:rFonts w:asciiTheme="minorHAnsi" w:hAnsiTheme="minorHAnsi" w:cstheme="minorHAnsi"/>
          <w:b/>
          <w:color w:val="000000" w:themeColor="text1"/>
        </w:rPr>
        <w:t xml:space="preserve"> 5</w:t>
      </w:r>
      <w:r w:rsidR="008544DB" w:rsidRPr="009472A0">
        <w:rPr>
          <w:rFonts w:asciiTheme="minorHAnsi" w:hAnsiTheme="minorHAnsi" w:cstheme="minorHAnsi"/>
          <w:b/>
          <w:color w:val="000000" w:themeColor="text1"/>
        </w:rPr>
        <w:t xml:space="preserve"> %)</w:t>
      </w:r>
      <w:r w:rsidR="009472A0" w:rsidRPr="009472A0">
        <w:rPr>
          <w:rFonts w:asciiTheme="minorHAnsi" w:hAnsiTheme="minorHAnsi" w:cstheme="minorHAnsi"/>
          <w:b/>
          <w:color w:val="000000" w:themeColor="text1"/>
        </w:rPr>
        <w:t>.</w:t>
      </w:r>
    </w:p>
    <w:p w:rsidR="00207B4D" w:rsidRPr="009472A0" w:rsidRDefault="00207B4D" w:rsidP="00207B4D">
      <w:pPr>
        <w:pStyle w:val="Zkladntext"/>
        <w:spacing w:line="240" w:lineRule="atLeast"/>
        <w:ind w:firstLine="708"/>
        <w:jc w:val="both"/>
        <w:rPr>
          <w:rFonts w:asciiTheme="minorHAnsi" w:hAnsiTheme="minorHAnsi" w:cstheme="minorHAnsi"/>
          <w:b w:val="0"/>
          <w:color w:val="000000" w:themeColor="text1"/>
          <w:sz w:val="24"/>
        </w:rPr>
      </w:pPr>
      <w:r w:rsidRPr="009472A0">
        <w:rPr>
          <w:rFonts w:asciiTheme="minorHAnsi" w:hAnsiTheme="minorHAnsi" w:cstheme="minorHAnsi"/>
          <w:b w:val="0"/>
          <w:color w:val="000000" w:themeColor="text1"/>
          <w:sz w:val="24"/>
        </w:rPr>
        <w:t>Grafy porovnávající vývoj nezaměstnanosti mezi okresy Olomou</w:t>
      </w:r>
      <w:r w:rsidR="006B3676" w:rsidRPr="009472A0">
        <w:rPr>
          <w:rFonts w:asciiTheme="minorHAnsi" w:hAnsiTheme="minorHAnsi" w:cstheme="minorHAnsi"/>
          <w:b w:val="0"/>
          <w:color w:val="000000" w:themeColor="text1"/>
          <w:sz w:val="24"/>
        </w:rPr>
        <w:t>ckého kraje navzájem najdete v P</w:t>
      </w:r>
      <w:r w:rsidRPr="009472A0">
        <w:rPr>
          <w:rFonts w:asciiTheme="minorHAnsi" w:hAnsiTheme="minorHAnsi" w:cstheme="minorHAnsi"/>
          <w:b w:val="0"/>
          <w:color w:val="000000" w:themeColor="text1"/>
          <w:sz w:val="24"/>
        </w:rPr>
        <w:t>říloze č. 3.</w:t>
      </w:r>
    </w:p>
    <w:p w:rsidR="00E56C4F" w:rsidRPr="008544DB" w:rsidRDefault="00E56C4F" w:rsidP="00F21AA5">
      <w:pPr>
        <w:pStyle w:val="Zkladntextodsazen3"/>
        <w:rPr>
          <w:rFonts w:asciiTheme="minorHAnsi" w:hAnsiTheme="minorHAnsi" w:cstheme="minorHAnsi"/>
          <w:color w:val="FF0000"/>
          <w:szCs w:val="24"/>
        </w:rPr>
      </w:pPr>
    </w:p>
    <w:p w:rsidR="006B3676" w:rsidRPr="00002B63" w:rsidRDefault="006B3676"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002B63" w:rsidRDefault="003D37EB" w:rsidP="00F21AA5">
      <w:pPr>
        <w:pStyle w:val="Zkladntextodsazen3"/>
        <w:rPr>
          <w:rFonts w:asciiTheme="minorHAnsi" w:hAnsiTheme="minorHAnsi" w:cstheme="minorHAnsi"/>
          <w:color w:val="FF0000"/>
          <w:szCs w:val="24"/>
        </w:rPr>
      </w:pPr>
    </w:p>
    <w:p w:rsidR="003D37EB" w:rsidRPr="00FF45C7" w:rsidRDefault="003D37EB" w:rsidP="003D37EB">
      <w:pPr>
        <w:pStyle w:val="Zkladntext3"/>
        <w:jc w:val="both"/>
        <w:rPr>
          <w:rFonts w:asciiTheme="minorHAnsi" w:hAnsiTheme="minorHAnsi" w:cstheme="minorHAnsi"/>
          <w:b/>
          <w:i w:val="0"/>
          <w:color w:val="FF0000"/>
          <w:sz w:val="28"/>
        </w:rPr>
      </w:pPr>
      <w:bookmarkStart w:id="46" w:name="_III.4_Vybrané_skupiny_uchazečů_o_za"/>
      <w:bookmarkStart w:id="47" w:name="_III.4.1_Absolventi_škol_a_mladiství"/>
      <w:bookmarkEnd w:id="46"/>
      <w:bookmarkEnd w:id="47"/>
      <w:r w:rsidRPr="00FF45C7">
        <w:rPr>
          <w:rFonts w:asciiTheme="minorHAnsi" w:hAnsiTheme="minorHAnsi" w:cstheme="minorHAnsi"/>
          <w:b/>
          <w:i w:val="0"/>
          <w:caps/>
          <w:color w:val="FF0000"/>
          <w:sz w:val="28"/>
        </w:rPr>
        <w:lastRenderedPageBreak/>
        <w:t>3.</w:t>
      </w:r>
      <w:r w:rsidRPr="00FF45C7">
        <w:rPr>
          <w:rFonts w:asciiTheme="minorHAnsi" w:hAnsiTheme="minorHAnsi" w:cstheme="minorHAnsi"/>
          <w:b/>
          <w:i w:val="0"/>
          <w:caps/>
          <w:color w:val="FF0000"/>
          <w:sz w:val="28"/>
        </w:rPr>
        <w:tab/>
        <w:t xml:space="preserve"> problémové skupiny a regiony v olomouckém kraji</w:t>
      </w:r>
      <w:r w:rsidRPr="00FF45C7">
        <w:rPr>
          <w:rFonts w:asciiTheme="minorHAnsi" w:hAnsiTheme="minorHAnsi" w:cstheme="minorHAnsi"/>
          <w:b/>
          <w:i w:val="0"/>
          <w:color w:val="FF0000"/>
          <w:sz w:val="28"/>
        </w:rPr>
        <w:t xml:space="preserve"> </w:t>
      </w:r>
    </w:p>
    <w:p w:rsidR="003D37EB" w:rsidRPr="00002B63" w:rsidRDefault="003D37EB" w:rsidP="003D37EB">
      <w:pPr>
        <w:pStyle w:val="Zkladntext3"/>
        <w:jc w:val="both"/>
        <w:rPr>
          <w:rFonts w:asciiTheme="minorHAnsi" w:hAnsiTheme="minorHAnsi" w:cstheme="minorHAnsi"/>
          <w:b/>
          <w:i w:val="0"/>
          <w:color w:val="000000"/>
          <w:sz w:val="28"/>
        </w:rPr>
      </w:pPr>
    </w:p>
    <w:p w:rsidR="00987584" w:rsidRPr="002416F7" w:rsidRDefault="003D37EB" w:rsidP="00987584">
      <w:pPr>
        <w:pStyle w:val="Nadpis6"/>
        <w:spacing w:line="360" w:lineRule="auto"/>
        <w:jc w:val="both"/>
        <w:rPr>
          <w:rFonts w:asciiTheme="minorHAnsi" w:hAnsiTheme="minorHAnsi" w:cstheme="minorHAnsi"/>
          <w:i w:val="0"/>
          <w:color w:val="0000FF"/>
        </w:rPr>
      </w:pPr>
      <w:r w:rsidRPr="002416F7">
        <w:rPr>
          <w:rFonts w:asciiTheme="minorHAnsi" w:hAnsiTheme="minorHAnsi" w:cstheme="minorHAnsi"/>
          <w:i w:val="0"/>
          <w:color w:val="0000FF"/>
        </w:rPr>
        <w:t>3.1</w:t>
      </w:r>
      <w:r w:rsidR="00207B4D" w:rsidRPr="002416F7">
        <w:rPr>
          <w:rFonts w:asciiTheme="minorHAnsi" w:hAnsiTheme="minorHAnsi" w:cstheme="minorHAnsi"/>
          <w:i w:val="0"/>
          <w:color w:val="0000FF"/>
        </w:rPr>
        <w:t xml:space="preserve"> Problémové skupiny na trhu práce v Olomouckém kraji</w:t>
      </w:r>
    </w:p>
    <w:p w:rsidR="00AB534A" w:rsidRPr="00002B63" w:rsidRDefault="00AB534A" w:rsidP="00107CAE">
      <w:pPr>
        <w:tabs>
          <w:tab w:val="right" w:pos="9072"/>
        </w:tabs>
        <w:jc w:val="both"/>
        <w:rPr>
          <w:rFonts w:asciiTheme="minorHAnsi" w:hAnsiTheme="minorHAnsi" w:cstheme="minorHAnsi"/>
        </w:rPr>
      </w:pPr>
      <w:r w:rsidRPr="00002B63">
        <w:rPr>
          <w:rFonts w:asciiTheme="minorHAnsi" w:hAnsiTheme="minorHAnsi" w:cstheme="minorHAnsi"/>
          <w:b/>
        </w:rPr>
        <w:t xml:space="preserve">Tabulka </w:t>
      </w:r>
      <w:r w:rsidR="00AE638C" w:rsidRPr="00002B63">
        <w:rPr>
          <w:rFonts w:asciiTheme="minorHAnsi" w:hAnsiTheme="minorHAnsi" w:cstheme="minorHAnsi"/>
          <w:b/>
        </w:rPr>
        <w:t>8</w:t>
      </w:r>
      <w:r w:rsidRPr="00002B63">
        <w:rPr>
          <w:rFonts w:asciiTheme="minorHAnsi" w:hAnsiTheme="minorHAnsi" w:cstheme="minorHAnsi"/>
        </w:rPr>
        <w:t xml:space="preserve"> - Vývoj počtu evidovaných absolventů škol a </w:t>
      </w:r>
      <w:r w:rsidR="006B3676" w:rsidRPr="00002B63">
        <w:rPr>
          <w:rFonts w:asciiTheme="minorHAnsi" w:hAnsiTheme="minorHAnsi" w:cstheme="minorHAnsi"/>
        </w:rPr>
        <w:t xml:space="preserve">mladistvých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1445"/>
        <w:gridCol w:w="1445"/>
        <w:gridCol w:w="1445"/>
        <w:gridCol w:w="1445"/>
      </w:tblGrid>
      <w:tr w:rsidR="00987584" w:rsidRPr="00002B63">
        <w:trPr>
          <w:cantSplit/>
          <w:trHeight w:val="50"/>
        </w:trPr>
        <w:tc>
          <w:tcPr>
            <w:tcW w:w="3580" w:type="dxa"/>
            <w:vMerge w:val="restart"/>
            <w:tcBorders>
              <w:top w:val="double" w:sz="4" w:space="0" w:color="auto"/>
              <w:left w:val="double" w:sz="4" w:space="0" w:color="auto"/>
              <w:bottom w:val="nil"/>
              <w:right w:val="single" w:sz="12" w:space="0" w:color="auto"/>
            </w:tcBorders>
            <w:shd w:val="clear" w:color="auto" w:fill="CCFFFF"/>
            <w:vAlign w:val="center"/>
          </w:tcPr>
          <w:p w:rsidR="00987584" w:rsidRPr="00002B63" w:rsidRDefault="006B3676" w:rsidP="00B7702F">
            <w:pPr>
              <w:rPr>
                <w:rFonts w:asciiTheme="minorHAnsi" w:hAnsiTheme="minorHAnsi" w:cstheme="minorHAnsi"/>
                <w:b/>
                <w:color w:val="000000" w:themeColor="text1"/>
              </w:rPr>
            </w:pPr>
            <w:r w:rsidRPr="00002B63">
              <w:rPr>
                <w:rFonts w:asciiTheme="minorHAnsi" w:hAnsiTheme="minorHAnsi" w:cstheme="minorHAnsi"/>
                <w:b/>
                <w:color w:val="000000" w:themeColor="text1"/>
              </w:rPr>
              <w:t>Kategorie UoZ</w:t>
            </w:r>
          </w:p>
        </w:tc>
        <w:tc>
          <w:tcPr>
            <w:tcW w:w="2890" w:type="dxa"/>
            <w:gridSpan w:val="2"/>
            <w:tcBorders>
              <w:top w:val="double" w:sz="4" w:space="0" w:color="auto"/>
              <w:bottom w:val="single" w:sz="4" w:space="0" w:color="000000"/>
              <w:right w:val="single" w:sz="18" w:space="0" w:color="auto"/>
            </w:tcBorders>
            <w:shd w:val="clear" w:color="auto" w:fill="CCFFFF"/>
          </w:tcPr>
          <w:p w:rsidR="00987584" w:rsidRPr="00002B63" w:rsidRDefault="006B3676" w:rsidP="006B3676">
            <w:pPr>
              <w:jc w:val="center"/>
              <w:rPr>
                <w:rFonts w:asciiTheme="minorHAnsi" w:hAnsiTheme="minorHAnsi" w:cstheme="minorHAnsi"/>
                <w:b/>
                <w:color w:val="000000" w:themeColor="text1"/>
              </w:rPr>
            </w:pPr>
            <w:r w:rsidRPr="00002B63">
              <w:rPr>
                <w:rFonts w:asciiTheme="minorHAnsi" w:hAnsiTheme="minorHAnsi" w:cstheme="minorHAnsi"/>
                <w:b/>
                <w:color w:val="000000" w:themeColor="text1"/>
              </w:rPr>
              <w:t>c</w:t>
            </w:r>
            <w:r w:rsidR="00987584" w:rsidRPr="00002B63">
              <w:rPr>
                <w:rFonts w:asciiTheme="minorHAnsi" w:hAnsiTheme="minorHAnsi" w:cstheme="minorHAnsi"/>
                <w:b/>
                <w:color w:val="000000" w:themeColor="text1"/>
              </w:rPr>
              <w:t>elkem</w:t>
            </w:r>
          </w:p>
        </w:tc>
        <w:tc>
          <w:tcPr>
            <w:tcW w:w="2890" w:type="dxa"/>
            <w:gridSpan w:val="2"/>
            <w:tcBorders>
              <w:top w:val="double" w:sz="4" w:space="0" w:color="auto"/>
              <w:left w:val="single" w:sz="18" w:space="0" w:color="auto"/>
              <w:bottom w:val="single" w:sz="4" w:space="0" w:color="000000"/>
              <w:right w:val="double" w:sz="4" w:space="0" w:color="auto"/>
            </w:tcBorders>
            <w:shd w:val="clear" w:color="auto" w:fill="CCFFFF"/>
          </w:tcPr>
          <w:p w:rsidR="00987584" w:rsidRPr="00002B63" w:rsidRDefault="00987584" w:rsidP="006B3676">
            <w:pPr>
              <w:jc w:val="center"/>
              <w:rPr>
                <w:rFonts w:asciiTheme="minorHAnsi" w:hAnsiTheme="minorHAnsi" w:cstheme="minorHAnsi"/>
                <w:b/>
                <w:color w:val="000000" w:themeColor="text1"/>
              </w:rPr>
            </w:pPr>
            <w:r w:rsidRPr="00002B63">
              <w:rPr>
                <w:rFonts w:asciiTheme="minorHAnsi" w:hAnsiTheme="minorHAnsi" w:cstheme="minorHAnsi"/>
                <w:b/>
                <w:color w:val="000000" w:themeColor="text1"/>
              </w:rPr>
              <w:t>ženy</w:t>
            </w:r>
          </w:p>
        </w:tc>
      </w:tr>
      <w:tr w:rsidR="00CF3B8F" w:rsidRPr="00002B63" w:rsidTr="006D7A07">
        <w:trPr>
          <w:cantSplit/>
        </w:trPr>
        <w:tc>
          <w:tcPr>
            <w:tcW w:w="3580" w:type="dxa"/>
            <w:vMerge/>
            <w:tcBorders>
              <w:top w:val="nil"/>
              <w:left w:val="double" w:sz="4" w:space="0" w:color="auto"/>
              <w:bottom w:val="double" w:sz="4" w:space="0" w:color="auto"/>
              <w:right w:val="single" w:sz="12" w:space="0" w:color="auto"/>
            </w:tcBorders>
            <w:shd w:val="clear" w:color="auto" w:fill="CCFFFF"/>
            <w:vAlign w:val="center"/>
          </w:tcPr>
          <w:p w:rsidR="00CF3B8F" w:rsidRPr="00002B63" w:rsidRDefault="00CF3B8F" w:rsidP="00987584">
            <w:pPr>
              <w:jc w:val="both"/>
              <w:rPr>
                <w:rFonts w:asciiTheme="minorHAnsi" w:hAnsiTheme="minorHAnsi" w:cstheme="minorHAnsi"/>
                <w:color w:val="000000" w:themeColor="text1"/>
              </w:rPr>
            </w:pPr>
          </w:p>
        </w:tc>
        <w:tc>
          <w:tcPr>
            <w:tcW w:w="1445" w:type="dxa"/>
            <w:tcBorders>
              <w:top w:val="single" w:sz="4" w:space="0" w:color="000000"/>
              <w:bottom w:val="double" w:sz="4" w:space="0" w:color="auto"/>
            </w:tcBorders>
            <w:shd w:val="clear" w:color="auto" w:fill="CCFFFF"/>
            <w:vAlign w:val="center"/>
          </w:tcPr>
          <w:p w:rsidR="00CF3B8F" w:rsidRPr="00002B63" w:rsidRDefault="00CF3B8F"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31. 12. 201</w:t>
            </w:r>
            <w:r w:rsidR="00CB53FC">
              <w:rPr>
                <w:rFonts w:asciiTheme="minorHAnsi" w:hAnsiTheme="minorHAnsi" w:cstheme="minorHAnsi"/>
                <w:b/>
                <w:color w:val="000000" w:themeColor="text1"/>
              </w:rPr>
              <w:t>3</w:t>
            </w:r>
          </w:p>
        </w:tc>
        <w:tc>
          <w:tcPr>
            <w:tcW w:w="1445" w:type="dxa"/>
            <w:tcBorders>
              <w:top w:val="single" w:sz="4" w:space="0" w:color="000000"/>
              <w:bottom w:val="double" w:sz="4" w:space="0" w:color="auto"/>
              <w:right w:val="single" w:sz="18" w:space="0" w:color="auto"/>
            </w:tcBorders>
            <w:shd w:val="clear" w:color="auto" w:fill="CCFFFF"/>
          </w:tcPr>
          <w:p w:rsidR="00CF3B8F" w:rsidRPr="00002B63" w:rsidRDefault="00CF3B8F"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31. 12. 201</w:t>
            </w:r>
            <w:r w:rsidR="00CB53FC">
              <w:rPr>
                <w:rFonts w:asciiTheme="minorHAnsi" w:hAnsiTheme="minorHAnsi" w:cstheme="minorHAnsi"/>
                <w:b/>
                <w:color w:val="000000" w:themeColor="text1"/>
              </w:rPr>
              <w:t>4</w:t>
            </w:r>
          </w:p>
        </w:tc>
        <w:tc>
          <w:tcPr>
            <w:tcW w:w="1445" w:type="dxa"/>
            <w:tcBorders>
              <w:top w:val="single" w:sz="4" w:space="0" w:color="000000"/>
              <w:left w:val="single" w:sz="18" w:space="0" w:color="auto"/>
              <w:bottom w:val="double" w:sz="4" w:space="0" w:color="auto"/>
            </w:tcBorders>
            <w:shd w:val="clear" w:color="auto" w:fill="CCFFFF"/>
            <w:vAlign w:val="center"/>
          </w:tcPr>
          <w:p w:rsidR="00CF3B8F" w:rsidRPr="00002B63" w:rsidRDefault="00CF3B8F"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31. 12. 201</w:t>
            </w:r>
            <w:r w:rsidR="00CB53FC">
              <w:rPr>
                <w:rFonts w:asciiTheme="minorHAnsi" w:hAnsiTheme="minorHAnsi" w:cstheme="minorHAnsi"/>
                <w:b/>
                <w:color w:val="000000" w:themeColor="text1"/>
              </w:rPr>
              <w:t>3</w:t>
            </w:r>
          </w:p>
        </w:tc>
        <w:tc>
          <w:tcPr>
            <w:tcW w:w="1445" w:type="dxa"/>
            <w:tcBorders>
              <w:top w:val="single" w:sz="4" w:space="0" w:color="000000"/>
              <w:bottom w:val="double" w:sz="4" w:space="0" w:color="auto"/>
              <w:right w:val="double" w:sz="4" w:space="0" w:color="auto"/>
            </w:tcBorders>
            <w:shd w:val="clear" w:color="auto" w:fill="CCFFFF"/>
          </w:tcPr>
          <w:p w:rsidR="00CF3B8F" w:rsidRPr="00002B63" w:rsidRDefault="00CF3B8F"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31. 12. 201</w:t>
            </w:r>
            <w:r w:rsidR="00CB53FC">
              <w:rPr>
                <w:rFonts w:asciiTheme="minorHAnsi" w:hAnsiTheme="minorHAnsi" w:cstheme="minorHAnsi"/>
                <w:b/>
                <w:color w:val="000000" w:themeColor="text1"/>
              </w:rPr>
              <w:t>4</w:t>
            </w:r>
          </w:p>
        </w:tc>
      </w:tr>
      <w:tr w:rsidR="00CB53FC" w:rsidRPr="00002B63">
        <w:tc>
          <w:tcPr>
            <w:tcW w:w="3580" w:type="dxa"/>
            <w:tcBorders>
              <w:top w:val="double" w:sz="4" w:space="0" w:color="auto"/>
              <w:left w:val="double" w:sz="4" w:space="0" w:color="auto"/>
              <w:bottom w:val="single" w:sz="4" w:space="0" w:color="auto"/>
              <w:right w:val="single" w:sz="12" w:space="0" w:color="auto"/>
            </w:tcBorders>
            <w:shd w:val="clear" w:color="auto" w:fill="CCFFFF"/>
            <w:vAlign w:val="center"/>
          </w:tcPr>
          <w:p w:rsidR="00CB53FC" w:rsidRPr="00002B63" w:rsidRDefault="00CB53FC" w:rsidP="00987584">
            <w:pPr>
              <w:rPr>
                <w:rFonts w:asciiTheme="minorHAnsi" w:hAnsiTheme="minorHAnsi" w:cstheme="minorHAnsi"/>
                <w:color w:val="000000" w:themeColor="text1"/>
              </w:rPr>
            </w:pPr>
            <w:r w:rsidRPr="00002B63">
              <w:rPr>
                <w:rFonts w:asciiTheme="minorHAnsi" w:hAnsiTheme="minorHAnsi" w:cstheme="minorHAnsi"/>
                <w:color w:val="000000" w:themeColor="text1"/>
              </w:rPr>
              <w:t xml:space="preserve"> absolventi</w:t>
            </w:r>
          </w:p>
        </w:tc>
        <w:tc>
          <w:tcPr>
            <w:tcW w:w="1445" w:type="dxa"/>
            <w:tcBorders>
              <w:top w:val="double" w:sz="4" w:space="0" w:color="auto"/>
              <w:left w:val="nil"/>
              <w:bottom w:val="single" w:sz="4" w:space="0" w:color="auto"/>
            </w:tcBorders>
          </w:tcPr>
          <w:p w:rsidR="00CB53FC" w:rsidRPr="00CB53FC" w:rsidRDefault="00CB53FC" w:rsidP="00CB53FC">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2 988</w:t>
            </w:r>
          </w:p>
        </w:tc>
        <w:tc>
          <w:tcPr>
            <w:tcW w:w="1445" w:type="dxa"/>
            <w:tcBorders>
              <w:top w:val="double" w:sz="4" w:space="0" w:color="auto"/>
              <w:bottom w:val="single" w:sz="4" w:space="0" w:color="auto"/>
              <w:right w:val="single" w:sz="18" w:space="0" w:color="auto"/>
            </w:tcBorders>
          </w:tcPr>
          <w:p w:rsidR="00CB53FC" w:rsidRPr="00FB2587" w:rsidRDefault="00E2633A"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1 869</w:t>
            </w:r>
          </w:p>
        </w:tc>
        <w:tc>
          <w:tcPr>
            <w:tcW w:w="1445" w:type="dxa"/>
            <w:tcBorders>
              <w:top w:val="double" w:sz="4" w:space="0" w:color="auto"/>
              <w:left w:val="single" w:sz="18" w:space="0" w:color="auto"/>
              <w:bottom w:val="single" w:sz="4" w:space="0" w:color="auto"/>
            </w:tcBorders>
          </w:tcPr>
          <w:p w:rsidR="00CB53FC" w:rsidRPr="00CB53FC" w:rsidRDefault="00CB53FC" w:rsidP="00CB53FC">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1 562</w:t>
            </w:r>
          </w:p>
        </w:tc>
        <w:tc>
          <w:tcPr>
            <w:tcW w:w="1445" w:type="dxa"/>
            <w:tcBorders>
              <w:top w:val="double" w:sz="4" w:space="0" w:color="auto"/>
              <w:bottom w:val="single" w:sz="4" w:space="0" w:color="auto"/>
              <w:right w:val="double" w:sz="4" w:space="0" w:color="auto"/>
            </w:tcBorders>
          </w:tcPr>
          <w:p w:rsidR="00CB53FC" w:rsidRPr="00002B63" w:rsidRDefault="00E2633A"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1 006</w:t>
            </w:r>
          </w:p>
        </w:tc>
      </w:tr>
      <w:tr w:rsidR="00CB53FC" w:rsidRPr="00002B63">
        <w:tc>
          <w:tcPr>
            <w:tcW w:w="3580" w:type="dxa"/>
            <w:tcBorders>
              <w:top w:val="single" w:sz="4" w:space="0" w:color="auto"/>
              <w:left w:val="double" w:sz="4" w:space="0" w:color="auto"/>
              <w:bottom w:val="single" w:sz="4" w:space="0" w:color="auto"/>
              <w:right w:val="single" w:sz="12" w:space="0" w:color="auto"/>
            </w:tcBorders>
            <w:shd w:val="clear" w:color="auto" w:fill="CCFFFF"/>
          </w:tcPr>
          <w:p w:rsidR="00CB53FC" w:rsidRPr="00002B63" w:rsidRDefault="00CB53FC" w:rsidP="00987584">
            <w:pPr>
              <w:jc w:val="both"/>
              <w:rPr>
                <w:rFonts w:asciiTheme="minorHAnsi" w:hAnsiTheme="minorHAnsi" w:cstheme="minorHAnsi"/>
                <w:color w:val="000000" w:themeColor="text1"/>
              </w:rPr>
            </w:pPr>
            <w:r w:rsidRPr="00002B63">
              <w:rPr>
                <w:rFonts w:asciiTheme="minorHAnsi" w:hAnsiTheme="minorHAnsi" w:cstheme="minorHAnsi"/>
                <w:color w:val="000000" w:themeColor="text1"/>
              </w:rPr>
              <w:t xml:space="preserve"> mladiství</w:t>
            </w:r>
          </w:p>
        </w:tc>
        <w:tc>
          <w:tcPr>
            <w:tcW w:w="1445" w:type="dxa"/>
            <w:tcBorders>
              <w:top w:val="single" w:sz="4" w:space="0" w:color="auto"/>
              <w:left w:val="nil"/>
              <w:bottom w:val="single" w:sz="4" w:space="0" w:color="auto"/>
            </w:tcBorders>
          </w:tcPr>
          <w:p w:rsidR="00CB53FC" w:rsidRPr="00CB53FC" w:rsidRDefault="00CB53FC" w:rsidP="00CB53FC">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230</w:t>
            </w:r>
          </w:p>
        </w:tc>
        <w:tc>
          <w:tcPr>
            <w:tcW w:w="1445" w:type="dxa"/>
            <w:tcBorders>
              <w:top w:val="single" w:sz="4" w:space="0" w:color="auto"/>
              <w:bottom w:val="single" w:sz="4" w:space="0" w:color="auto"/>
              <w:right w:val="single" w:sz="18" w:space="0" w:color="auto"/>
            </w:tcBorders>
          </w:tcPr>
          <w:p w:rsidR="00CB53FC" w:rsidRPr="00FB2587" w:rsidRDefault="00E2633A"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235</w:t>
            </w:r>
          </w:p>
        </w:tc>
        <w:tc>
          <w:tcPr>
            <w:tcW w:w="1445" w:type="dxa"/>
            <w:tcBorders>
              <w:top w:val="single" w:sz="4" w:space="0" w:color="auto"/>
              <w:left w:val="single" w:sz="18" w:space="0" w:color="auto"/>
              <w:bottom w:val="single" w:sz="4" w:space="0" w:color="auto"/>
            </w:tcBorders>
          </w:tcPr>
          <w:p w:rsidR="00CB53FC" w:rsidRPr="00CB53FC" w:rsidRDefault="00CB53FC" w:rsidP="00CB53FC">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106</w:t>
            </w:r>
          </w:p>
        </w:tc>
        <w:tc>
          <w:tcPr>
            <w:tcW w:w="1445" w:type="dxa"/>
            <w:tcBorders>
              <w:top w:val="single" w:sz="4" w:space="0" w:color="auto"/>
              <w:bottom w:val="single" w:sz="4" w:space="0" w:color="auto"/>
              <w:right w:val="double" w:sz="4" w:space="0" w:color="auto"/>
            </w:tcBorders>
          </w:tcPr>
          <w:p w:rsidR="00CB53FC" w:rsidRPr="00002B63" w:rsidRDefault="00E2633A"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107</w:t>
            </w:r>
          </w:p>
        </w:tc>
      </w:tr>
      <w:tr w:rsidR="00CB53FC" w:rsidRPr="00002B63" w:rsidTr="00931066">
        <w:tc>
          <w:tcPr>
            <w:tcW w:w="3580" w:type="dxa"/>
            <w:tcBorders>
              <w:top w:val="single" w:sz="12" w:space="0" w:color="auto"/>
              <w:left w:val="double" w:sz="4" w:space="0" w:color="auto"/>
              <w:bottom w:val="double" w:sz="4" w:space="0" w:color="auto"/>
              <w:right w:val="single" w:sz="12" w:space="0" w:color="auto"/>
            </w:tcBorders>
            <w:shd w:val="clear" w:color="auto" w:fill="CCFFFF"/>
          </w:tcPr>
          <w:p w:rsidR="00CB53FC" w:rsidRPr="00002B63" w:rsidRDefault="00CB53FC" w:rsidP="00987584">
            <w:pPr>
              <w:jc w:val="both"/>
              <w:rPr>
                <w:rFonts w:asciiTheme="minorHAnsi" w:hAnsiTheme="minorHAnsi" w:cstheme="minorHAnsi"/>
                <w:b/>
                <w:color w:val="000000" w:themeColor="text1"/>
              </w:rPr>
            </w:pPr>
            <w:r w:rsidRPr="00002B63">
              <w:rPr>
                <w:rFonts w:asciiTheme="minorHAnsi" w:hAnsiTheme="minorHAnsi" w:cstheme="minorHAnsi"/>
                <w:b/>
                <w:color w:val="000000" w:themeColor="text1"/>
              </w:rPr>
              <w:t xml:space="preserve"> Celkem</w:t>
            </w:r>
          </w:p>
        </w:tc>
        <w:tc>
          <w:tcPr>
            <w:tcW w:w="1445" w:type="dxa"/>
            <w:tcBorders>
              <w:top w:val="single" w:sz="12" w:space="0" w:color="auto"/>
              <w:left w:val="nil"/>
              <w:bottom w:val="double" w:sz="4" w:space="0" w:color="auto"/>
            </w:tcBorders>
          </w:tcPr>
          <w:p w:rsidR="00CB53FC" w:rsidRPr="00CB53FC" w:rsidRDefault="00CB53FC" w:rsidP="00CB53FC">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3 218</w:t>
            </w:r>
          </w:p>
        </w:tc>
        <w:tc>
          <w:tcPr>
            <w:tcW w:w="1445" w:type="dxa"/>
            <w:tcBorders>
              <w:top w:val="single" w:sz="12" w:space="0" w:color="auto"/>
              <w:bottom w:val="double" w:sz="4" w:space="0" w:color="auto"/>
              <w:right w:val="single" w:sz="18" w:space="0" w:color="auto"/>
            </w:tcBorders>
            <w:shd w:val="clear" w:color="auto" w:fill="auto"/>
          </w:tcPr>
          <w:p w:rsidR="00CB53FC" w:rsidRPr="00FB2587" w:rsidRDefault="00E2633A"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2 104</w:t>
            </w:r>
          </w:p>
        </w:tc>
        <w:tc>
          <w:tcPr>
            <w:tcW w:w="1445" w:type="dxa"/>
            <w:tcBorders>
              <w:top w:val="single" w:sz="12" w:space="0" w:color="auto"/>
              <w:left w:val="single" w:sz="18" w:space="0" w:color="auto"/>
              <w:bottom w:val="double" w:sz="4" w:space="0" w:color="auto"/>
            </w:tcBorders>
          </w:tcPr>
          <w:p w:rsidR="00CB53FC" w:rsidRPr="00CB53FC" w:rsidRDefault="00CB53FC" w:rsidP="00CB53FC">
            <w:pPr>
              <w:jc w:val="center"/>
              <w:rPr>
                <w:rFonts w:asciiTheme="minorHAnsi" w:hAnsiTheme="minorHAnsi" w:cstheme="minorHAnsi"/>
                <w:color w:val="000000" w:themeColor="text1"/>
              </w:rPr>
            </w:pPr>
            <w:r w:rsidRPr="00CB53FC">
              <w:rPr>
                <w:rFonts w:asciiTheme="minorHAnsi" w:hAnsiTheme="minorHAnsi" w:cstheme="minorHAnsi"/>
                <w:color w:val="000000" w:themeColor="text1"/>
              </w:rPr>
              <w:t>1 668</w:t>
            </w:r>
          </w:p>
        </w:tc>
        <w:tc>
          <w:tcPr>
            <w:tcW w:w="1445" w:type="dxa"/>
            <w:tcBorders>
              <w:top w:val="single" w:sz="12" w:space="0" w:color="auto"/>
              <w:bottom w:val="double" w:sz="4" w:space="0" w:color="auto"/>
              <w:right w:val="double" w:sz="4" w:space="0" w:color="auto"/>
            </w:tcBorders>
          </w:tcPr>
          <w:p w:rsidR="00CB53FC" w:rsidRPr="00002B63" w:rsidRDefault="00E2633A" w:rsidP="00CF3B8F">
            <w:pPr>
              <w:jc w:val="center"/>
              <w:rPr>
                <w:rFonts w:asciiTheme="minorHAnsi" w:hAnsiTheme="minorHAnsi" w:cstheme="minorHAnsi"/>
                <w:b/>
                <w:color w:val="000000" w:themeColor="text1"/>
              </w:rPr>
            </w:pPr>
            <w:r>
              <w:rPr>
                <w:rFonts w:asciiTheme="minorHAnsi" w:hAnsiTheme="minorHAnsi" w:cstheme="minorHAnsi"/>
                <w:b/>
                <w:color w:val="000000" w:themeColor="text1"/>
              </w:rPr>
              <w:t>1 113</w:t>
            </w:r>
          </w:p>
        </w:tc>
      </w:tr>
    </w:tbl>
    <w:p w:rsidR="00987584" w:rsidRPr="00002B63" w:rsidRDefault="00987584" w:rsidP="00987584">
      <w:pPr>
        <w:jc w:val="both"/>
        <w:rPr>
          <w:rFonts w:asciiTheme="minorHAnsi" w:hAnsiTheme="minorHAnsi" w:cstheme="minorHAnsi"/>
          <w:color w:val="FF0000"/>
          <w:sz w:val="16"/>
        </w:rPr>
      </w:pPr>
    </w:p>
    <w:p w:rsidR="00987584" w:rsidRPr="00E0400E" w:rsidRDefault="00987584" w:rsidP="00987584">
      <w:pPr>
        <w:pStyle w:val="Zkladntext2"/>
        <w:ind w:firstLine="708"/>
        <w:jc w:val="both"/>
        <w:rPr>
          <w:rFonts w:asciiTheme="minorHAnsi" w:hAnsiTheme="minorHAnsi" w:cstheme="minorHAnsi"/>
          <w:color w:val="000000" w:themeColor="text1"/>
          <w:szCs w:val="24"/>
        </w:rPr>
      </w:pPr>
      <w:r w:rsidRPr="00E0400E">
        <w:rPr>
          <w:rFonts w:asciiTheme="minorHAnsi" w:hAnsiTheme="minorHAnsi" w:cstheme="minorHAnsi"/>
          <w:b/>
          <w:color w:val="000000" w:themeColor="text1"/>
          <w:szCs w:val="24"/>
        </w:rPr>
        <w:t xml:space="preserve">Absolventi škol </w:t>
      </w:r>
      <w:r w:rsidR="00F04F75" w:rsidRPr="00E0400E">
        <w:rPr>
          <w:rFonts w:asciiTheme="minorHAnsi" w:hAnsiTheme="minorHAnsi" w:cstheme="minorHAnsi"/>
          <w:b/>
          <w:color w:val="000000" w:themeColor="text1"/>
          <w:szCs w:val="24"/>
        </w:rPr>
        <w:t>a mladiství tvořili</w:t>
      </w:r>
      <w:r w:rsidR="00141303" w:rsidRPr="00E0400E">
        <w:rPr>
          <w:rFonts w:asciiTheme="minorHAnsi" w:hAnsiTheme="minorHAnsi" w:cstheme="minorHAnsi"/>
          <w:b/>
          <w:color w:val="000000" w:themeColor="text1"/>
          <w:szCs w:val="24"/>
        </w:rPr>
        <w:t xml:space="preserve"> k</w:t>
      </w:r>
      <w:r w:rsidR="00E910B8" w:rsidRPr="00E0400E">
        <w:rPr>
          <w:rFonts w:asciiTheme="minorHAnsi" w:hAnsiTheme="minorHAnsi" w:cstheme="minorHAnsi"/>
          <w:b/>
          <w:color w:val="000000" w:themeColor="text1"/>
          <w:szCs w:val="24"/>
        </w:rPr>
        <w:t> 31. 12. 2014</w:t>
      </w:r>
      <w:r w:rsidR="00846B3A" w:rsidRPr="00E0400E">
        <w:rPr>
          <w:rFonts w:asciiTheme="minorHAnsi" w:hAnsiTheme="minorHAnsi" w:cstheme="minorHAnsi"/>
          <w:b/>
          <w:color w:val="000000" w:themeColor="text1"/>
          <w:szCs w:val="24"/>
        </w:rPr>
        <w:t xml:space="preserve"> v Olomouckém kraji </w:t>
      </w:r>
      <w:r w:rsidR="00E910B8" w:rsidRPr="00E0400E">
        <w:rPr>
          <w:rFonts w:asciiTheme="minorHAnsi" w:hAnsiTheme="minorHAnsi" w:cstheme="minorHAnsi"/>
          <w:b/>
          <w:color w:val="000000" w:themeColor="text1"/>
          <w:szCs w:val="24"/>
        </w:rPr>
        <w:t>5</w:t>
      </w:r>
      <w:r w:rsidR="008544DB" w:rsidRPr="00E0400E">
        <w:rPr>
          <w:rFonts w:asciiTheme="minorHAnsi" w:hAnsiTheme="minorHAnsi" w:cstheme="minorHAnsi"/>
          <w:b/>
          <w:color w:val="000000" w:themeColor="text1"/>
          <w:szCs w:val="24"/>
        </w:rPr>
        <w:t>,4</w:t>
      </w:r>
      <w:r w:rsidR="00F21AA5" w:rsidRPr="00E0400E">
        <w:rPr>
          <w:rFonts w:asciiTheme="minorHAnsi" w:hAnsiTheme="minorHAnsi" w:cstheme="minorHAnsi"/>
          <w:b/>
          <w:color w:val="000000" w:themeColor="text1"/>
          <w:szCs w:val="24"/>
        </w:rPr>
        <w:t xml:space="preserve"> </w:t>
      </w:r>
      <w:r w:rsidR="005D21D2" w:rsidRPr="00E0400E">
        <w:rPr>
          <w:rFonts w:asciiTheme="minorHAnsi" w:hAnsiTheme="minorHAnsi" w:cstheme="minorHAnsi"/>
          <w:b/>
          <w:color w:val="000000" w:themeColor="text1"/>
          <w:szCs w:val="24"/>
        </w:rPr>
        <w:t>% UoZ</w:t>
      </w:r>
      <w:r w:rsidR="00E0400E" w:rsidRPr="00E0400E">
        <w:rPr>
          <w:rFonts w:asciiTheme="minorHAnsi" w:hAnsiTheme="minorHAnsi" w:cstheme="minorHAnsi"/>
          <w:b/>
          <w:color w:val="000000" w:themeColor="text1"/>
          <w:szCs w:val="24"/>
        </w:rPr>
        <w:t xml:space="preserve"> (což je o </w:t>
      </w:r>
      <w:r w:rsidR="00E910B8" w:rsidRPr="00E0400E">
        <w:rPr>
          <w:rFonts w:asciiTheme="minorHAnsi" w:hAnsiTheme="minorHAnsi" w:cstheme="minorHAnsi"/>
          <w:b/>
          <w:color w:val="000000" w:themeColor="text1"/>
          <w:szCs w:val="24"/>
        </w:rPr>
        <w:t>2 p.</w:t>
      </w:r>
      <w:r w:rsidR="00E0400E" w:rsidRPr="00E0400E">
        <w:rPr>
          <w:rFonts w:asciiTheme="minorHAnsi" w:hAnsiTheme="minorHAnsi" w:cstheme="minorHAnsi"/>
          <w:b/>
          <w:color w:val="000000" w:themeColor="text1"/>
          <w:szCs w:val="24"/>
        </w:rPr>
        <w:t xml:space="preserve"> </w:t>
      </w:r>
      <w:r w:rsidR="00E910B8" w:rsidRPr="00E0400E">
        <w:rPr>
          <w:rFonts w:asciiTheme="minorHAnsi" w:hAnsiTheme="minorHAnsi" w:cstheme="minorHAnsi"/>
          <w:b/>
          <w:color w:val="000000" w:themeColor="text1"/>
          <w:szCs w:val="24"/>
        </w:rPr>
        <w:t>b</w:t>
      </w:r>
      <w:r w:rsidR="00E0400E" w:rsidRPr="00E0400E">
        <w:rPr>
          <w:rFonts w:asciiTheme="minorHAnsi" w:hAnsiTheme="minorHAnsi" w:cstheme="minorHAnsi"/>
          <w:b/>
          <w:color w:val="000000" w:themeColor="text1"/>
          <w:szCs w:val="24"/>
        </w:rPr>
        <w:t>.</w:t>
      </w:r>
      <w:r w:rsidR="00E910B8" w:rsidRPr="00E0400E">
        <w:rPr>
          <w:rFonts w:asciiTheme="minorHAnsi" w:hAnsiTheme="minorHAnsi" w:cstheme="minorHAnsi"/>
          <w:b/>
          <w:color w:val="000000" w:themeColor="text1"/>
          <w:szCs w:val="24"/>
        </w:rPr>
        <w:t xml:space="preserve"> nižší hodnota než</w:t>
      </w:r>
      <w:r w:rsidR="005D21D2" w:rsidRPr="00E0400E">
        <w:rPr>
          <w:rFonts w:asciiTheme="minorHAnsi" w:hAnsiTheme="minorHAnsi" w:cstheme="minorHAnsi"/>
          <w:b/>
          <w:color w:val="000000" w:themeColor="text1"/>
          <w:szCs w:val="24"/>
        </w:rPr>
        <w:t xml:space="preserve"> v r. </w:t>
      </w:r>
      <w:r w:rsidR="00E910B8" w:rsidRPr="00E0400E">
        <w:rPr>
          <w:rFonts w:asciiTheme="minorHAnsi" w:hAnsiTheme="minorHAnsi" w:cstheme="minorHAnsi"/>
          <w:b/>
          <w:color w:val="000000" w:themeColor="text1"/>
          <w:szCs w:val="24"/>
        </w:rPr>
        <w:t>2013</w:t>
      </w:r>
      <w:r w:rsidR="00A932B3" w:rsidRPr="00E0400E">
        <w:rPr>
          <w:rFonts w:asciiTheme="minorHAnsi" w:hAnsiTheme="minorHAnsi" w:cstheme="minorHAnsi"/>
          <w:b/>
          <w:color w:val="000000" w:themeColor="text1"/>
          <w:szCs w:val="24"/>
        </w:rPr>
        <w:t>)</w:t>
      </w:r>
      <w:r w:rsidR="00A25582" w:rsidRPr="00E0400E">
        <w:rPr>
          <w:rFonts w:asciiTheme="minorHAnsi" w:hAnsiTheme="minorHAnsi" w:cstheme="minorHAnsi"/>
          <w:b/>
          <w:color w:val="000000" w:themeColor="text1"/>
          <w:szCs w:val="24"/>
        </w:rPr>
        <w:t>; jejich</w:t>
      </w:r>
      <w:r w:rsidR="00F04F75" w:rsidRPr="00E0400E">
        <w:rPr>
          <w:rFonts w:asciiTheme="minorHAnsi" w:hAnsiTheme="minorHAnsi" w:cstheme="minorHAnsi"/>
          <w:b/>
          <w:color w:val="000000" w:themeColor="text1"/>
          <w:szCs w:val="24"/>
        </w:rPr>
        <w:t xml:space="preserve"> počet</w:t>
      </w:r>
      <w:r w:rsidR="00D26FEF" w:rsidRPr="00E0400E">
        <w:rPr>
          <w:rFonts w:asciiTheme="minorHAnsi" w:hAnsiTheme="minorHAnsi" w:cstheme="minorHAnsi"/>
          <w:b/>
          <w:color w:val="000000" w:themeColor="text1"/>
          <w:szCs w:val="24"/>
        </w:rPr>
        <w:t xml:space="preserve"> </w:t>
      </w:r>
      <w:r w:rsidR="00E910B8" w:rsidRPr="00E0400E">
        <w:rPr>
          <w:rFonts w:asciiTheme="minorHAnsi" w:hAnsiTheme="minorHAnsi" w:cstheme="minorHAnsi"/>
          <w:b/>
          <w:color w:val="000000" w:themeColor="text1"/>
          <w:szCs w:val="24"/>
        </w:rPr>
        <w:t>se meziročně snížil o 1 114 (tj. – 35 %)</w:t>
      </w:r>
      <w:r w:rsidR="00A932B3" w:rsidRPr="00E0400E">
        <w:rPr>
          <w:rFonts w:asciiTheme="minorHAnsi" w:hAnsiTheme="minorHAnsi" w:cstheme="minorHAnsi"/>
          <w:b/>
          <w:color w:val="000000" w:themeColor="text1"/>
          <w:szCs w:val="24"/>
        </w:rPr>
        <w:t xml:space="preserve">. </w:t>
      </w:r>
    </w:p>
    <w:p w:rsidR="00987584" w:rsidRPr="00E0400E" w:rsidRDefault="00987584" w:rsidP="00987584">
      <w:pPr>
        <w:ind w:firstLine="709"/>
        <w:jc w:val="both"/>
        <w:rPr>
          <w:rFonts w:asciiTheme="minorHAnsi" w:hAnsiTheme="minorHAnsi" w:cstheme="minorHAnsi"/>
          <w:color w:val="000000" w:themeColor="text1"/>
        </w:rPr>
      </w:pPr>
      <w:r w:rsidRPr="00E0400E">
        <w:rPr>
          <w:rFonts w:asciiTheme="minorHAnsi" w:hAnsiTheme="minorHAnsi" w:cstheme="minorHAnsi"/>
          <w:color w:val="000000" w:themeColor="text1"/>
        </w:rPr>
        <w:t xml:space="preserve">Nejvýraznějším negativním dopadem nezaměstnanosti absolventů a mladistvých je možnost </w:t>
      </w:r>
      <w:r w:rsidRPr="00E0400E">
        <w:rPr>
          <w:rFonts w:asciiTheme="minorHAnsi" w:hAnsiTheme="minorHAnsi" w:cstheme="minorHAnsi"/>
          <w:b/>
          <w:color w:val="000000" w:themeColor="text1"/>
        </w:rPr>
        <w:t>sociálního ohrožení  -  nezformují se pracovní návyky, absolventi si zvyknou na příjem bez vlastní aktivity</w:t>
      </w:r>
      <w:r w:rsidRPr="00E0400E">
        <w:rPr>
          <w:rFonts w:asciiTheme="minorHAnsi" w:hAnsiTheme="minorHAnsi" w:cstheme="minorHAnsi"/>
          <w:color w:val="000000" w:themeColor="text1"/>
        </w:rPr>
        <w:t xml:space="preserve"> (rodiče, sociální dávky), </w:t>
      </w:r>
      <w:r w:rsidRPr="00E0400E">
        <w:rPr>
          <w:rFonts w:asciiTheme="minorHAnsi" w:hAnsiTheme="minorHAnsi" w:cstheme="minorHAnsi"/>
          <w:b/>
          <w:color w:val="000000" w:themeColor="text1"/>
        </w:rPr>
        <w:t>možnost začlenění do různých rizikových skupin</w:t>
      </w:r>
      <w:r w:rsidRPr="00E0400E">
        <w:rPr>
          <w:rFonts w:asciiTheme="minorHAnsi" w:hAnsiTheme="minorHAnsi" w:cstheme="minorHAnsi"/>
          <w:color w:val="000000" w:themeColor="text1"/>
        </w:rPr>
        <w:t xml:space="preserve"> (drogy, sekty, kriminalita). </w:t>
      </w:r>
    </w:p>
    <w:p w:rsidR="00987584" w:rsidRPr="00E0400E" w:rsidRDefault="00987584" w:rsidP="00987584">
      <w:pPr>
        <w:ind w:firstLine="709"/>
        <w:jc w:val="both"/>
        <w:rPr>
          <w:rFonts w:asciiTheme="minorHAnsi" w:hAnsiTheme="minorHAnsi" w:cstheme="minorHAnsi"/>
          <w:color w:val="000000" w:themeColor="text1"/>
        </w:rPr>
      </w:pPr>
      <w:r w:rsidRPr="00E0400E">
        <w:rPr>
          <w:rFonts w:asciiTheme="minorHAnsi" w:hAnsiTheme="minorHAnsi" w:cstheme="minorHAnsi"/>
          <w:color w:val="000000" w:themeColor="text1"/>
        </w:rPr>
        <w:t xml:space="preserve">Pro </w:t>
      </w:r>
      <w:r w:rsidRPr="00E0400E">
        <w:rPr>
          <w:rFonts w:asciiTheme="minorHAnsi" w:hAnsiTheme="minorHAnsi" w:cstheme="minorHAnsi"/>
          <w:b/>
          <w:color w:val="000000" w:themeColor="text1"/>
        </w:rPr>
        <w:t>mladistvé se základním vzděláním</w:t>
      </w:r>
      <w:r w:rsidR="00F04F75" w:rsidRPr="00E0400E">
        <w:rPr>
          <w:rFonts w:asciiTheme="minorHAnsi" w:hAnsiTheme="minorHAnsi" w:cstheme="minorHAnsi"/>
          <w:b/>
          <w:color w:val="000000" w:themeColor="text1"/>
        </w:rPr>
        <w:t xml:space="preserve"> </w:t>
      </w:r>
      <w:r w:rsidR="005D21D2" w:rsidRPr="00E0400E">
        <w:rPr>
          <w:rFonts w:asciiTheme="minorHAnsi" w:hAnsiTheme="minorHAnsi" w:cstheme="minorHAnsi"/>
          <w:color w:val="000000" w:themeColor="text1"/>
        </w:rPr>
        <w:t xml:space="preserve">(na </w:t>
      </w:r>
      <w:r w:rsidR="00E0400E" w:rsidRPr="00E0400E">
        <w:rPr>
          <w:rFonts w:asciiTheme="minorHAnsi" w:hAnsiTheme="minorHAnsi" w:cstheme="minorHAnsi"/>
          <w:color w:val="000000" w:themeColor="text1"/>
        </w:rPr>
        <w:t>konci roku 2014 se jednalo o 235</w:t>
      </w:r>
      <w:r w:rsidR="00F04F75" w:rsidRPr="00E0400E">
        <w:rPr>
          <w:rFonts w:asciiTheme="minorHAnsi" w:hAnsiTheme="minorHAnsi" w:cstheme="minorHAnsi"/>
          <w:color w:val="000000" w:themeColor="text1"/>
        </w:rPr>
        <w:t xml:space="preserve"> osob)</w:t>
      </w:r>
      <w:r w:rsidR="00F04F75" w:rsidRPr="00E0400E">
        <w:rPr>
          <w:rFonts w:asciiTheme="minorHAnsi" w:hAnsiTheme="minorHAnsi" w:cstheme="minorHAnsi"/>
          <w:b/>
          <w:color w:val="000000" w:themeColor="text1"/>
        </w:rPr>
        <w:t xml:space="preserve"> </w:t>
      </w:r>
      <w:r w:rsidRPr="00E0400E">
        <w:rPr>
          <w:rFonts w:asciiTheme="minorHAnsi" w:hAnsiTheme="minorHAnsi" w:cstheme="minorHAnsi"/>
          <w:color w:val="000000" w:themeColor="text1"/>
        </w:rPr>
        <w:t xml:space="preserve"> platí totéž, co pro dospělé se základním vzděláním – na trhu práce jsou výrazně znevýhodněni. </w:t>
      </w:r>
      <w:r w:rsidR="00100293" w:rsidRPr="00E0400E">
        <w:rPr>
          <w:rFonts w:asciiTheme="minorHAnsi" w:hAnsiTheme="minorHAnsi" w:cstheme="minorHAnsi"/>
          <w:color w:val="000000" w:themeColor="text1"/>
        </w:rPr>
        <w:t>Mladiství</w:t>
      </w:r>
      <w:r w:rsidRPr="00E0400E">
        <w:rPr>
          <w:rFonts w:asciiTheme="minorHAnsi" w:hAnsiTheme="minorHAnsi" w:cstheme="minorHAnsi"/>
          <w:color w:val="000000" w:themeColor="text1"/>
        </w:rPr>
        <w:t xml:space="preserve"> nav</w:t>
      </w:r>
      <w:r w:rsidR="00034C66" w:rsidRPr="00E0400E">
        <w:rPr>
          <w:rFonts w:asciiTheme="minorHAnsi" w:hAnsiTheme="minorHAnsi" w:cstheme="minorHAnsi"/>
          <w:color w:val="000000" w:themeColor="text1"/>
        </w:rPr>
        <w:t>íc nemohou pracovat přesčas</w:t>
      </w:r>
      <w:r w:rsidRPr="00E0400E">
        <w:rPr>
          <w:rFonts w:asciiTheme="minorHAnsi" w:hAnsiTheme="minorHAnsi" w:cstheme="minorHAnsi"/>
          <w:color w:val="000000" w:themeColor="text1"/>
        </w:rPr>
        <w:t xml:space="preserve"> a v noci; lze jim nabízet jen pomocné práce, ne vždy však zvládnou jejich fyzickou náročnost. Mnohým z nich chybí motivace k práci a jejich orientace na trhu práce je v podstatě nulová. M</w:t>
      </w:r>
      <w:r w:rsidR="00897310" w:rsidRPr="00E0400E">
        <w:rPr>
          <w:rFonts w:asciiTheme="minorHAnsi" w:hAnsiTheme="minorHAnsi" w:cstheme="minorHAnsi"/>
          <w:color w:val="000000" w:themeColor="text1"/>
        </w:rPr>
        <w:t>ladistvý</w:t>
      </w:r>
      <w:r w:rsidRPr="00E0400E">
        <w:rPr>
          <w:rFonts w:asciiTheme="minorHAnsi" w:hAnsiTheme="minorHAnsi" w:cstheme="minorHAnsi"/>
          <w:color w:val="000000" w:themeColor="text1"/>
        </w:rPr>
        <w:t>m uchazečům je věnována zvýšená poz</w:t>
      </w:r>
      <w:r w:rsidR="00E0400E" w:rsidRPr="00E0400E">
        <w:rPr>
          <w:rFonts w:asciiTheme="minorHAnsi" w:hAnsiTheme="minorHAnsi" w:cstheme="minorHAnsi"/>
          <w:color w:val="000000" w:themeColor="text1"/>
        </w:rPr>
        <w:t>ornost. ÚP jim většinou nabízí</w:t>
      </w:r>
      <w:r w:rsidRPr="00E0400E">
        <w:rPr>
          <w:rFonts w:asciiTheme="minorHAnsi" w:hAnsiTheme="minorHAnsi" w:cstheme="minorHAnsi"/>
          <w:color w:val="000000" w:themeColor="text1"/>
        </w:rPr>
        <w:t xml:space="preserve"> m</w:t>
      </w:r>
      <w:r w:rsidR="00846B3A" w:rsidRPr="00E0400E">
        <w:rPr>
          <w:rFonts w:asciiTheme="minorHAnsi" w:hAnsiTheme="minorHAnsi" w:cstheme="minorHAnsi"/>
          <w:color w:val="000000" w:themeColor="text1"/>
        </w:rPr>
        <w:t>otivační kurz</w:t>
      </w:r>
      <w:r w:rsidRPr="00E0400E">
        <w:rPr>
          <w:rFonts w:asciiTheme="minorHAnsi" w:hAnsiTheme="minorHAnsi" w:cstheme="minorHAnsi"/>
          <w:color w:val="000000" w:themeColor="text1"/>
        </w:rPr>
        <w:t>y spojené s praktickou rekvalifika</w:t>
      </w:r>
      <w:r w:rsidR="00EF21B4" w:rsidRPr="00E0400E">
        <w:rPr>
          <w:rFonts w:asciiTheme="minorHAnsi" w:hAnsiTheme="minorHAnsi" w:cstheme="minorHAnsi"/>
          <w:color w:val="000000" w:themeColor="text1"/>
        </w:rPr>
        <w:t>cí, jejichž součástí je praxe u </w:t>
      </w:r>
      <w:r w:rsidRPr="00E0400E">
        <w:rPr>
          <w:rFonts w:asciiTheme="minorHAnsi" w:hAnsiTheme="minorHAnsi" w:cstheme="minorHAnsi"/>
          <w:color w:val="000000" w:themeColor="text1"/>
        </w:rPr>
        <w:t>konkrétních zaměstnavatelů.</w:t>
      </w:r>
    </w:p>
    <w:p w:rsidR="00987584" w:rsidRPr="00E0400E" w:rsidRDefault="00987584" w:rsidP="00987584">
      <w:pPr>
        <w:ind w:firstLine="708"/>
        <w:jc w:val="both"/>
        <w:rPr>
          <w:rFonts w:asciiTheme="minorHAnsi" w:hAnsiTheme="minorHAnsi" w:cstheme="minorHAnsi"/>
          <w:color w:val="000000" w:themeColor="text1"/>
        </w:rPr>
      </w:pPr>
      <w:r w:rsidRPr="00E0400E">
        <w:rPr>
          <w:rFonts w:asciiTheme="minorHAnsi" w:hAnsiTheme="minorHAnsi" w:cstheme="minorHAnsi"/>
          <w:b/>
          <w:color w:val="000000" w:themeColor="text1"/>
        </w:rPr>
        <w:t xml:space="preserve">U zaměstnavatelů můžeme odlišovat dva krajní postoje k absolventům, </w:t>
      </w:r>
      <w:r w:rsidRPr="00E0400E">
        <w:rPr>
          <w:rFonts w:asciiTheme="minorHAnsi" w:hAnsiTheme="minorHAnsi" w:cstheme="minorHAnsi"/>
          <w:color w:val="000000" w:themeColor="text1"/>
        </w:rPr>
        <w:t>které se objevují zhruba stejně často: zaměstnavatel buď chce právě absolventy, aby si je mohl „vychovat“ a přizpůsobit k obrazu svému (skrytým motivem je nezřídka úspora mzdových nákladů - nižší mzda), nebo tvrdí, že si zaplatí „hotovou“ pracovní sílu a o absolventy vůbec nemá zájem. Mimo to se objevují nevyhranění zaměstnavatelé, které ÚP může ovlivnit v jejich názoru např. i výší přidělené dotace při vzniku místa, na kterém může absolvent získat odbornou praxi.</w:t>
      </w:r>
    </w:p>
    <w:p w:rsidR="00E0400E" w:rsidRPr="00E0400E" w:rsidRDefault="00CD3784" w:rsidP="00A932B3">
      <w:pPr>
        <w:autoSpaceDE w:val="0"/>
        <w:autoSpaceDN w:val="0"/>
        <w:ind w:firstLine="708"/>
        <w:jc w:val="both"/>
        <w:rPr>
          <w:rFonts w:asciiTheme="minorHAnsi" w:hAnsiTheme="minorHAnsi" w:cstheme="minorHAnsi"/>
          <w:color w:val="000000" w:themeColor="text1"/>
        </w:rPr>
      </w:pPr>
      <w:r w:rsidRPr="00E0400E">
        <w:rPr>
          <w:rFonts w:asciiTheme="minorHAnsi" w:hAnsiTheme="minorHAnsi" w:cstheme="minorHAnsi"/>
          <w:color w:val="000000" w:themeColor="text1"/>
        </w:rPr>
        <w:t>Čerství</w:t>
      </w:r>
      <w:r w:rsidR="00A932B3" w:rsidRPr="00E0400E">
        <w:rPr>
          <w:rFonts w:asciiTheme="minorHAnsi" w:hAnsiTheme="minorHAnsi" w:cstheme="minorHAnsi"/>
          <w:color w:val="000000" w:themeColor="text1"/>
        </w:rPr>
        <w:t xml:space="preserve"> absolventi škol mají na tr</w:t>
      </w:r>
      <w:r w:rsidR="005D21D2" w:rsidRPr="00E0400E">
        <w:rPr>
          <w:rFonts w:asciiTheme="minorHAnsi" w:hAnsiTheme="minorHAnsi" w:cstheme="minorHAnsi"/>
          <w:color w:val="000000" w:themeColor="text1"/>
        </w:rPr>
        <w:t xml:space="preserve">hu práce těžší pozici </w:t>
      </w:r>
      <w:r w:rsidR="00E0400E" w:rsidRPr="00E0400E">
        <w:rPr>
          <w:rFonts w:asciiTheme="minorHAnsi" w:hAnsiTheme="minorHAnsi" w:cstheme="minorHAnsi"/>
          <w:color w:val="000000" w:themeColor="text1"/>
        </w:rPr>
        <w:t>než před 6</w:t>
      </w:r>
      <w:r w:rsidR="00A932B3" w:rsidRPr="00E0400E">
        <w:rPr>
          <w:rFonts w:asciiTheme="minorHAnsi" w:hAnsiTheme="minorHAnsi" w:cstheme="minorHAnsi"/>
          <w:color w:val="000000" w:themeColor="text1"/>
        </w:rPr>
        <w:t xml:space="preserve"> lety - značná část firem se stále potýká s nedostatkem zakázek a větší n</w:t>
      </w:r>
      <w:r w:rsidR="00E0400E" w:rsidRPr="00E0400E">
        <w:rPr>
          <w:rFonts w:asciiTheme="minorHAnsi" w:hAnsiTheme="minorHAnsi" w:cstheme="minorHAnsi"/>
          <w:color w:val="000000" w:themeColor="text1"/>
        </w:rPr>
        <w:t>ábory nových zaměstnanců nejsou zase až tak časté</w:t>
      </w:r>
      <w:r w:rsidR="00A932B3" w:rsidRPr="00E0400E">
        <w:rPr>
          <w:rFonts w:asciiTheme="minorHAnsi" w:hAnsiTheme="minorHAnsi" w:cstheme="minorHAnsi"/>
          <w:color w:val="000000" w:themeColor="text1"/>
        </w:rPr>
        <w:t xml:space="preserve">. Zároveň na trhu pracovních sil panuje mnohem větší konkurence - na volná místa se často během několika málo dnů hlásí i desítky zájemců a zaměstnavatel dává v mnoha případech přednost zaměstnanci s praktickými zkušenostmi. Pozorujeme také zvýšené nároky zaměstnavatelů na pracovní sílu – kromě vyučení v oboru (či maturity) požadují často další znalosti a dovednosti (znalost různých speciálních počítačových programů, znalost cizích jazyků, komunikační dovednosti apod.). </w:t>
      </w:r>
    </w:p>
    <w:p w:rsidR="00E0400E" w:rsidRPr="00E0400E" w:rsidRDefault="00E0400E" w:rsidP="00E0400E">
      <w:pPr>
        <w:ind w:firstLine="708"/>
        <w:jc w:val="both"/>
        <w:rPr>
          <w:rFonts w:asciiTheme="minorHAnsi" w:hAnsiTheme="minorHAnsi" w:cstheme="minorHAnsi"/>
          <w:color w:val="000000" w:themeColor="text1"/>
        </w:rPr>
      </w:pPr>
      <w:r w:rsidRPr="00E0400E">
        <w:rPr>
          <w:rFonts w:asciiTheme="minorHAnsi" w:hAnsiTheme="minorHAnsi" w:cstheme="minorHAnsi"/>
          <w:color w:val="000000" w:themeColor="text1"/>
        </w:rPr>
        <w:t>O uplatnitelnosti absolventů na trhu práce rozhoduje tedy nejen stupeň a obor vzdělání, ale i aktivita absolventa během studia i při hledání práce a jeho další schopnosti a dovednosti. Z hlediska oboru vzdělání mají vyšší šanci na získání místa absolventi technických oborů a dále řemeslníci.</w:t>
      </w:r>
    </w:p>
    <w:p w:rsidR="00A932B3" w:rsidRPr="00E0400E" w:rsidRDefault="00E0400E" w:rsidP="00A932B3">
      <w:pPr>
        <w:autoSpaceDE w:val="0"/>
        <w:autoSpaceDN w:val="0"/>
        <w:ind w:firstLine="708"/>
        <w:jc w:val="both"/>
        <w:rPr>
          <w:rFonts w:asciiTheme="minorHAnsi" w:hAnsiTheme="minorHAnsi" w:cstheme="minorHAnsi"/>
          <w:b/>
          <w:color w:val="000000" w:themeColor="text1"/>
          <w:lang w:eastAsia="en-US"/>
        </w:rPr>
      </w:pPr>
      <w:r w:rsidRPr="00E0400E">
        <w:rPr>
          <w:rFonts w:asciiTheme="minorHAnsi" w:hAnsiTheme="minorHAnsi" w:cstheme="minorHAnsi"/>
          <w:b/>
          <w:color w:val="000000" w:themeColor="text1"/>
        </w:rPr>
        <w:t>Významným motivačním činitelem pro zaměstnávání absolventů je možnost získání dotace v rámci tzv. společensky účelných pracovních míst – zaměstnavatelé mohou obdržet od ÚP dotaci ke mzdě až 24 tisíc měsíčně na jednoho absolventa z registru ÚP.</w:t>
      </w:r>
    </w:p>
    <w:p w:rsidR="00A932B3" w:rsidRPr="00E0400E" w:rsidRDefault="00A932B3" w:rsidP="00987584">
      <w:pPr>
        <w:ind w:firstLine="708"/>
        <w:jc w:val="both"/>
        <w:rPr>
          <w:rFonts w:asciiTheme="minorHAnsi" w:hAnsiTheme="minorHAnsi" w:cstheme="minorHAnsi"/>
          <w:color w:val="000000" w:themeColor="text1"/>
        </w:rPr>
      </w:pPr>
    </w:p>
    <w:p w:rsidR="00207B4D" w:rsidRPr="00002B63" w:rsidRDefault="00207B4D" w:rsidP="00207B4D">
      <w:pPr>
        <w:pStyle w:val="Zkladntext"/>
        <w:keepLines/>
        <w:suppressLineNumbers/>
        <w:spacing w:line="240" w:lineRule="auto"/>
        <w:jc w:val="both"/>
        <w:rPr>
          <w:rFonts w:asciiTheme="minorHAnsi" w:hAnsiTheme="minorHAnsi" w:cstheme="minorHAnsi"/>
          <w:b w:val="0"/>
          <w:sz w:val="24"/>
        </w:rPr>
      </w:pPr>
      <w:bookmarkStart w:id="48" w:name="_III.4.2_Uchazeči_se_zdravotním_post"/>
      <w:bookmarkEnd w:id="48"/>
      <w:r w:rsidRPr="00002B63">
        <w:rPr>
          <w:rFonts w:asciiTheme="minorHAnsi" w:hAnsiTheme="minorHAnsi" w:cstheme="minorHAnsi"/>
          <w:sz w:val="24"/>
        </w:rPr>
        <w:lastRenderedPageBreak/>
        <w:t xml:space="preserve">Tabulka </w:t>
      </w:r>
      <w:r w:rsidR="00AE638C" w:rsidRPr="00002B63">
        <w:rPr>
          <w:rFonts w:asciiTheme="minorHAnsi" w:hAnsiTheme="minorHAnsi" w:cstheme="minorHAnsi"/>
          <w:sz w:val="24"/>
        </w:rPr>
        <w:t>9</w:t>
      </w:r>
      <w:r w:rsidRPr="00002B63">
        <w:rPr>
          <w:rFonts w:asciiTheme="minorHAnsi" w:hAnsiTheme="minorHAnsi" w:cstheme="minorHAnsi"/>
          <w:sz w:val="24"/>
        </w:rPr>
        <w:t xml:space="preserve"> </w:t>
      </w:r>
      <w:r w:rsidRPr="00002B63">
        <w:rPr>
          <w:rFonts w:asciiTheme="minorHAnsi" w:hAnsiTheme="minorHAnsi" w:cstheme="minorHAnsi"/>
          <w:b w:val="0"/>
          <w:sz w:val="24"/>
        </w:rPr>
        <w:t>– Vývoj počtu uchazečů se zdravotním postižením</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1395"/>
        <w:gridCol w:w="1395"/>
        <w:gridCol w:w="1395"/>
        <w:gridCol w:w="1395"/>
      </w:tblGrid>
      <w:tr w:rsidR="00207B4D" w:rsidRPr="00002B63" w:rsidTr="00207B4D">
        <w:trPr>
          <w:cantSplit/>
        </w:trPr>
        <w:tc>
          <w:tcPr>
            <w:tcW w:w="3780" w:type="dxa"/>
            <w:vMerge w:val="restart"/>
            <w:tcBorders>
              <w:top w:val="double" w:sz="4" w:space="0" w:color="auto"/>
              <w:left w:val="double" w:sz="4" w:space="0" w:color="auto"/>
              <w:bottom w:val="double" w:sz="4" w:space="0" w:color="auto"/>
              <w:right w:val="single" w:sz="12" w:space="0" w:color="auto"/>
            </w:tcBorders>
            <w:shd w:val="clear" w:color="auto" w:fill="CCFFFF"/>
            <w:vAlign w:val="center"/>
          </w:tcPr>
          <w:p w:rsidR="00207B4D" w:rsidRPr="00002B63" w:rsidRDefault="00207B4D" w:rsidP="00207B4D">
            <w:pPr>
              <w:jc w:val="center"/>
              <w:rPr>
                <w:rFonts w:asciiTheme="minorHAnsi" w:hAnsiTheme="minorHAnsi" w:cstheme="minorHAnsi"/>
                <w:b/>
                <w:vertAlign w:val="superscript"/>
              </w:rPr>
            </w:pPr>
            <w:r w:rsidRPr="00002B63">
              <w:rPr>
                <w:rFonts w:asciiTheme="minorHAnsi" w:hAnsiTheme="minorHAnsi" w:cstheme="minorHAnsi"/>
                <w:b/>
              </w:rPr>
              <w:t>Osoby se zdravotním</w:t>
            </w:r>
            <w:r w:rsidRPr="00002B63">
              <w:rPr>
                <w:rFonts w:asciiTheme="minorHAnsi" w:hAnsiTheme="minorHAnsi" w:cstheme="minorHAnsi"/>
                <w:b/>
                <w:vertAlign w:val="superscript"/>
              </w:rPr>
              <w:t xml:space="preserve"> </w:t>
            </w:r>
            <w:r w:rsidRPr="00002B63">
              <w:rPr>
                <w:rFonts w:asciiTheme="minorHAnsi" w:hAnsiTheme="minorHAnsi" w:cstheme="minorHAnsi"/>
                <w:b/>
              </w:rPr>
              <w:t>postižením</w:t>
            </w:r>
          </w:p>
        </w:tc>
        <w:tc>
          <w:tcPr>
            <w:tcW w:w="2790" w:type="dxa"/>
            <w:gridSpan w:val="2"/>
            <w:tcBorders>
              <w:top w:val="double" w:sz="4" w:space="0" w:color="auto"/>
              <w:bottom w:val="single" w:sz="4" w:space="0" w:color="000000"/>
              <w:right w:val="single" w:sz="18" w:space="0" w:color="auto"/>
            </w:tcBorders>
            <w:shd w:val="clear" w:color="auto" w:fill="CCFFFF"/>
          </w:tcPr>
          <w:p w:rsidR="00207B4D" w:rsidRPr="00002B63" w:rsidRDefault="00207B4D" w:rsidP="00207B4D">
            <w:pPr>
              <w:jc w:val="center"/>
              <w:rPr>
                <w:rFonts w:asciiTheme="minorHAnsi" w:hAnsiTheme="minorHAnsi" w:cstheme="minorHAnsi"/>
                <w:b/>
              </w:rPr>
            </w:pPr>
            <w:r w:rsidRPr="00002B63">
              <w:rPr>
                <w:rFonts w:asciiTheme="minorHAnsi" w:hAnsiTheme="minorHAnsi" w:cstheme="minorHAnsi"/>
                <w:b/>
              </w:rPr>
              <w:t>celkem</w:t>
            </w:r>
          </w:p>
        </w:tc>
        <w:tc>
          <w:tcPr>
            <w:tcW w:w="2790" w:type="dxa"/>
            <w:gridSpan w:val="2"/>
            <w:tcBorders>
              <w:top w:val="double" w:sz="4" w:space="0" w:color="auto"/>
              <w:left w:val="single" w:sz="18" w:space="0" w:color="auto"/>
              <w:bottom w:val="single" w:sz="4" w:space="0" w:color="000000"/>
              <w:right w:val="double" w:sz="4" w:space="0" w:color="auto"/>
            </w:tcBorders>
            <w:shd w:val="clear" w:color="auto" w:fill="CCFFFF"/>
          </w:tcPr>
          <w:p w:rsidR="00207B4D" w:rsidRPr="00002B63" w:rsidRDefault="00207B4D" w:rsidP="00207B4D">
            <w:pPr>
              <w:jc w:val="center"/>
              <w:rPr>
                <w:rFonts w:asciiTheme="minorHAnsi" w:hAnsiTheme="minorHAnsi" w:cstheme="minorHAnsi"/>
                <w:b/>
              </w:rPr>
            </w:pPr>
            <w:r w:rsidRPr="00002B63">
              <w:rPr>
                <w:rFonts w:asciiTheme="minorHAnsi" w:hAnsiTheme="minorHAnsi" w:cstheme="minorHAnsi"/>
                <w:b/>
              </w:rPr>
              <w:t>ženy</w:t>
            </w:r>
          </w:p>
        </w:tc>
      </w:tr>
      <w:tr w:rsidR="00207B4D" w:rsidRPr="00002B63" w:rsidTr="00207B4D">
        <w:trPr>
          <w:cantSplit/>
        </w:trPr>
        <w:tc>
          <w:tcPr>
            <w:tcW w:w="3780" w:type="dxa"/>
            <w:vMerge/>
            <w:tcBorders>
              <w:top w:val="nil"/>
              <w:left w:val="double" w:sz="4" w:space="0" w:color="auto"/>
              <w:bottom w:val="double" w:sz="4" w:space="0" w:color="auto"/>
              <w:right w:val="single" w:sz="12" w:space="0" w:color="auto"/>
            </w:tcBorders>
            <w:shd w:val="clear" w:color="auto" w:fill="CCFFFF"/>
            <w:vAlign w:val="center"/>
          </w:tcPr>
          <w:p w:rsidR="00207B4D" w:rsidRPr="00002B63" w:rsidRDefault="00207B4D" w:rsidP="00207B4D">
            <w:pPr>
              <w:jc w:val="both"/>
              <w:rPr>
                <w:rFonts w:asciiTheme="minorHAnsi" w:hAnsiTheme="minorHAnsi" w:cstheme="minorHAnsi"/>
              </w:rPr>
            </w:pPr>
          </w:p>
        </w:tc>
        <w:tc>
          <w:tcPr>
            <w:tcW w:w="1395" w:type="dxa"/>
            <w:tcBorders>
              <w:top w:val="single" w:sz="4" w:space="0" w:color="000000"/>
              <w:bottom w:val="double" w:sz="4" w:space="0" w:color="auto"/>
            </w:tcBorders>
            <w:shd w:val="clear" w:color="auto" w:fill="CCFFFF"/>
            <w:vAlign w:val="center"/>
          </w:tcPr>
          <w:p w:rsidR="00207B4D" w:rsidRPr="00002B63" w:rsidRDefault="00FF45C7" w:rsidP="00207B4D">
            <w:pPr>
              <w:jc w:val="center"/>
              <w:rPr>
                <w:rFonts w:asciiTheme="minorHAnsi" w:hAnsiTheme="minorHAnsi" w:cstheme="minorHAnsi"/>
                <w:b/>
                <w:sz w:val="22"/>
                <w:szCs w:val="22"/>
              </w:rPr>
            </w:pPr>
            <w:r>
              <w:rPr>
                <w:rFonts w:asciiTheme="minorHAnsi" w:hAnsiTheme="minorHAnsi" w:cstheme="minorHAnsi"/>
                <w:b/>
                <w:sz w:val="22"/>
                <w:szCs w:val="22"/>
              </w:rPr>
              <w:t>31. 12. 201</w:t>
            </w:r>
            <w:r w:rsidR="005C45A6">
              <w:rPr>
                <w:rFonts w:asciiTheme="minorHAnsi" w:hAnsiTheme="minorHAnsi" w:cstheme="minorHAnsi"/>
                <w:b/>
                <w:sz w:val="22"/>
                <w:szCs w:val="22"/>
              </w:rPr>
              <w:t>3</w:t>
            </w:r>
          </w:p>
        </w:tc>
        <w:tc>
          <w:tcPr>
            <w:tcW w:w="1395" w:type="dxa"/>
            <w:tcBorders>
              <w:top w:val="single" w:sz="4" w:space="0" w:color="000000"/>
              <w:bottom w:val="double" w:sz="4" w:space="0" w:color="auto"/>
              <w:right w:val="single" w:sz="18" w:space="0" w:color="auto"/>
            </w:tcBorders>
            <w:shd w:val="clear" w:color="auto" w:fill="CCFFFF"/>
            <w:vAlign w:val="center"/>
          </w:tcPr>
          <w:p w:rsidR="00207B4D" w:rsidRPr="00002B63" w:rsidRDefault="00207B4D" w:rsidP="00FF45C7">
            <w:pPr>
              <w:jc w:val="center"/>
              <w:rPr>
                <w:rFonts w:asciiTheme="minorHAnsi" w:hAnsiTheme="minorHAnsi" w:cstheme="minorHAnsi"/>
                <w:b/>
                <w:sz w:val="22"/>
                <w:szCs w:val="22"/>
              </w:rPr>
            </w:pPr>
            <w:r w:rsidRPr="00002B63">
              <w:rPr>
                <w:rFonts w:asciiTheme="minorHAnsi" w:hAnsiTheme="minorHAnsi" w:cstheme="minorHAnsi"/>
                <w:b/>
                <w:sz w:val="22"/>
                <w:szCs w:val="22"/>
              </w:rPr>
              <w:t>31. 12. 201</w:t>
            </w:r>
            <w:r w:rsidR="005C45A6">
              <w:rPr>
                <w:rFonts w:asciiTheme="minorHAnsi" w:hAnsiTheme="minorHAnsi" w:cstheme="minorHAnsi"/>
                <w:b/>
                <w:sz w:val="22"/>
                <w:szCs w:val="22"/>
              </w:rPr>
              <w:t>4</w:t>
            </w:r>
          </w:p>
        </w:tc>
        <w:tc>
          <w:tcPr>
            <w:tcW w:w="1395" w:type="dxa"/>
            <w:tcBorders>
              <w:top w:val="single" w:sz="4" w:space="0" w:color="000000"/>
              <w:left w:val="single" w:sz="18" w:space="0" w:color="auto"/>
              <w:bottom w:val="double" w:sz="4" w:space="0" w:color="auto"/>
            </w:tcBorders>
            <w:shd w:val="clear" w:color="auto" w:fill="CCFFFF"/>
            <w:vAlign w:val="center"/>
          </w:tcPr>
          <w:p w:rsidR="00207B4D" w:rsidRPr="00002B63" w:rsidRDefault="00FF45C7" w:rsidP="00207B4D">
            <w:pPr>
              <w:jc w:val="center"/>
              <w:rPr>
                <w:rFonts w:asciiTheme="minorHAnsi" w:hAnsiTheme="minorHAnsi" w:cstheme="minorHAnsi"/>
                <w:b/>
                <w:sz w:val="22"/>
                <w:szCs w:val="22"/>
              </w:rPr>
            </w:pPr>
            <w:r>
              <w:rPr>
                <w:rFonts w:asciiTheme="minorHAnsi" w:hAnsiTheme="minorHAnsi" w:cstheme="minorHAnsi"/>
                <w:b/>
                <w:sz w:val="22"/>
                <w:szCs w:val="22"/>
              </w:rPr>
              <w:t>31. 12. 201</w:t>
            </w:r>
            <w:r w:rsidR="005C45A6">
              <w:rPr>
                <w:rFonts w:asciiTheme="minorHAnsi" w:hAnsiTheme="minorHAnsi" w:cstheme="minorHAnsi"/>
                <w:b/>
                <w:sz w:val="22"/>
                <w:szCs w:val="22"/>
              </w:rPr>
              <w:t>3</w:t>
            </w:r>
          </w:p>
        </w:tc>
        <w:tc>
          <w:tcPr>
            <w:tcW w:w="1395" w:type="dxa"/>
            <w:tcBorders>
              <w:top w:val="single" w:sz="4" w:space="0" w:color="000000"/>
              <w:bottom w:val="double" w:sz="4" w:space="0" w:color="auto"/>
              <w:right w:val="double" w:sz="4" w:space="0" w:color="auto"/>
            </w:tcBorders>
            <w:shd w:val="clear" w:color="auto" w:fill="CCFFFF"/>
            <w:vAlign w:val="center"/>
          </w:tcPr>
          <w:p w:rsidR="00207B4D" w:rsidRPr="00002B63" w:rsidRDefault="00FF45C7" w:rsidP="00207B4D">
            <w:pPr>
              <w:jc w:val="center"/>
              <w:rPr>
                <w:rFonts w:asciiTheme="minorHAnsi" w:hAnsiTheme="minorHAnsi" w:cstheme="minorHAnsi"/>
                <w:b/>
                <w:sz w:val="22"/>
                <w:szCs w:val="22"/>
              </w:rPr>
            </w:pPr>
            <w:r>
              <w:rPr>
                <w:rFonts w:asciiTheme="minorHAnsi" w:hAnsiTheme="minorHAnsi" w:cstheme="minorHAnsi"/>
                <w:b/>
                <w:sz w:val="22"/>
                <w:szCs w:val="22"/>
              </w:rPr>
              <w:t>31. 12. 201</w:t>
            </w:r>
            <w:r w:rsidR="005C45A6">
              <w:rPr>
                <w:rFonts w:asciiTheme="minorHAnsi" w:hAnsiTheme="minorHAnsi" w:cstheme="minorHAnsi"/>
                <w:b/>
                <w:sz w:val="22"/>
                <w:szCs w:val="22"/>
              </w:rPr>
              <w:t>4</w:t>
            </w:r>
          </w:p>
        </w:tc>
      </w:tr>
      <w:tr w:rsidR="005C45A6" w:rsidRPr="00002B63" w:rsidTr="0037538B">
        <w:trPr>
          <w:trHeight w:val="284"/>
        </w:trPr>
        <w:tc>
          <w:tcPr>
            <w:tcW w:w="3780" w:type="dxa"/>
            <w:tcBorders>
              <w:top w:val="double" w:sz="4" w:space="0" w:color="auto"/>
              <w:left w:val="double" w:sz="4" w:space="0" w:color="auto"/>
              <w:bottom w:val="single" w:sz="4" w:space="0" w:color="auto"/>
              <w:right w:val="single" w:sz="12" w:space="0" w:color="auto"/>
            </w:tcBorders>
            <w:shd w:val="clear" w:color="auto" w:fill="CCFFFF"/>
          </w:tcPr>
          <w:p w:rsidR="005C45A6" w:rsidRPr="00002B63" w:rsidRDefault="005C45A6" w:rsidP="00207B4D">
            <w:pPr>
              <w:rPr>
                <w:rFonts w:asciiTheme="minorHAnsi" w:hAnsiTheme="minorHAnsi" w:cstheme="minorHAnsi"/>
                <w:vertAlign w:val="superscript"/>
              </w:rPr>
            </w:pPr>
            <w:r w:rsidRPr="00002B63">
              <w:rPr>
                <w:rFonts w:asciiTheme="minorHAnsi" w:hAnsiTheme="minorHAnsi" w:cstheme="minorHAnsi"/>
              </w:rPr>
              <w:t>osoby se zdravotním postižením</w:t>
            </w:r>
          </w:p>
        </w:tc>
        <w:tc>
          <w:tcPr>
            <w:tcW w:w="1395" w:type="dxa"/>
            <w:tcBorders>
              <w:top w:val="double" w:sz="4" w:space="0" w:color="auto"/>
              <w:left w:val="nil"/>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3 907</w:t>
            </w:r>
          </w:p>
        </w:tc>
        <w:tc>
          <w:tcPr>
            <w:tcW w:w="1395" w:type="dxa"/>
            <w:tcBorders>
              <w:top w:val="double" w:sz="4" w:space="0" w:color="auto"/>
              <w:bottom w:val="single" w:sz="4" w:space="0" w:color="auto"/>
              <w:right w:val="single" w:sz="18" w:space="0" w:color="auto"/>
            </w:tcBorders>
            <w:vAlign w:val="center"/>
          </w:tcPr>
          <w:p w:rsidR="005C45A6" w:rsidRPr="0037538B" w:rsidRDefault="0037538B" w:rsidP="0037538B">
            <w:pPr>
              <w:jc w:val="center"/>
              <w:rPr>
                <w:rFonts w:asciiTheme="minorHAnsi" w:hAnsiTheme="minorHAnsi" w:cstheme="minorHAnsi"/>
                <w:b/>
              </w:rPr>
            </w:pPr>
            <w:r w:rsidRPr="0037538B">
              <w:rPr>
                <w:rFonts w:asciiTheme="minorHAnsi" w:hAnsiTheme="minorHAnsi" w:cstheme="minorHAnsi"/>
                <w:b/>
              </w:rPr>
              <w:t>3 857</w:t>
            </w:r>
          </w:p>
        </w:tc>
        <w:tc>
          <w:tcPr>
            <w:tcW w:w="1395" w:type="dxa"/>
            <w:tcBorders>
              <w:top w:val="double" w:sz="4" w:space="0" w:color="auto"/>
              <w:left w:val="single" w:sz="18" w:space="0" w:color="auto"/>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1 889</w:t>
            </w:r>
          </w:p>
        </w:tc>
        <w:tc>
          <w:tcPr>
            <w:tcW w:w="1395" w:type="dxa"/>
            <w:tcBorders>
              <w:top w:val="double" w:sz="4" w:space="0" w:color="auto"/>
              <w:bottom w:val="single" w:sz="4" w:space="0" w:color="auto"/>
              <w:right w:val="double" w:sz="4" w:space="0" w:color="auto"/>
            </w:tcBorders>
            <w:vAlign w:val="center"/>
          </w:tcPr>
          <w:p w:rsidR="005C45A6" w:rsidRPr="00002B63" w:rsidRDefault="000F6F8C" w:rsidP="00CF3B8F">
            <w:pPr>
              <w:jc w:val="center"/>
              <w:rPr>
                <w:rFonts w:asciiTheme="minorHAnsi" w:hAnsiTheme="minorHAnsi" w:cstheme="minorHAnsi"/>
                <w:b/>
              </w:rPr>
            </w:pPr>
            <w:r>
              <w:rPr>
                <w:rFonts w:asciiTheme="minorHAnsi" w:hAnsiTheme="minorHAnsi" w:cstheme="minorHAnsi"/>
                <w:b/>
              </w:rPr>
              <w:t>1 893</w:t>
            </w:r>
          </w:p>
        </w:tc>
      </w:tr>
      <w:tr w:rsidR="005C45A6" w:rsidRPr="00002B63" w:rsidTr="0037538B">
        <w:trPr>
          <w:trHeight w:val="284"/>
        </w:trPr>
        <w:tc>
          <w:tcPr>
            <w:tcW w:w="3780" w:type="dxa"/>
            <w:tcBorders>
              <w:top w:val="single" w:sz="4" w:space="0" w:color="auto"/>
              <w:left w:val="double" w:sz="4" w:space="0" w:color="auto"/>
              <w:bottom w:val="single" w:sz="4" w:space="0" w:color="auto"/>
              <w:right w:val="single" w:sz="12" w:space="0" w:color="auto"/>
            </w:tcBorders>
            <w:shd w:val="clear" w:color="auto" w:fill="CCFFFF"/>
          </w:tcPr>
          <w:p w:rsidR="005C45A6" w:rsidRPr="00002B63" w:rsidRDefault="005C45A6" w:rsidP="00207B4D">
            <w:pPr>
              <w:rPr>
                <w:rFonts w:asciiTheme="minorHAnsi" w:hAnsiTheme="minorHAnsi" w:cstheme="minorHAnsi"/>
              </w:rPr>
            </w:pPr>
            <w:r w:rsidRPr="00002B63">
              <w:rPr>
                <w:rFonts w:asciiTheme="minorHAnsi" w:hAnsiTheme="minorHAnsi" w:cstheme="minorHAnsi"/>
              </w:rPr>
              <w:t xml:space="preserve">podíl na celkovém počtu UoZ (žen) </w:t>
            </w:r>
          </w:p>
        </w:tc>
        <w:tc>
          <w:tcPr>
            <w:tcW w:w="1395" w:type="dxa"/>
            <w:tcBorders>
              <w:top w:val="single" w:sz="4" w:space="0" w:color="auto"/>
              <w:left w:val="nil"/>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9,0 %</w:t>
            </w:r>
          </w:p>
        </w:tc>
        <w:tc>
          <w:tcPr>
            <w:tcW w:w="1395" w:type="dxa"/>
            <w:tcBorders>
              <w:top w:val="single" w:sz="4" w:space="0" w:color="auto"/>
              <w:bottom w:val="single" w:sz="4" w:space="0" w:color="auto"/>
              <w:right w:val="single" w:sz="18" w:space="0" w:color="auto"/>
            </w:tcBorders>
            <w:vAlign w:val="center"/>
          </w:tcPr>
          <w:p w:rsidR="005C45A6" w:rsidRPr="0037538B" w:rsidRDefault="0037538B" w:rsidP="0037538B">
            <w:pPr>
              <w:jc w:val="center"/>
              <w:rPr>
                <w:rFonts w:asciiTheme="minorHAnsi" w:hAnsiTheme="minorHAnsi" w:cstheme="minorHAnsi"/>
                <w:b/>
              </w:rPr>
            </w:pPr>
            <w:r w:rsidRPr="0037538B">
              <w:rPr>
                <w:rFonts w:asciiTheme="minorHAnsi" w:hAnsiTheme="minorHAnsi" w:cstheme="minorHAnsi"/>
                <w:b/>
              </w:rPr>
              <w:t>9,9 %</w:t>
            </w:r>
          </w:p>
        </w:tc>
        <w:tc>
          <w:tcPr>
            <w:tcW w:w="1395" w:type="dxa"/>
            <w:tcBorders>
              <w:top w:val="single" w:sz="4" w:space="0" w:color="auto"/>
              <w:left w:val="single" w:sz="18" w:space="0" w:color="auto"/>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9,3 %</w:t>
            </w:r>
          </w:p>
        </w:tc>
        <w:tc>
          <w:tcPr>
            <w:tcW w:w="1395" w:type="dxa"/>
            <w:tcBorders>
              <w:top w:val="single" w:sz="4" w:space="0" w:color="auto"/>
              <w:bottom w:val="single" w:sz="4" w:space="0" w:color="auto"/>
              <w:right w:val="double" w:sz="4" w:space="0" w:color="auto"/>
            </w:tcBorders>
            <w:vAlign w:val="center"/>
          </w:tcPr>
          <w:p w:rsidR="005C45A6" w:rsidRPr="00002B63" w:rsidRDefault="000F6F8C" w:rsidP="00CF3B8F">
            <w:pPr>
              <w:jc w:val="center"/>
              <w:rPr>
                <w:rFonts w:asciiTheme="minorHAnsi" w:hAnsiTheme="minorHAnsi" w:cstheme="minorHAnsi"/>
                <w:b/>
              </w:rPr>
            </w:pPr>
            <w:r>
              <w:rPr>
                <w:rFonts w:asciiTheme="minorHAnsi" w:hAnsiTheme="minorHAnsi" w:cstheme="minorHAnsi"/>
                <w:b/>
              </w:rPr>
              <w:t>10,1</w:t>
            </w:r>
            <w:r w:rsidR="00AF1D4F">
              <w:rPr>
                <w:rFonts w:asciiTheme="minorHAnsi" w:hAnsiTheme="minorHAnsi" w:cstheme="minorHAnsi"/>
                <w:b/>
              </w:rPr>
              <w:t xml:space="preserve"> %</w:t>
            </w:r>
          </w:p>
        </w:tc>
      </w:tr>
      <w:tr w:rsidR="005C45A6" w:rsidRPr="00002B63" w:rsidTr="0037538B">
        <w:trPr>
          <w:trHeight w:val="284"/>
        </w:trPr>
        <w:tc>
          <w:tcPr>
            <w:tcW w:w="3780" w:type="dxa"/>
            <w:tcBorders>
              <w:top w:val="single" w:sz="4" w:space="0" w:color="auto"/>
              <w:left w:val="double" w:sz="4" w:space="0" w:color="auto"/>
              <w:bottom w:val="single" w:sz="4" w:space="0" w:color="auto"/>
              <w:right w:val="single" w:sz="12" w:space="0" w:color="auto"/>
            </w:tcBorders>
            <w:shd w:val="clear" w:color="auto" w:fill="CCFFFF"/>
          </w:tcPr>
          <w:p w:rsidR="005C45A6" w:rsidRPr="00002B63" w:rsidRDefault="005C45A6" w:rsidP="00207B4D">
            <w:pPr>
              <w:rPr>
                <w:rFonts w:asciiTheme="minorHAnsi" w:hAnsiTheme="minorHAnsi" w:cstheme="minorHAnsi"/>
              </w:rPr>
            </w:pPr>
            <w:r w:rsidRPr="00002B63">
              <w:rPr>
                <w:rFonts w:asciiTheme="minorHAnsi" w:hAnsiTheme="minorHAnsi" w:cstheme="minorHAnsi"/>
              </w:rPr>
              <w:t>z toho  os. zdravotně znevýhodněné</w:t>
            </w:r>
          </w:p>
        </w:tc>
        <w:tc>
          <w:tcPr>
            <w:tcW w:w="1395" w:type="dxa"/>
            <w:tcBorders>
              <w:top w:val="single" w:sz="4" w:space="0" w:color="auto"/>
              <w:left w:val="nil"/>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406</w:t>
            </w:r>
          </w:p>
        </w:tc>
        <w:tc>
          <w:tcPr>
            <w:tcW w:w="1395" w:type="dxa"/>
            <w:tcBorders>
              <w:top w:val="single" w:sz="4" w:space="0" w:color="auto"/>
              <w:bottom w:val="single" w:sz="4" w:space="0" w:color="auto"/>
              <w:right w:val="single" w:sz="18" w:space="0" w:color="auto"/>
            </w:tcBorders>
            <w:vAlign w:val="center"/>
          </w:tcPr>
          <w:p w:rsidR="005C45A6" w:rsidRPr="0037538B" w:rsidRDefault="0037538B" w:rsidP="0037538B">
            <w:pPr>
              <w:jc w:val="center"/>
              <w:rPr>
                <w:rFonts w:asciiTheme="minorHAnsi" w:hAnsiTheme="minorHAnsi" w:cstheme="minorHAnsi"/>
                <w:b/>
              </w:rPr>
            </w:pPr>
            <w:r w:rsidRPr="0037538B">
              <w:rPr>
                <w:rFonts w:asciiTheme="minorHAnsi" w:hAnsiTheme="minorHAnsi" w:cstheme="minorHAnsi"/>
                <w:b/>
              </w:rPr>
              <w:t>3</w:t>
            </w:r>
            <w:r w:rsidR="00556A54">
              <w:rPr>
                <w:rFonts w:asciiTheme="minorHAnsi" w:hAnsiTheme="minorHAnsi" w:cstheme="minorHAnsi"/>
                <w:b/>
              </w:rPr>
              <w:t>82</w:t>
            </w:r>
          </w:p>
        </w:tc>
        <w:tc>
          <w:tcPr>
            <w:tcW w:w="1395" w:type="dxa"/>
            <w:tcBorders>
              <w:top w:val="single" w:sz="4" w:space="0" w:color="auto"/>
              <w:left w:val="single" w:sz="18" w:space="0" w:color="auto"/>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230</w:t>
            </w:r>
          </w:p>
        </w:tc>
        <w:tc>
          <w:tcPr>
            <w:tcW w:w="1395" w:type="dxa"/>
            <w:tcBorders>
              <w:top w:val="single" w:sz="4" w:space="0" w:color="auto"/>
              <w:bottom w:val="single" w:sz="4" w:space="0" w:color="auto"/>
              <w:right w:val="double" w:sz="4" w:space="0" w:color="auto"/>
            </w:tcBorders>
            <w:vAlign w:val="center"/>
          </w:tcPr>
          <w:p w:rsidR="005C45A6" w:rsidRPr="00002B63" w:rsidRDefault="000F6F8C" w:rsidP="00CF3B8F">
            <w:pPr>
              <w:jc w:val="center"/>
              <w:rPr>
                <w:rFonts w:asciiTheme="minorHAnsi" w:hAnsiTheme="minorHAnsi" w:cstheme="minorHAnsi"/>
                <w:b/>
              </w:rPr>
            </w:pPr>
            <w:r>
              <w:rPr>
                <w:rFonts w:asciiTheme="minorHAnsi" w:hAnsiTheme="minorHAnsi" w:cstheme="minorHAnsi"/>
                <w:b/>
              </w:rPr>
              <w:t>218</w:t>
            </w:r>
          </w:p>
        </w:tc>
      </w:tr>
      <w:tr w:rsidR="005C45A6" w:rsidRPr="00002B63" w:rsidTr="0037538B">
        <w:trPr>
          <w:trHeight w:val="284"/>
        </w:trPr>
        <w:tc>
          <w:tcPr>
            <w:tcW w:w="3780" w:type="dxa"/>
            <w:tcBorders>
              <w:top w:val="single" w:sz="4" w:space="0" w:color="auto"/>
              <w:left w:val="double" w:sz="4" w:space="0" w:color="auto"/>
              <w:bottom w:val="single" w:sz="4" w:space="0" w:color="auto"/>
              <w:right w:val="single" w:sz="12" w:space="0" w:color="auto"/>
            </w:tcBorders>
            <w:shd w:val="clear" w:color="auto" w:fill="CCFFFF"/>
          </w:tcPr>
          <w:p w:rsidR="005C45A6" w:rsidRPr="00002B63" w:rsidRDefault="005C45A6" w:rsidP="00207B4D">
            <w:pPr>
              <w:rPr>
                <w:rFonts w:asciiTheme="minorHAnsi" w:hAnsiTheme="minorHAnsi" w:cstheme="minorHAnsi"/>
              </w:rPr>
            </w:pPr>
            <w:r w:rsidRPr="00002B63">
              <w:rPr>
                <w:rFonts w:asciiTheme="minorHAnsi" w:hAnsiTheme="minorHAnsi" w:cstheme="minorHAnsi"/>
              </w:rPr>
              <w:t xml:space="preserve">            os. inval. I. a II. stupně</w:t>
            </w:r>
          </w:p>
        </w:tc>
        <w:tc>
          <w:tcPr>
            <w:tcW w:w="1395" w:type="dxa"/>
            <w:tcBorders>
              <w:top w:val="single" w:sz="4" w:space="0" w:color="auto"/>
              <w:left w:val="nil"/>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3 486</w:t>
            </w:r>
          </w:p>
        </w:tc>
        <w:tc>
          <w:tcPr>
            <w:tcW w:w="1395" w:type="dxa"/>
            <w:tcBorders>
              <w:top w:val="single" w:sz="4" w:space="0" w:color="auto"/>
              <w:bottom w:val="single" w:sz="4" w:space="0" w:color="auto"/>
              <w:right w:val="single" w:sz="18" w:space="0" w:color="auto"/>
            </w:tcBorders>
            <w:vAlign w:val="center"/>
          </w:tcPr>
          <w:p w:rsidR="005C45A6" w:rsidRPr="0037538B" w:rsidRDefault="0037538B" w:rsidP="0037538B">
            <w:pPr>
              <w:jc w:val="center"/>
              <w:rPr>
                <w:rFonts w:asciiTheme="minorHAnsi" w:hAnsiTheme="minorHAnsi" w:cstheme="minorHAnsi"/>
                <w:b/>
              </w:rPr>
            </w:pPr>
            <w:r w:rsidRPr="00556A54">
              <w:rPr>
                <w:rFonts w:asciiTheme="minorHAnsi" w:hAnsiTheme="minorHAnsi" w:cstheme="minorHAnsi"/>
                <w:b/>
                <w:color w:val="000000" w:themeColor="text1"/>
              </w:rPr>
              <w:t>3 464</w:t>
            </w:r>
          </w:p>
        </w:tc>
        <w:tc>
          <w:tcPr>
            <w:tcW w:w="1395" w:type="dxa"/>
            <w:tcBorders>
              <w:top w:val="single" w:sz="4" w:space="0" w:color="auto"/>
              <w:left w:val="single" w:sz="18" w:space="0" w:color="auto"/>
              <w:bottom w:val="sing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1 653</w:t>
            </w:r>
          </w:p>
        </w:tc>
        <w:tc>
          <w:tcPr>
            <w:tcW w:w="1395" w:type="dxa"/>
            <w:tcBorders>
              <w:top w:val="single" w:sz="4" w:space="0" w:color="auto"/>
              <w:bottom w:val="single" w:sz="4" w:space="0" w:color="auto"/>
              <w:right w:val="double" w:sz="4" w:space="0" w:color="auto"/>
            </w:tcBorders>
            <w:vAlign w:val="center"/>
          </w:tcPr>
          <w:p w:rsidR="005C45A6" w:rsidRPr="00002B63" w:rsidRDefault="000F6F8C" w:rsidP="00CF3B8F">
            <w:pPr>
              <w:jc w:val="center"/>
              <w:rPr>
                <w:rFonts w:asciiTheme="minorHAnsi" w:hAnsiTheme="minorHAnsi" w:cstheme="minorHAnsi"/>
                <w:b/>
              </w:rPr>
            </w:pPr>
            <w:r>
              <w:rPr>
                <w:rFonts w:asciiTheme="minorHAnsi" w:hAnsiTheme="minorHAnsi" w:cstheme="minorHAnsi"/>
                <w:b/>
              </w:rPr>
              <w:t>1 671</w:t>
            </w:r>
          </w:p>
        </w:tc>
      </w:tr>
      <w:tr w:rsidR="005C45A6" w:rsidRPr="00002B63" w:rsidTr="0037538B">
        <w:trPr>
          <w:trHeight w:val="284"/>
        </w:trPr>
        <w:tc>
          <w:tcPr>
            <w:tcW w:w="3780" w:type="dxa"/>
            <w:tcBorders>
              <w:top w:val="single" w:sz="4" w:space="0" w:color="auto"/>
              <w:left w:val="double" w:sz="4" w:space="0" w:color="auto"/>
              <w:bottom w:val="double" w:sz="4" w:space="0" w:color="auto"/>
              <w:right w:val="single" w:sz="12" w:space="0" w:color="auto"/>
            </w:tcBorders>
            <w:shd w:val="clear" w:color="auto" w:fill="CCFFFF"/>
          </w:tcPr>
          <w:p w:rsidR="005C45A6" w:rsidRPr="00002B63" w:rsidRDefault="005C45A6" w:rsidP="00207B4D">
            <w:pPr>
              <w:rPr>
                <w:rFonts w:asciiTheme="minorHAnsi" w:hAnsiTheme="minorHAnsi" w:cstheme="minorHAnsi"/>
              </w:rPr>
            </w:pPr>
            <w:r w:rsidRPr="00002B63">
              <w:rPr>
                <w:rFonts w:asciiTheme="minorHAnsi" w:hAnsiTheme="minorHAnsi" w:cstheme="minorHAnsi"/>
              </w:rPr>
              <w:t xml:space="preserve">            os. inval. III. stupně </w:t>
            </w:r>
          </w:p>
        </w:tc>
        <w:tc>
          <w:tcPr>
            <w:tcW w:w="1395" w:type="dxa"/>
            <w:tcBorders>
              <w:top w:val="single" w:sz="4" w:space="0" w:color="auto"/>
              <w:left w:val="nil"/>
              <w:bottom w:val="doub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15</w:t>
            </w:r>
          </w:p>
        </w:tc>
        <w:tc>
          <w:tcPr>
            <w:tcW w:w="1395" w:type="dxa"/>
            <w:tcBorders>
              <w:top w:val="single" w:sz="4" w:space="0" w:color="auto"/>
              <w:bottom w:val="double" w:sz="4" w:space="0" w:color="auto"/>
              <w:right w:val="single" w:sz="18" w:space="0" w:color="auto"/>
            </w:tcBorders>
            <w:vAlign w:val="center"/>
          </w:tcPr>
          <w:p w:rsidR="005C45A6" w:rsidRPr="0037538B" w:rsidRDefault="0037538B" w:rsidP="0037538B">
            <w:pPr>
              <w:jc w:val="center"/>
              <w:rPr>
                <w:rFonts w:asciiTheme="minorHAnsi" w:hAnsiTheme="minorHAnsi" w:cstheme="minorHAnsi"/>
                <w:b/>
              </w:rPr>
            </w:pPr>
            <w:r w:rsidRPr="0037538B">
              <w:rPr>
                <w:rFonts w:asciiTheme="minorHAnsi" w:hAnsiTheme="minorHAnsi" w:cstheme="minorHAnsi"/>
                <w:b/>
              </w:rPr>
              <w:t>11</w:t>
            </w:r>
          </w:p>
        </w:tc>
        <w:tc>
          <w:tcPr>
            <w:tcW w:w="1395" w:type="dxa"/>
            <w:tcBorders>
              <w:top w:val="single" w:sz="4" w:space="0" w:color="auto"/>
              <w:left w:val="single" w:sz="18" w:space="0" w:color="auto"/>
              <w:bottom w:val="double" w:sz="4" w:space="0" w:color="auto"/>
            </w:tcBorders>
            <w:vAlign w:val="center"/>
          </w:tcPr>
          <w:p w:rsidR="005C45A6" w:rsidRPr="005C45A6" w:rsidRDefault="005C45A6" w:rsidP="005C45A6">
            <w:pPr>
              <w:jc w:val="center"/>
              <w:rPr>
                <w:rFonts w:asciiTheme="minorHAnsi" w:hAnsiTheme="minorHAnsi" w:cstheme="minorHAnsi"/>
              </w:rPr>
            </w:pPr>
            <w:r w:rsidRPr="005C45A6">
              <w:rPr>
                <w:rFonts w:asciiTheme="minorHAnsi" w:hAnsiTheme="minorHAnsi" w:cstheme="minorHAnsi"/>
              </w:rPr>
              <w:t>6</w:t>
            </w:r>
          </w:p>
        </w:tc>
        <w:tc>
          <w:tcPr>
            <w:tcW w:w="1395" w:type="dxa"/>
            <w:tcBorders>
              <w:top w:val="single" w:sz="4" w:space="0" w:color="auto"/>
              <w:bottom w:val="double" w:sz="4" w:space="0" w:color="auto"/>
              <w:right w:val="double" w:sz="4" w:space="0" w:color="auto"/>
            </w:tcBorders>
            <w:vAlign w:val="center"/>
          </w:tcPr>
          <w:p w:rsidR="005C45A6" w:rsidRPr="00002B63" w:rsidRDefault="000F6F8C" w:rsidP="00CF3B8F">
            <w:pPr>
              <w:jc w:val="center"/>
              <w:rPr>
                <w:rFonts w:asciiTheme="minorHAnsi" w:hAnsiTheme="minorHAnsi" w:cstheme="minorHAnsi"/>
                <w:b/>
              </w:rPr>
            </w:pPr>
            <w:r>
              <w:rPr>
                <w:rFonts w:asciiTheme="minorHAnsi" w:hAnsiTheme="minorHAnsi" w:cstheme="minorHAnsi"/>
                <w:b/>
              </w:rPr>
              <w:t>4</w:t>
            </w:r>
          </w:p>
        </w:tc>
      </w:tr>
    </w:tbl>
    <w:p w:rsidR="00207B4D" w:rsidRPr="00002B63" w:rsidRDefault="00207B4D" w:rsidP="00207B4D">
      <w:pPr>
        <w:pStyle w:val="Zkladntext"/>
        <w:spacing w:line="240" w:lineRule="auto"/>
        <w:jc w:val="both"/>
        <w:rPr>
          <w:rFonts w:asciiTheme="minorHAnsi" w:hAnsiTheme="minorHAnsi" w:cstheme="minorHAnsi"/>
          <w:b w:val="0"/>
          <w:color w:val="0000FF"/>
          <w:sz w:val="24"/>
        </w:rPr>
      </w:pPr>
    </w:p>
    <w:p w:rsidR="00EF3378" w:rsidRPr="00AF1D4F" w:rsidRDefault="00F04F75" w:rsidP="00526D87">
      <w:pPr>
        <w:pStyle w:val="Zkladntext2"/>
        <w:ind w:firstLine="708"/>
        <w:jc w:val="both"/>
        <w:rPr>
          <w:rFonts w:asciiTheme="minorHAnsi" w:hAnsiTheme="minorHAnsi" w:cstheme="minorHAnsi"/>
          <w:b/>
          <w:color w:val="000000" w:themeColor="text1"/>
          <w:szCs w:val="24"/>
        </w:rPr>
      </w:pPr>
      <w:r w:rsidRPr="00AF1D4F">
        <w:rPr>
          <w:rFonts w:asciiTheme="minorHAnsi" w:hAnsiTheme="minorHAnsi" w:cstheme="minorHAnsi"/>
          <w:b/>
          <w:color w:val="000000" w:themeColor="text1"/>
          <w:szCs w:val="24"/>
        </w:rPr>
        <w:t>Občané se zdravotním postižením</w:t>
      </w:r>
      <w:r w:rsidR="00CD3784" w:rsidRPr="00AF1D4F">
        <w:rPr>
          <w:rFonts w:asciiTheme="minorHAnsi" w:hAnsiTheme="minorHAnsi" w:cstheme="minorHAnsi"/>
          <w:b/>
          <w:color w:val="000000" w:themeColor="text1"/>
          <w:szCs w:val="24"/>
        </w:rPr>
        <w:t xml:space="preserve"> </w:t>
      </w:r>
      <w:r w:rsidR="00AF1D4F" w:rsidRPr="00AF1D4F">
        <w:rPr>
          <w:rFonts w:asciiTheme="minorHAnsi" w:hAnsiTheme="minorHAnsi" w:cstheme="minorHAnsi"/>
          <w:b/>
          <w:color w:val="000000" w:themeColor="text1"/>
          <w:szCs w:val="24"/>
        </w:rPr>
        <w:t>představují v kraji 10</w:t>
      </w:r>
      <w:r w:rsidRPr="00AF1D4F">
        <w:rPr>
          <w:rFonts w:asciiTheme="minorHAnsi" w:hAnsiTheme="minorHAnsi" w:cstheme="minorHAnsi"/>
          <w:b/>
          <w:color w:val="000000" w:themeColor="text1"/>
          <w:szCs w:val="24"/>
        </w:rPr>
        <w:t xml:space="preserve"> % nezaměstnaných; jejich </w:t>
      </w:r>
      <w:r w:rsidR="00931066" w:rsidRPr="00AF1D4F">
        <w:rPr>
          <w:rFonts w:asciiTheme="minorHAnsi" w:hAnsiTheme="minorHAnsi" w:cstheme="minorHAnsi"/>
          <w:b/>
          <w:color w:val="000000" w:themeColor="text1"/>
          <w:szCs w:val="24"/>
        </w:rPr>
        <w:t>počet meziročně mírně klesl</w:t>
      </w:r>
      <w:r w:rsidR="00AF1D4F" w:rsidRPr="00AF1D4F">
        <w:rPr>
          <w:rFonts w:asciiTheme="minorHAnsi" w:hAnsiTheme="minorHAnsi" w:cstheme="minorHAnsi"/>
          <w:b/>
          <w:color w:val="000000" w:themeColor="text1"/>
          <w:szCs w:val="24"/>
        </w:rPr>
        <w:t>, ale podíl se zvýšil o 0,9 p.b.</w:t>
      </w:r>
    </w:p>
    <w:p w:rsidR="001D0FD5" w:rsidRPr="00AF1D4F" w:rsidRDefault="00F04F75" w:rsidP="00526D87">
      <w:pPr>
        <w:pStyle w:val="Zkladntext2"/>
        <w:ind w:firstLine="708"/>
        <w:jc w:val="both"/>
        <w:rPr>
          <w:rFonts w:asciiTheme="minorHAnsi" w:hAnsiTheme="minorHAnsi" w:cstheme="minorHAnsi"/>
          <w:color w:val="000000" w:themeColor="text1"/>
        </w:rPr>
      </w:pPr>
      <w:r w:rsidRPr="00AF1D4F">
        <w:rPr>
          <w:rFonts w:asciiTheme="minorHAnsi" w:hAnsiTheme="minorHAnsi" w:cstheme="minorHAnsi"/>
          <w:color w:val="000000" w:themeColor="text1"/>
        </w:rPr>
        <w:t xml:space="preserve">Počet OZP v evidenci ÚP </w:t>
      </w:r>
      <w:r w:rsidR="007D3DCB" w:rsidRPr="00AF1D4F">
        <w:rPr>
          <w:rFonts w:asciiTheme="minorHAnsi" w:hAnsiTheme="minorHAnsi" w:cstheme="minorHAnsi"/>
          <w:color w:val="000000" w:themeColor="text1"/>
        </w:rPr>
        <w:t>od roku 2005 postupně klesal</w:t>
      </w:r>
      <w:r w:rsidRPr="00AF1D4F">
        <w:rPr>
          <w:rFonts w:asciiTheme="minorHAnsi" w:hAnsiTheme="minorHAnsi" w:cstheme="minorHAnsi"/>
          <w:color w:val="000000" w:themeColor="text1"/>
        </w:rPr>
        <w:t xml:space="preserve">. Pokles </w:t>
      </w:r>
      <w:r w:rsidR="00B04E58" w:rsidRPr="00AF1D4F">
        <w:rPr>
          <w:rFonts w:asciiTheme="minorHAnsi" w:hAnsiTheme="minorHAnsi" w:cstheme="minorHAnsi"/>
          <w:color w:val="000000" w:themeColor="text1"/>
        </w:rPr>
        <w:t xml:space="preserve">počtu OZP v letech 2005 – 2008 </w:t>
      </w:r>
      <w:r w:rsidRPr="00AF1D4F">
        <w:rPr>
          <w:rFonts w:asciiTheme="minorHAnsi" w:hAnsiTheme="minorHAnsi" w:cstheme="minorHAnsi"/>
          <w:color w:val="000000" w:themeColor="text1"/>
        </w:rPr>
        <w:t>byl ale menší než pokles celkové nezaměstnanosti – z toho důvodu se podíl osob se ZP zvyšoval</w:t>
      </w:r>
      <w:r w:rsidR="00B04E58" w:rsidRPr="00AF1D4F">
        <w:rPr>
          <w:rFonts w:asciiTheme="minorHAnsi" w:hAnsiTheme="minorHAnsi" w:cstheme="minorHAnsi"/>
          <w:color w:val="000000" w:themeColor="text1"/>
        </w:rPr>
        <w:t xml:space="preserve"> až k hranici 21 % v polovině roku 2008</w:t>
      </w:r>
      <w:r w:rsidRPr="00AF1D4F">
        <w:rPr>
          <w:rFonts w:asciiTheme="minorHAnsi" w:hAnsiTheme="minorHAnsi" w:cstheme="minorHAnsi"/>
          <w:color w:val="000000" w:themeColor="text1"/>
        </w:rPr>
        <w:t xml:space="preserve">. </w:t>
      </w:r>
      <w:r w:rsidR="00B04E58" w:rsidRPr="00AF1D4F">
        <w:rPr>
          <w:rFonts w:asciiTheme="minorHAnsi" w:hAnsiTheme="minorHAnsi" w:cstheme="minorHAnsi"/>
          <w:color w:val="000000" w:themeColor="text1"/>
        </w:rPr>
        <w:t>Od roku</w:t>
      </w:r>
      <w:r w:rsidR="00EF3378" w:rsidRPr="00AF1D4F">
        <w:rPr>
          <w:rFonts w:asciiTheme="minorHAnsi" w:hAnsiTheme="minorHAnsi" w:cstheme="minorHAnsi"/>
          <w:color w:val="000000" w:themeColor="text1"/>
        </w:rPr>
        <w:t xml:space="preserve"> 2009</w:t>
      </w:r>
      <w:r w:rsidR="007D3DCB" w:rsidRPr="00AF1D4F">
        <w:rPr>
          <w:rFonts w:asciiTheme="minorHAnsi" w:hAnsiTheme="minorHAnsi" w:cstheme="minorHAnsi"/>
          <w:color w:val="000000" w:themeColor="text1"/>
        </w:rPr>
        <w:t xml:space="preserve"> (s masovým nárůstem celkové nezaměstnanosti) s</w:t>
      </w:r>
      <w:r w:rsidR="00CF2160" w:rsidRPr="00AF1D4F">
        <w:rPr>
          <w:rFonts w:asciiTheme="minorHAnsi" w:hAnsiTheme="minorHAnsi" w:cstheme="minorHAnsi"/>
          <w:color w:val="000000" w:themeColor="text1"/>
        </w:rPr>
        <w:t>e podíl OZP začal znatelně snižovat</w:t>
      </w:r>
      <w:r w:rsidR="007D3DCB" w:rsidRPr="00AF1D4F">
        <w:rPr>
          <w:rFonts w:asciiTheme="minorHAnsi" w:hAnsiTheme="minorHAnsi" w:cstheme="minorHAnsi"/>
          <w:color w:val="000000" w:themeColor="text1"/>
        </w:rPr>
        <w:t xml:space="preserve">. </w:t>
      </w:r>
      <w:r w:rsidR="00B04E58" w:rsidRPr="00AF1D4F">
        <w:rPr>
          <w:rFonts w:asciiTheme="minorHAnsi" w:hAnsiTheme="minorHAnsi" w:cstheme="minorHAnsi"/>
          <w:color w:val="000000" w:themeColor="text1"/>
        </w:rPr>
        <w:t>Nejnižšího podílu OZP v evidenci ÚP bylo dosaženo v únoru 2010, tj. v době kulminující nezaměstnanosti – 10,5</w:t>
      </w:r>
      <w:r w:rsidR="005D21D2" w:rsidRPr="00AF1D4F">
        <w:rPr>
          <w:rFonts w:asciiTheme="minorHAnsi" w:hAnsiTheme="minorHAnsi" w:cstheme="minorHAnsi"/>
          <w:color w:val="000000" w:themeColor="text1"/>
        </w:rPr>
        <w:t xml:space="preserve"> </w:t>
      </w:r>
      <w:r w:rsidR="00B04E58" w:rsidRPr="00AF1D4F">
        <w:rPr>
          <w:rFonts w:asciiTheme="minorHAnsi" w:hAnsiTheme="minorHAnsi" w:cstheme="minorHAnsi"/>
          <w:color w:val="000000" w:themeColor="text1"/>
        </w:rPr>
        <w:t>%.</w:t>
      </w:r>
      <w:r w:rsidR="00CD3784" w:rsidRPr="00AF1D4F">
        <w:rPr>
          <w:rFonts w:asciiTheme="minorHAnsi" w:hAnsiTheme="minorHAnsi" w:cstheme="minorHAnsi"/>
          <w:color w:val="000000" w:themeColor="text1"/>
        </w:rPr>
        <w:t xml:space="preserve"> Poté se podíl nezaměstnaných OZP (v době klesající celkové nezaměstnanost</w:t>
      </w:r>
      <w:r w:rsidR="00CF2160" w:rsidRPr="00AF1D4F">
        <w:rPr>
          <w:rFonts w:asciiTheme="minorHAnsi" w:hAnsiTheme="minorHAnsi" w:cstheme="minorHAnsi"/>
          <w:color w:val="000000" w:themeColor="text1"/>
        </w:rPr>
        <w:t>i) postupně zase zvyšoval až </w:t>
      </w:r>
      <w:r w:rsidR="00CD3784" w:rsidRPr="00AF1D4F">
        <w:rPr>
          <w:rFonts w:asciiTheme="minorHAnsi" w:hAnsiTheme="minorHAnsi" w:cstheme="minorHAnsi"/>
          <w:color w:val="000000" w:themeColor="text1"/>
        </w:rPr>
        <w:t>k</w:t>
      </w:r>
      <w:r w:rsidR="00CF2160" w:rsidRPr="00AF1D4F">
        <w:rPr>
          <w:rFonts w:asciiTheme="minorHAnsi" w:hAnsiTheme="minorHAnsi" w:cstheme="minorHAnsi"/>
          <w:color w:val="000000" w:themeColor="text1"/>
        </w:rPr>
        <w:t> 13 </w:t>
      </w:r>
      <w:r w:rsidR="005D21D2" w:rsidRPr="00AF1D4F">
        <w:rPr>
          <w:rFonts w:asciiTheme="minorHAnsi" w:hAnsiTheme="minorHAnsi" w:cstheme="minorHAnsi"/>
          <w:color w:val="000000" w:themeColor="text1"/>
        </w:rPr>
        <w:t>% v červnu 2011; v letech</w:t>
      </w:r>
      <w:r w:rsidR="00CD3784" w:rsidRPr="00AF1D4F">
        <w:rPr>
          <w:rFonts w:asciiTheme="minorHAnsi" w:hAnsiTheme="minorHAnsi" w:cstheme="minorHAnsi"/>
          <w:color w:val="000000" w:themeColor="text1"/>
        </w:rPr>
        <w:t xml:space="preserve"> 2012</w:t>
      </w:r>
      <w:r w:rsidR="00AF1D4F" w:rsidRPr="00AF1D4F">
        <w:rPr>
          <w:rFonts w:asciiTheme="minorHAnsi" w:hAnsiTheme="minorHAnsi" w:cstheme="minorHAnsi"/>
          <w:color w:val="000000" w:themeColor="text1"/>
        </w:rPr>
        <w:t xml:space="preserve"> - 2014</w:t>
      </w:r>
      <w:r w:rsidR="00CD3784" w:rsidRPr="00AF1D4F">
        <w:rPr>
          <w:rFonts w:asciiTheme="minorHAnsi" w:hAnsiTheme="minorHAnsi" w:cstheme="minorHAnsi"/>
          <w:color w:val="000000" w:themeColor="text1"/>
        </w:rPr>
        <w:t xml:space="preserve"> opět klesal až na </w:t>
      </w:r>
      <w:r w:rsidR="00AF1D4F" w:rsidRPr="00AF1D4F">
        <w:rPr>
          <w:rFonts w:asciiTheme="minorHAnsi" w:hAnsiTheme="minorHAnsi" w:cstheme="minorHAnsi"/>
          <w:color w:val="000000" w:themeColor="text1"/>
        </w:rPr>
        <w:t>nejnižší hodnoty od vzniku krajského uspořádání (nejnižšího podílu bylo dosaženo v lednu 2014 – 8,5 %).</w:t>
      </w:r>
    </w:p>
    <w:p w:rsidR="00EF3378" w:rsidRPr="00556A54" w:rsidRDefault="003D7DDA" w:rsidP="00526D87">
      <w:pPr>
        <w:pStyle w:val="Zkladntext2"/>
        <w:ind w:firstLine="708"/>
        <w:jc w:val="both"/>
        <w:rPr>
          <w:rFonts w:asciiTheme="minorHAnsi" w:hAnsiTheme="minorHAnsi" w:cstheme="minorHAnsi"/>
          <w:color w:val="000000" w:themeColor="text1"/>
        </w:rPr>
      </w:pPr>
      <w:r w:rsidRPr="00556A54">
        <w:rPr>
          <w:rFonts w:asciiTheme="minorHAnsi" w:hAnsiTheme="minorHAnsi" w:cstheme="minorHAnsi"/>
          <w:b/>
          <w:color w:val="000000" w:themeColor="text1"/>
        </w:rPr>
        <w:t>Nutno dodat, že snížení počtu uchazečů se ZP bylo způsobeno nejen jejich umísťováním na trh práce prostřednictvím nástrojů APZ či s pomocí projektů ESF, ale částečně i odebráním statutu osoby se ZP</w:t>
      </w:r>
      <w:r w:rsidRPr="00556A54">
        <w:rPr>
          <w:rFonts w:asciiTheme="minorHAnsi" w:hAnsiTheme="minorHAnsi" w:cstheme="minorHAnsi"/>
          <w:color w:val="000000" w:themeColor="text1"/>
        </w:rPr>
        <w:t xml:space="preserve">. Podle zákona č. 435/2004 Sb., o zaměstnanosti, k 30. 9. 2007 skončila platnost všech původních rozhodnutí o přiznání ZPS (a k 30. 6. 2009 skončila i platnost všech rozhodnutí o přiznání statutu osoby zdravotně znevýhodněné, která byla vydána okresní správou sociálního zabezpečení). Mnoha občanům, kteří si podali žádost o přiznání statutu osoby zdravotně znevýhodněné na úřadu práce, nebylo po přezkoumání zdravotního stavu vyhověno. To se projevilo výrazným snížením podílu osob zdravotně znevýhodněných na celkovém počtu zdravotně postižených. </w:t>
      </w:r>
    </w:p>
    <w:p w:rsidR="00556A54" w:rsidRPr="00556A54" w:rsidRDefault="00CF2160" w:rsidP="00526D87">
      <w:pPr>
        <w:pStyle w:val="Zkladntext2"/>
        <w:ind w:firstLine="708"/>
        <w:jc w:val="both"/>
        <w:rPr>
          <w:rFonts w:asciiTheme="minorHAnsi" w:hAnsiTheme="minorHAnsi" w:cstheme="minorHAnsi"/>
          <w:b/>
          <w:color w:val="000000" w:themeColor="text1"/>
        </w:rPr>
      </w:pPr>
      <w:r w:rsidRPr="00556A54">
        <w:rPr>
          <w:rFonts w:asciiTheme="minorHAnsi" w:hAnsiTheme="minorHAnsi" w:cstheme="minorHAnsi"/>
          <w:b/>
          <w:color w:val="000000" w:themeColor="text1"/>
        </w:rPr>
        <w:t>Novelou zákona o zaměstnanosti úřad prá</w:t>
      </w:r>
      <w:r w:rsidR="00AF1D4F" w:rsidRPr="00556A54">
        <w:rPr>
          <w:rFonts w:asciiTheme="minorHAnsi" w:hAnsiTheme="minorHAnsi" w:cstheme="minorHAnsi"/>
          <w:b/>
          <w:color w:val="000000" w:themeColor="text1"/>
        </w:rPr>
        <w:t>ce od 1. ledna 2012 již také nevydával</w:t>
      </w:r>
      <w:r w:rsidRPr="00556A54">
        <w:rPr>
          <w:rFonts w:asciiTheme="minorHAnsi" w:hAnsiTheme="minorHAnsi" w:cstheme="minorHAnsi"/>
          <w:b/>
          <w:color w:val="000000" w:themeColor="text1"/>
        </w:rPr>
        <w:t xml:space="preserve"> nová rozhodnutí o přiznání statutu osoby zdravotně znevýhodněné, takže platnost dosavadních </w:t>
      </w:r>
      <w:r w:rsidR="00AF1D4F" w:rsidRPr="00556A54">
        <w:rPr>
          <w:rFonts w:asciiTheme="minorHAnsi" w:hAnsiTheme="minorHAnsi" w:cstheme="minorHAnsi"/>
          <w:b/>
          <w:color w:val="000000" w:themeColor="text1"/>
        </w:rPr>
        <w:t>rozhodnutí postupně končila</w:t>
      </w:r>
      <w:r w:rsidRPr="00556A54">
        <w:rPr>
          <w:rFonts w:asciiTheme="minorHAnsi" w:hAnsiTheme="minorHAnsi" w:cstheme="minorHAnsi"/>
          <w:b/>
          <w:color w:val="000000" w:themeColor="text1"/>
        </w:rPr>
        <w:t xml:space="preserve"> – a to nejpozději do konce roku 2014. </w:t>
      </w:r>
      <w:r w:rsidR="00556A54" w:rsidRPr="00556A54">
        <w:rPr>
          <w:rFonts w:asciiTheme="minorHAnsi" w:hAnsiTheme="minorHAnsi" w:cstheme="minorHAnsi"/>
          <w:b/>
          <w:color w:val="000000" w:themeColor="text1"/>
        </w:rPr>
        <w:t>Mezitím byla přijata další novela zákona o zaměstnanosti, kterou se zase status osoby zdravotně znevýhodněné opět zavádí (rozhodnutí vydávají jednotlivé okresní správy sociálního zabezpečení).</w:t>
      </w:r>
    </w:p>
    <w:p w:rsidR="00506292" w:rsidRPr="00556A54" w:rsidRDefault="00506292" w:rsidP="00471FF4">
      <w:pPr>
        <w:pStyle w:val="Zkladntext"/>
        <w:spacing w:line="240" w:lineRule="exact"/>
        <w:jc w:val="both"/>
        <w:rPr>
          <w:rFonts w:asciiTheme="minorHAnsi" w:hAnsiTheme="minorHAnsi" w:cstheme="minorHAnsi"/>
          <w:caps/>
          <w:color w:val="000000" w:themeColor="text1"/>
        </w:rPr>
      </w:pPr>
    </w:p>
    <w:p w:rsidR="00506292" w:rsidRPr="00556A54" w:rsidRDefault="00506292" w:rsidP="00471FF4">
      <w:pPr>
        <w:pStyle w:val="Zkladntext"/>
        <w:spacing w:line="240" w:lineRule="exact"/>
        <w:jc w:val="both"/>
        <w:rPr>
          <w:rFonts w:asciiTheme="minorHAnsi" w:hAnsiTheme="minorHAnsi" w:cstheme="minorHAnsi"/>
          <w:caps/>
          <w:color w:val="000000" w:themeColor="text1"/>
        </w:rPr>
      </w:pPr>
    </w:p>
    <w:p w:rsidR="00FF45C7" w:rsidRPr="00556A54" w:rsidRDefault="00FF45C7" w:rsidP="00471FF4">
      <w:pPr>
        <w:pStyle w:val="Zkladntext"/>
        <w:spacing w:line="240" w:lineRule="exact"/>
        <w:jc w:val="both"/>
        <w:rPr>
          <w:rFonts w:asciiTheme="minorHAnsi" w:hAnsiTheme="minorHAnsi" w:cstheme="minorHAnsi"/>
          <w:caps/>
          <w:color w:val="000000" w:themeColor="text1"/>
        </w:rPr>
      </w:pPr>
    </w:p>
    <w:p w:rsidR="00FF45C7" w:rsidRPr="00556A54" w:rsidRDefault="00FF45C7" w:rsidP="00471FF4">
      <w:pPr>
        <w:pStyle w:val="Zkladntext"/>
        <w:spacing w:line="240" w:lineRule="exact"/>
        <w:jc w:val="both"/>
        <w:rPr>
          <w:rFonts w:asciiTheme="minorHAnsi" w:hAnsiTheme="minorHAnsi" w:cstheme="minorHAnsi"/>
          <w:caps/>
          <w:color w:val="000000" w:themeColor="text1"/>
        </w:rPr>
      </w:pPr>
    </w:p>
    <w:p w:rsidR="00FF45C7" w:rsidRPr="00556A54" w:rsidRDefault="00FF45C7" w:rsidP="00471FF4">
      <w:pPr>
        <w:pStyle w:val="Zkladntext"/>
        <w:spacing w:line="240" w:lineRule="exact"/>
        <w:jc w:val="both"/>
        <w:rPr>
          <w:rFonts w:asciiTheme="minorHAnsi" w:hAnsiTheme="minorHAnsi" w:cstheme="minorHAnsi"/>
          <w:caps/>
          <w:color w:val="000000" w:themeColor="text1"/>
        </w:rPr>
      </w:pPr>
    </w:p>
    <w:p w:rsidR="00FF45C7" w:rsidRDefault="00FF45C7" w:rsidP="00471FF4">
      <w:pPr>
        <w:pStyle w:val="Zkladntext"/>
        <w:spacing w:line="240" w:lineRule="exact"/>
        <w:jc w:val="both"/>
        <w:rPr>
          <w:rFonts w:asciiTheme="minorHAnsi" w:hAnsiTheme="minorHAnsi" w:cstheme="minorHAnsi"/>
          <w:caps/>
          <w:color w:val="FF0000"/>
        </w:rPr>
      </w:pPr>
    </w:p>
    <w:p w:rsidR="00FF45C7" w:rsidRDefault="00FF45C7" w:rsidP="00471FF4">
      <w:pPr>
        <w:pStyle w:val="Zkladntext"/>
        <w:spacing w:line="240" w:lineRule="exact"/>
        <w:jc w:val="both"/>
        <w:rPr>
          <w:rFonts w:asciiTheme="minorHAnsi" w:hAnsiTheme="minorHAnsi" w:cstheme="minorHAnsi"/>
          <w:caps/>
          <w:color w:val="FF0000"/>
        </w:rPr>
      </w:pPr>
    </w:p>
    <w:p w:rsidR="00FF45C7" w:rsidRDefault="00FF45C7" w:rsidP="00471FF4">
      <w:pPr>
        <w:pStyle w:val="Zkladntext"/>
        <w:spacing w:line="240" w:lineRule="exact"/>
        <w:jc w:val="both"/>
        <w:rPr>
          <w:rFonts w:asciiTheme="minorHAnsi" w:hAnsiTheme="minorHAnsi" w:cstheme="minorHAnsi"/>
          <w:caps/>
          <w:color w:val="FF0000"/>
        </w:rPr>
      </w:pPr>
    </w:p>
    <w:p w:rsidR="00556A54" w:rsidRDefault="00556A54" w:rsidP="00471FF4">
      <w:pPr>
        <w:pStyle w:val="Zkladntext"/>
        <w:spacing w:line="240" w:lineRule="exact"/>
        <w:jc w:val="both"/>
        <w:rPr>
          <w:rFonts w:asciiTheme="minorHAnsi" w:hAnsiTheme="minorHAnsi" w:cstheme="minorHAnsi"/>
          <w:caps/>
          <w:color w:val="FF0000"/>
        </w:rPr>
      </w:pPr>
    </w:p>
    <w:p w:rsidR="00FF45C7" w:rsidRDefault="00FF45C7" w:rsidP="00471FF4">
      <w:pPr>
        <w:pStyle w:val="Zkladntext"/>
        <w:spacing w:line="240" w:lineRule="exact"/>
        <w:jc w:val="both"/>
        <w:rPr>
          <w:rFonts w:asciiTheme="minorHAnsi" w:hAnsiTheme="minorHAnsi" w:cstheme="minorHAnsi"/>
          <w:caps/>
          <w:color w:val="FF0000"/>
        </w:rPr>
      </w:pPr>
    </w:p>
    <w:p w:rsidR="00FF45C7" w:rsidRDefault="00FF45C7" w:rsidP="00471FF4">
      <w:pPr>
        <w:pStyle w:val="Zkladntext"/>
        <w:spacing w:line="240" w:lineRule="exact"/>
        <w:jc w:val="both"/>
        <w:rPr>
          <w:rFonts w:asciiTheme="minorHAnsi" w:hAnsiTheme="minorHAnsi" w:cstheme="minorHAnsi"/>
          <w:caps/>
          <w:color w:val="FF0000"/>
        </w:rPr>
      </w:pPr>
    </w:p>
    <w:p w:rsidR="00FF45C7" w:rsidRDefault="00FF45C7" w:rsidP="00471FF4">
      <w:pPr>
        <w:pStyle w:val="Zkladntext"/>
        <w:spacing w:line="240" w:lineRule="exact"/>
        <w:jc w:val="both"/>
        <w:rPr>
          <w:rFonts w:asciiTheme="minorHAnsi" w:hAnsiTheme="minorHAnsi" w:cstheme="minorHAnsi"/>
          <w:caps/>
          <w:color w:val="FF0000"/>
        </w:rPr>
      </w:pPr>
    </w:p>
    <w:p w:rsidR="00FF45C7" w:rsidRDefault="00FF45C7" w:rsidP="00471FF4">
      <w:pPr>
        <w:pStyle w:val="Zkladntext"/>
        <w:spacing w:line="240" w:lineRule="exact"/>
        <w:jc w:val="both"/>
        <w:rPr>
          <w:rFonts w:asciiTheme="minorHAnsi" w:hAnsiTheme="minorHAnsi" w:cstheme="minorHAnsi"/>
          <w:caps/>
          <w:color w:val="FF0000"/>
        </w:rPr>
      </w:pPr>
    </w:p>
    <w:p w:rsidR="00FF45C7" w:rsidRPr="00002B63" w:rsidRDefault="00FF45C7" w:rsidP="00471FF4">
      <w:pPr>
        <w:pStyle w:val="Zkladntext"/>
        <w:spacing w:line="240" w:lineRule="exact"/>
        <w:jc w:val="both"/>
        <w:rPr>
          <w:rFonts w:asciiTheme="minorHAnsi" w:hAnsiTheme="minorHAnsi" w:cstheme="minorHAnsi"/>
          <w:caps/>
          <w:color w:val="FF0000"/>
        </w:rPr>
      </w:pPr>
    </w:p>
    <w:p w:rsidR="00506292" w:rsidRPr="00002B63" w:rsidRDefault="00506292" w:rsidP="00471FF4">
      <w:pPr>
        <w:pStyle w:val="Zkladntext"/>
        <w:spacing w:line="240" w:lineRule="exact"/>
        <w:jc w:val="both"/>
        <w:rPr>
          <w:rFonts w:asciiTheme="minorHAnsi" w:hAnsiTheme="minorHAnsi" w:cstheme="minorHAnsi"/>
          <w:caps/>
          <w:color w:val="FF0000"/>
        </w:rPr>
      </w:pPr>
    </w:p>
    <w:p w:rsidR="003D37EB" w:rsidRPr="002416F7" w:rsidRDefault="003D37EB" w:rsidP="003D37EB">
      <w:pPr>
        <w:pStyle w:val="Nadpis6"/>
        <w:spacing w:line="360" w:lineRule="auto"/>
        <w:jc w:val="both"/>
        <w:rPr>
          <w:rFonts w:asciiTheme="minorHAnsi" w:hAnsiTheme="minorHAnsi" w:cstheme="minorHAnsi"/>
          <w:i w:val="0"/>
          <w:color w:val="0000FF"/>
        </w:rPr>
      </w:pPr>
      <w:r w:rsidRPr="002416F7">
        <w:rPr>
          <w:rFonts w:asciiTheme="minorHAnsi" w:hAnsiTheme="minorHAnsi" w:cstheme="minorHAnsi"/>
          <w:i w:val="0"/>
          <w:color w:val="0000FF"/>
        </w:rPr>
        <w:lastRenderedPageBreak/>
        <w:t>3.2 Problémové regiony v Olomouckém kraji</w:t>
      </w:r>
    </w:p>
    <w:p w:rsidR="003D37EB" w:rsidRPr="00002B63" w:rsidRDefault="003D37EB" w:rsidP="00471FF4">
      <w:pPr>
        <w:pStyle w:val="Zkladntext"/>
        <w:spacing w:line="240" w:lineRule="exact"/>
        <w:jc w:val="both"/>
        <w:rPr>
          <w:rFonts w:asciiTheme="minorHAnsi" w:hAnsiTheme="minorHAnsi" w:cstheme="minorHAnsi"/>
          <w:caps/>
          <w:color w:val="FF0000"/>
        </w:rPr>
      </w:pPr>
    </w:p>
    <w:p w:rsidR="00E8792A" w:rsidRPr="00002B63" w:rsidRDefault="00E8792A" w:rsidP="00E8792A">
      <w:pPr>
        <w:pStyle w:val="Zkladntext2"/>
        <w:jc w:val="both"/>
        <w:rPr>
          <w:rFonts w:asciiTheme="minorHAnsi" w:hAnsiTheme="minorHAnsi" w:cstheme="minorHAnsi"/>
          <w:b/>
        </w:rPr>
      </w:pPr>
      <w:r w:rsidRPr="00002B63">
        <w:rPr>
          <w:rFonts w:asciiTheme="minorHAnsi" w:hAnsiTheme="minorHAnsi" w:cstheme="minorHAnsi"/>
          <w:b/>
        </w:rPr>
        <w:t xml:space="preserve">Tabulka 10 – </w:t>
      </w:r>
      <w:r w:rsidRPr="00002B63">
        <w:rPr>
          <w:rFonts w:asciiTheme="minorHAnsi" w:hAnsiTheme="minorHAnsi" w:cstheme="minorHAnsi"/>
        </w:rPr>
        <w:t xml:space="preserve">Nezaměstnanost na území POÚ </w:t>
      </w:r>
      <w:r w:rsidR="00873288">
        <w:rPr>
          <w:rFonts w:asciiTheme="minorHAnsi" w:hAnsiTheme="minorHAnsi" w:cstheme="minorHAnsi"/>
        </w:rPr>
        <w:t xml:space="preserve">Olomouckého kraje k 31. 12. </w:t>
      </w:r>
      <w:r w:rsidRPr="00002B63">
        <w:rPr>
          <w:rFonts w:asciiTheme="minorHAnsi" w:hAnsiTheme="minorHAnsi" w:cstheme="minorHAnsi"/>
        </w:rPr>
        <w:t>201</w:t>
      </w:r>
      <w:r w:rsidR="005C45A6">
        <w:rPr>
          <w:rFonts w:asciiTheme="minorHAnsi" w:hAnsiTheme="minorHAnsi" w:cstheme="minorHAnsi"/>
        </w:rPr>
        <w:t>4</w:t>
      </w:r>
    </w:p>
    <w:tbl>
      <w:tblPr>
        <w:tblW w:w="935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559"/>
        <w:gridCol w:w="1560"/>
        <w:gridCol w:w="1134"/>
        <w:gridCol w:w="992"/>
      </w:tblGrid>
      <w:tr w:rsidR="00BA06FF" w:rsidRPr="00002B63" w:rsidTr="000B58BE">
        <w:trPr>
          <w:cantSplit/>
          <w:trHeight w:val="350"/>
        </w:trPr>
        <w:tc>
          <w:tcPr>
            <w:tcW w:w="3119" w:type="dxa"/>
            <w:vMerge w:val="restart"/>
            <w:tcBorders>
              <w:top w:val="double" w:sz="4" w:space="0" w:color="auto"/>
              <w:left w:val="double" w:sz="4" w:space="0" w:color="auto"/>
              <w:bottom w:val="single" w:sz="4" w:space="0" w:color="auto"/>
              <w:right w:val="double" w:sz="4" w:space="0" w:color="auto"/>
            </w:tcBorders>
            <w:shd w:val="clear" w:color="auto" w:fill="CCFFFF"/>
            <w:vAlign w:val="center"/>
          </w:tcPr>
          <w:p w:rsidR="00BA06FF" w:rsidRPr="00002B63" w:rsidRDefault="00BA06FF" w:rsidP="00E8792A">
            <w:pPr>
              <w:pStyle w:val="Zkladntext"/>
              <w:spacing w:line="276" w:lineRule="auto"/>
              <w:rPr>
                <w:rFonts w:asciiTheme="minorHAnsi" w:hAnsiTheme="minorHAnsi" w:cstheme="minorHAnsi"/>
                <w:sz w:val="24"/>
              </w:rPr>
            </w:pPr>
            <w:r w:rsidRPr="00002B63">
              <w:rPr>
                <w:rFonts w:asciiTheme="minorHAnsi" w:hAnsiTheme="minorHAnsi" w:cstheme="minorHAnsi"/>
                <w:sz w:val="24"/>
              </w:rPr>
              <w:t xml:space="preserve">Název pověřeného </w:t>
            </w:r>
          </w:p>
          <w:p w:rsidR="00BA06FF" w:rsidRPr="00002B63" w:rsidRDefault="00BA06FF" w:rsidP="00E8792A">
            <w:pPr>
              <w:pStyle w:val="Zkladntext"/>
              <w:spacing w:line="276" w:lineRule="auto"/>
              <w:rPr>
                <w:rFonts w:asciiTheme="minorHAnsi" w:hAnsiTheme="minorHAnsi" w:cstheme="minorHAnsi"/>
                <w:sz w:val="24"/>
              </w:rPr>
            </w:pPr>
            <w:r w:rsidRPr="00002B63">
              <w:rPr>
                <w:rFonts w:asciiTheme="minorHAnsi" w:hAnsiTheme="minorHAnsi" w:cstheme="minorHAnsi"/>
                <w:sz w:val="24"/>
              </w:rPr>
              <w:t xml:space="preserve">obecního úřadu </w:t>
            </w:r>
          </w:p>
          <w:p w:rsidR="00BA06FF" w:rsidRPr="00002B63" w:rsidRDefault="00BA06FF" w:rsidP="00E8792A">
            <w:pPr>
              <w:pStyle w:val="Zkladntext"/>
              <w:spacing w:line="276" w:lineRule="auto"/>
              <w:rPr>
                <w:rFonts w:asciiTheme="minorHAnsi" w:hAnsiTheme="minorHAnsi" w:cstheme="minorHAnsi"/>
                <w:sz w:val="24"/>
              </w:rPr>
            </w:pPr>
            <w:r w:rsidRPr="00002B63">
              <w:rPr>
                <w:rFonts w:asciiTheme="minorHAnsi" w:hAnsiTheme="minorHAnsi" w:cstheme="minorHAnsi"/>
                <w:sz w:val="24"/>
              </w:rPr>
              <w:t>(zkratka příslušného okresu)</w:t>
            </w:r>
          </w:p>
        </w:tc>
        <w:tc>
          <w:tcPr>
            <w:tcW w:w="992" w:type="dxa"/>
            <w:vMerge w:val="restart"/>
            <w:tcBorders>
              <w:top w:val="double" w:sz="4" w:space="0" w:color="auto"/>
              <w:bottom w:val="single" w:sz="4" w:space="0" w:color="auto"/>
            </w:tcBorders>
            <w:shd w:val="clear" w:color="auto" w:fill="CCFFFF"/>
            <w:vAlign w:val="center"/>
          </w:tcPr>
          <w:p w:rsidR="00BA06FF" w:rsidRDefault="00BA06FF" w:rsidP="00E8792A">
            <w:pPr>
              <w:pStyle w:val="Zkladntext"/>
              <w:rPr>
                <w:rFonts w:asciiTheme="minorHAnsi" w:hAnsiTheme="minorHAnsi" w:cstheme="minorHAnsi"/>
                <w:sz w:val="24"/>
              </w:rPr>
            </w:pPr>
            <w:r>
              <w:rPr>
                <w:rFonts w:asciiTheme="minorHAnsi" w:hAnsiTheme="minorHAnsi" w:cstheme="minorHAnsi"/>
                <w:sz w:val="24"/>
              </w:rPr>
              <w:t>Obyv.</w:t>
            </w:r>
          </w:p>
          <w:p w:rsidR="00BA06FF" w:rsidRPr="00002B63" w:rsidRDefault="00BA06FF" w:rsidP="00E8792A">
            <w:pPr>
              <w:pStyle w:val="Zkladntext"/>
              <w:rPr>
                <w:rFonts w:asciiTheme="minorHAnsi" w:hAnsiTheme="minorHAnsi" w:cstheme="minorHAnsi"/>
                <w:sz w:val="24"/>
              </w:rPr>
            </w:pPr>
            <w:r>
              <w:rPr>
                <w:rFonts w:asciiTheme="minorHAnsi" w:hAnsiTheme="minorHAnsi" w:cstheme="minorHAnsi"/>
                <w:sz w:val="24"/>
              </w:rPr>
              <w:t>15-64</w:t>
            </w:r>
            <w:r w:rsidR="0077427D">
              <w:rPr>
                <w:rFonts w:asciiTheme="minorHAnsi" w:hAnsiTheme="minorHAnsi" w:cstheme="minorHAnsi"/>
                <w:sz w:val="24"/>
              </w:rPr>
              <w:t>*</w:t>
            </w:r>
          </w:p>
        </w:tc>
        <w:tc>
          <w:tcPr>
            <w:tcW w:w="1559" w:type="dxa"/>
            <w:tcBorders>
              <w:top w:val="double" w:sz="4" w:space="0" w:color="auto"/>
              <w:bottom w:val="single" w:sz="4" w:space="0" w:color="auto"/>
            </w:tcBorders>
            <w:shd w:val="clear" w:color="auto" w:fill="CCFFFF"/>
            <w:vAlign w:val="center"/>
          </w:tcPr>
          <w:p w:rsidR="00BA06FF" w:rsidRPr="00002B63" w:rsidRDefault="00600AF3" w:rsidP="00E8792A">
            <w:pPr>
              <w:pStyle w:val="Zkladntext"/>
              <w:spacing w:line="240" w:lineRule="auto"/>
              <w:rPr>
                <w:rFonts w:asciiTheme="minorHAnsi" w:hAnsiTheme="minorHAnsi" w:cstheme="minorHAnsi"/>
                <w:sz w:val="24"/>
              </w:rPr>
            </w:pPr>
            <w:r>
              <w:rPr>
                <w:rFonts w:asciiTheme="minorHAnsi" w:hAnsiTheme="minorHAnsi" w:cstheme="minorHAnsi"/>
                <w:sz w:val="24"/>
              </w:rPr>
              <w:t>12</w:t>
            </w:r>
            <w:r w:rsidR="00BA06FF">
              <w:rPr>
                <w:rFonts w:asciiTheme="minorHAnsi" w:hAnsiTheme="minorHAnsi" w:cstheme="minorHAnsi"/>
                <w:sz w:val="24"/>
              </w:rPr>
              <w:t>/2013</w:t>
            </w:r>
          </w:p>
        </w:tc>
        <w:tc>
          <w:tcPr>
            <w:tcW w:w="1560" w:type="dxa"/>
            <w:vMerge w:val="restart"/>
            <w:tcBorders>
              <w:top w:val="double" w:sz="4" w:space="0" w:color="auto"/>
            </w:tcBorders>
            <w:shd w:val="clear" w:color="auto" w:fill="CCFFFF"/>
            <w:vAlign w:val="center"/>
          </w:tcPr>
          <w:p w:rsidR="00BA06FF" w:rsidRDefault="00873288" w:rsidP="00BA06FF">
            <w:pPr>
              <w:pStyle w:val="Zkladntext"/>
              <w:spacing w:line="276" w:lineRule="auto"/>
              <w:rPr>
                <w:rFonts w:asciiTheme="minorHAnsi" w:hAnsiTheme="minorHAnsi" w:cstheme="minorHAnsi"/>
                <w:sz w:val="24"/>
              </w:rPr>
            </w:pPr>
            <w:r>
              <w:rPr>
                <w:rFonts w:asciiTheme="minorHAnsi" w:hAnsiTheme="minorHAnsi" w:cstheme="minorHAnsi"/>
                <w:sz w:val="24"/>
              </w:rPr>
              <w:t>Me</w:t>
            </w:r>
            <w:r w:rsidR="00BA06FF">
              <w:rPr>
                <w:rFonts w:asciiTheme="minorHAnsi" w:hAnsiTheme="minorHAnsi" w:cstheme="minorHAnsi"/>
                <w:sz w:val="24"/>
              </w:rPr>
              <w:t>ziroční</w:t>
            </w:r>
          </w:p>
          <w:p w:rsidR="00BA06FF" w:rsidRPr="00002B63" w:rsidRDefault="00BA06FF" w:rsidP="00BA06FF">
            <w:pPr>
              <w:pStyle w:val="Zkladntext"/>
              <w:spacing w:line="276" w:lineRule="auto"/>
              <w:rPr>
                <w:rFonts w:asciiTheme="minorHAnsi" w:hAnsiTheme="minorHAnsi" w:cstheme="minorHAnsi"/>
                <w:sz w:val="24"/>
              </w:rPr>
            </w:pPr>
            <w:r>
              <w:rPr>
                <w:rFonts w:asciiTheme="minorHAnsi" w:hAnsiTheme="minorHAnsi" w:cstheme="minorHAnsi"/>
                <w:sz w:val="24"/>
              </w:rPr>
              <w:t>z</w:t>
            </w:r>
            <w:r w:rsidRPr="00002B63">
              <w:rPr>
                <w:rFonts w:asciiTheme="minorHAnsi" w:hAnsiTheme="minorHAnsi" w:cstheme="minorHAnsi"/>
                <w:sz w:val="24"/>
              </w:rPr>
              <w:t xml:space="preserve">měna počtu </w:t>
            </w:r>
          </w:p>
          <w:p w:rsidR="00BA06FF" w:rsidRPr="00002B63" w:rsidRDefault="00BA06FF" w:rsidP="00BA06FF">
            <w:pPr>
              <w:pStyle w:val="Zkladntext"/>
              <w:spacing w:line="276" w:lineRule="auto"/>
              <w:rPr>
                <w:rFonts w:asciiTheme="minorHAnsi" w:hAnsiTheme="minorHAnsi" w:cstheme="minorHAnsi"/>
                <w:sz w:val="24"/>
              </w:rPr>
            </w:pPr>
            <w:r>
              <w:rPr>
                <w:rFonts w:asciiTheme="minorHAnsi" w:hAnsiTheme="minorHAnsi" w:cstheme="minorHAnsi"/>
                <w:sz w:val="24"/>
              </w:rPr>
              <w:t>dosažit. UoZ</w:t>
            </w:r>
          </w:p>
        </w:tc>
        <w:tc>
          <w:tcPr>
            <w:tcW w:w="1134" w:type="dxa"/>
            <w:tcBorders>
              <w:top w:val="double" w:sz="4" w:space="0" w:color="auto"/>
              <w:bottom w:val="single" w:sz="4" w:space="0" w:color="auto"/>
            </w:tcBorders>
            <w:shd w:val="clear" w:color="auto" w:fill="CCFFFF"/>
            <w:vAlign w:val="center"/>
          </w:tcPr>
          <w:p w:rsidR="00BA06FF" w:rsidRPr="00002B63" w:rsidRDefault="00BA06FF" w:rsidP="00E8792A">
            <w:pPr>
              <w:pStyle w:val="Zkladntext"/>
              <w:spacing w:line="240" w:lineRule="auto"/>
              <w:rPr>
                <w:rFonts w:asciiTheme="minorHAnsi" w:hAnsiTheme="minorHAnsi" w:cstheme="minorHAnsi"/>
                <w:sz w:val="24"/>
              </w:rPr>
            </w:pPr>
            <w:r>
              <w:rPr>
                <w:rFonts w:asciiTheme="minorHAnsi" w:hAnsiTheme="minorHAnsi" w:cstheme="minorHAnsi"/>
                <w:sz w:val="24"/>
              </w:rPr>
              <w:t>12/201</w:t>
            </w:r>
            <w:r w:rsidR="0077427D">
              <w:rPr>
                <w:rFonts w:asciiTheme="minorHAnsi" w:hAnsiTheme="minorHAnsi" w:cstheme="minorHAnsi"/>
                <w:sz w:val="24"/>
              </w:rPr>
              <w:t>4</w:t>
            </w:r>
          </w:p>
        </w:tc>
        <w:tc>
          <w:tcPr>
            <w:tcW w:w="992" w:type="dxa"/>
            <w:vMerge w:val="restart"/>
            <w:tcBorders>
              <w:top w:val="double" w:sz="4" w:space="0" w:color="auto"/>
              <w:bottom w:val="double" w:sz="4" w:space="0" w:color="auto"/>
              <w:right w:val="double" w:sz="4" w:space="0" w:color="auto"/>
            </w:tcBorders>
            <w:shd w:val="clear" w:color="auto" w:fill="CCFFFF"/>
            <w:vAlign w:val="center"/>
          </w:tcPr>
          <w:p w:rsidR="00BA06FF" w:rsidRPr="00002B63" w:rsidRDefault="0077427D" w:rsidP="00E8792A">
            <w:pPr>
              <w:pStyle w:val="Zkladntext"/>
              <w:spacing w:line="276" w:lineRule="auto"/>
              <w:rPr>
                <w:rFonts w:asciiTheme="minorHAnsi" w:hAnsiTheme="minorHAnsi" w:cstheme="minorHAnsi"/>
                <w:sz w:val="24"/>
              </w:rPr>
            </w:pPr>
            <w:r>
              <w:rPr>
                <w:rFonts w:asciiTheme="minorHAnsi" w:hAnsiTheme="minorHAnsi" w:cstheme="minorHAnsi"/>
                <w:sz w:val="24"/>
              </w:rPr>
              <w:t>PNO 2014</w:t>
            </w:r>
          </w:p>
          <w:p w:rsidR="00BA06FF" w:rsidRPr="00002B63" w:rsidRDefault="00BA06FF" w:rsidP="00E8792A">
            <w:pPr>
              <w:pStyle w:val="Zkladntext"/>
              <w:spacing w:line="276" w:lineRule="auto"/>
              <w:rPr>
                <w:rFonts w:asciiTheme="minorHAnsi" w:hAnsiTheme="minorHAnsi" w:cstheme="minorHAnsi"/>
                <w:sz w:val="24"/>
              </w:rPr>
            </w:pPr>
            <w:r w:rsidRPr="00002B63">
              <w:rPr>
                <w:rFonts w:asciiTheme="minorHAnsi" w:hAnsiTheme="minorHAnsi" w:cstheme="minorHAnsi"/>
                <w:sz w:val="24"/>
              </w:rPr>
              <w:t>(v %)</w:t>
            </w:r>
          </w:p>
        </w:tc>
      </w:tr>
      <w:tr w:rsidR="00BA06FF" w:rsidRPr="00002B63" w:rsidTr="000B58BE">
        <w:trPr>
          <w:cantSplit/>
        </w:trPr>
        <w:tc>
          <w:tcPr>
            <w:tcW w:w="3119" w:type="dxa"/>
            <w:vMerge/>
            <w:tcBorders>
              <w:top w:val="single" w:sz="4" w:space="0" w:color="auto"/>
              <w:left w:val="double" w:sz="4" w:space="0" w:color="auto"/>
              <w:bottom w:val="double" w:sz="4" w:space="0" w:color="auto"/>
              <w:right w:val="double" w:sz="4" w:space="0" w:color="auto"/>
            </w:tcBorders>
            <w:shd w:val="clear" w:color="auto" w:fill="CCFFFF"/>
            <w:vAlign w:val="center"/>
          </w:tcPr>
          <w:p w:rsidR="00BA06FF" w:rsidRPr="00002B63" w:rsidRDefault="00BA06FF" w:rsidP="00E8792A">
            <w:pPr>
              <w:pStyle w:val="Zkladntext"/>
              <w:spacing w:line="240" w:lineRule="auto"/>
              <w:rPr>
                <w:rFonts w:asciiTheme="minorHAnsi" w:hAnsiTheme="minorHAnsi" w:cstheme="minorHAnsi"/>
                <w:sz w:val="24"/>
              </w:rPr>
            </w:pPr>
          </w:p>
        </w:tc>
        <w:tc>
          <w:tcPr>
            <w:tcW w:w="992" w:type="dxa"/>
            <w:vMerge/>
            <w:tcBorders>
              <w:top w:val="single" w:sz="4" w:space="0" w:color="auto"/>
              <w:bottom w:val="double" w:sz="4" w:space="0" w:color="auto"/>
            </w:tcBorders>
            <w:shd w:val="clear" w:color="auto" w:fill="00FFFF"/>
            <w:vAlign w:val="center"/>
          </w:tcPr>
          <w:p w:rsidR="00BA06FF" w:rsidRPr="00002B63" w:rsidRDefault="00BA06FF" w:rsidP="00E8792A">
            <w:pPr>
              <w:pStyle w:val="Zkladntext"/>
              <w:spacing w:line="240" w:lineRule="auto"/>
              <w:rPr>
                <w:rFonts w:asciiTheme="minorHAnsi" w:hAnsiTheme="minorHAnsi" w:cstheme="minorHAnsi"/>
                <w:sz w:val="24"/>
              </w:rPr>
            </w:pPr>
          </w:p>
        </w:tc>
        <w:tc>
          <w:tcPr>
            <w:tcW w:w="1559" w:type="dxa"/>
            <w:tcBorders>
              <w:top w:val="single" w:sz="4" w:space="0" w:color="auto"/>
              <w:bottom w:val="double" w:sz="4" w:space="0" w:color="auto"/>
            </w:tcBorders>
            <w:shd w:val="clear" w:color="auto" w:fill="CCFFFF"/>
            <w:vAlign w:val="center"/>
          </w:tcPr>
          <w:p w:rsidR="00BA06FF" w:rsidRPr="00002B63" w:rsidRDefault="00BA06FF" w:rsidP="00E8792A">
            <w:pPr>
              <w:pStyle w:val="Zkladntext"/>
              <w:spacing w:line="240" w:lineRule="auto"/>
              <w:rPr>
                <w:rFonts w:asciiTheme="minorHAnsi" w:hAnsiTheme="minorHAnsi" w:cstheme="minorHAnsi"/>
                <w:sz w:val="24"/>
              </w:rPr>
            </w:pPr>
            <w:r w:rsidRPr="00002B63">
              <w:rPr>
                <w:rFonts w:asciiTheme="minorHAnsi" w:hAnsiTheme="minorHAnsi" w:cstheme="minorHAnsi"/>
                <w:sz w:val="24"/>
              </w:rPr>
              <w:t>Počet dosažitelných UoZ</w:t>
            </w:r>
          </w:p>
        </w:tc>
        <w:tc>
          <w:tcPr>
            <w:tcW w:w="1560" w:type="dxa"/>
            <w:vMerge/>
            <w:tcBorders>
              <w:bottom w:val="double" w:sz="4" w:space="0" w:color="auto"/>
            </w:tcBorders>
            <w:shd w:val="clear" w:color="auto" w:fill="CCFFFF"/>
          </w:tcPr>
          <w:p w:rsidR="00BA06FF" w:rsidRPr="00002B63" w:rsidRDefault="00BA06FF" w:rsidP="00E8792A">
            <w:pPr>
              <w:pStyle w:val="Zkladntext"/>
              <w:spacing w:line="240" w:lineRule="auto"/>
              <w:rPr>
                <w:rFonts w:asciiTheme="minorHAnsi" w:hAnsiTheme="minorHAnsi" w:cstheme="minorHAnsi"/>
                <w:sz w:val="24"/>
              </w:rPr>
            </w:pPr>
          </w:p>
        </w:tc>
        <w:tc>
          <w:tcPr>
            <w:tcW w:w="1134" w:type="dxa"/>
            <w:tcBorders>
              <w:top w:val="single" w:sz="4" w:space="0" w:color="auto"/>
              <w:bottom w:val="double" w:sz="4" w:space="0" w:color="auto"/>
            </w:tcBorders>
            <w:shd w:val="clear" w:color="auto" w:fill="CCFFFF"/>
            <w:vAlign w:val="center"/>
          </w:tcPr>
          <w:p w:rsidR="00BA06FF" w:rsidRPr="00002B63" w:rsidRDefault="000B58BE" w:rsidP="00E8792A">
            <w:pPr>
              <w:pStyle w:val="Zkladntext"/>
              <w:spacing w:line="240" w:lineRule="auto"/>
              <w:rPr>
                <w:rFonts w:asciiTheme="minorHAnsi" w:hAnsiTheme="minorHAnsi" w:cstheme="minorHAnsi"/>
                <w:sz w:val="24"/>
              </w:rPr>
            </w:pPr>
            <w:r>
              <w:rPr>
                <w:rFonts w:asciiTheme="minorHAnsi" w:hAnsiTheme="minorHAnsi" w:cstheme="minorHAnsi"/>
                <w:sz w:val="24"/>
              </w:rPr>
              <w:t>Počet dosažitel.</w:t>
            </w:r>
            <w:r w:rsidR="0077427D">
              <w:rPr>
                <w:rFonts w:asciiTheme="minorHAnsi" w:hAnsiTheme="minorHAnsi" w:cstheme="minorHAnsi"/>
                <w:sz w:val="24"/>
              </w:rPr>
              <w:t xml:space="preserve"> UoZ</w:t>
            </w:r>
          </w:p>
        </w:tc>
        <w:tc>
          <w:tcPr>
            <w:tcW w:w="992" w:type="dxa"/>
            <w:vMerge/>
            <w:tcBorders>
              <w:top w:val="double" w:sz="4" w:space="0" w:color="auto"/>
              <w:bottom w:val="double" w:sz="4" w:space="0" w:color="auto"/>
              <w:right w:val="double" w:sz="4" w:space="0" w:color="auto"/>
            </w:tcBorders>
            <w:shd w:val="clear" w:color="auto" w:fill="00FFFF"/>
            <w:vAlign w:val="center"/>
          </w:tcPr>
          <w:p w:rsidR="00BA06FF" w:rsidRPr="00002B63" w:rsidRDefault="00BA06FF" w:rsidP="00E8792A">
            <w:pPr>
              <w:pStyle w:val="Zkladntext"/>
              <w:spacing w:line="240" w:lineRule="auto"/>
              <w:rPr>
                <w:rFonts w:asciiTheme="minorHAnsi" w:hAnsiTheme="minorHAnsi" w:cstheme="minorHAnsi"/>
                <w:sz w:val="24"/>
              </w:rPr>
            </w:pPr>
          </w:p>
        </w:tc>
      </w:tr>
      <w:tr w:rsidR="0077427D" w:rsidRPr="00002B63" w:rsidTr="0077427D">
        <w:trPr>
          <w:cantSplit/>
          <w:trHeight w:hRule="exact" w:val="340"/>
        </w:trPr>
        <w:tc>
          <w:tcPr>
            <w:tcW w:w="3119" w:type="dxa"/>
            <w:tcBorders>
              <w:top w:val="doub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Hanušovice (SU)</w:t>
            </w:r>
          </w:p>
        </w:tc>
        <w:tc>
          <w:tcPr>
            <w:tcW w:w="992" w:type="dxa"/>
            <w:tcBorders>
              <w:top w:val="doub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5315</w:t>
            </w:r>
          </w:p>
        </w:tc>
        <w:tc>
          <w:tcPr>
            <w:tcW w:w="1559" w:type="dxa"/>
            <w:tcBorders>
              <w:top w:val="doub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861</w:t>
            </w:r>
          </w:p>
        </w:tc>
        <w:tc>
          <w:tcPr>
            <w:tcW w:w="1560" w:type="dxa"/>
            <w:tcBorders>
              <w:top w:val="doub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-86</w:t>
            </w:r>
          </w:p>
        </w:tc>
        <w:tc>
          <w:tcPr>
            <w:tcW w:w="1134" w:type="dxa"/>
            <w:tcBorders>
              <w:top w:val="doub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775</w:t>
            </w:r>
          </w:p>
        </w:tc>
        <w:tc>
          <w:tcPr>
            <w:tcW w:w="992" w:type="dxa"/>
            <w:tcBorders>
              <w:top w:val="doub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14,9%</w:t>
            </w:r>
          </w:p>
        </w:tc>
      </w:tr>
      <w:tr w:rsidR="0077427D" w:rsidRPr="00002B63" w:rsidTr="00600AF3">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Hlubočky (OC)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2948</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237</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4</w:t>
            </w:r>
          </w:p>
        </w:tc>
        <w:tc>
          <w:tcPr>
            <w:tcW w:w="1134" w:type="dxa"/>
            <w:tcBorders>
              <w:top w:val="single" w:sz="4" w:space="0" w:color="auto"/>
              <w:left w:val="single" w:sz="4" w:space="0" w:color="auto"/>
              <w:bottom w:val="single" w:sz="4" w:space="0" w:color="auto"/>
              <w:right w:val="single" w:sz="4" w:space="0" w:color="auto"/>
            </w:tcBorders>
            <w:vAlign w:val="bottom"/>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241</w:t>
            </w:r>
          </w:p>
        </w:tc>
        <w:tc>
          <w:tcPr>
            <w:tcW w:w="992" w:type="dxa"/>
            <w:tcBorders>
              <w:top w:val="single" w:sz="4" w:space="0" w:color="auto"/>
              <w:left w:val="single" w:sz="4" w:space="0" w:color="auto"/>
              <w:bottom w:val="single" w:sz="4" w:space="0" w:color="auto"/>
              <w:right w:val="double" w:sz="4" w:space="0" w:color="auto"/>
            </w:tcBorders>
            <w:vAlign w:val="bottom"/>
          </w:tcPr>
          <w:p w:rsidR="0077427D" w:rsidRDefault="0077427D">
            <w:pPr>
              <w:jc w:val="center"/>
              <w:rPr>
                <w:rFonts w:ascii="Calibri" w:hAnsi="Calibri" w:cs="Calibri"/>
                <w:b/>
                <w:bCs/>
                <w:color w:val="FF0000"/>
              </w:rPr>
            </w:pPr>
            <w:r>
              <w:rPr>
                <w:rFonts w:ascii="Calibri" w:hAnsi="Calibri" w:cs="Calibri"/>
                <w:b/>
                <w:bCs/>
                <w:color w:val="FF0000"/>
              </w:rPr>
              <w:t>8,4%</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Hranice (PR)</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23852</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2 223</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-264</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1 959</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8,3%</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Javorník (JE)</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8491</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1 390</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-110</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1 280</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15,3%</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 xml:space="preserve">Jeseník </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14749</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1 393</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-247</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1 146</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7,9%</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Kojetín (PR)</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8366</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1 099</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-143</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956</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11,5%</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Konice (PV)</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7565</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729</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-220</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509</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6,8%</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Lipník nad Bečvou (PR)</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10591</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1 152</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-31</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1 121</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10,7%</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Litovel (OC)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16201</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1 281</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-285</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996</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6,2%</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Mohelnice (SU)</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12994</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1 143</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-190</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953</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7,5%</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Moravský Beroun (OC)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2475</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322</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-51</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271</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11,2%</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Němčice nad Hanou (PV)</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5943</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465</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-160</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305</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5,2%</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Olomouc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106716</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9 442</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-561</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8 881</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8,4%</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Prostějov</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60389</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5 073</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-936</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4 137</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6,9%</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Přerov</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47569</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5 033</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-203</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4 830</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10,3%</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Šternberk (OC)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13824</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1 355</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-66</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1 289</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9,5%</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Šumperk</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42957</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4 337</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-572</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3 765</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8,9%</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Uničov (OC)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15726</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1 495</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-119</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1 376</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8,9%</w:t>
            </w:r>
          </w:p>
        </w:tc>
      </w:tr>
      <w:tr w:rsidR="0077427D" w:rsidRPr="00002B63" w:rsidTr="00600AF3">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VÚ Libavá (OC)</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812</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95</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-25</w:t>
            </w:r>
          </w:p>
        </w:tc>
        <w:tc>
          <w:tcPr>
            <w:tcW w:w="1134" w:type="dxa"/>
            <w:tcBorders>
              <w:top w:val="single" w:sz="4" w:space="0" w:color="auto"/>
              <w:left w:val="single" w:sz="4" w:space="0" w:color="auto"/>
              <w:bottom w:val="single" w:sz="4" w:space="0" w:color="auto"/>
              <w:right w:val="single" w:sz="4" w:space="0" w:color="auto"/>
            </w:tcBorders>
            <w:vAlign w:val="bottom"/>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70</w:t>
            </w:r>
          </w:p>
        </w:tc>
        <w:tc>
          <w:tcPr>
            <w:tcW w:w="992" w:type="dxa"/>
            <w:tcBorders>
              <w:top w:val="single" w:sz="4" w:space="0" w:color="auto"/>
              <w:left w:val="single" w:sz="4" w:space="0" w:color="auto"/>
              <w:bottom w:val="single" w:sz="4" w:space="0" w:color="auto"/>
              <w:right w:val="double" w:sz="4" w:space="0" w:color="auto"/>
            </w:tcBorders>
            <w:vAlign w:val="bottom"/>
          </w:tcPr>
          <w:p w:rsidR="0077427D" w:rsidRDefault="0077427D">
            <w:pPr>
              <w:jc w:val="center"/>
              <w:rPr>
                <w:rFonts w:ascii="Calibri" w:hAnsi="Calibri" w:cs="Calibri"/>
                <w:b/>
                <w:bCs/>
                <w:color w:val="FF0000"/>
              </w:rPr>
            </w:pPr>
            <w:r>
              <w:rPr>
                <w:rFonts w:ascii="Calibri" w:hAnsi="Calibri" w:cs="Calibri"/>
                <w:b/>
                <w:bCs/>
                <w:color w:val="FF0000"/>
              </w:rPr>
              <w:t>9,0%</w:t>
            </w:r>
          </w:p>
        </w:tc>
      </w:tr>
      <w:tr w:rsidR="0077427D" w:rsidRPr="00002B63" w:rsidTr="0077427D">
        <w:trPr>
          <w:cantSplit/>
          <w:trHeight w:hRule="exact" w:val="340"/>
        </w:trPr>
        <w:tc>
          <w:tcPr>
            <w:tcW w:w="3119" w:type="dxa"/>
            <w:tcBorders>
              <w:top w:val="single" w:sz="4" w:space="0" w:color="auto"/>
              <w:left w:val="double" w:sz="4" w:space="0" w:color="auto"/>
              <w:bottom w:val="sing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Zábřeh (SU)</w:t>
            </w:r>
          </w:p>
        </w:tc>
        <w:tc>
          <w:tcPr>
            <w:tcW w:w="992" w:type="dxa"/>
            <w:tcBorders>
              <w:top w:val="single" w:sz="4" w:space="0" w:color="auto"/>
              <w:left w:val="single" w:sz="4" w:space="0" w:color="auto"/>
              <w:bottom w:val="sing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23123</w:t>
            </w:r>
          </w:p>
        </w:tc>
        <w:tc>
          <w:tcPr>
            <w:tcW w:w="1559" w:type="dxa"/>
            <w:tcBorders>
              <w:top w:val="single" w:sz="4" w:space="0" w:color="auto"/>
              <w:left w:val="single" w:sz="4" w:space="0" w:color="auto"/>
              <w:bottom w:val="sing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2 343</w:t>
            </w:r>
          </w:p>
        </w:tc>
        <w:tc>
          <w:tcPr>
            <w:tcW w:w="1560" w:type="dxa"/>
            <w:tcBorders>
              <w:top w:val="single" w:sz="4" w:space="0" w:color="auto"/>
              <w:left w:val="single" w:sz="4" w:space="0" w:color="auto"/>
              <w:bottom w:val="sing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-477</w:t>
            </w:r>
          </w:p>
        </w:tc>
        <w:tc>
          <w:tcPr>
            <w:tcW w:w="1134" w:type="dxa"/>
            <w:tcBorders>
              <w:top w:val="single" w:sz="4" w:space="0" w:color="auto"/>
              <w:left w:val="single" w:sz="4" w:space="0" w:color="auto"/>
              <w:bottom w:val="sing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1 866</w:t>
            </w:r>
          </w:p>
        </w:tc>
        <w:tc>
          <w:tcPr>
            <w:tcW w:w="992" w:type="dxa"/>
            <w:tcBorders>
              <w:top w:val="single" w:sz="4" w:space="0" w:color="auto"/>
              <w:left w:val="single" w:sz="4" w:space="0" w:color="auto"/>
              <w:bottom w:val="sing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8,2%</w:t>
            </w:r>
          </w:p>
        </w:tc>
      </w:tr>
      <w:tr w:rsidR="0077427D" w:rsidRPr="00002B63" w:rsidTr="0077427D">
        <w:trPr>
          <w:cantSplit/>
          <w:trHeight w:hRule="exact" w:val="340"/>
        </w:trPr>
        <w:tc>
          <w:tcPr>
            <w:tcW w:w="3119" w:type="dxa"/>
            <w:tcBorders>
              <w:top w:val="single" w:sz="4" w:space="0" w:color="auto"/>
              <w:left w:val="double" w:sz="4" w:space="0" w:color="auto"/>
              <w:bottom w:val="double" w:sz="4" w:space="0" w:color="auto"/>
              <w:right w:val="single" w:sz="4" w:space="0" w:color="auto"/>
            </w:tcBorders>
            <w:shd w:val="clear" w:color="auto" w:fill="CCFFFF"/>
            <w:vAlign w:val="center"/>
          </w:tcPr>
          <w:p w:rsidR="0077427D" w:rsidRPr="00002B63" w:rsidRDefault="0077427D" w:rsidP="00E8792A">
            <w:pPr>
              <w:rPr>
                <w:rFonts w:asciiTheme="minorHAnsi" w:hAnsiTheme="minorHAnsi" w:cstheme="minorHAnsi"/>
                <w:b/>
                <w:bCs/>
                <w:color w:val="000000"/>
              </w:rPr>
            </w:pPr>
            <w:r w:rsidRPr="00002B63">
              <w:rPr>
                <w:rFonts w:asciiTheme="minorHAnsi" w:hAnsiTheme="minorHAnsi" w:cstheme="minorHAnsi"/>
                <w:b/>
                <w:bCs/>
                <w:color w:val="000000"/>
              </w:rPr>
              <w:t>Zlaté Hory (JE)</w:t>
            </w:r>
          </w:p>
        </w:tc>
        <w:tc>
          <w:tcPr>
            <w:tcW w:w="992" w:type="dxa"/>
            <w:tcBorders>
              <w:top w:val="single" w:sz="4" w:space="0" w:color="auto"/>
              <w:left w:val="single" w:sz="4" w:space="0" w:color="auto"/>
              <w:bottom w:val="double" w:sz="4" w:space="0" w:color="auto"/>
              <w:right w:val="single" w:sz="4" w:space="0" w:color="auto"/>
            </w:tcBorders>
            <w:vAlign w:val="center"/>
          </w:tcPr>
          <w:p w:rsidR="0077427D" w:rsidRDefault="0077427D">
            <w:pPr>
              <w:jc w:val="center"/>
              <w:rPr>
                <w:rFonts w:ascii="Calibri" w:hAnsi="Calibri" w:cs="Calibri"/>
                <w:color w:val="000000"/>
              </w:rPr>
            </w:pPr>
            <w:r>
              <w:rPr>
                <w:rFonts w:ascii="Calibri" w:hAnsi="Calibri" w:cs="Calibri"/>
                <w:color w:val="000000"/>
              </w:rPr>
              <w:t>4694</w:t>
            </w:r>
          </w:p>
        </w:tc>
        <w:tc>
          <w:tcPr>
            <w:tcW w:w="1559" w:type="dxa"/>
            <w:tcBorders>
              <w:top w:val="single" w:sz="4" w:space="0" w:color="auto"/>
              <w:left w:val="single" w:sz="4" w:space="0" w:color="auto"/>
              <w:bottom w:val="double" w:sz="4" w:space="0" w:color="auto"/>
              <w:right w:val="single" w:sz="4" w:space="0" w:color="auto"/>
            </w:tcBorders>
            <w:vAlign w:val="bottom"/>
          </w:tcPr>
          <w:p w:rsidR="0077427D" w:rsidRPr="00600AF3" w:rsidRDefault="0077427D">
            <w:pPr>
              <w:jc w:val="center"/>
              <w:rPr>
                <w:rFonts w:ascii="Calibri" w:hAnsi="Calibri" w:cs="Calibri"/>
                <w:bCs/>
                <w:color w:val="000000" w:themeColor="text1"/>
              </w:rPr>
            </w:pPr>
            <w:r w:rsidRPr="00600AF3">
              <w:rPr>
                <w:rFonts w:ascii="Calibri" w:hAnsi="Calibri" w:cs="Calibri"/>
                <w:bCs/>
                <w:color w:val="000000" w:themeColor="text1"/>
              </w:rPr>
              <w:t>520</w:t>
            </w:r>
          </w:p>
        </w:tc>
        <w:tc>
          <w:tcPr>
            <w:tcW w:w="1560" w:type="dxa"/>
            <w:tcBorders>
              <w:top w:val="single" w:sz="4" w:space="0" w:color="auto"/>
              <w:left w:val="single" w:sz="4" w:space="0" w:color="auto"/>
              <w:bottom w:val="double" w:sz="4" w:space="0" w:color="auto"/>
              <w:right w:val="single" w:sz="4" w:space="0" w:color="auto"/>
            </w:tcBorders>
            <w:vAlign w:val="bottom"/>
          </w:tcPr>
          <w:p w:rsidR="0077427D" w:rsidRPr="0077427D" w:rsidRDefault="0077427D">
            <w:pPr>
              <w:jc w:val="center"/>
              <w:rPr>
                <w:rFonts w:ascii="Calibri" w:hAnsi="Calibri" w:cs="Calibri"/>
                <w:b/>
                <w:bCs/>
                <w:color w:val="0000FF"/>
              </w:rPr>
            </w:pPr>
            <w:r w:rsidRPr="0077427D">
              <w:rPr>
                <w:rFonts w:ascii="Calibri" w:hAnsi="Calibri" w:cs="Calibri"/>
                <w:b/>
                <w:bCs/>
                <w:color w:val="0000FF"/>
              </w:rPr>
              <w:t>-73</w:t>
            </w:r>
          </w:p>
        </w:tc>
        <w:tc>
          <w:tcPr>
            <w:tcW w:w="1134" w:type="dxa"/>
            <w:tcBorders>
              <w:top w:val="single" w:sz="4" w:space="0" w:color="auto"/>
              <w:left w:val="single" w:sz="4" w:space="0" w:color="auto"/>
              <w:bottom w:val="double" w:sz="4" w:space="0" w:color="auto"/>
              <w:right w:val="single" w:sz="4" w:space="0" w:color="auto"/>
            </w:tcBorders>
            <w:vAlign w:val="center"/>
          </w:tcPr>
          <w:p w:rsidR="0077427D" w:rsidRPr="00474DA2" w:rsidRDefault="0077427D">
            <w:pPr>
              <w:jc w:val="center"/>
              <w:rPr>
                <w:rFonts w:ascii="Calibri" w:hAnsi="Calibri" w:cs="Calibri"/>
                <w:b/>
                <w:bCs/>
                <w:color w:val="000000" w:themeColor="text1"/>
              </w:rPr>
            </w:pPr>
            <w:r w:rsidRPr="00474DA2">
              <w:rPr>
                <w:rFonts w:ascii="Calibri" w:hAnsi="Calibri" w:cs="Calibri"/>
                <w:b/>
                <w:bCs/>
                <w:color w:val="000000" w:themeColor="text1"/>
              </w:rPr>
              <w:t>447</w:t>
            </w:r>
          </w:p>
        </w:tc>
        <w:tc>
          <w:tcPr>
            <w:tcW w:w="992" w:type="dxa"/>
            <w:tcBorders>
              <w:top w:val="single" w:sz="4" w:space="0" w:color="auto"/>
              <w:left w:val="single" w:sz="4" w:space="0" w:color="auto"/>
              <w:bottom w:val="double" w:sz="4" w:space="0" w:color="auto"/>
              <w:right w:val="double" w:sz="4" w:space="0" w:color="auto"/>
            </w:tcBorders>
            <w:vAlign w:val="center"/>
          </w:tcPr>
          <w:p w:rsidR="0077427D" w:rsidRDefault="0077427D">
            <w:pPr>
              <w:jc w:val="center"/>
              <w:rPr>
                <w:rFonts w:ascii="Calibri" w:hAnsi="Calibri" w:cs="Calibri"/>
                <w:b/>
                <w:bCs/>
                <w:color w:val="FF0000"/>
              </w:rPr>
            </w:pPr>
            <w:r>
              <w:rPr>
                <w:rFonts w:ascii="Calibri" w:hAnsi="Calibri" w:cs="Calibri"/>
                <w:b/>
                <w:bCs/>
                <w:color w:val="FF0000"/>
              </w:rPr>
              <w:t>9,7%</w:t>
            </w:r>
          </w:p>
        </w:tc>
      </w:tr>
      <w:tr w:rsidR="00474DA2" w:rsidRPr="00002B63" w:rsidTr="0077427D">
        <w:trPr>
          <w:cantSplit/>
          <w:trHeight w:hRule="exact" w:val="457"/>
        </w:trPr>
        <w:tc>
          <w:tcPr>
            <w:tcW w:w="3119" w:type="dxa"/>
            <w:tcBorders>
              <w:top w:val="double" w:sz="4" w:space="0" w:color="auto"/>
              <w:left w:val="double" w:sz="4" w:space="0" w:color="auto"/>
              <w:bottom w:val="double" w:sz="4" w:space="0" w:color="auto"/>
              <w:right w:val="single" w:sz="4" w:space="0" w:color="auto"/>
            </w:tcBorders>
            <w:shd w:val="clear" w:color="auto" w:fill="CCFFFF"/>
            <w:vAlign w:val="center"/>
          </w:tcPr>
          <w:p w:rsidR="00474DA2" w:rsidRPr="00002B63" w:rsidRDefault="00474DA2" w:rsidP="00E8792A">
            <w:pPr>
              <w:rPr>
                <w:rFonts w:asciiTheme="minorHAnsi" w:hAnsiTheme="minorHAnsi" w:cstheme="minorHAnsi"/>
                <w:b/>
                <w:bCs/>
                <w:color w:val="000000"/>
              </w:rPr>
            </w:pPr>
            <w:r w:rsidRPr="00002B63">
              <w:rPr>
                <w:rFonts w:asciiTheme="minorHAnsi" w:hAnsiTheme="minorHAnsi" w:cstheme="minorHAnsi"/>
                <w:b/>
                <w:bCs/>
                <w:color w:val="000000"/>
              </w:rPr>
              <w:t>Celkem za Olomoucký kraj</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474DA2" w:rsidRPr="00002B63" w:rsidRDefault="00474DA2" w:rsidP="00E8792A">
            <w:pPr>
              <w:jc w:val="center"/>
              <w:rPr>
                <w:rFonts w:asciiTheme="minorHAnsi" w:hAnsiTheme="minorHAnsi" w:cstheme="minorHAnsi"/>
                <w:b/>
                <w:color w:val="000000" w:themeColor="text1"/>
              </w:rPr>
            </w:pPr>
            <w:r w:rsidRPr="00002B63">
              <w:rPr>
                <w:rFonts w:asciiTheme="minorHAnsi" w:hAnsiTheme="minorHAnsi" w:cstheme="minorHAnsi"/>
                <w:b/>
                <w:color w:val="000000" w:themeColor="text1"/>
              </w:rPr>
              <w:t>-</w:t>
            </w:r>
          </w:p>
        </w:tc>
        <w:tc>
          <w:tcPr>
            <w:tcW w:w="1559" w:type="dxa"/>
            <w:tcBorders>
              <w:top w:val="double" w:sz="4" w:space="0" w:color="auto"/>
              <w:left w:val="single" w:sz="4" w:space="0" w:color="auto"/>
              <w:bottom w:val="double" w:sz="4" w:space="0" w:color="auto"/>
              <w:right w:val="single" w:sz="4" w:space="0" w:color="auto"/>
            </w:tcBorders>
            <w:shd w:val="clear" w:color="auto" w:fill="auto"/>
            <w:vAlign w:val="center"/>
          </w:tcPr>
          <w:p w:rsidR="00474DA2" w:rsidRPr="00873288" w:rsidRDefault="00474DA2" w:rsidP="00E8792A">
            <w:pPr>
              <w:jc w:val="center"/>
              <w:rPr>
                <w:rFonts w:asciiTheme="minorHAnsi" w:hAnsiTheme="minorHAnsi" w:cstheme="minorHAnsi"/>
                <w:color w:val="000000" w:themeColor="text1"/>
                <w:highlight w:val="red"/>
              </w:rPr>
            </w:pPr>
            <w:r w:rsidRPr="00873288">
              <w:rPr>
                <w:rFonts w:asciiTheme="minorHAnsi" w:hAnsiTheme="minorHAnsi" w:cstheme="minorHAnsi"/>
                <w:color w:val="000000" w:themeColor="text1"/>
              </w:rPr>
              <w:t>-</w:t>
            </w:r>
          </w:p>
        </w:tc>
        <w:tc>
          <w:tcPr>
            <w:tcW w:w="1560" w:type="dxa"/>
            <w:tcBorders>
              <w:top w:val="double" w:sz="4" w:space="0" w:color="auto"/>
              <w:left w:val="single" w:sz="4" w:space="0" w:color="auto"/>
              <w:bottom w:val="double" w:sz="4" w:space="0" w:color="auto"/>
              <w:right w:val="single" w:sz="4" w:space="0" w:color="auto"/>
            </w:tcBorders>
            <w:vAlign w:val="center"/>
          </w:tcPr>
          <w:p w:rsidR="00474DA2" w:rsidRPr="0077427D" w:rsidRDefault="00474DA2" w:rsidP="0077427D">
            <w:pPr>
              <w:jc w:val="center"/>
              <w:rPr>
                <w:rFonts w:ascii="Calibri" w:hAnsi="Calibri" w:cs="Calibri"/>
                <w:b/>
                <w:bCs/>
                <w:color w:val="0000FF"/>
              </w:rPr>
            </w:pPr>
            <w:r w:rsidRPr="0077427D">
              <w:rPr>
                <w:rFonts w:ascii="Calibri" w:hAnsi="Calibri" w:cs="Calibri"/>
                <w:b/>
                <w:bCs/>
                <w:color w:val="0000FF"/>
              </w:rPr>
              <w:t>-4 815</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474DA2" w:rsidRPr="00002B63" w:rsidRDefault="00474DA2" w:rsidP="0077427D">
            <w:pPr>
              <w:jc w:val="center"/>
              <w:rPr>
                <w:rFonts w:asciiTheme="minorHAnsi" w:hAnsiTheme="minorHAnsi" w:cstheme="minorHAnsi"/>
                <w:b/>
                <w:color w:val="000000" w:themeColor="text1"/>
              </w:rPr>
            </w:pPr>
            <w:r w:rsidRPr="00002B63">
              <w:rPr>
                <w:rFonts w:asciiTheme="minorHAnsi" w:hAnsiTheme="minorHAnsi" w:cstheme="minorHAnsi"/>
                <w:b/>
                <w:color w:val="000000" w:themeColor="text1"/>
              </w:rPr>
              <w:t>-</w:t>
            </w:r>
          </w:p>
        </w:tc>
        <w:tc>
          <w:tcPr>
            <w:tcW w:w="992" w:type="dxa"/>
            <w:tcBorders>
              <w:top w:val="double" w:sz="4" w:space="0" w:color="auto"/>
              <w:left w:val="single" w:sz="4" w:space="0" w:color="auto"/>
              <w:bottom w:val="double" w:sz="4" w:space="0" w:color="auto"/>
              <w:right w:val="double" w:sz="4" w:space="0" w:color="auto"/>
            </w:tcBorders>
            <w:vAlign w:val="center"/>
          </w:tcPr>
          <w:p w:rsidR="00474DA2" w:rsidRPr="00002B63" w:rsidRDefault="0077427D" w:rsidP="0077427D">
            <w:pPr>
              <w:jc w:val="center"/>
              <w:rPr>
                <w:rFonts w:asciiTheme="minorHAnsi" w:hAnsiTheme="minorHAnsi" w:cstheme="minorHAnsi"/>
                <w:b/>
                <w:color w:val="FF0000"/>
              </w:rPr>
            </w:pPr>
            <w:r>
              <w:rPr>
                <w:rFonts w:asciiTheme="minorHAnsi" w:hAnsiTheme="minorHAnsi" w:cstheme="minorHAnsi"/>
                <w:b/>
                <w:color w:val="FF0000"/>
              </w:rPr>
              <w:t>8,8 %</w:t>
            </w:r>
          </w:p>
        </w:tc>
      </w:tr>
    </w:tbl>
    <w:p w:rsidR="002C7CA2" w:rsidRPr="00002B63" w:rsidRDefault="002C7CA2" w:rsidP="00E8792A">
      <w:pPr>
        <w:pStyle w:val="Zkladntext"/>
        <w:spacing w:line="240" w:lineRule="auto"/>
        <w:jc w:val="both"/>
        <w:rPr>
          <w:rFonts w:asciiTheme="minorHAnsi" w:hAnsiTheme="minorHAnsi" w:cstheme="minorHAnsi"/>
          <w:b w:val="0"/>
          <w:sz w:val="20"/>
          <w:szCs w:val="20"/>
        </w:rPr>
      </w:pPr>
      <w:r>
        <w:rPr>
          <w:rFonts w:asciiTheme="minorHAnsi" w:hAnsiTheme="minorHAnsi" w:cstheme="minorHAnsi"/>
          <w:b w:val="0"/>
          <w:sz w:val="20"/>
          <w:szCs w:val="20"/>
        </w:rPr>
        <w:t>* Obyv. 15 – 64 let = obyvatelstvo ve věku 15 – 64 let (slouží pro výpočet PNO)</w:t>
      </w:r>
    </w:p>
    <w:p w:rsidR="00E8792A" w:rsidRPr="00002B63" w:rsidRDefault="00E8792A" w:rsidP="00E8792A">
      <w:pPr>
        <w:pStyle w:val="Zkladntext"/>
        <w:spacing w:line="240" w:lineRule="auto"/>
        <w:jc w:val="both"/>
        <w:rPr>
          <w:rFonts w:asciiTheme="minorHAnsi" w:hAnsiTheme="minorHAnsi" w:cstheme="minorHAnsi"/>
          <w:b w:val="0"/>
          <w:sz w:val="24"/>
        </w:rPr>
      </w:pPr>
    </w:p>
    <w:p w:rsidR="00E8792A" w:rsidRPr="0026374F" w:rsidRDefault="000B58BE" w:rsidP="00E8792A">
      <w:pPr>
        <w:pStyle w:val="Zkladntext2"/>
        <w:ind w:firstLine="720"/>
        <w:jc w:val="both"/>
        <w:rPr>
          <w:rFonts w:asciiTheme="minorHAnsi" w:hAnsiTheme="minorHAnsi" w:cstheme="minorHAnsi"/>
          <w:color w:val="000000" w:themeColor="text1"/>
          <w:szCs w:val="24"/>
        </w:rPr>
      </w:pPr>
      <w:r w:rsidRPr="0026374F">
        <w:rPr>
          <w:rFonts w:asciiTheme="minorHAnsi" w:hAnsiTheme="minorHAnsi" w:cstheme="minorHAnsi"/>
          <w:color w:val="000000" w:themeColor="text1"/>
          <w:szCs w:val="24"/>
        </w:rPr>
        <w:t>Podíl nezaměstnaných osob v Olomou</w:t>
      </w:r>
      <w:r w:rsidR="00110EEF" w:rsidRPr="0026374F">
        <w:rPr>
          <w:rFonts w:asciiTheme="minorHAnsi" w:hAnsiTheme="minorHAnsi" w:cstheme="minorHAnsi"/>
          <w:color w:val="000000" w:themeColor="text1"/>
          <w:szCs w:val="24"/>
        </w:rPr>
        <w:t>ckém kraji dosáhl k 31. 12. 2014 hodnoty 8</w:t>
      </w:r>
      <w:r w:rsidRPr="0026374F">
        <w:rPr>
          <w:rFonts w:asciiTheme="minorHAnsi" w:hAnsiTheme="minorHAnsi" w:cstheme="minorHAnsi"/>
          <w:color w:val="000000" w:themeColor="text1"/>
          <w:szCs w:val="24"/>
        </w:rPr>
        <w:t>,8</w:t>
      </w:r>
      <w:r w:rsidR="00E8792A" w:rsidRPr="0026374F">
        <w:rPr>
          <w:rFonts w:asciiTheme="minorHAnsi" w:hAnsiTheme="minorHAnsi" w:cstheme="minorHAnsi"/>
          <w:color w:val="000000" w:themeColor="text1"/>
          <w:szCs w:val="24"/>
        </w:rPr>
        <w:t xml:space="preserve"> %. </w:t>
      </w:r>
      <w:r w:rsidR="00E8792A" w:rsidRPr="0026374F">
        <w:rPr>
          <w:rFonts w:asciiTheme="minorHAnsi" w:hAnsiTheme="minorHAnsi" w:cstheme="minorHAnsi"/>
          <w:b/>
          <w:color w:val="000000" w:themeColor="text1"/>
          <w:szCs w:val="24"/>
        </w:rPr>
        <w:t xml:space="preserve">Mezi nezaměstnaností v 21 pověřených obcích Olomouckého kraje byly však ohromné rozdíly </w:t>
      </w:r>
      <w:r w:rsidRPr="0026374F">
        <w:rPr>
          <w:rFonts w:asciiTheme="minorHAnsi" w:hAnsiTheme="minorHAnsi" w:cstheme="minorHAnsi"/>
          <w:color w:val="000000" w:themeColor="text1"/>
          <w:szCs w:val="24"/>
        </w:rPr>
        <w:t>(PNO se pohyboval</w:t>
      </w:r>
      <w:r w:rsidR="00110EEF" w:rsidRPr="0026374F">
        <w:rPr>
          <w:rFonts w:asciiTheme="minorHAnsi" w:hAnsiTheme="minorHAnsi" w:cstheme="minorHAnsi"/>
          <w:color w:val="000000" w:themeColor="text1"/>
          <w:szCs w:val="24"/>
        </w:rPr>
        <w:t xml:space="preserve"> v rozmezí od 5,2 % do 15,3 %). Pět pověřených</w:t>
      </w:r>
      <w:r w:rsidR="00D53BAD" w:rsidRPr="0026374F">
        <w:rPr>
          <w:rFonts w:asciiTheme="minorHAnsi" w:hAnsiTheme="minorHAnsi" w:cstheme="minorHAnsi"/>
          <w:color w:val="000000" w:themeColor="text1"/>
          <w:szCs w:val="24"/>
        </w:rPr>
        <w:t xml:space="preserve"> obecní</w:t>
      </w:r>
      <w:r w:rsidR="00110EEF" w:rsidRPr="0026374F">
        <w:rPr>
          <w:rFonts w:asciiTheme="minorHAnsi" w:hAnsiTheme="minorHAnsi" w:cstheme="minorHAnsi"/>
          <w:color w:val="000000" w:themeColor="text1"/>
          <w:szCs w:val="24"/>
        </w:rPr>
        <w:t xml:space="preserve">ch úřadů </w:t>
      </w:r>
      <w:r w:rsidR="00E8792A" w:rsidRPr="0026374F">
        <w:rPr>
          <w:rFonts w:asciiTheme="minorHAnsi" w:hAnsiTheme="minorHAnsi" w:cstheme="minorHAnsi"/>
          <w:color w:val="000000" w:themeColor="text1"/>
          <w:szCs w:val="24"/>
        </w:rPr>
        <w:t>(</w:t>
      </w:r>
      <w:r w:rsidR="00D53BAD" w:rsidRPr="0026374F">
        <w:rPr>
          <w:rFonts w:asciiTheme="minorHAnsi" w:hAnsiTheme="minorHAnsi" w:cstheme="minorHAnsi"/>
          <w:color w:val="000000" w:themeColor="text1"/>
          <w:szCs w:val="24"/>
        </w:rPr>
        <w:t xml:space="preserve">Němčice nad Hanou, </w:t>
      </w:r>
      <w:r w:rsidR="00110EEF" w:rsidRPr="0026374F">
        <w:rPr>
          <w:rFonts w:asciiTheme="minorHAnsi" w:hAnsiTheme="minorHAnsi" w:cstheme="minorHAnsi"/>
          <w:color w:val="000000" w:themeColor="text1"/>
          <w:szCs w:val="24"/>
        </w:rPr>
        <w:t xml:space="preserve">Litovel, Konice, Prostějov a Mohelnice) vykázaly PNO nižší než </w:t>
      </w:r>
      <w:r w:rsidR="00D53BAD" w:rsidRPr="0026374F">
        <w:rPr>
          <w:rFonts w:asciiTheme="minorHAnsi" w:hAnsiTheme="minorHAnsi" w:cstheme="minorHAnsi"/>
          <w:color w:val="000000" w:themeColor="text1"/>
          <w:szCs w:val="24"/>
        </w:rPr>
        <w:t>PNO</w:t>
      </w:r>
      <w:r w:rsidR="00E8792A" w:rsidRPr="0026374F">
        <w:rPr>
          <w:rFonts w:asciiTheme="minorHAnsi" w:hAnsiTheme="minorHAnsi" w:cstheme="minorHAnsi"/>
          <w:color w:val="000000" w:themeColor="text1"/>
          <w:szCs w:val="24"/>
        </w:rPr>
        <w:t xml:space="preserve"> v ČR</w:t>
      </w:r>
      <w:r w:rsidR="00E8792A" w:rsidRPr="0026374F">
        <w:rPr>
          <w:rFonts w:asciiTheme="minorHAnsi" w:hAnsiTheme="minorHAnsi" w:cstheme="minorHAnsi"/>
          <w:b/>
          <w:color w:val="000000" w:themeColor="text1"/>
          <w:szCs w:val="24"/>
        </w:rPr>
        <w:t xml:space="preserve"> </w:t>
      </w:r>
      <w:r w:rsidR="00110EEF" w:rsidRPr="0026374F">
        <w:rPr>
          <w:rFonts w:asciiTheme="minorHAnsi" w:hAnsiTheme="minorHAnsi" w:cstheme="minorHAnsi"/>
          <w:color w:val="000000" w:themeColor="text1"/>
          <w:szCs w:val="24"/>
        </w:rPr>
        <w:t>(tj. 7,5</w:t>
      </w:r>
      <w:r w:rsidR="00E8792A" w:rsidRPr="0026374F">
        <w:rPr>
          <w:rFonts w:asciiTheme="minorHAnsi" w:hAnsiTheme="minorHAnsi" w:cstheme="minorHAnsi"/>
          <w:color w:val="000000" w:themeColor="text1"/>
          <w:szCs w:val="24"/>
        </w:rPr>
        <w:t xml:space="preserve"> %). </w:t>
      </w:r>
    </w:p>
    <w:p w:rsidR="00E8792A" w:rsidRPr="0026374F" w:rsidRDefault="00E8792A" w:rsidP="00E8792A">
      <w:pPr>
        <w:pStyle w:val="Zkladntext2"/>
        <w:ind w:firstLine="720"/>
        <w:jc w:val="both"/>
        <w:rPr>
          <w:rFonts w:asciiTheme="minorHAnsi" w:hAnsiTheme="minorHAnsi" w:cstheme="minorHAnsi"/>
          <w:color w:val="000000" w:themeColor="text1"/>
          <w:szCs w:val="24"/>
        </w:rPr>
      </w:pPr>
      <w:r w:rsidRPr="0026374F">
        <w:rPr>
          <w:rFonts w:asciiTheme="minorHAnsi" w:hAnsiTheme="minorHAnsi" w:cstheme="minorHAnsi"/>
          <w:color w:val="000000" w:themeColor="text1"/>
          <w:szCs w:val="24"/>
        </w:rPr>
        <w:t xml:space="preserve">V následujícím komentáři je popsána </w:t>
      </w:r>
      <w:r w:rsidR="00AE6900">
        <w:rPr>
          <w:rFonts w:asciiTheme="minorHAnsi" w:hAnsiTheme="minorHAnsi" w:cstheme="minorHAnsi"/>
          <w:b/>
          <w:color w:val="000000" w:themeColor="text1"/>
          <w:szCs w:val="24"/>
        </w:rPr>
        <w:t xml:space="preserve">situace na trhu práce v 7 pověřených obcích, kde hodnota PNO byla minimálně o 10 % vyšší než v kraji (tj. 9,7 % a více). </w:t>
      </w:r>
      <w:r w:rsidRPr="0026374F">
        <w:rPr>
          <w:rFonts w:asciiTheme="minorHAnsi" w:hAnsiTheme="minorHAnsi" w:cstheme="minorHAnsi"/>
          <w:color w:val="000000" w:themeColor="text1"/>
          <w:szCs w:val="24"/>
        </w:rPr>
        <w:t>Mapu Olomouckého kraje s vyznačeným územím jednotlivých pověřený</w:t>
      </w:r>
      <w:r w:rsidR="004074EA" w:rsidRPr="0026374F">
        <w:rPr>
          <w:rFonts w:asciiTheme="minorHAnsi" w:hAnsiTheme="minorHAnsi" w:cstheme="minorHAnsi"/>
          <w:color w:val="000000" w:themeColor="text1"/>
          <w:szCs w:val="24"/>
        </w:rPr>
        <w:t xml:space="preserve">ch obcí a PNO </w:t>
      </w:r>
      <w:r w:rsidRPr="0026374F">
        <w:rPr>
          <w:rFonts w:asciiTheme="minorHAnsi" w:hAnsiTheme="minorHAnsi" w:cstheme="minorHAnsi"/>
          <w:color w:val="000000" w:themeColor="text1"/>
          <w:szCs w:val="24"/>
        </w:rPr>
        <w:t xml:space="preserve"> najdete v Příloze č. 5.</w:t>
      </w:r>
    </w:p>
    <w:p w:rsidR="00E8792A" w:rsidRPr="0026374F" w:rsidRDefault="00E8792A" w:rsidP="00E8792A">
      <w:pPr>
        <w:pStyle w:val="Zkladntext2"/>
        <w:ind w:firstLine="708"/>
        <w:jc w:val="both"/>
        <w:rPr>
          <w:rFonts w:asciiTheme="minorHAnsi" w:hAnsiTheme="minorHAnsi" w:cstheme="minorHAnsi"/>
          <w:color w:val="000000" w:themeColor="text1"/>
          <w:szCs w:val="24"/>
        </w:rPr>
      </w:pPr>
      <w:r w:rsidRPr="0026374F">
        <w:rPr>
          <w:rFonts w:asciiTheme="minorHAnsi" w:hAnsiTheme="minorHAnsi" w:cstheme="minorHAnsi"/>
          <w:color w:val="000000" w:themeColor="text1"/>
          <w:szCs w:val="24"/>
        </w:rPr>
        <w:t>Pověřené obce jsou v následujícím přehledu řazeny ses</w:t>
      </w:r>
      <w:r w:rsidR="004074EA" w:rsidRPr="0026374F">
        <w:rPr>
          <w:rFonts w:asciiTheme="minorHAnsi" w:hAnsiTheme="minorHAnsi" w:cstheme="minorHAnsi"/>
          <w:color w:val="000000" w:themeColor="text1"/>
          <w:szCs w:val="24"/>
        </w:rPr>
        <w:t>tupně podle hodnoty PNO</w:t>
      </w:r>
      <w:r w:rsidRPr="0026374F">
        <w:rPr>
          <w:rFonts w:asciiTheme="minorHAnsi" w:hAnsiTheme="minorHAnsi" w:cstheme="minorHAnsi"/>
          <w:color w:val="000000" w:themeColor="text1"/>
          <w:szCs w:val="24"/>
        </w:rPr>
        <w:t>. V nadpise je uveden název pověřené obce, zkratka okresu, na jehož území se území pověřeného obecního úřad</w:t>
      </w:r>
      <w:r w:rsidR="004074EA" w:rsidRPr="0026374F">
        <w:rPr>
          <w:rFonts w:asciiTheme="minorHAnsi" w:hAnsiTheme="minorHAnsi" w:cstheme="minorHAnsi"/>
          <w:color w:val="000000" w:themeColor="text1"/>
          <w:szCs w:val="24"/>
        </w:rPr>
        <w:t>u nachází a podíl nezaměstna</w:t>
      </w:r>
      <w:r w:rsidR="0026374F">
        <w:rPr>
          <w:rFonts w:asciiTheme="minorHAnsi" w:hAnsiTheme="minorHAnsi" w:cstheme="minorHAnsi"/>
          <w:color w:val="000000" w:themeColor="text1"/>
          <w:szCs w:val="24"/>
        </w:rPr>
        <w:t>ných osob k 31. 12. 2014</w:t>
      </w:r>
      <w:r w:rsidR="004074EA" w:rsidRPr="0026374F">
        <w:rPr>
          <w:rFonts w:asciiTheme="minorHAnsi" w:hAnsiTheme="minorHAnsi" w:cstheme="minorHAnsi"/>
          <w:color w:val="000000" w:themeColor="text1"/>
          <w:szCs w:val="24"/>
        </w:rPr>
        <w:t>.</w:t>
      </w:r>
    </w:p>
    <w:p w:rsidR="00E8792A" w:rsidRPr="0077427D" w:rsidRDefault="00E8792A" w:rsidP="00E8792A">
      <w:pPr>
        <w:pStyle w:val="Zkladntext2"/>
        <w:ind w:firstLine="708"/>
        <w:jc w:val="both"/>
        <w:rPr>
          <w:rFonts w:asciiTheme="minorHAnsi" w:hAnsiTheme="minorHAnsi" w:cstheme="minorHAnsi"/>
          <w:i/>
          <w:color w:val="FF0000"/>
        </w:rPr>
      </w:pPr>
    </w:p>
    <w:p w:rsidR="004074EA" w:rsidRPr="0026374F" w:rsidRDefault="004074EA" w:rsidP="004074EA">
      <w:pPr>
        <w:pStyle w:val="Nadpis3"/>
        <w:ind w:firstLine="720"/>
        <w:jc w:val="both"/>
        <w:rPr>
          <w:rFonts w:asciiTheme="minorHAnsi" w:hAnsiTheme="minorHAnsi" w:cstheme="minorHAnsi"/>
          <w:b/>
          <w:color w:val="000000" w:themeColor="text1"/>
        </w:rPr>
      </w:pPr>
      <w:r w:rsidRPr="0026374F">
        <w:rPr>
          <w:rFonts w:asciiTheme="minorHAnsi" w:hAnsiTheme="minorHAnsi" w:cstheme="minorHAnsi"/>
          <w:b/>
          <w:color w:val="000000" w:themeColor="text1"/>
          <w:szCs w:val="24"/>
        </w:rPr>
        <w:lastRenderedPageBreak/>
        <w:t xml:space="preserve">Javorník </w:t>
      </w:r>
      <w:r w:rsidR="0026374F" w:rsidRPr="0026374F">
        <w:rPr>
          <w:rFonts w:asciiTheme="minorHAnsi" w:hAnsiTheme="minorHAnsi" w:cstheme="minorHAnsi"/>
          <w:b/>
          <w:color w:val="000000" w:themeColor="text1"/>
        </w:rPr>
        <w:t>(JE) –  15,3</w:t>
      </w:r>
      <w:r w:rsidRPr="0026374F">
        <w:rPr>
          <w:rFonts w:asciiTheme="minorHAnsi" w:hAnsiTheme="minorHAnsi" w:cstheme="minorHAnsi"/>
          <w:b/>
          <w:color w:val="000000" w:themeColor="text1"/>
        </w:rPr>
        <w:t xml:space="preserve"> %</w:t>
      </w:r>
    </w:p>
    <w:p w:rsidR="004074EA" w:rsidRPr="0026374F" w:rsidRDefault="004074EA" w:rsidP="004074EA">
      <w:pPr>
        <w:pStyle w:val="Nadpis3"/>
        <w:ind w:firstLine="720"/>
        <w:jc w:val="both"/>
        <w:rPr>
          <w:rFonts w:asciiTheme="minorHAnsi" w:hAnsiTheme="minorHAnsi" w:cstheme="minorHAnsi"/>
          <w:b/>
          <w:color w:val="000000" w:themeColor="text1"/>
        </w:rPr>
      </w:pPr>
      <w:r w:rsidRPr="0026374F">
        <w:rPr>
          <w:rFonts w:asciiTheme="minorHAnsi" w:hAnsiTheme="minorHAnsi" w:cstheme="minorHAnsi"/>
          <w:color w:val="000000" w:themeColor="text1"/>
        </w:rPr>
        <w:t>Tento region lze považovat za rizikový, neboť z hlediska</w:t>
      </w:r>
      <w:r w:rsidR="0073313C" w:rsidRPr="0026374F">
        <w:rPr>
          <w:rFonts w:asciiTheme="minorHAnsi" w:hAnsiTheme="minorHAnsi" w:cstheme="minorHAnsi"/>
          <w:color w:val="000000" w:themeColor="text1"/>
        </w:rPr>
        <w:t xml:space="preserve"> dlouhodobé sledovanosti jeho PNO je vždy jeden</w:t>
      </w:r>
      <w:r w:rsidRPr="0026374F">
        <w:rPr>
          <w:rFonts w:asciiTheme="minorHAnsi" w:hAnsiTheme="minorHAnsi" w:cstheme="minorHAnsi"/>
          <w:color w:val="000000" w:themeColor="text1"/>
        </w:rPr>
        <w:t xml:space="preserve"> z nejvyšších v porovnání nejen mezi regiony kraje, ale i </w:t>
      </w:r>
      <w:r w:rsidR="0026374F" w:rsidRPr="0026374F">
        <w:rPr>
          <w:rFonts w:asciiTheme="minorHAnsi" w:hAnsiTheme="minorHAnsi" w:cstheme="minorHAnsi"/>
          <w:color w:val="000000" w:themeColor="text1"/>
        </w:rPr>
        <w:t xml:space="preserve">v </w:t>
      </w:r>
      <w:r w:rsidRPr="0026374F">
        <w:rPr>
          <w:rFonts w:asciiTheme="minorHAnsi" w:hAnsiTheme="minorHAnsi" w:cstheme="minorHAnsi"/>
          <w:color w:val="000000" w:themeColor="text1"/>
        </w:rPr>
        <w:t xml:space="preserve">celé ČR. Jedná se o oblast, kde </w:t>
      </w:r>
      <w:r w:rsidRPr="0026374F">
        <w:rPr>
          <w:rFonts w:asciiTheme="minorHAnsi" w:hAnsiTheme="minorHAnsi" w:cstheme="minorHAnsi"/>
          <w:color w:val="000000" w:themeColor="text1"/>
          <w:szCs w:val="12"/>
        </w:rPr>
        <w:t>převážná část obyvatel pracuje</w:t>
      </w:r>
      <w:r w:rsidRPr="0026374F">
        <w:rPr>
          <w:rFonts w:asciiTheme="minorHAnsi" w:hAnsiTheme="minorHAnsi" w:cstheme="minorHAnsi"/>
          <w:b/>
          <w:bCs/>
          <w:color w:val="000000" w:themeColor="text1"/>
          <w:szCs w:val="12"/>
        </w:rPr>
        <w:t xml:space="preserve"> </w:t>
      </w:r>
      <w:r w:rsidRPr="0026374F">
        <w:rPr>
          <w:rFonts w:asciiTheme="minorHAnsi" w:hAnsiTheme="minorHAnsi" w:cstheme="minorHAnsi"/>
          <w:color w:val="000000" w:themeColor="text1"/>
          <w:szCs w:val="12"/>
        </w:rPr>
        <w:t>v zemědělství a lesnictví. Zrušením některých větších podniků (v lepším případě zredukováním počtu zaměstnan</w:t>
      </w:r>
      <w:r w:rsidR="00CD1FD2" w:rsidRPr="0026374F">
        <w:rPr>
          <w:rFonts w:asciiTheme="minorHAnsi" w:hAnsiTheme="minorHAnsi" w:cstheme="minorHAnsi"/>
          <w:color w:val="000000" w:themeColor="text1"/>
          <w:szCs w:val="12"/>
        </w:rPr>
        <w:t>ců), došlo k prudkému zvýšení nezaměstnanosti</w:t>
      </w:r>
      <w:r w:rsidRPr="0026374F">
        <w:rPr>
          <w:rFonts w:asciiTheme="minorHAnsi" w:hAnsiTheme="minorHAnsi" w:cstheme="minorHAnsi"/>
          <w:color w:val="000000" w:themeColor="text1"/>
          <w:szCs w:val="12"/>
        </w:rPr>
        <w:t xml:space="preserve"> a její trvale vysoké hodnotě. Některé oblasti tohoto regionu jsou v zimě velmi špatně dostupné např. v okolí Travné nebo Bílého Potoka a  stává se, že jsou na nějakou dobu odříznuty od civilizace a to velmi ztěžuje celkovou situaci v regionu.</w:t>
      </w:r>
      <w:r w:rsidR="0073313C" w:rsidRPr="0026374F">
        <w:rPr>
          <w:rFonts w:asciiTheme="minorHAnsi" w:hAnsiTheme="minorHAnsi" w:cstheme="minorHAnsi"/>
          <w:color w:val="000000" w:themeColor="text1"/>
          <w:szCs w:val="12"/>
        </w:rPr>
        <w:t xml:space="preserve"> </w:t>
      </w:r>
      <w:r w:rsidRPr="0026374F">
        <w:rPr>
          <w:rFonts w:asciiTheme="minorHAnsi" w:hAnsiTheme="minorHAnsi" w:cstheme="minorHAnsi"/>
          <w:color w:val="000000" w:themeColor="text1"/>
          <w:szCs w:val="12"/>
        </w:rPr>
        <w:t xml:space="preserve">Největším zaměstnavatelem </w:t>
      </w:r>
      <w:r w:rsidR="00CD1FD2" w:rsidRPr="0026374F">
        <w:rPr>
          <w:rFonts w:asciiTheme="minorHAnsi" w:hAnsiTheme="minorHAnsi" w:cstheme="minorHAnsi"/>
          <w:color w:val="000000" w:themeColor="text1"/>
          <w:szCs w:val="12"/>
        </w:rPr>
        <w:t>v tomto regionu je Psychiatrická nemocnice Marianny Oranžské</w:t>
      </w:r>
      <w:r w:rsidR="0073313C" w:rsidRPr="0026374F">
        <w:rPr>
          <w:rFonts w:asciiTheme="minorHAnsi" w:hAnsiTheme="minorHAnsi" w:cstheme="minorHAnsi"/>
          <w:color w:val="000000" w:themeColor="text1"/>
          <w:szCs w:val="12"/>
        </w:rPr>
        <w:t xml:space="preserve"> v Bílé Vodě (s cca 120 </w:t>
      </w:r>
      <w:r w:rsidR="00CD1FD2" w:rsidRPr="0026374F">
        <w:rPr>
          <w:rFonts w:asciiTheme="minorHAnsi" w:hAnsiTheme="minorHAnsi" w:cstheme="minorHAnsi"/>
          <w:color w:val="000000" w:themeColor="text1"/>
          <w:szCs w:val="12"/>
        </w:rPr>
        <w:t xml:space="preserve">zaměstnanci) a Charita Javorník (cca 80 zaměstnanců). </w:t>
      </w:r>
      <w:r w:rsidR="0073313C" w:rsidRPr="0026374F">
        <w:rPr>
          <w:rFonts w:asciiTheme="minorHAnsi" w:hAnsiTheme="minorHAnsi" w:cstheme="minorHAnsi"/>
          <w:color w:val="000000" w:themeColor="text1"/>
          <w:szCs w:val="12"/>
        </w:rPr>
        <w:t>Největší výrobní společností s cca pěti desítkami zaměstnanců je SABAS s.r.o., která se zabývá rostlinnou a živočišnou výrobou a zpracováním zemědělských produktů.</w:t>
      </w:r>
    </w:p>
    <w:p w:rsidR="004074EA" w:rsidRPr="0026374F" w:rsidRDefault="004074EA" w:rsidP="004074EA">
      <w:pPr>
        <w:ind w:firstLine="720"/>
        <w:jc w:val="both"/>
        <w:rPr>
          <w:rFonts w:asciiTheme="minorHAnsi" w:hAnsiTheme="minorHAnsi" w:cstheme="minorHAnsi"/>
          <w:b/>
          <w:color w:val="000000" w:themeColor="text1"/>
        </w:rPr>
      </w:pPr>
      <w:r w:rsidRPr="0026374F">
        <w:rPr>
          <w:rFonts w:asciiTheme="minorHAnsi" w:hAnsiTheme="minorHAnsi" w:cstheme="minorHAnsi"/>
          <w:i/>
          <w:color w:val="000000" w:themeColor="text1"/>
        </w:rPr>
        <w:tab/>
      </w:r>
      <w:r w:rsidRPr="0026374F">
        <w:rPr>
          <w:rFonts w:asciiTheme="minorHAnsi" w:hAnsiTheme="minorHAnsi" w:cstheme="minorHAnsi"/>
          <w:i/>
          <w:color w:val="000000" w:themeColor="text1"/>
        </w:rPr>
        <w:tab/>
      </w:r>
      <w:r w:rsidRPr="0026374F">
        <w:rPr>
          <w:rFonts w:asciiTheme="minorHAnsi" w:hAnsiTheme="minorHAnsi" w:cstheme="minorHAnsi"/>
          <w:b/>
          <w:color w:val="000000" w:themeColor="text1"/>
        </w:rPr>
        <w:t>Počet dosažitelných U</w:t>
      </w:r>
      <w:r w:rsidR="00CD1FD2" w:rsidRPr="0026374F">
        <w:rPr>
          <w:rFonts w:asciiTheme="minorHAnsi" w:hAnsiTheme="minorHAnsi" w:cstheme="minorHAnsi"/>
          <w:b/>
          <w:color w:val="000000" w:themeColor="text1"/>
        </w:rPr>
        <w:t>oZ meziročně</w:t>
      </w:r>
      <w:r w:rsidR="0026374F" w:rsidRPr="0026374F">
        <w:rPr>
          <w:rFonts w:asciiTheme="minorHAnsi" w:hAnsiTheme="minorHAnsi" w:cstheme="minorHAnsi"/>
          <w:b/>
          <w:color w:val="000000" w:themeColor="text1"/>
        </w:rPr>
        <w:t xml:space="preserve"> klesl o </w:t>
      </w:r>
      <w:r w:rsidR="0026374F">
        <w:rPr>
          <w:rFonts w:asciiTheme="minorHAnsi" w:hAnsiTheme="minorHAnsi" w:cstheme="minorHAnsi"/>
          <w:b/>
          <w:color w:val="000000" w:themeColor="text1"/>
        </w:rPr>
        <w:t>110</w:t>
      </w:r>
      <w:r w:rsidR="0026374F" w:rsidRPr="0026374F">
        <w:rPr>
          <w:rFonts w:asciiTheme="minorHAnsi" w:hAnsiTheme="minorHAnsi" w:cstheme="minorHAnsi"/>
          <w:b/>
          <w:color w:val="000000" w:themeColor="text1"/>
        </w:rPr>
        <w:t xml:space="preserve">  osob (tj. - </w:t>
      </w:r>
      <w:r w:rsidR="0026374F">
        <w:rPr>
          <w:rFonts w:asciiTheme="minorHAnsi" w:hAnsiTheme="minorHAnsi" w:cstheme="minorHAnsi"/>
          <w:b/>
          <w:color w:val="000000" w:themeColor="text1"/>
        </w:rPr>
        <w:t>8</w:t>
      </w:r>
      <w:r w:rsidR="0026374F" w:rsidRPr="0026374F">
        <w:rPr>
          <w:rFonts w:asciiTheme="minorHAnsi" w:hAnsiTheme="minorHAnsi" w:cstheme="minorHAnsi"/>
          <w:b/>
          <w:color w:val="000000" w:themeColor="text1"/>
        </w:rPr>
        <w:t xml:space="preserve"> %).</w:t>
      </w:r>
    </w:p>
    <w:p w:rsidR="004074EA" w:rsidRPr="0026374F" w:rsidRDefault="004074EA" w:rsidP="00E8792A">
      <w:pPr>
        <w:pStyle w:val="Zkladntext2"/>
        <w:ind w:left="1" w:firstLine="708"/>
        <w:jc w:val="both"/>
        <w:rPr>
          <w:rFonts w:asciiTheme="minorHAnsi" w:hAnsiTheme="minorHAnsi" w:cstheme="minorHAnsi"/>
          <w:b/>
          <w:i/>
          <w:color w:val="000000" w:themeColor="text1"/>
          <w:szCs w:val="24"/>
        </w:rPr>
      </w:pPr>
    </w:p>
    <w:p w:rsidR="00E8792A" w:rsidRPr="0026374F" w:rsidRDefault="00E8792A" w:rsidP="00E8792A">
      <w:pPr>
        <w:pStyle w:val="Zkladntext2"/>
        <w:ind w:left="1" w:firstLine="708"/>
        <w:jc w:val="both"/>
        <w:rPr>
          <w:rFonts w:asciiTheme="minorHAnsi" w:hAnsiTheme="minorHAnsi" w:cstheme="minorHAnsi"/>
          <w:b/>
          <w:color w:val="000000" w:themeColor="text1"/>
        </w:rPr>
      </w:pPr>
      <w:r w:rsidRPr="0026374F">
        <w:rPr>
          <w:rFonts w:asciiTheme="minorHAnsi" w:hAnsiTheme="minorHAnsi" w:cstheme="minorHAnsi"/>
          <w:b/>
          <w:color w:val="000000" w:themeColor="text1"/>
          <w:szCs w:val="24"/>
        </w:rPr>
        <w:t>Hanušovice</w:t>
      </w:r>
      <w:r w:rsidR="0026374F" w:rsidRPr="0026374F">
        <w:rPr>
          <w:rFonts w:asciiTheme="minorHAnsi" w:hAnsiTheme="minorHAnsi" w:cstheme="minorHAnsi"/>
          <w:b/>
          <w:color w:val="000000" w:themeColor="text1"/>
        </w:rPr>
        <w:t xml:space="preserve"> (SU) –  14,9</w:t>
      </w:r>
      <w:r w:rsidRPr="0026374F">
        <w:rPr>
          <w:rFonts w:asciiTheme="minorHAnsi" w:hAnsiTheme="minorHAnsi" w:cstheme="minorHAnsi"/>
          <w:b/>
          <w:color w:val="000000" w:themeColor="text1"/>
        </w:rPr>
        <w:t xml:space="preserve"> %</w:t>
      </w:r>
    </w:p>
    <w:p w:rsidR="00E8792A" w:rsidRPr="0026374F" w:rsidRDefault="00E8792A" w:rsidP="00E8792A">
      <w:pPr>
        <w:shd w:val="clear" w:color="auto" w:fill="FFFFFF"/>
        <w:ind w:right="-1" w:firstLine="709"/>
        <w:jc w:val="both"/>
        <w:rPr>
          <w:rFonts w:asciiTheme="minorHAnsi" w:hAnsiTheme="minorHAnsi" w:cstheme="minorHAnsi"/>
          <w:bCs/>
          <w:color w:val="000000" w:themeColor="text1"/>
        </w:rPr>
      </w:pPr>
      <w:r w:rsidRPr="0026374F">
        <w:rPr>
          <w:rFonts w:asciiTheme="minorHAnsi" w:hAnsiTheme="minorHAnsi" w:cstheme="minorHAnsi"/>
          <w:b/>
          <w:i/>
          <w:color w:val="000000" w:themeColor="text1"/>
        </w:rPr>
        <w:tab/>
      </w:r>
      <w:r w:rsidRPr="0026374F">
        <w:rPr>
          <w:rFonts w:asciiTheme="minorHAnsi" w:hAnsiTheme="minorHAnsi" w:cstheme="minorHAnsi"/>
          <w:color w:val="000000" w:themeColor="text1"/>
        </w:rPr>
        <w:t>Jedná se o</w:t>
      </w:r>
      <w:r w:rsidRPr="0026374F">
        <w:rPr>
          <w:rFonts w:asciiTheme="minorHAnsi" w:hAnsiTheme="minorHAnsi" w:cstheme="minorHAnsi"/>
          <w:bCs/>
          <w:color w:val="000000" w:themeColor="text1"/>
        </w:rPr>
        <w:t xml:space="preserve"> dlouhodobě nejproblémovější část okresu Šumperk i kraje, která sousedí dále na severu s okresem Jeseník a na západě s okresem Ústí nad Orlicí. Na severu, kde je příznivá úroveň životního prostředí a čistota ovzduší, bývá často zdrojem příjmů pro místní obyvatele cestovní ruch a činnosti související s ekologickým zemědělstvím. Zemědělství je zaměřeno převážně na pastevecký </w:t>
      </w:r>
      <w:r w:rsidR="0026374F">
        <w:rPr>
          <w:rFonts w:asciiTheme="minorHAnsi" w:hAnsiTheme="minorHAnsi" w:cstheme="minorHAnsi"/>
          <w:bCs/>
          <w:color w:val="000000" w:themeColor="text1"/>
        </w:rPr>
        <w:t xml:space="preserve">chov skotu, </w:t>
      </w:r>
      <w:r w:rsidRPr="0026374F">
        <w:rPr>
          <w:rFonts w:asciiTheme="minorHAnsi" w:hAnsiTheme="minorHAnsi" w:cstheme="minorHAnsi"/>
          <w:bCs/>
          <w:color w:val="000000" w:themeColor="text1"/>
        </w:rPr>
        <w:t xml:space="preserve">lesnická činnost má jednoho posledního zástupce, z průmyslu převažuje strojírenství a potravinářství. </w:t>
      </w:r>
    </w:p>
    <w:p w:rsidR="00E8792A" w:rsidRPr="0026374F" w:rsidRDefault="00E8792A" w:rsidP="00E8792A">
      <w:pPr>
        <w:pStyle w:val="Zkladntext"/>
        <w:spacing w:line="240" w:lineRule="auto"/>
        <w:ind w:firstLine="567"/>
        <w:jc w:val="both"/>
        <w:rPr>
          <w:rFonts w:asciiTheme="minorHAnsi" w:hAnsiTheme="minorHAnsi" w:cstheme="minorHAnsi"/>
          <w:b w:val="0"/>
          <w:color w:val="000000" w:themeColor="text1"/>
          <w:sz w:val="24"/>
        </w:rPr>
      </w:pPr>
      <w:r w:rsidRPr="0026374F">
        <w:rPr>
          <w:rFonts w:asciiTheme="minorHAnsi" w:hAnsiTheme="minorHAnsi" w:cstheme="minorHAnsi"/>
          <w:b w:val="0"/>
          <w:color w:val="000000" w:themeColor="text1"/>
          <w:sz w:val="24"/>
        </w:rPr>
        <w:t>Mezi nejvýznamnější  zaměstnavatele patří ZKL Hanušovice a.s. (bývalý Zetor) s</w:t>
      </w:r>
      <w:r w:rsidR="008F7CB6" w:rsidRPr="0026374F">
        <w:rPr>
          <w:rFonts w:asciiTheme="minorHAnsi" w:hAnsiTheme="minorHAnsi" w:cstheme="minorHAnsi"/>
          <w:b w:val="0"/>
          <w:color w:val="000000" w:themeColor="text1"/>
          <w:sz w:val="24"/>
        </w:rPr>
        <w:t xml:space="preserve"> více než </w:t>
      </w:r>
      <w:r w:rsidRPr="0026374F">
        <w:rPr>
          <w:rFonts w:asciiTheme="minorHAnsi" w:hAnsiTheme="minorHAnsi" w:cstheme="minorHAnsi"/>
          <w:b w:val="0"/>
          <w:color w:val="000000" w:themeColor="text1"/>
          <w:sz w:val="24"/>
        </w:rPr>
        <w:t xml:space="preserve">300 zaměstnanci, který vyrábí díly pro automobilový průmysl. Dalším velkým zaměstnavatelem je Pivovar Holba a.s. se </w:t>
      </w:r>
      <w:r w:rsidR="008F7CB6" w:rsidRPr="0026374F">
        <w:rPr>
          <w:rFonts w:asciiTheme="minorHAnsi" w:hAnsiTheme="minorHAnsi" w:cstheme="minorHAnsi"/>
          <w:b w:val="0"/>
          <w:color w:val="000000" w:themeColor="text1"/>
          <w:sz w:val="24"/>
        </w:rPr>
        <w:t>15</w:t>
      </w:r>
      <w:r w:rsidRPr="0026374F">
        <w:rPr>
          <w:rFonts w:asciiTheme="minorHAnsi" w:hAnsiTheme="minorHAnsi" w:cstheme="minorHAnsi"/>
          <w:b w:val="0"/>
          <w:color w:val="000000" w:themeColor="text1"/>
          <w:sz w:val="24"/>
        </w:rPr>
        <w:t xml:space="preserve">0 zaměstnanci. Region byl v posledních letech postižen zejména zánikem textilky Slezan Frýdek-Místek a.s. a papírenského závodu v Jindřichově (dohromady zde bylo zaměstnáno okolo 300 pracovníků).  </w:t>
      </w:r>
    </w:p>
    <w:p w:rsidR="0026374F" w:rsidRPr="0026374F" w:rsidRDefault="008F7CB6" w:rsidP="00E8792A">
      <w:pPr>
        <w:pStyle w:val="Zkladntext"/>
        <w:spacing w:line="240" w:lineRule="auto"/>
        <w:ind w:firstLine="720"/>
        <w:jc w:val="both"/>
        <w:rPr>
          <w:rFonts w:asciiTheme="minorHAnsi" w:hAnsiTheme="minorHAnsi" w:cstheme="minorHAnsi"/>
          <w:bCs w:val="0"/>
          <w:color w:val="000000" w:themeColor="text1"/>
          <w:sz w:val="24"/>
        </w:rPr>
      </w:pPr>
      <w:r w:rsidRPr="0026374F">
        <w:rPr>
          <w:rFonts w:asciiTheme="minorHAnsi" w:hAnsiTheme="minorHAnsi" w:cstheme="minorHAnsi"/>
          <w:bCs w:val="0"/>
          <w:color w:val="000000" w:themeColor="text1"/>
          <w:sz w:val="24"/>
        </w:rPr>
        <w:t xml:space="preserve">Nezaměstnanost </w:t>
      </w:r>
      <w:r w:rsidR="00E8792A" w:rsidRPr="0026374F">
        <w:rPr>
          <w:rFonts w:asciiTheme="minorHAnsi" w:hAnsiTheme="minorHAnsi" w:cstheme="minorHAnsi"/>
          <w:bCs w:val="0"/>
          <w:color w:val="000000" w:themeColor="text1"/>
          <w:sz w:val="24"/>
        </w:rPr>
        <w:t>meziro</w:t>
      </w:r>
      <w:r w:rsidR="0026374F" w:rsidRPr="0026374F">
        <w:rPr>
          <w:rFonts w:asciiTheme="minorHAnsi" w:hAnsiTheme="minorHAnsi" w:cstheme="minorHAnsi"/>
          <w:bCs w:val="0"/>
          <w:color w:val="000000" w:themeColor="text1"/>
          <w:sz w:val="24"/>
        </w:rPr>
        <w:t>čně klesla o 86 osob (tj. – 10 %).</w:t>
      </w:r>
    </w:p>
    <w:p w:rsidR="008F7CB6" w:rsidRPr="0077427D" w:rsidRDefault="008F7CB6" w:rsidP="00E8792A">
      <w:pPr>
        <w:pStyle w:val="Zkladntext"/>
        <w:spacing w:line="240" w:lineRule="auto"/>
        <w:ind w:firstLine="720"/>
        <w:jc w:val="both"/>
        <w:rPr>
          <w:rFonts w:asciiTheme="minorHAnsi" w:hAnsiTheme="minorHAnsi" w:cstheme="minorHAnsi"/>
          <w:bCs w:val="0"/>
          <w:color w:val="FF0000"/>
          <w:sz w:val="24"/>
        </w:rPr>
      </w:pPr>
    </w:p>
    <w:p w:rsidR="008F7CB6" w:rsidRPr="00713918" w:rsidRDefault="008F7CB6" w:rsidP="008F7CB6">
      <w:pPr>
        <w:pStyle w:val="Zkladntext2"/>
        <w:ind w:firstLine="708"/>
        <w:jc w:val="both"/>
        <w:rPr>
          <w:rFonts w:asciiTheme="minorHAnsi" w:hAnsiTheme="minorHAnsi" w:cstheme="minorHAnsi"/>
          <w:b/>
          <w:color w:val="000000" w:themeColor="text1"/>
        </w:rPr>
      </w:pPr>
      <w:r w:rsidRPr="00713918">
        <w:rPr>
          <w:rFonts w:asciiTheme="minorHAnsi" w:hAnsiTheme="minorHAnsi" w:cstheme="minorHAnsi"/>
          <w:b/>
          <w:color w:val="000000" w:themeColor="text1"/>
          <w:szCs w:val="24"/>
        </w:rPr>
        <w:t>Kojetín</w:t>
      </w:r>
      <w:r w:rsidR="0026374F" w:rsidRPr="00713918">
        <w:rPr>
          <w:rFonts w:asciiTheme="minorHAnsi" w:hAnsiTheme="minorHAnsi" w:cstheme="minorHAnsi"/>
          <w:b/>
          <w:color w:val="000000" w:themeColor="text1"/>
        </w:rPr>
        <w:t xml:space="preserve"> (PR) –  11,5</w:t>
      </w:r>
      <w:r w:rsidRPr="00713918">
        <w:rPr>
          <w:rFonts w:asciiTheme="minorHAnsi" w:hAnsiTheme="minorHAnsi" w:cstheme="minorHAnsi"/>
          <w:b/>
          <w:color w:val="000000" w:themeColor="text1"/>
        </w:rPr>
        <w:t xml:space="preserve"> %</w:t>
      </w:r>
    </w:p>
    <w:p w:rsidR="008F7CB6" w:rsidRPr="00713918" w:rsidRDefault="008F7CB6" w:rsidP="008F7CB6">
      <w:pPr>
        <w:pStyle w:val="Zkladntext"/>
        <w:spacing w:line="240" w:lineRule="auto"/>
        <w:ind w:firstLine="720"/>
        <w:jc w:val="both"/>
        <w:rPr>
          <w:rFonts w:asciiTheme="minorHAnsi" w:hAnsiTheme="minorHAnsi" w:cstheme="minorHAnsi"/>
          <w:b w:val="0"/>
          <w:color w:val="000000" w:themeColor="text1"/>
          <w:sz w:val="24"/>
        </w:rPr>
      </w:pPr>
      <w:r w:rsidRPr="00713918">
        <w:rPr>
          <w:rFonts w:asciiTheme="minorHAnsi" w:hAnsiTheme="minorHAnsi" w:cstheme="minorHAnsi"/>
          <w:b w:val="0"/>
          <w:color w:val="000000" w:themeColor="text1"/>
          <w:sz w:val="24"/>
        </w:rPr>
        <w:tab/>
        <w:t>Kojetínsko  se rozprostírá v jihozápadní části okresu Přerov. Jedná se o zemědělskou oblast zahrnující i potravinářský průmysl s příznivými podmínkami zejména pro rostlinnou výrobu. Postupně však v posledních letech vzrostl podíl průmyslu, především  stavebních hmot (Tovačov a okolí), dále i obchodu a služeb.</w:t>
      </w:r>
    </w:p>
    <w:p w:rsidR="008F7CB6" w:rsidRPr="00713918" w:rsidRDefault="008F7CB6" w:rsidP="009D1A96">
      <w:pPr>
        <w:pStyle w:val="Texttabulky"/>
        <w:ind w:firstLine="709"/>
        <w:jc w:val="both"/>
        <w:rPr>
          <w:rFonts w:asciiTheme="minorHAnsi" w:hAnsiTheme="minorHAnsi" w:cstheme="minorHAnsi"/>
          <w:color w:val="000000" w:themeColor="text1"/>
        </w:rPr>
      </w:pPr>
      <w:r w:rsidRPr="00713918">
        <w:rPr>
          <w:rFonts w:asciiTheme="minorHAnsi" w:hAnsiTheme="minorHAnsi" w:cstheme="minorHAnsi"/>
          <w:color w:val="000000" w:themeColor="text1"/>
        </w:rPr>
        <w:t>Nejvýznamnější firmou navazující na prvovýrobu je společnost Tereos TTD, a.s., která provozuje lihovar v Kojetíně s 85 zaměstnanci (dříve MORAVSKÝ LIHOVAR KOJETÍN a</w:t>
      </w:r>
      <w:r w:rsidR="009D1A96" w:rsidRPr="00713918">
        <w:rPr>
          <w:rFonts w:asciiTheme="minorHAnsi" w:hAnsiTheme="minorHAnsi" w:cstheme="minorHAnsi"/>
          <w:color w:val="000000" w:themeColor="text1"/>
        </w:rPr>
        <w:t>.s.). Na </w:t>
      </w:r>
      <w:r w:rsidRPr="00713918">
        <w:rPr>
          <w:rFonts w:asciiTheme="minorHAnsi" w:hAnsiTheme="minorHAnsi" w:cstheme="minorHAnsi"/>
          <w:color w:val="000000" w:themeColor="text1"/>
        </w:rPr>
        <w:t>Tovačovsku je naleziště suroviny základem výroby staveb</w:t>
      </w:r>
      <w:r w:rsidR="009D1A96" w:rsidRPr="00713918">
        <w:rPr>
          <w:rFonts w:asciiTheme="minorHAnsi" w:hAnsiTheme="minorHAnsi" w:cstheme="minorHAnsi"/>
          <w:color w:val="000000" w:themeColor="text1"/>
        </w:rPr>
        <w:t>ních hmot pro velké firmy</w:t>
      </w:r>
      <w:r w:rsidRPr="00713918">
        <w:rPr>
          <w:rFonts w:asciiTheme="minorHAnsi" w:hAnsiTheme="minorHAnsi" w:cstheme="minorHAnsi"/>
          <w:color w:val="000000" w:themeColor="text1"/>
        </w:rPr>
        <w:t xml:space="preserve"> - TOPOS PREFA Tovačov a.s. a Skanska CZ a.s., provozovna Tovačov. </w:t>
      </w:r>
    </w:p>
    <w:p w:rsidR="008F7CB6" w:rsidRPr="00713918" w:rsidRDefault="008F7CB6" w:rsidP="008F7CB6">
      <w:pPr>
        <w:pStyle w:val="Zkladntext"/>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b w:val="0"/>
          <w:color w:val="000000" w:themeColor="text1"/>
          <w:sz w:val="24"/>
        </w:rPr>
      </w:pPr>
      <w:r w:rsidRPr="00713918">
        <w:rPr>
          <w:rFonts w:asciiTheme="minorHAnsi" w:hAnsiTheme="minorHAnsi" w:cstheme="minorHAnsi"/>
          <w:b w:val="0"/>
          <w:i/>
          <w:color w:val="000000" w:themeColor="text1"/>
          <w:sz w:val="24"/>
        </w:rPr>
        <w:tab/>
      </w:r>
      <w:r w:rsidRPr="00713918">
        <w:rPr>
          <w:rFonts w:asciiTheme="minorHAnsi" w:hAnsiTheme="minorHAnsi" w:cstheme="minorHAnsi"/>
          <w:b w:val="0"/>
          <w:color w:val="000000" w:themeColor="text1"/>
          <w:sz w:val="24"/>
        </w:rPr>
        <w:t>Razantní zvýšení nezaměstnanosti v předchozích letech bylo způsobeno následky světové hospodářské recese, která se nepříznivě dotkla nejen zpracovatelského průmyslu, ale i dobývání a zpracování nerostných surovin. K tomu se přidalo i snižování stavu zaměstnanců v průmyslovějších o</w:t>
      </w:r>
      <w:r w:rsidR="009D1A96" w:rsidRPr="00713918">
        <w:rPr>
          <w:rFonts w:asciiTheme="minorHAnsi" w:hAnsiTheme="minorHAnsi" w:cstheme="minorHAnsi"/>
          <w:b w:val="0"/>
          <w:color w:val="000000" w:themeColor="text1"/>
          <w:sz w:val="24"/>
        </w:rPr>
        <w:t xml:space="preserve">blastech  sousedních okresů </w:t>
      </w:r>
      <w:r w:rsidRPr="00713918">
        <w:rPr>
          <w:rFonts w:asciiTheme="minorHAnsi" w:hAnsiTheme="minorHAnsi" w:cstheme="minorHAnsi"/>
          <w:b w:val="0"/>
          <w:color w:val="000000" w:themeColor="text1"/>
          <w:sz w:val="24"/>
        </w:rPr>
        <w:t xml:space="preserve">Prostějov a Kroměříž, kde byla část obyvatel regionu Kojetínsko zaměstnávána. Nezaměstnanost dále negativně ovlivňuje i méně příznivá vzdělanostní struktura obyvatelstva. </w:t>
      </w:r>
    </w:p>
    <w:p w:rsidR="008F7CB6" w:rsidRPr="00713918" w:rsidRDefault="008F7CB6" w:rsidP="008F7CB6">
      <w:pPr>
        <w:pStyle w:val="Zkladntext"/>
        <w:spacing w:line="240" w:lineRule="auto"/>
        <w:ind w:firstLine="709"/>
        <w:jc w:val="both"/>
        <w:rPr>
          <w:rFonts w:asciiTheme="minorHAnsi" w:hAnsiTheme="minorHAnsi" w:cstheme="minorHAnsi"/>
          <w:bCs w:val="0"/>
          <w:color w:val="000000" w:themeColor="text1"/>
          <w:sz w:val="24"/>
        </w:rPr>
      </w:pPr>
      <w:r w:rsidRPr="00713918">
        <w:rPr>
          <w:rFonts w:asciiTheme="minorHAnsi" w:hAnsiTheme="minorHAnsi" w:cstheme="minorHAnsi"/>
          <w:b w:val="0"/>
          <w:i/>
          <w:color w:val="000000" w:themeColor="text1"/>
          <w:sz w:val="24"/>
        </w:rPr>
        <w:tab/>
      </w:r>
      <w:r w:rsidRPr="00713918">
        <w:rPr>
          <w:rFonts w:asciiTheme="minorHAnsi" w:hAnsiTheme="minorHAnsi" w:cstheme="minorHAnsi"/>
          <w:b w:val="0"/>
          <w:i/>
          <w:color w:val="000000" w:themeColor="text1"/>
          <w:sz w:val="24"/>
        </w:rPr>
        <w:tab/>
      </w:r>
      <w:r w:rsidRPr="00713918">
        <w:rPr>
          <w:rFonts w:asciiTheme="minorHAnsi" w:hAnsiTheme="minorHAnsi" w:cstheme="minorHAnsi"/>
          <w:bCs w:val="0"/>
          <w:color w:val="000000" w:themeColor="text1"/>
          <w:sz w:val="24"/>
        </w:rPr>
        <w:t>Nez</w:t>
      </w:r>
      <w:r w:rsidR="00713918" w:rsidRPr="00713918">
        <w:rPr>
          <w:rFonts w:asciiTheme="minorHAnsi" w:hAnsiTheme="minorHAnsi" w:cstheme="minorHAnsi"/>
          <w:bCs w:val="0"/>
          <w:color w:val="000000" w:themeColor="text1"/>
          <w:sz w:val="24"/>
        </w:rPr>
        <w:t>aměstnanost se meziročně snížila o 143</w:t>
      </w:r>
      <w:r w:rsidRPr="00713918">
        <w:rPr>
          <w:rFonts w:asciiTheme="minorHAnsi" w:hAnsiTheme="minorHAnsi" w:cstheme="minorHAnsi"/>
          <w:bCs w:val="0"/>
          <w:color w:val="000000" w:themeColor="text1"/>
          <w:sz w:val="24"/>
        </w:rPr>
        <w:t xml:space="preserve"> uchazečů o z</w:t>
      </w:r>
      <w:r w:rsidR="00713918" w:rsidRPr="00713918">
        <w:rPr>
          <w:rFonts w:asciiTheme="minorHAnsi" w:hAnsiTheme="minorHAnsi" w:cstheme="minorHAnsi"/>
          <w:bCs w:val="0"/>
          <w:color w:val="000000" w:themeColor="text1"/>
          <w:sz w:val="24"/>
        </w:rPr>
        <w:t>aměstnání (tj. - 13 %).</w:t>
      </w:r>
    </w:p>
    <w:p w:rsidR="008F7CB6" w:rsidRDefault="008F7CB6" w:rsidP="00E8792A">
      <w:pPr>
        <w:pStyle w:val="Zkladntext"/>
        <w:spacing w:line="240" w:lineRule="auto"/>
        <w:ind w:firstLine="720"/>
        <w:jc w:val="both"/>
        <w:rPr>
          <w:rFonts w:asciiTheme="minorHAnsi" w:hAnsiTheme="minorHAnsi" w:cstheme="minorHAnsi"/>
          <w:bCs w:val="0"/>
          <w:color w:val="FF0000"/>
          <w:sz w:val="24"/>
        </w:rPr>
      </w:pPr>
    </w:p>
    <w:p w:rsidR="00713918" w:rsidRDefault="00713918" w:rsidP="00E8792A">
      <w:pPr>
        <w:pStyle w:val="Zkladntext"/>
        <w:spacing w:line="240" w:lineRule="auto"/>
        <w:ind w:firstLine="720"/>
        <w:jc w:val="both"/>
        <w:rPr>
          <w:rFonts w:asciiTheme="minorHAnsi" w:hAnsiTheme="minorHAnsi" w:cstheme="minorHAnsi"/>
          <w:bCs w:val="0"/>
          <w:color w:val="FF0000"/>
          <w:sz w:val="24"/>
        </w:rPr>
      </w:pPr>
    </w:p>
    <w:p w:rsidR="00713918" w:rsidRPr="0077427D" w:rsidRDefault="00713918" w:rsidP="00E8792A">
      <w:pPr>
        <w:pStyle w:val="Zkladntext"/>
        <w:spacing w:line="240" w:lineRule="auto"/>
        <w:ind w:firstLine="720"/>
        <w:jc w:val="both"/>
        <w:rPr>
          <w:rFonts w:asciiTheme="minorHAnsi" w:hAnsiTheme="minorHAnsi" w:cstheme="minorHAnsi"/>
          <w:bCs w:val="0"/>
          <w:color w:val="FF0000"/>
          <w:sz w:val="24"/>
        </w:rPr>
      </w:pPr>
    </w:p>
    <w:p w:rsidR="00E8792A" w:rsidRPr="00713918" w:rsidRDefault="00E8792A" w:rsidP="00E8792A">
      <w:pPr>
        <w:pStyle w:val="Zkladntext2"/>
        <w:ind w:firstLine="708"/>
        <w:jc w:val="both"/>
        <w:rPr>
          <w:rFonts w:asciiTheme="minorHAnsi" w:hAnsiTheme="minorHAnsi" w:cstheme="minorHAnsi"/>
          <w:b/>
          <w:color w:val="000000" w:themeColor="text1"/>
        </w:rPr>
      </w:pPr>
      <w:r w:rsidRPr="00713918">
        <w:rPr>
          <w:rFonts w:asciiTheme="minorHAnsi" w:hAnsiTheme="minorHAnsi" w:cstheme="minorHAnsi"/>
          <w:b/>
          <w:color w:val="000000" w:themeColor="text1"/>
          <w:szCs w:val="24"/>
        </w:rPr>
        <w:lastRenderedPageBreak/>
        <w:t>Moravský Beroun</w:t>
      </w:r>
      <w:r w:rsidR="00713918" w:rsidRPr="00713918">
        <w:rPr>
          <w:rFonts w:asciiTheme="minorHAnsi" w:hAnsiTheme="minorHAnsi" w:cstheme="minorHAnsi"/>
          <w:b/>
          <w:color w:val="000000" w:themeColor="text1"/>
        </w:rPr>
        <w:t xml:space="preserve"> (OC) – 11,2</w:t>
      </w:r>
      <w:r w:rsidRPr="00713918">
        <w:rPr>
          <w:rFonts w:asciiTheme="minorHAnsi" w:hAnsiTheme="minorHAnsi" w:cstheme="minorHAnsi"/>
          <w:b/>
          <w:color w:val="000000" w:themeColor="text1"/>
        </w:rPr>
        <w:t xml:space="preserve"> %</w:t>
      </w:r>
    </w:p>
    <w:p w:rsidR="00E8792A" w:rsidRPr="00713918" w:rsidRDefault="00E8792A" w:rsidP="00E8792A">
      <w:pPr>
        <w:pStyle w:val="Zkladntext2"/>
        <w:ind w:firstLine="708"/>
        <w:jc w:val="both"/>
        <w:rPr>
          <w:rFonts w:asciiTheme="minorHAnsi" w:hAnsiTheme="minorHAnsi" w:cstheme="minorHAnsi"/>
          <w:b/>
          <w:color w:val="000000" w:themeColor="text1"/>
          <w:szCs w:val="24"/>
        </w:rPr>
      </w:pPr>
      <w:r w:rsidRPr="00713918">
        <w:rPr>
          <w:rFonts w:asciiTheme="minorHAnsi" w:hAnsiTheme="minorHAnsi" w:cstheme="minorHAnsi"/>
          <w:color w:val="000000" w:themeColor="text1"/>
          <w:szCs w:val="24"/>
        </w:rPr>
        <w:t xml:space="preserve">Území POÚ tvoří obce Moravský Beroun a Norberčany, které byly k okresu Olomouc přičleněny v lednu 2005 z Moravskoslezského kraje. Území dnešního POÚ bylo ještě začátkem 20. století obýváno téměř výhradně německým obyvatelstvem, jehož velká část byla po 2. světové válce odsunuta. To se pak projevilo na jeho demografickém složení – žije zde nadprůměrný podíl osob se základním vzděláním i poměrně početná rómská komunita. </w:t>
      </w:r>
    </w:p>
    <w:p w:rsidR="00E8792A" w:rsidRPr="00713918" w:rsidRDefault="00E8792A" w:rsidP="00E8792A">
      <w:pPr>
        <w:pStyle w:val="Zkladntextodsazen3"/>
        <w:rPr>
          <w:rFonts w:asciiTheme="minorHAnsi" w:hAnsiTheme="minorHAnsi" w:cstheme="minorHAnsi"/>
          <w:color w:val="000000" w:themeColor="text1"/>
          <w:szCs w:val="24"/>
        </w:rPr>
      </w:pPr>
      <w:r w:rsidRPr="00713918">
        <w:rPr>
          <w:rFonts w:asciiTheme="minorHAnsi" w:hAnsiTheme="minorHAnsi" w:cstheme="minorHAnsi"/>
          <w:color w:val="000000" w:themeColor="text1"/>
          <w:szCs w:val="24"/>
        </w:rPr>
        <w:tab/>
        <w:t>Největším zaměstnavatelem je Granitol a.s. s více než třemi sty pracovníky, jeden z největších p</w:t>
      </w:r>
      <w:r w:rsidR="009D1A96" w:rsidRPr="00713918">
        <w:rPr>
          <w:rFonts w:asciiTheme="minorHAnsi" w:hAnsiTheme="minorHAnsi" w:cstheme="minorHAnsi"/>
          <w:color w:val="000000" w:themeColor="text1"/>
          <w:szCs w:val="24"/>
        </w:rPr>
        <w:t>roducentů plastových fólií v ČR a dále pak Odborný léčebný ústav neurolog</w:t>
      </w:r>
      <w:r w:rsidR="004A1EDE" w:rsidRPr="00713918">
        <w:rPr>
          <w:rFonts w:asciiTheme="minorHAnsi" w:hAnsiTheme="minorHAnsi" w:cstheme="minorHAnsi"/>
          <w:color w:val="000000" w:themeColor="text1"/>
          <w:szCs w:val="24"/>
        </w:rPr>
        <w:t xml:space="preserve">icko-geriatrický Moravský Beroun s více než stovkou zaměstnanců. </w:t>
      </w:r>
      <w:r w:rsidRPr="00713918">
        <w:rPr>
          <w:rFonts w:asciiTheme="minorHAnsi" w:hAnsiTheme="minorHAnsi" w:cstheme="minorHAnsi"/>
          <w:color w:val="000000" w:themeColor="text1"/>
          <w:szCs w:val="24"/>
        </w:rPr>
        <w:t xml:space="preserve"> Další pracovní příležitosti jsou jen ojedinělé, vysoký podíl lidí dojíždí za prací do Šternberka. Určitým sociálním stabilizačním faktorem jsou veřejně prospěšné práce. </w:t>
      </w:r>
    </w:p>
    <w:p w:rsidR="00E8792A" w:rsidRPr="00713918" w:rsidRDefault="00713918" w:rsidP="00E8792A">
      <w:pPr>
        <w:ind w:firstLine="709"/>
        <w:jc w:val="both"/>
        <w:rPr>
          <w:rFonts w:asciiTheme="minorHAnsi" w:hAnsiTheme="minorHAnsi" w:cstheme="minorHAnsi"/>
          <w:b/>
          <w:bCs/>
          <w:color w:val="000000" w:themeColor="text1"/>
        </w:rPr>
      </w:pPr>
      <w:r w:rsidRPr="00713918">
        <w:rPr>
          <w:rFonts w:asciiTheme="minorHAnsi" w:hAnsiTheme="minorHAnsi" w:cstheme="minorHAnsi"/>
          <w:b/>
          <w:bCs/>
          <w:color w:val="000000" w:themeColor="text1"/>
        </w:rPr>
        <w:t>Nezaměstnanost klesla o 51 osob (tj. – 16 %).</w:t>
      </w:r>
    </w:p>
    <w:p w:rsidR="004A1EDE" w:rsidRPr="0077427D" w:rsidRDefault="004A1EDE" w:rsidP="00E8792A">
      <w:pPr>
        <w:ind w:firstLine="709"/>
        <w:jc w:val="both"/>
        <w:rPr>
          <w:rFonts w:asciiTheme="minorHAnsi" w:hAnsiTheme="minorHAnsi" w:cstheme="minorHAnsi"/>
          <w:b/>
          <w:bCs/>
          <w:color w:val="FF0000"/>
        </w:rPr>
      </w:pPr>
    </w:p>
    <w:p w:rsidR="00713918" w:rsidRPr="00713918" w:rsidRDefault="00713918" w:rsidP="00713918">
      <w:pPr>
        <w:pStyle w:val="Zkladntext2"/>
        <w:ind w:firstLine="567"/>
        <w:jc w:val="both"/>
        <w:rPr>
          <w:rFonts w:asciiTheme="minorHAnsi" w:hAnsiTheme="minorHAnsi" w:cstheme="minorHAnsi"/>
          <w:b/>
          <w:color w:val="000000" w:themeColor="text1"/>
        </w:rPr>
      </w:pPr>
      <w:r w:rsidRPr="00713918">
        <w:rPr>
          <w:rFonts w:asciiTheme="minorHAnsi" w:hAnsiTheme="minorHAnsi" w:cstheme="minorHAnsi"/>
          <w:b/>
          <w:color w:val="000000" w:themeColor="text1"/>
          <w:szCs w:val="24"/>
        </w:rPr>
        <w:t>Lipník nad Bečvou</w:t>
      </w:r>
      <w:r w:rsidRPr="00713918">
        <w:rPr>
          <w:rFonts w:asciiTheme="minorHAnsi" w:hAnsiTheme="minorHAnsi" w:cstheme="minorHAnsi"/>
          <w:b/>
          <w:color w:val="000000" w:themeColor="text1"/>
        </w:rPr>
        <w:t xml:space="preserve"> (PR) –  10,7 %</w:t>
      </w:r>
    </w:p>
    <w:p w:rsidR="00713918" w:rsidRPr="00713918" w:rsidRDefault="00713918" w:rsidP="00713918">
      <w:pPr>
        <w:pStyle w:val="Zkladntextodsazen3"/>
        <w:ind w:firstLine="567"/>
        <w:rPr>
          <w:rFonts w:asciiTheme="minorHAnsi" w:hAnsiTheme="minorHAnsi" w:cstheme="minorHAnsi"/>
          <w:color w:val="000000" w:themeColor="text1"/>
          <w:szCs w:val="24"/>
        </w:rPr>
      </w:pPr>
      <w:r w:rsidRPr="00713918">
        <w:rPr>
          <w:rFonts w:asciiTheme="minorHAnsi" w:hAnsiTheme="minorHAnsi" w:cstheme="minorHAnsi"/>
          <w:color w:val="000000" w:themeColor="text1"/>
          <w:szCs w:val="24"/>
        </w:rPr>
        <w:tab/>
        <w:t>Lipnicko je relativně lidnatá oblast nacházející se v centrální části mezi Přerovskem a Hranickem. Jsou zde zastoupeny jak zemědělské (úrodná půda), tak průmyslové podniky.</w:t>
      </w:r>
    </w:p>
    <w:p w:rsidR="00713918" w:rsidRPr="00713918" w:rsidRDefault="00713918" w:rsidP="00713918">
      <w:pPr>
        <w:pStyle w:val="Zkladntext"/>
        <w:spacing w:line="240" w:lineRule="auto"/>
        <w:ind w:firstLine="708"/>
        <w:jc w:val="both"/>
        <w:rPr>
          <w:rFonts w:asciiTheme="minorHAnsi" w:hAnsiTheme="minorHAnsi" w:cstheme="minorHAnsi"/>
          <w:b w:val="0"/>
          <w:color w:val="000000" w:themeColor="text1"/>
          <w:sz w:val="24"/>
        </w:rPr>
      </w:pPr>
      <w:r w:rsidRPr="00713918">
        <w:rPr>
          <w:rFonts w:asciiTheme="minorHAnsi" w:hAnsiTheme="minorHAnsi" w:cstheme="minorHAnsi"/>
          <w:b w:val="0"/>
          <w:color w:val="000000" w:themeColor="text1"/>
          <w:sz w:val="24"/>
        </w:rPr>
        <w:t>Mezi nejvýznamnější podnikatelské subjekty s více než 100 zaměstnanci patří  producent plastických a kovových výrobků MetalPlast Lipník n. B. a.s. a dále potravinářská firma TRUMF International s.r.o. se sídlem v Dolním Újezdu, která se zabývá výrobou koření, aromatických výtažků a masných výrobků. V průmyslové zóně nedaleko Lipníka nad B. je významným zaměstnavatelem centrální velkosklad pro střední Evropu obchodního řetězce Penny Market.</w:t>
      </w:r>
    </w:p>
    <w:p w:rsidR="00713918" w:rsidRPr="00713918" w:rsidRDefault="00713918" w:rsidP="00713918">
      <w:pPr>
        <w:pStyle w:val="Zkladntext"/>
        <w:spacing w:line="240" w:lineRule="auto"/>
        <w:ind w:firstLine="709"/>
        <w:jc w:val="both"/>
        <w:rPr>
          <w:rFonts w:asciiTheme="minorHAnsi" w:hAnsiTheme="minorHAnsi" w:cstheme="minorHAnsi"/>
          <w:b w:val="0"/>
          <w:color w:val="000000" w:themeColor="text1"/>
          <w:sz w:val="24"/>
        </w:rPr>
      </w:pPr>
      <w:r w:rsidRPr="00713918">
        <w:rPr>
          <w:rFonts w:asciiTheme="minorHAnsi" w:hAnsiTheme="minorHAnsi" w:cstheme="minorHAnsi"/>
          <w:b w:val="0"/>
          <w:color w:val="000000" w:themeColor="text1"/>
          <w:sz w:val="24"/>
        </w:rPr>
        <w:t xml:space="preserve">Slibný potenciál mikroregionu (jako jsou centrální poloha, turisticky atraktivní oblasti, dostupná pracovní síla, investice do podnikatelských zón, vč. průmyslového parku společnosti CTP Invest s.r.o.) není zatím plně využit. </w:t>
      </w:r>
    </w:p>
    <w:p w:rsidR="00713918" w:rsidRDefault="00713918" w:rsidP="00713918">
      <w:pPr>
        <w:ind w:firstLine="709"/>
        <w:jc w:val="both"/>
        <w:rPr>
          <w:rFonts w:asciiTheme="minorHAnsi" w:hAnsiTheme="minorHAnsi" w:cstheme="minorHAnsi"/>
          <w:b/>
          <w:bCs/>
          <w:color w:val="000000" w:themeColor="text1"/>
        </w:rPr>
      </w:pPr>
      <w:r w:rsidRPr="00713918">
        <w:rPr>
          <w:rFonts w:asciiTheme="minorHAnsi" w:hAnsiTheme="minorHAnsi" w:cstheme="minorHAnsi"/>
          <w:b/>
          <w:bCs/>
          <w:color w:val="000000" w:themeColor="text1"/>
        </w:rPr>
        <w:t>Nezaměstnanost se meziročně mírně snížila o 31 uchazečů (tj. o necelá 3 %).</w:t>
      </w:r>
    </w:p>
    <w:p w:rsidR="00713918" w:rsidRDefault="00713918" w:rsidP="00713918">
      <w:pPr>
        <w:ind w:firstLine="709"/>
        <w:jc w:val="both"/>
        <w:rPr>
          <w:rFonts w:asciiTheme="minorHAnsi" w:hAnsiTheme="minorHAnsi" w:cstheme="minorHAnsi"/>
          <w:b/>
          <w:bCs/>
          <w:color w:val="000000" w:themeColor="text1"/>
        </w:rPr>
      </w:pPr>
    </w:p>
    <w:p w:rsidR="00713918" w:rsidRPr="00713918" w:rsidRDefault="00713918" w:rsidP="00713918">
      <w:pPr>
        <w:ind w:firstLine="708"/>
        <w:jc w:val="both"/>
        <w:rPr>
          <w:rFonts w:asciiTheme="minorHAnsi" w:hAnsiTheme="minorHAnsi" w:cstheme="minorHAnsi"/>
          <w:b/>
          <w:color w:val="000000" w:themeColor="text1"/>
        </w:rPr>
      </w:pPr>
      <w:r w:rsidRPr="00713918">
        <w:rPr>
          <w:rFonts w:asciiTheme="minorHAnsi" w:hAnsiTheme="minorHAnsi" w:cstheme="minorHAnsi"/>
          <w:b/>
          <w:color w:val="000000" w:themeColor="text1"/>
        </w:rPr>
        <w:t>Přerov (PR) –   10,3 %</w:t>
      </w:r>
    </w:p>
    <w:p w:rsidR="00713918" w:rsidRPr="00645F3E" w:rsidRDefault="00713918" w:rsidP="00645F3E">
      <w:pPr>
        <w:pStyle w:val="Zkladntextodsazen3"/>
        <w:rPr>
          <w:rFonts w:asciiTheme="minorHAnsi" w:hAnsiTheme="minorHAnsi" w:cstheme="minorHAnsi"/>
          <w:color w:val="000000" w:themeColor="text1"/>
        </w:rPr>
      </w:pPr>
      <w:r w:rsidRPr="00713918">
        <w:rPr>
          <w:rFonts w:asciiTheme="minorHAnsi" w:hAnsiTheme="minorHAnsi" w:cstheme="minorHAnsi"/>
          <w:color w:val="000000" w:themeColor="text1"/>
        </w:rPr>
        <w:t>Přerovsko je největší a nejpočetnější region v okrese Přerov s převažující průmyslovou výrobou a rozvinutými službami. Vůbec největším zaměstnavatelem je výrobce optiky Meopta - optika, s.r.o., kde pracují více než 2 tisíce zaměstnanců.</w:t>
      </w:r>
      <w:r w:rsidR="00645F3E">
        <w:rPr>
          <w:rFonts w:asciiTheme="minorHAnsi" w:hAnsiTheme="minorHAnsi" w:cstheme="minorHAnsi"/>
          <w:color w:val="000000" w:themeColor="text1"/>
        </w:rPr>
        <w:t xml:space="preserve"> </w:t>
      </w:r>
    </w:p>
    <w:p w:rsidR="00713918" w:rsidRPr="00713918" w:rsidRDefault="00713918" w:rsidP="00713918">
      <w:pPr>
        <w:pStyle w:val="Zkladntextodsazen3"/>
        <w:rPr>
          <w:rFonts w:asciiTheme="minorHAnsi" w:hAnsiTheme="minorHAnsi" w:cstheme="minorHAnsi"/>
          <w:color w:val="000000" w:themeColor="text1"/>
          <w:szCs w:val="24"/>
        </w:rPr>
      </w:pPr>
      <w:r w:rsidRPr="00713918">
        <w:rPr>
          <w:rFonts w:asciiTheme="minorHAnsi" w:hAnsiTheme="minorHAnsi" w:cstheme="minorHAnsi"/>
          <w:color w:val="000000" w:themeColor="text1"/>
        </w:rPr>
        <w:t xml:space="preserve">Výhledově má však tento region  růstový potenciál i díky budovaným průmyslovým zónám Přerov-jih a napojení na dálniční síť. </w:t>
      </w:r>
    </w:p>
    <w:p w:rsidR="00713918" w:rsidRPr="00713918" w:rsidRDefault="00713918" w:rsidP="00713918">
      <w:pPr>
        <w:pStyle w:val="Zkladntext"/>
        <w:spacing w:line="240" w:lineRule="auto"/>
        <w:ind w:firstLine="709"/>
        <w:jc w:val="both"/>
        <w:rPr>
          <w:rFonts w:asciiTheme="minorHAnsi" w:hAnsiTheme="minorHAnsi" w:cstheme="minorHAnsi"/>
          <w:b w:val="0"/>
          <w:bCs w:val="0"/>
          <w:color w:val="000000" w:themeColor="text1"/>
          <w:sz w:val="24"/>
        </w:rPr>
      </w:pPr>
      <w:r w:rsidRPr="0077427D">
        <w:rPr>
          <w:rFonts w:asciiTheme="minorHAnsi" w:hAnsiTheme="minorHAnsi" w:cstheme="minorHAnsi"/>
          <w:b w:val="0"/>
          <w:bCs w:val="0"/>
          <w:color w:val="FF0000"/>
          <w:sz w:val="24"/>
        </w:rPr>
        <w:tab/>
      </w:r>
      <w:r w:rsidRPr="0077427D">
        <w:rPr>
          <w:rFonts w:asciiTheme="minorHAnsi" w:hAnsiTheme="minorHAnsi" w:cstheme="minorHAnsi"/>
          <w:b w:val="0"/>
          <w:bCs w:val="0"/>
          <w:color w:val="FF0000"/>
          <w:sz w:val="24"/>
        </w:rPr>
        <w:tab/>
      </w:r>
      <w:r w:rsidRPr="0077427D">
        <w:rPr>
          <w:rFonts w:asciiTheme="minorHAnsi" w:hAnsiTheme="minorHAnsi" w:cstheme="minorHAnsi"/>
          <w:b w:val="0"/>
          <w:bCs w:val="0"/>
          <w:color w:val="FF0000"/>
          <w:sz w:val="24"/>
        </w:rPr>
        <w:tab/>
      </w:r>
      <w:r w:rsidRPr="00713918">
        <w:rPr>
          <w:rFonts w:asciiTheme="minorHAnsi" w:hAnsiTheme="minorHAnsi" w:cstheme="minorHAnsi"/>
          <w:bCs w:val="0"/>
          <w:color w:val="000000" w:themeColor="text1"/>
          <w:sz w:val="24"/>
        </w:rPr>
        <w:t>Nezaměstnanost meziročně mírně klesla o 203 uchazečů (tj. - 4 %).</w:t>
      </w:r>
    </w:p>
    <w:p w:rsidR="00713918" w:rsidRPr="00713918" w:rsidRDefault="00713918" w:rsidP="00713918">
      <w:pPr>
        <w:ind w:firstLine="709"/>
        <w:jc w:val="both"/>
        <w:rPr>
          <w:rFonts w:asciiTheme="minorHAnsi" w:hAnsiTheme="minorHAnsi" w:cstheme="minorHAnsi"/>
          <w:b/>
          <w:snapToGrid w:val="0"/>
          <w:color w:val="000000" w:themeColor="text1"/>
        </w:rPr>
      </w:pPr>
    </w:p>
    <w:p w:rsidR="004A1EDE" w:rsidRPr="00F86559" w:rsidRDefault="004A1EDE" w:rsidP="004A1EDE">
      <w:pPr>
        <w:pStyle w:val="Zkladntext2"/>
        <w:ind w:firstLine="708"/>
        <w:jc w:val="both"/>
        <w:rPr>
          <w:rFonts w:asciiTheme="minorHAnsi" w:hAnsiTheme="minorHAnsi" w:cstheme="minorHAnsi"/>
          <w:b/>
          <w:color w:val="000000" w:themeColor="text1"/>
        </w:rPr>
      </w:pPr>
      <w:r w:rsidRPr="00F86559">
        <w:rPr>
          <w:rFonts w:asciiTheme="minorHAnsi" w:hAnsiTheme="minorHAnsi" w:cstheme="minorHAnsi"/>
          <w:b/>
          <w:color w:val="000000" w:themeColor="text1"/>
          <w:szCs w:val="24"/>
        </w:rPr>
        <w:t>Zlaté Hory</w:t>
      </w:r>
      <w:r w:rsidR="00713918" w:rsidRPr="00F86559">
        <w:rPr>
          <w:rFonts w:asciiTheme="minorHAnsi" w:hAnsiTheme="minorHAnsi" w:cstheme="minorHAnsi"/>
          <w:b/>
          <w:color w:val="000000" w:themeColor="text1"/>
        </w:rPr>
        <w:t xml:space="preserve"> (JE) – 9,7</w:t>
      </w:r>
      <w:r w:rsidRPr="00F86559">
        <w:rPr>
          <w:rFonts w:asciiTheme="minorHAnsi" w:hAnsiTheme="minorHAnsi" w:cstheme="minorHAnsi"/>
          <w:b/>
          <w:color w:val="000000" w:themeColor="text1"/>
        </w:rPr>
        <w:t xml:space="preserve"> %</w:t>
      </w:r>
    </w:p>
    <w:p w:rsidR="004A1EDE" w:rsidRPr="00F86559" w:rsidRDefault="004A1EDE" w:rsidP="004A1EDE">
      <w:pPr>
        <w:pStyle w:val="Zkladntext2"/>
        <w:ind w:firstLine="708"/>
        <w:jc w:val="both"/>
        <w:rPr>
          <w:rFonts w:asciiTheme="minorHAnsi" w:hAnsiTheme="minorHAnsi" w:cstheme="minorHAnsi"/>
          <w:color w:val="000000" w:themeColor="text1"/>
        </w:rPr>
      </w:pPr>
      <w:r w:rsidRPr="00F86559">
        <w:rPr>
          <w:rFonts w:asciiTheme="minorHAnsi" w:hAnsiTheme="minorHAnsi" w:cstheme="minorHAnsi"/>
          <w:color w:val="000000" w:themeColor="text1"/>
        </w:rPr>
        <w:t>V minulosti byl tento region součástí okresu Bruntál a až se vznikem okresu Jeseník se stal jeho součástí. Jedná se převážně o oblast, která byla zaměřena na těžbu rud  a po uzavření dolů ztratila velká většina lidí práci. Uzavření textilního závodu a zredukování zaměstnanců u jiných menších firem mělo za následek vysokou nezaměstnanost. Největším zaměstnavatelem je strojírenská společnost Česko-slezská výrobní,  a.s. s cca 280 zaměstnanci a dále pak</w:t>
      </w:r>
      <w:r w:rsidR="00E405FF" w:rsidRPr="00F86559">
        <w:rPr>
          <w:rFonts w:asciiTheme="minorHAnsi" w:hAnsiTheme="minorHAnsi" w:cstheme="minorHAnsi"/>
          <w:color w:val="000000" w:themeColor="text1"/>
        </w:rPr>
        <w:t xml:space="preserve"> plastikářská společnost v Mikulovicích Plastkon product s.r.o. (cca 180 zaměstnanců) a</w:t>
      </w:r>
      <w:r w:rsidRPr="00F86559">
        <w:rPr>
          <w:rFonts w:asciiTheme="minorHAnsi" w:hAnsiTheme="minorHAnsi" w:cstheme="minorHAnsi"/>
          <w:color w:val="000000" w:themeColor="text1"/>
        </w:rPr>
        <w:t xml:space="preserve"> stavební společnost ZEPRA mining s.r.o. s více než 100 zaměstnanci.</w:t>
      </w:r>
    </w:p>
    <w:p w:rsidR="004A1EDE" w:rsidRPr="00F86559" w:rsidRDefault="004A1EDE" w:rsidP="004A1EDE">
      <w:pPr>
        <w:pStyle w:val="Zkladntext2"/>
        <w:ind w:firstLine="708"/>
        <w:jc w:val="both"/>
        <w:rPr>
          <w:rFonts w:asciiTheme="minorHAnsi" w:hAnsiTheme="minorHAnsi" w:cstheme="minorHAnsi"/>
          <w:b/>
          <w:bCs/>
          <w:color w:val="000000" w:themeColor="text1"/>
        </w:rPr>
      </w:pPr>
      <w:r w:rsidRPr="00F86559">
        <w:rPr>
          <w:rFonts w:asciiTheme="minorHAnsi" w:hAnsiTheme="minorHAnsi" w:cstheme="minorHAnsi"/>
          <w:bCs/>
          <w:i/>
          <w:iCs/>
          <w:color w:val="000000" w:themeColor="text1"/>
        </w:rPr>
        <w:tab/>
      </w:r>
      <w:r w:rsidRPr="00F86559">
        <w:rPr>
          <w:rFonts w:asciiTheme="minorHAnsi" w:hAnsiTheme="minorHAnsi" w:cstheme="minorHAnsi"/>
          <w:bCs/>
          <w:i/>
          <w:iCs/>
          <w:color w:val="000000" w:themeColor="text1"/>
        </w:rPr>
        <w:tab/>
      </w:r>
      <w:r w:rsidRPr="00F86559">
        <w:rPr>
          <w:rFonts w:asciiTheme="minorHAnsi" w:hAnsiTheme="minorHAnsi" w:cstheme="minorHAnsi"/>
          <w:bCs/>
          <w:i/>
          <w:iCs/>
          <w:color w:val="000000" w:themeColor="text1"/>
        </w:rPr>
        <w:tab/>
      </w:r>
      <w:r w:rsidR="00E405FF" w:rsidRPr="00F86559">
        <w:rPr>
          <w:rFonts w:asciiTheme="minorHAnsi" w:hAnsiTheme="minorHAnsi" w:cstheme="minorHAnsi"/>
          <w:b/>
          <w:bCs/>
          <w:color w:val="000000" w:themeColor="text1"/>
        </w:rPr>
        <w:t>N</w:t>
      </w:r>
      <w:r w:rsidR="00713918" w:rsidRPr="00F86559">
        <w:rPr>
          <w:rFonts w:asciiTheme="minorHAnsi" w:hAnsiTheme="minorHAnsi" w:cstheme="minorHAnsi"/>
          <w:b/>
          <w:bCs/>
          <w:color w:val="000000" w:themeColor="text1"/>
        </w:rPr>
        <w:t>ezaměstnanost meziročně klesla o 73</w:t>
      </w:r>
      <w:r w:rsidRPr="00F86559">
        <w:rPr>
          <w:rFonts w:asciiTheme="minorHAnsi" w:hAnsiTheme="minorHAnsi" w:cstheme="minorHAnsi"/>
          <w:b/>
          <w:bCs/>
          <w:color w:val="000000" w:themeColor="text1"/>
        </w:rPr>
        <w:t xml:space="preserve"> </w:t>
      </w:r>
      <w:r w:rsidR="00F86559" w:rsidRPr="00F86559">
        <w:rPr>
          <w:rFonts w:asciiTheme="minorHAnsi" w:hAnsiTheme="minorHAnsi" w:cstheme="minorHAnsi"/>
          <w:b/>
          <w:bCs/>
          <w:color w:val="000000" w:themeColor="text1"/>
        </w:rPr>
        <w:t>uchazečů (- 14</w:t>
      </w:r>
      <w:r w:rsidR="00E405FF" w:rsidRPr="00F86559">
        <w:rPr>
          <w:rFonts w:asciiTheme="minorHAnsi" w:hAnsiTheme="minorHAnsi" w:cstheme="minorHAnsi"/>
          <w:b/>
          <w:bCs/>
          <w:color w:val="000000" w:themeColor="text1"/>
        </w:rPr>
        <w:t xml:space="preserve"> %</w:t>
      </w:r>
      <w:r w:rsidR="00F86559" w:rsidRPr="00F86559">
        <w:rPr>
          <w:rFonts w:asciiTheme="minorHAnsi" w:hAnsiTheme="minorHAnsi" w:cstheme="minorHAnsi"/>
          <w:b/>
          <w:bCs/>
          <w:color w:val="000000" w:themeColor="text1"/>
        </w:rPr>
        <w:t>).</w:t>
      </w:r>
    </w:p>
    <w:p w:rsidR="004A1EDE" w:rsidRDefault="004A1EDE" w:rsidP="00E8792A">
      <w:pPr>
        <w:ind w:firstLine="709"/>
        <w:jc w:val="both"/>
        <w:rPr>
          <w:rFonts w:asciiTheme="minorHAnsi" w:hAnsiTheme="minorHAnsi" w:cstheme="minorHAnsi"/>
          <w:b/>
          <w:bCs/>
          <w:color w:val="FF0000"/>
        </w:rPr>
      </w:pPr>
    </w:p>
    <w:p w:rsidR="00645F3E" w:rsidRDefault="00645F3E" w:rsidP="00E8792A">
      <w:pPr>
        <w:ind w:firstLine="709"/>
        <w:jc w:val="both"/>
        <w:rPr>
          <w:rFonts w:asciiTheme="minorHAnsi" w:hAnsiTheme="minorHAnsi" w:cstheme="minorHAnsi"/>
          <w:b/>
          <w:bCs/>
          <w:color w:val="FF0000"/>
        </w:rPr>
      </w:pPr>
    </w:p>
    <w:p w:rsidR="00645F3E" w:rsidRDefault="00645F3E" w:rsidP="00E8792A">
      <w:pPr>
        <w:ind w:firstLine="709"/>
        <w:jc w:val="both"/>
        <w:rPr>
          <w:rFonts w:asciiTheme="minorHAnsi" w:hAnsiTheme="minorHAnsi" w:cstheme="minorHAnsi"/>
          <w:b/>
          <w:bCs/>
          <w:color w:val="FF0000"/>
        </w:rPr>
      </w:pPr>
    </w:p>
    <w:p w:rsidR="00645F3E" w:rsidRPr="0077427D" w:rsidRDefault="00645F3E" w:rsidP="00E8792A">
      <w:pPr>
        <w:ind w:firstLine="709"/>
        <w:jc w:val="both"/>
        <w:rPr>
          <w:rFonts w:asciiTheme="minorHAnsi" w:hAnsiTheme="minorHAnsi" w:cstheme="minorHAnsi"/>
          <w:b/>
          <w:bCs/>
          <w:color w:val="FF0000"/>
        </w:rPr>
      </w:pPr>
    </w:p>
    <w:p w:rsidR="00F73785" w:rsidRPr="00002B63" w:rsidRDefault="00CD2985" w:rsidP="00471FF4">
      <w:pPr>
        <w:pStyle w:val="Zkladntext"/>
        <w:spacing w:line="240" w:lineRule="exact"/>
        <w:jc w:val="both"/>
        <w:rPr>
          <w:rFonts w:asciiTheme="minorHAnsi" w:hAnsiTheme="minorHAnsi" w:cstheme="minorHAnsi"/>
          <w:caps/>
          <w:color w:val="FF0000"/>
        </w:rPr>
      </w:pPr>
      <w:r w:rsidRPr="00002B63">
        <w:rPr>
          <w:rFonts w:asciiTheme="minorHAnsi" w:hAnsiTheme="minorHAnsi" w:cstheme="minorHAnsi"/>
          <w:caps/>
          <w:color w:val="FF0000"/>
        </w:rPr>
        <w:lastRenderedPageBreak/>
        <w:t>4</w:t>
      </w:r>
      <w:r w:rsidR="00CE5602" w:rsidRPr="00002B63">
        <w:rPr>
          <w:rFonts w:asciiTheme="minorHAnsi" w:hAnsiTheme="minorHAnsi" w:cstheme="minorHAnsi"/>
          <w:caps/>
          <w:color w:val="FF0000"/>
        </w:rPr>
        <w:t>.</w:t>
      </w:r>
      <w:r w:rsidR="002A399D" w:rsidRPr="00002B63">
        <w:rPr>
          <w:rFonts w:asciiTheme="minorHAnsi" w:hAnsiTheme="minorHAnsi" w:cstheme="minorHAnsi"/>
          <w:caps/>
          <w:color w:val="FF0000"/>
        </w:rPr>
        <w:t xml:space="preserve">   </w:t>
      </w:r>
      <w:r w:rsidR="00F73785" w:rsidRPr="00002B63">
        <w:rPr>
          <w:rFonts w:asciiTheme="minorHAnsi" w:hAnsiTheme="minorHAnsi" w:cstheme="minorHAnsi"/>
          <w:caps/>
          <w:color w:val="FF0000"/>
        </w:rPr>
        <w:t>Cizinci na trhu práce</w:t>
      </w:r>
    </w:p>
    <w:p w:rsidR="002A399D" w:rsidRPr="00002B63" w:rsidRDefault="002A399D" w:rsidP="002A399D">
      <w:pPr>
        <w:pStyle w:val="Zkladntext"/>
        <w:spacing w:line="240" w:lineRule="exact"/>
        <w:ind w:left="360"/>
        <w:jc w:val="both"/>
        <w:rPr>
          <w:rFonts w:asciiTheme="minorHAnsi" w:hAnsiTheme="minorHAnsi" w:cstheme="minorHAnsi"/>
          <w:caps/>
          <w:color w:val="000000" w:themeColor="text1"/>
        </w:rPr>
      </w:pPr>
    </w:p>
    <w:p w:rsidR="00F73785" w:rsidRPr="00002B63" w:rsidRDefault="00F73785" w:rsidP="009C0326">
      <w:pPr>
        <w:jc w:val="both"/>
        <w:rPr>
          <w:rFonts w:asciiTheme="minorHAnsi" w:hAnsiTheme="minorHAnsi" w:cstheme="minorHAnsi"/>
          <w:color w:val="000000" w:themeColor="text1"/>
        </w:rPr>
      </w:pPr>
      <w:r w:rsidRPr="00002B63">
        <w:rPr>
          <w:rFonts w:asciiTheme="minorHAnsi" w:hAnsiTheme="minorHAnsi" w:cstheme="minorHAnsi"/>
          <w:b/>
          <w:color w:val="000000" w:themeColor="text1"/>
        </w:rPr>
        <w:t xml:space="preserve">  Tabulka </w:t>
      </w:r>
      <w:r w:rsidR="009E6616" w:rsidRPr="00002B63">
        <w:rPr>
          <w:rFonts w:asciiTheme="minorHAnsi" w:hAnsiTheme="minorHAnsi" w:cstheme="minorHAnsi"/>
          <w:b/>
          <w:color w:val="000000" w:themeColor="text1"/>
        </w:rPr>
        <w:t>1</w:t>
      </w:r>
      <w:r w:rsidR="00E8792A" w:rsidRPr="00002B63">
        <w:rPr>
          <w:rFonts w:asciiTheme="minorHAnsi" w:hAnsiTheme="minorHAnsi" w:cstheme="minorHAnsi"/>
          <w:b/>
          <w:color w:val="000000" w:themeColor="text1"/>
        </w:rPr>
        <w:t>1</w:t>
      </w:r>
      <w:r w:rsidRPr="00002B63">
        <w:rPr>
          <w:rFonts w:asciiTheme="minorHAnsi" w:hAnsiTheme="minorHAnsi" w:cstheme="minorHAnsi"/>
          <w:color w:val="000000" w:themeColor="text1"/>
        </w:rPr>
        <w:t xml:space="preserve"> - Zaměstnávání cizinců</w:t>
      </w:r>
    </w:p>
    <w:p w:rsidR="00DE1B15" w:rsidRPr="00295290" w:rsidRDefault="00DE1B15" w:rsidP="00295290">
      <w:pPr>
        <w:rPr>
          <w:rFonts w:asciiTheme="minorHAnsi" w:hAnsiTheme="minorHAnsi" w:cstheme="minorHAnsi"/>
          <w:color w:val="000000" w:themeColor="text1"/>
          <w:sz w:val="20"/>
          <w:szCs w:val="20"/>
        </w:rPr>
      </w:pPr>
    </w:p>
    <w:tbl>
      <w:tblPr>
        <w:tblW w:w="9072" w:type="dxa"/>
        <w:shd w:val="clear" w:color="auto" w:fill="FFFFFF"/>
        <w:tblLayout w:type="fixed"/>
        <w:tblCellMar>
          <w:left w:w="0" w:type="dxa"/>
          <w:right w:w="0" w:type="dxa"/>
        </w:tblCellMar>
        <w:tblLook w:val="0000" w:firstRow="0" w:lastRow="0" w:firstColumn="0" w:lastColumn="0" w:noHBand="0" w:noVBand="0"/>
      </w:tblPr>
      <w:tblGrid>
        <w:gridCol w:w="6020"/>
        <w:gridCol w:w="1526"/>
        <w:gridCol w:w="1526"/>
      </w:tblGrid>
      <w:tr w:rsidR="00B9406B" w:rsidRPr="00002B63" w:rsidTr="00B9406B">
        <w:trPr>
          <w:cantSplit/>
          <w:trHeight w:val="255"/>
        </w:trPr>
        <w:tc>
          <w:tcPr>
            <w:tcW w:w="6020" w:type="dxa"/>
            <w:vMerge w:val="restart"/>
            <w:tcBorders>
              <w:top w:val="double" w:sz="4" w:space="0" w:color="auto"/>
              <w:left w:val="double" w:sz="4" w:space="0" w:color="auto"/>
              <w:right w:val="single" w:sz="4" w:space="0" w:color="auto"/>
            </w:tcBorders>
            <w:shd w:val="clear" w:color="auto" w:fill="CC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bCs/>
                <w:color w:val="000000" w:themeColor="text1"/>
              </w:rPr>
            </w:pPr>
            <w:r w:rsidRPr="00002B63">
              <w:rPr>
                <w:rFonts w:asciiTheme="minorHAnsi" w:hAnsiTheme="minorHAnsi" w:cstheme="minorHAnsi"/>
                <w:b/>
                <w:bCs/>
                <w:color w:val="000000" w:themeColor="text1"/>
              </w:rPr>
              <w:t>Zaměstnaní cizinci</w:t>
            </w:r>
          </w:p>
        </w:tc>
        <w:tc>
          <w:tcPr>
            <w:tcW w:w="3052" w:type="dxa"/>
            <w:gridSpan w:val="2"/>
            <w:tcBorders>
              <w:top w:val="double" w:sz="4" w:space="0" w:color="auto"/>
              <w:left w:val="single" w:sz="4" w:space="0" w:color="auto"/>
              <w:bottom w:val="nil"/>
              <w:right w:val="double" w:sz="4" w:space="0" w:color="auto"/>
            </w:tcBorders>
            <w:shd w:val="clear" w:color="auto" w:fill="CCFFFF"/>
            <w:noWrap/>
            <w:tcMar>
              <w:top w:w="15" w:type="dxa"/>
              <w:left w:w="15" w:type="dxa"/>
              <w:bottom w:w="0" w:type="dxa"/>
              <w:right w:w="15" w:type="dxa"/>
            </w:tcMar>
            <w:vAlign w:val="bottom"/>
          </w:tcPr>
          <w:p w:rsidR="00B9406B" w:rsidRPr="00002B63" w:rsidRDefault="00B9406B" w:rsidP="00B9406B">
            <w:pPr>
              <w:jc w:val="center"/>
              <w:rPr>
                <w:rFonts w:asciiTheme="minorHAnsi" w:hAnsiTheme="minorHAnsi" w:cstheme="minorHAnsi"/>
                <w:b/>
                <w:bCs/>
                <w:color w:val="000000" w:themeColor="text1"/>
              </w:rPr>
            </w:pPr>
            <w:r w:rsidRPr="00002B63">
              <w:rPr>
                <w:rFonts w:asciiTheme="minorHAnsi" w:hAnsiTheme="minorHAnsi" w:cstheme="minorHAnsi"/>
                <w:b/>
                <w:bCs/>
                <w:color w:val="000000" w:themeColor="text1"/>
              </w:rPr>
              <w:t>stav k</w:t>
            </w:r>
          </w:p>
        </w:tc>
      </w:tr>
      <w:tr w:rsidR="00B9406B" w:rsidRPr="00002B63" w:rsidTr="00B9406B">
        <w:trPr>
          <w:cantSplit/>
          <w:trHeight w:val="255"/>
        </w:trPr>
        <w:tc>
          <w:tcPr>
            <w:tcW w:w="6020" w:type="dxa"/>
            <w:vMerge/>
            <w:tcBorders>
              <w:left w:val="double" w:sz="4" w:space="0" w:color="auto"/>
              <w:bottom w:val="double" w:sz="4" w:space="0" w:color="auto"/>
              <w:right w:val="single" w:sz="4" w:space="0" w:color="auto"/>
            </w:tcBorders>
            <w:shd w:val="clear" w:color="auto" w:fill="CCFFFF"/>
            <w:noWrap/>
            <w:tcMar>
              <w:top w:w="15" w:type="dxa"/>
              <w:left w:w="15" w:type="dxa"/>
              <w:bottom w:w="0" w:type="dxa"/>
              <w:right w:w="15" w:type="dxa"/>
            </w:tcMar>
            <w:vAlign w:val="bottom"/>
          </w:tcPr>
          <w:p w:rsidR="00B9406B" w:rsidRPr="00002B63" w:rsidRDefault="00B9406B" w:rsidP="00B9406B">
            <w:pPr>
              <w:rPr>
                <w:rFonts w:asciiTheme="minorHAnsi" w:hAnsiTheme="minorHAnsi" w:cstheme="minorHAnsi"/>
                <w:b/>
                <w:bCs/>
                <w:color w:val="FF0000"/>
                <w:sz w:val="22"/>
                <w:szCs w:val="20"/>
              </w:rPr>
            </w:pPr>
          </w:p>
        </w:tc>
        <w:tc>
          <w:tcPr>
            <w:tcW w:w="1526" w:type="dxa"/>
            <w:tcBorders>
              <w:top w:val="single" w:sz="4" w:space="0" w:color="auto"/>
              <w:left w:val="single" w:sz="4" w:space="0" w:color="auto"/>
              <w:bottom w:val="double" w:sz="4" w:space="0" w:color="auto"/>
              <w:right w:val="single" w:sz="4" w:space="0" w:color="auto"/>
            </w:tcBorders>
            <w:shd w:val="clear" w:color="auto" w:fill="CCFFFF"/>
            <w:noWrap/>
            <w:tcMar>
              <w:top w:w="15" w:type="dxa"/>
              <w:left w:w="15" w:type="dxa"/>
              <w:bottom w:w="0" w:type="dxa"/>
              <w:right w:w="15" w:type="dxa"/>
            </w:tcMar>
            <w:vAlign w:val="bottom"/>
          </w:tcPr>
          <w:p w:rsidR="00B9406B" w:rsidRPr="00002B63" w:rsidRDefault="00B9406B" w:rsidP="00B9406B">
            <w:pPr>
              <w:jc w:val="center"/>
              <w:rPr>
                <w:rFonts w:asciiTheme="minorHAnsi" w:hAnsiTheme="minorHAnsi" w:cstheme="minorHAnsi"/>
                <w:b/>
                <w:bCs/>
                <w:color w:val="000000" w:themeColor="text1"/>
              </w:rPr>
            </w:pPr>
            <w:r w:rsidRPr="00002B63">
              <w:rPr>
                <w:rFonts w:asciiTheme="minorHAnsi" w:hAnsiTheme="minorHAnsi" w:cstheme="minorHAnsi"/>
                <w:b/>
                <w:bCs/>
                <w:color w:val="000000" w:themeColor="text1"/>
              </w:rPr>
              <w:t>31. 12. 201</w:t>
            </w:r>
            <w:r>
              <w:rPr>
                <w:rFonts w:asciiTheme="minorHAnsi" w:hAnsiTheme="minorHAnsi" w:cstheme="minorHAnsi"/>
                <w:b/>
                <w:bCs/>
                <w:color w:val="000000" w:themeColor="text1"/>
              </w:rPr>
              <w:t>3</w:t>
            </w:r>
          </w:p>
        </w:tc>
        <w:tc>
          <w:tcPr>
            <w:tcW w:w="1526" w:type="dxa"/>
            <w:tcBorders>
              <w:top w:val="single" w:sz="4" w:space="0" w:color="auto"/>
              <w:left w:val="single" w:sz="4" w:space="0" w:color="auto"/>
              <w:bottom w:val="double" w:sz="4" w:space="0" w:color="auto"/>
              <w:right w:val="double" w:sz="4" w:space="0" w:color="auto"/>
            </w:tcBorders>
            <w:shd w:val="clear" w:color="auto" w:fill="CCFFFF"/>
            <w:noWrap/>
            <w:tcMar>
              <w:top w:w="15" w:type="dxa"/>
              <w:left w:w="15" w:type="dxa"/>
              <w:bottom w:w="0" w:type="dxa"/>
              <w:right w:w="15" w:type="dxa"/>
            </w:tcMar>
            <w:vAlign w:val="bottom"/>
          </w:tcPr>
          <w:p w:rsidR="00B9406B" w:rsidRPr="00002B63" w:rsidRDefault="00B9406B" w:rsidP="00B9406B">
            <w:pPr>
              <w:jc w:val="center"/>
              <w:rPr>
                <w:rFonts w:asciiTheme="minorHAnsi" w:hAnsiTheme="minorHAnsi" w:cstheme="minorHAnsi"/>
                <w:b/>
                <w:bCs/>
                <w:color w:val="000000" w:themeColor="text1"/>
              </w:rPr>
            </w:pPr>
            <w:r w:rsidRPr="00002B63">
              <w:rPr>
                <w:rFonts w:asciiTheme="minorHAnsi" w:hAnsiTheme="minorHAnsi" w:cstheme="minorHAnsi"/>
                <w:b/>
                <w:bCs/>
                <w:color w:val="000000" w:themeColor="text1"/>
              </w:rPr>
              <w:t>31.</w:t>
            </w:r>
            <w:r>
              <w:rPr>
                <w:rFonts w:asciiTheme="minorHAnsi" w:hAnsiTheme="minorHAnsi" w:cstheme="minorHAnsi"/>
                <w:b/>
                <w:bCs/>
                <w:color w:val="000000" w:themeColor="text1"/>
              </w:rPr>
              <w:t xml:space="preserve"> </w:t>
            </w:r>
            <w:r w:rsidRPr="00002B63">
              <w:rPr>
                <w:rFonts w:asciiTheme="minorHAnsi" w:hAnsiTheme="minorHAnsi" w:cstheme="minorHAnsi"/>
                <w:b/>
                <w:bCs/>
                <w:color w:val="000000" w:themeColor="text1"/>
              </w:rPr>
              <w:t>12.</w:t>
            </w:r>
            <w:r>
              <w:rPr>
                <w:rFonts w:asciiTheme="minorHAnsi" w:hAnsiTheme="minorHAnsi" w:cstheme="minorHAnsi"/>
                <w:b/>
                <w:bCs/>
                <w:color w:val="000000" w:themeColor="text1"/>
              </w:rPr>
              <w:t xml:space="preserve"> </w:t>
            </w:r>
            <w:r w:rsidRPr="00002B63">
              <w:rPr>
                <w:rFonts w:asciiTheme="minorHAnsi" w:hAnsiTheme="minorHAnsi" w:cstheme="minorHAnsi"/>
                <w:b/>
                <w:bCs/>
                <w:color w:val="000000" w:themeColor="text1"/>
              </w:rPr>
              <w:t>201</w:t>
            </w:r>
            <w:r>
              <w:rPr>
                <w:rFonts w:asciiTheme="minorHAnsi" w:hAnsiTheme="minorHAnsi" w:cstheme="minorHAnsi"/>
                <w:b/>
                <w:bCs/>
                <w:color w:val="000000" w:themeColor="text1"/>
              </w:rPr>
              <w:t>4</w:t>
            </w:r>
          </w:p>
        </w:tc>
      </w:tr>
      <w:tr w:rsidR="00B9406B" w:rsidRPr="00002B63" w:rsidTr="00B9406B">
        <w:trPr>
          <w:trHeight w:val="255"/>
        </w:trPr>
        <w:tc>
          <w:tcPr>
            <w:tcW w:w="6020" w:type="dxa"/>
            <w:tcBorders>
              <w:top w:val="double" w:sz="4" w:space="0" w:color="auto"/>
              <w:left w:val="double" w:sz="4" w:space="0" w:color="auto"/>
              <w:bottom w:val="single" w:sz="4" w:space="0" w:color="auto"/>
              <w:right w:val="single" w:sz="4" w:space="0" w:color="auto"/>
            </w:tcBorders>
            <w:shd w:val="clear" w:color="auto" w:fill="CCFFFF"/>
            <w:noWrap/>
            <w:tcMar>
              <w:top w:w="15" w:type="dxa"/>
              <w:left w:w="57" w:type="dxa"/>
              <w:bottom w:w="0" w:type="dxa"/>
              <w:right w:w="15" w:type="dxa"/>
            </w:tcMar>
            <w:vAlign w:val="bottom"/>
          </w:tcPr>
          <w:p w:rsidR="00B9406B" w:rsidRPr="00002B63" w:rsidRDefault="00B9406B" w:rsidP="00B9406B">
            <w:pPr>
              <w:rPr>
                <w:rFonts w:asciiTheme="minorHAnsi" w:hAnsiTheme="minorHAnsi" w:cstheme="minorHAnsi"/>
                <w:color w:val="000000" w:themeColor="text1"/>
              </w:rPr>
            </w:pPr>
            <w:r w:rsidRPr="00002B63">
              <w:rPr>
                <w:rFonts w:asciiTheme="minorHAnsi" w:hAnsiTheme="minorHAnsi" w:cstheme="minorHAnsi"/>
                <w:color w:val="000000" w:themeColor="text1"/>
              </w:rPr>
              <w:t xml:space="preserve">zaměstnaní s pracovním povolením </w:t>
            </w:r>
          </w:p>
        </w:tc>
        <w:tc>
          <w:tcPr>
            <w:tcW w:w="1526" w:type="dxa"/>
            <w:vMerge w:val="restart"/>
            <w:tcBorders>
              <w:top w:val="double" w:sz="4" w:space="0" w:color="auto"/>
              <w:left w:val="nil"/>
              <w:right w:val="sing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927</w:t>
            </w:r>
          </w:p>
        </w:tc>
        <w:tc>
          <w:tcPr>
            <w:tcW w:w="1526" w:type="dxa"/>
            <w:tcBorders>
              <w:top w:val="double" w:sz="4" w:space="0" w:color="auto"/>
              <w:left w:val="nil"/>
              <w:bottom w:val="single" w:sz="4" w:space="0" w:color="auto"/>
              <w:right w:val="doub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91</w:t>
            </w:r>
          </w:p>
        </w:tc>
      </w:tr>
      <w:tr w:rsidR="00B9406B" w:rsidRPr="00002B63" w:rsidTr="00B9406B">
        <w:trPr>
          <w:trHeight w:val="285"/>
        </w:trPr>
        <w:tc>
          <w:tcPr>
            <w:tcW w:w="6020" w:type="dxa"/>
            <w:tcBorders>
              <w:top w:val="single" w:sz="4" w:space="0" w:color="auto"/>
              <w:left w:val="double" w:sz="4" w:space="0" w:color="auto"/>
              <w:bottom w:val="single" w:sz="4" w:space="0" w:color="auto"/>
              <w:right w:val="single" w:sz="4" w:space="0" w:color="000000"/>
            </w:tcBorders>
            <w:shd w:val="clear" w:color="auto" w:fill="CCFFFF"/>
            <w:noWrap/>
            <w:tcMar>
              <w:top w:w="15" w:type="dxa"/>
              <w:left w:w="57" w:type="dxa"/>
              <w:bottom w:w="0" w:type="dxa"/>
              <w:right w:w="15" w:type="dxa"/>
            </w:tcMar>
            <w:vAlign w:val="bottom"/>
          </w:tcPr>
          <w:p w:rsidR="00B9406B" w:rsidRPr="00002B63" w:rsidRDefault="00B9406B" w:rsidP="00B9406B">
            <w:pPr>
              <w:rPr>
                <w:rFonts w:asciiTheme="minorHAnsi" w:hAnsiTheme="minorHAnsi" w:cstheme="minorHAnsi"/>
                <w:color w:val="000000" w:themeColor="text1"/>
              </w:rPr>
            </w:pPr>
            <w:r w:rsidRPr="00002B63">
              <w:rPr>
                <w:rFonts w:asciiTheme="minorHAnsi" w:hAnsiTheme="minorHAnsi" w:cstheme="minorHAnsi"/>
                <w:color w:val="000000" w:themeColor="text1"/>
              </w:rPr>
              <w:t>informace o zaměstnání podl</w:t>
            </w:r>
            <w:r>
              <w:rPr>
                <w:rFonts w:asciiTheme="minorHAnsi" w:hAnsiTheme="minorHAnsi" w:cstheme="minorHAnsi"/>
                <w:color w:val="000000" w:themeColor="text1"/>
              </w:rPr>
              <w:t>e § 98 písm. a) až e), j) až r)</w:t>
            </w:r>
          </w:p>
        </w:tc>
        <w:tc>
          <w:tcPr>
            <w:tcW w:w="1526" w:type="dxa"/>
            <w:vMerge/>
            <w:tcBorders>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color w:val="000000" w:themeColor="text1"/>
              </w:rPr>
            </w:pPr>
          </w:p>
        </w:tc>
        <w:tc>
          <w:tcPr>
            <w:tcW w:w="1526" w:type="dxa"/>
            <w:tcBorders>
              <w:top w:val="single" w:sz="4" w:space="0" w:color="auto"/>
              <w:left w:val="nil"/>
              <w:bottom w:val="single" w:sz="4" w:space="0" w:color="auto"/>
              <w:right w:val="doub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1 040</w:t>
            </w:r>
          </w:p>
        </w:tc>
      </w:tr>
      <w:tr w:rsidR="00B9406B" w:rsidRPr="00002B63" w:rsidTr="00B9406B">
        <w:trPr>
          <w:trHeight w:val="285"/>
        </w:trPr>
        <w:tc>
          <w:tcPr>
            <w:tcW w:w="6020" w:type="dxa"/>
            <w:tcBorders>
              <w:top w:val="single" w:sz="4" w:space="0" w:color="auto"/>
              <w:left w:val="double" w:sz="4" w:space="0" w:color="auto"/>
              <w:bottom w:val="single" w:sz="4" w:space="0" w:color="auto"/>
              <w:right w:val="single" w:sz="4" w:space="0" w:color="000000"/>
            </w:tcBorders>
            <w:shd w:val="clear" w:color="auto" w:fill="CCFFFF"/>
            <w:noWrap/>
            <w:tcMar>
              <w:top w:w="15" w:type="dxa"/>
              <w:left w:w="57" w:type="dxa"/>
              <w:bottom w:w="0" w:type="dxa"/>
              <w:right w:w="15" w:type="dxa"/>
            </w:tcMar>
            <w:vAlign w:val="bottom"/>
          </w:tcPr>
          <w:p w:rsidR="00B9406B" w:rsidRPr="00002B63" w:rsidRDefault="00B9406B" w:rsidP="00B9406B">
            <w:pPr>
              <w:rPr>
                <w:rFonts w:asciiTheme="minorHAnsi" w:hAnsiTheme="minorHAnsi" w:cstheme="minorHAnsi"/>
                <w:color w:val="000000" w:themeColor="text1"/>
              </w:rPr>
            </w:pPr>
            <w:r w:rsidRPr="00002B63">
              <w:rPr>
                <w:rFonts w:asciiTheme="minorHAnsi" w:hAnsiTheme="minorHAnsi" w:cstheme="minorHAnsi"/>
                <w:color w:val="000000" w:themeColor="text1"/>
              </w:rPr>
              <w:t xml:space="preserve">občané EU, Norska, Islandu, Lichtenštejnska a Švýcarska </w:t>
            </w:r>
          </w:p>
        </w:tc>
        <w:tc>
          <w:tcPr>
            <w:tcW w:w="152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3 658</w:t>
            </w:r>
          </w:p>
        </w:tc>
        <w:tc>
          <w:tcPr>
            <w:tcW w:w="1526" w:type="dxa"/>
            <w:tcBorders>
              <w:top w:val="single" w:sz="4" w:space="0" w:color="auto"/>
              <w:left w:val="nil"/>
              <w:bottom w:val="single" w:sz="4" w:space="0" w:color="auto"/>
              <w:right w:val="doub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3 901</w:t>
            </w:r>
          </w:p>
        </w:tc>
      </w:tr>
      <w:tr w:rsidR="00B9406B" w:rsidRPr="00002B63" w:rsidTr="00B9406B">
        <w:trPr>
          <w:trHeight w:val="285"/>
        </w:trPr>
        <w:tc>
          <w:tcPr>
            <w:tcW w:w="6020" w:type="dxa"/>
            <w:tcBorders>
              <w:top w:val="single" w:sz="4" w:space="0" w:color="auto"/>
              <w:left w:val="double" w:sz="4" w:space="0" w:color="auto"/>
              <w:bottom w:val="single" w:sz="4" w:space="0" w:color="auto"/>
              <w:right w:val="single" w:sz="4" w:space="0" w:color="000000"/>
            </w:tcBorders>
            <w:shd w:val="clear" w:color="auto" w:fill="CCFFFF"/>
            <w:noWrap/>
            <w:tcMar>
              <w:top w:w="15" w:type="dxa"/>
              <w:left w:w="57" w:type="dxa"/>
              <w:bottom w:w="0" w:type="dxa"/>
              <w:right w:w="15" w:type="dxa"/>
            </w:tcMar>
            <w:vAlign w:val="bottom"/>
          </w:tcPr>
          <w:p w:rsidR="00B9406B" w:rsidRPr="00002B63" w:rsidRDefault="00B9406B" w:rsidP="00B9406B">
            <w:pPr>
              <w:rPr>
                <w:rFonts w:asciiTheme="minorHAnsi" w:hAnsiTheme="minorHAnsi" w:cstheme="minorHAnsi"/>
                <w:color w:val="000000" w:themeColor="text1"/>
              </w:rPr>
            </w:pPr>
            <w:r>
              <w:rPr>
                <w:rFonts w:asciiTheme="minorHAnsi" w:hAnsiTheme="minorHAnsi" w:cstheme="minorHAnsi"/>
                <w:color w:val="000000" w:themeColor="text1"/>
              </w:rPr>
              <w:t>na základě vydané zaměstnanecké karty (z MV ČR)</w:t>
            </w:r>
          </w:p>
        </w:tc>
        <w:tc>
          <w:tcPr>
            <w:tcW w:w="152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0</w:t>
            </w:r>
          </w:p>
        </w:tc>
        <w:tc>
          <w:tcPr>
            <w:tcW w:w="1526" w:type="dxa"/>
            <w:tcBorders>
              <w:top w:val="single" w:sz="4" w:space="0" w:color="auto"/>
              <w:left w:val="nil"/>
              <w:bottom w:val="single" w:sz="4" w:space="0" w:color="auto"/>
              <w:right w:val="doub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14</w:t>
            </w:r>
          </w:p>
        </w:tc>
      </w:tr>
      <w:tr w:rsidR="00B9406B" w:rsidRPr="00002B63" w:rsidTr="00B9406B">
        <w:trPr>
          <w:trHeight w:val="285"/>
        </w:trPr>
        <w:tc>
          <w:tcPr>
            <w:tcW w:w="6020" w:type="dxa"/>
            <w:tcBorders>
              <w:top w:val="single" w:sz="4" w:space="0" w:color="auto"/>
              <w:left w:val="double" w:sz="4" w:space="0" w:color="auto"/>
              <w:bottom w:val="double" w:sz="4" w:space="0" w:color="auto"/>
              <w:right w:val="single" w:sz="4" w:space="0" w:color="000000"/>
            </w:tcBorders>
            <w:shd w:val="clear" w:color="auto" w:fill="CCFFFF"/>
            <w:noWrap/>
            <w:tcMar>
              <w:top w:w="15" w:type="dxa"/>
              <w:left w:w="57" w:type="dxa"/>
              <w:bottom w:w="0" w:type="dxa"/>
              <w:right w:w="15" w:type="dxa"/>
            </w:tcMar>
            <w:vAlign w:val="bottom"/>
          </w:tcPr>
          <w:p w:rsidR="00B9406B" w:rsidRPr="00002B63" w:rsidRDefault="00B9406B" w:rsidP="00B9406B">
            <w:pPr>
              <w:rPr>
                <w:rFonts w:asciiTheme="minorHAnsi" w:hAnsiTheme="minorHAnsi" w:cstheme="minorHAnsi"/>
                <w:color w:val="000000" w:themeColor="text1"/>
              </w:rPr>
            </w:pPr>
            <w:r w:rsidRPr="00002B63">
              <w:rPr>
                <w:rFonts w:asciiTheme="minorHAnsi" w:hAnsiTheme="minorHAnsi" w:cstheme="minorHAnsi"/>
                <w:color w:val="000000" w:themeColor="text1"/>
              </w:rPr>
              <w:t>celkem cizích státních příslušníků v postavení zaměstnanců</w:t>
            </w:r>
          </w:p>
        </w:tc>
        <w:tc>
          <w:tcPr>
            <w:tcW w:w="1526" w:type="dxa"/>
            <w:tcBorders>
              <w:top w:val="single" w:sz="4" w:space="0" w:color="auto"/>
              <w:left w:val="nil"/>
              <w:bottom w:val="double" w:sz="4" w:space="0" w:color="auto"/>
              <w:right w:val="sing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4 585</w:t>
            </w:r>
          </w:p>
        </w:tc>
        <w:tc>
          <w:tcPr>
            <w:tcW w:w="1526" w:type="dxa"/>
            <w:tcBorders>
              <w:top w:val="single" w:sz="4" w:space="0" w:color="auto"/>
              <w:left w:val="nil"/>
              <w:bottom w:val="double" w:sz="4" w:space="0" w:color="auto"/>
              <w:right w:val="double" w:sz="4" w:space="0" w:color="auto"/>
            </w:tcBorders>
            <w:shd w:val="clear" w:color="auto" w:fill="FFFFFF"/>
            <w:noWrap/>
            <w:tcMar>
              <w:top w:w="15" w:type="dxa"/>
              <w:left w:w="15" w:type="dxa"/>
              <w:bottom w:w="0" w:type="dxa"/>
              <w:right w:w="15" w:type="dxa"/>
            </w:tcMar>
            <w:vAlign w:val="center"/>
          </w:tcPr>
          <w:p w:rsidR="00B9406B" w:rsidRPr="00002B63" w:rsidRDefault="00B9406B" w:rsidP="00B9406B">
            <w:pPr>
              <w:jc w:val="center"/>
              <w:rPr>
                <w:rFonts w:asciiTheme="minorHAnsi" w:hAnsiTheme="minorHAnsi" w:cstheme="minorHAnsi"/>
                <w:b/>
                <w:color w:val="000000" w:themeColor="text1"/>
              </w:rPr>
            </w:pPr>
            <w:r>
              <w:rPr>
                <w:rFonts w:asciiTheme="minorHAnsi" w:hAnsiTheme="minorHAnsi" w:cstheme="minorHAnsi"/>
                <w:b/>
                <w:color w:val="000000" w:themeColor="text1"/>
              </w:rPr>
              <w:t>5 067</w:t>
            </w:r>
          </w:p>
        </w:tc>
      </w:tr>
    </w:tbl>
    <w:p w:rsidR="00F73785" w:rsidRPr="00002B63" w:rsidRDefault="00F73785" w:rsidP="00F73785">
      <w:pPr>
        <w:pStyle w:val="Zhlav"/>
        <w:tabs>
          <w:tab w:val="clear" w:pos="4536"/>
          <w:tab w:val="center" w:pos="0"/>
        </w:tabs>
        <w:jc w:val="both"/>
        <w:rPr>
          <w:rFonts w:asciiTheme="minorHAnsi" w:hAnsiTheme="minorHAnsi" w:cstheme="minorHAnsi"/>
          <w:color w:val="FF0000"/>
        </w:rPr>
      </w:pPr>
    </w:p>
    <w:p w:rsidR="00645F3E" w:rsidRPr="00645F3E" w:rsidRDefault="00DE1B15" w:rsidP="00645F3E">
      <w:pPr>
        <w:pStyle w:val="Zkladntext"/>
        <w:tabs>
          <w:tab w:val="left" w:pos="735"/>
        </w:tabs>
        <w:spacing w:line="240" w:lineRule="auto"/>
        <w:ind w:firstLine="720"/>
        <w:jc w:val="both"/>
        <w:rPr>
          <w:rFonts w:asciiTheme="minorHAnsi" w:hAnsiTheme="minorHAnsi" w:cstheme="minorHAnsi"/>
          <w:color w:val="000000" w:themeColor="text1"/>
          <w:sz w:val="24"/>
        </w:rPr>
      </w:pPr>
      <w:r w:rsidRPr="0077427D">
        <w:rPr>
          <w:rFonts w:asciiTheme="minorHAnsi" w:hAnsiTheme="minorHAnsi" w:cstheme="minorHAnsi"/>
          <w:b w:val="0"/>
          <w:color w:val="FF0000"/>
          <w:sz w:val="24"/>
        </w:rPr>
        <w:tab/>
      </w:r>
      <w:r w:rsidR="00645F3E" w:rsidRPr="00645F3E">
        <w:rPr>
          <w:rFonts w:asciiTheme="minorHAnsi" w:hAnsiTheme="minorHAnsi" w:cstheme="minorHAnsi"/>
          <w:color w:val="000000" w:themeColor="text1"/>
          <w:sz w:val="24"/>
        </w:rPr>
        <w:t xml:space="preserve">Meziročně se </w:t>
      </w:r>
      <w:r w:rsidR="00B9406B">
        <w:rPr>
          <w:rFonts w:asciiTheme="minorHAnsi" w:hAnsiTheme="minorHAnsi" w:cstheme="minorHAnsi"/>
          <w:color w:val="000000" w:themeColor="text1"/>
          <w:sz w:val="24"/>
        </w:rPr>
        <w:t xml:space="preserve">celkový </w:t>
      </w:r>
      <w:r w:rsidR="00645F3E" w:rsidRPr="00645F3E">
        <w:rPr>
          <w:rFonts w:asciiTheme="minorHAnsi" w:hAnsiTheme="minorHAnsi" w:cstheme="minorHAnsi"/>
          <w:color w:val="000000" w:themeColor="text1"/>
          <w:sz w:val="24"/>
        </w:rPr>
        <w:t>počet zaměstnaných cizinců zvýšil o </w:t>
      </w:r>
      <w:r w:rsidR="006A6134">
        <w:rPr>
          <w:rFonts w:asciiTheme="minorHAnsi" w:hAnsiTheme="minorHAnsi" w:cstheme="minorHAnsi"/>
          <w:color w:val="000000" w:themeColor="text1"/>
          <w:sz w:val="24"/>
        </w:rPr>
        <w:t>11</w:t>
      </w:r>
      <w:r w:rsidR="00645F3E" w:rsidRPr="00645F3E">
        <w:rPr>
          <w:rFonts w:asciiTheme="minorHAnsi" w:hAnsiTheme="minorHAnsi" w:cstheme="minorHAnsi"/>
          <w:color w:val="000000" w:themeColor="text1"/>
          <w:sz w:val="24"/>
        </w:rPr>
        <w:t xml:space="preserve"> %.</w:t>
      </w:r>
      <w:r w:rsidR="00645F3E" w:rsidRPr="00645F3E">
        <w:rPr>
          <w:rFonts w:asciiTheme="minorHAnsi" w:hAnsiTheme="minorHAnsi" w:cstheme="minorHAnsi"/>
          <w:b w:val="0"/>
          <w:color w:val="000000" w:themeColor="text1"/>
          <w:sz w:val="24"/>
        </w:rPr>
        <w:t xml:space="preserve"> </w:t>
      </w:r>
      <w:r w:rsidR="00645F3E" w:rsidRPr="00645F3E">
        <w:rPr>
          <w:rFonts w:asciiTheme="minorHAnsi" w:hAnsiTheme="minorHAnsi" w:cstheme="minorHAnsi"/>
          <w:color w:val="000000" w:themeColor="text1"/>
          <w:sz w:val="24"/>
        </w:rPr>
        <w:t>Zvláštní skupinou jsou cizinci dle § 98 písm. a) až e), j) až r) zákona č. 435/2004 Sb., o zaměstnanosti</w:t>
      </w:r>
      <w:r w:rsidR="00645F3E" w:rsidRPr="00645F3E">
        <w:rPr>
          <w:rFonts w:asciiTheme="minorHAnsi" w:hAnsiTheme="minorHAnsi" w:cstheme="minorHAnsi"/>
          <w:b w:val="0"/>
          <w:color w:val="000000" w:themeColor="text1"/>
          <w:sz w:val="24"/>
        </w:rPr>
        <w:t xml:space="preserve"> (jedná se zejména o cizince s trvalým pobytem, azylanty, rezidenty jiných členských států Evropské unie, studenty a dále cizince působící v profesích jako pedagogický a vědecký pracovník), kteří nepotřebují pracovní povolení – </w:t>
      </w:r>
      <w:r w:rsidR="00645F3E" w:rsidRPr="00645F3E">
        <w:rPr>
          <w:rFonts w:asciiTheme="minorHAnsi" w:hAnsiTheme="minorHAnsi" w:cstheme="minorHAnsi"/>
          <w:color w:val="000000" w:themeColor="text1"/>
          <w:sz w:val="24"/>
        </w:rPr>
        <w:t xml:space="preserve">jejich podíl se mezi legálně zaměstnávanými cizinci postupně zvyšuje. </w:t>
      </w:r>
    </w:p>
    <w:p w:rsidR="00645F3E" w:rsidRPr="00645F3E" w:rsidRDefault="00645F3E" w:rsidP="00645F3E">
      <w:pPr>
        <w:pStyle w:val="Zkladntext"/>
        <w:tabs>
          <w:tab w:val="left" w:pos="735"/>
        </w:tabs>
        <w:spacing w:line="240" w:lineRule="auto"/>
        <w:jc w:val="both"/>
        <w:rPr>
          <w:rFonts w:asciiTheme="minorHAnsi" w:hAnsiTheme="minorHAnsi" w:cstheme="minorHAnsi"/>
          <w:color w:val="000000" w:themeColor="text1"/>
          <w:sz w:val="24"/>
        </w:rPr>
      </w:pPr>
      <w:r w:rsidRPr="00645F3E">
        <w:rPr>
          <w:rFonts w:asciiTheme="minorHAnsi" w:hAnsiTheme="minorHAnsi" w:cstheme="minorHAnsi"/>
          <w:color w:val="000000" w:themeColor="text1"/>
          <w:sz w:val="24"/>
        </w:rPr>
        <w:tab/>
        <w:t xml:space="preserve">V roce 2014 byla zavedena pro cizince tzv. zaměstnanecká karta, kterou vydává Ministerstvo vnitra České republiky.  Zaměstnavatel nejdříve </w:t>
      </w:r>
      <w:r w:rsidR="006A6134">
        <w:rPr>
          <w:rFonts w:asciiTheme="minorHAnsi" w:hAnsiTheme="minorHAnsi" w:cstheme="minorHAnsi"/>
          <w:color w:val="000000" w:themeColor="text1"/>
          <w:sz w:val="24"/>
        </w:rPr>
        <w:t>nahlásí volné pracovní místo na </w:t>
      </w:r>
      <w:r w:rsidRPr="00645F3E">
        <w:rPr>
          <w:rFonts w:asciiTheme="minorHAnsi" w:hAnsiTheme="minorHAnsi" w:cstheme="minorHAnsi"/>
          <w:color w:val="000000" w:themeColor="text1"/>
          <w:sz w:val="24"/>
        </w:rPr>
        <w:t xml:space="preserve">příslušný úřad práce  a pokud se nepodaří ho obsadit ve lhůtě 30 - ti dnů, objeví se v centrální evidenci volných pracovních míst pro zaměstnanecké karty. Jedná se tedy o nový druh jednotného povolení pro cizince, jenž držitele opravňuje dlouhodobě pobývat na území ČR za účelem zaměstnání a vykonávat práci na pracovní pozici, pro kterou byla karta vydána. </w:t>
      </w:r>
    </w:p>
    <w:p w:rsidR="00645F3E" w:rsidRPr="00645F3E" w:rsidRDefault="00645F3E" w:rsidP="00645F3E">
      <w:pPr>
        <w:pStyle w:val="Zkladntext"/>
        <w:tabs>
          <w:tab w:val="left" w:pos="735"/>
        </w:tabs>
        <w:spacing w:line="240" w:lineRule="auto"/>
        <w:ind w:firstLine="720"/>
        <w:jc w:val="both"/>
        <w:rPr>
          <w:rFonts w:asciiTheme="minorHAnsi" w:hAnsiTheme="minorHAnsi" w:cstheme="minorHAnsi"/>
          <w:b w:val="0"/>
          <w:color w:val="000000" w:themeColor="text1"/>
          <w:sz w:val="24"/>
        </w:rPr>
      </w:pPr>
      <w:r w:rsidRPr="00645F3E">
        <w:rPr>
          <w:rFonts w:asciiTheme="minorHAnsi" w:hAnsiTheme="minorHAnsi" w:cstheme="minorHAnsi"/>
          <w:b w:val="0"/>
          <w:color w:val="000000" w:themeColor="text1"/>
          <w:sz w:val="24"/>
        </w:rPr>
        <w:t>Po</w:t>
      </w:r>
      <w:r w:rsidR="006A6134">
        <w:rPr>
          <w:rFonts w:asciiTheme="minorHAnsi" w:hAnsiTheme="minorHAnsi" w:cstheme="minorHAnsi"/>
          <w:b w:val="0"/>
          <w:color w:val="000000" w:themeColor="text1"/>
          <w:sz w:val="24"/>
        </w:rPr>
        <w:t>volení k zaměstnání dle § 92 zákona o zaměstnanosti</w:t>
      </w:r>
      <w:r w:rsidRPr="00645F3E">
        <w:rPr>
          <w:rFonts w:asciiTheme="minorHAnsi" w:hAnsiTheme="minorHAnsi" w:cstheme="minorHAnsi"/>
          <w:b w:val="0"/>
          <w:color w:val="000000" w:themeColor="text1"/>
          <w:sz w:val="24"/>
        </w:rPr>
        <w:t xml:space="preserve"> </w:t>
      </w:r>
      <w:r w:rsidR="006A6134">
        <w:rPr>
          <w:rFonts w:asciiTheme="minorHAnsi" w:hAnsiTheme="minorHAnsi" w:cstheme="minorHAnsi"/>
          <w:b w:val="0"/>
          <w:color w:val="000000" w:themeColor="text1"/>
          <w:sz w:val="24"/>
        </w:rPr>
        <w:t>nadále vydává Úřad práce ČR pro zákonem vymezené kategorie</w:t>
      </w:r>
      <w:r w:rsidRPr="00645F3E">
        <w:rPr>
          <w:rFonts w:asciiTheme="minorHAnsi" w:hAnsiTheme="minorHAnsi" w:cstheme="minorHAnsi"/>
          <w:b w:val="0"/>
          <w:color w:val="000000" w:themeColor="text1"/>
          <w:sz w:val="24"/>
        </w:rPr>
        <w:t xml:space="preserve"> cizinců. Jedná se např. o cizince vyslané zahraničním zaměstnavatel</w:t>
      </w:r>
      <w:r w:rsidR="006A6134">
        <w:rPr>
          <w:rFonts w:asciiTheme="minorHAnsi" w:hAnsiTheme="minorHAnsi" w:cstheme="minorHAnsi"/>
          <w:b w:val="0"/>
          <w:color w:val="000000" w:themeColor="text1"/>
          <w:sz w:val="24"/>
        </w:rPr>
        <w:t>em k </w:t>
      </w:r>
      <w:r w:rsidRPr="00645F3E">
        <w:rPr>
          <w:rFonts w:asciiTheme="minorHAnsi" w:hAnsiTheme="minorHAnsi" w:cstheme="minorHAnsi"/>
          <w:b w:val="0"/>
          <w:color w:val="000000" w:themeColor="text1"/>
          <w:sz w:val="24"/>
        </w:rPr>
        <w:t>plnění úkolů vyplývajících ze smlouvy, cizince vykonávající sezónní práce, žadatele o udělení mezinárodní ochrany, společníky, statutární orgány, držitele povolení k dlouhodobému pobytu za účelem podnikání, cizince zaměstnané na časově omezené období za účel</w:t>
      </w:r>
      <w:r w:rsidR="006A6134">
        <w:rPr>
          <w:rFonts w:asciiTheme="minorHAnsi" w:hAnsiTheme="minorHAnsi" w:cstheme="minorHAnsi"/>
          <w:b w:val="0"/>
          <w:color w:val="000000" w:themeColor="text1"/>
          <w:sz w:val="24"/>
        </w:rPr>
        <w:t>em zvyšování svých dovedností (</w:t>
      </w:r>
      <w:r w:rsidRPr="00645F3E">
        <w:rPr>
          <w:rFonts w:asciiTheme="minorHAnsi" w:hAnsiTheme="minorHAnsi" w:cstheme="minorHAnsi"/>
          <w:b w:val="0"/>
          <w:color w:val="000000" w:themeColor="text1"/>
          <w:sz w:val="24"/>
        </w:rPr>
        <w:t>stáž</w:t>
      </w:r>
      <w:r w:rsidR="006A6134">
        <w:rPr>
          <w:rFonts w:asciiTheme="minorHAnsi" w:hAnsiTheme="minorHAnsi" w:cstheme="minorHAnsi"/>
          <w:b w:val="0"/>
          <w:color w:val="000000" w:themeColor="text1"/>
          <w:sz w:val="24"/>
        </w:rPr>
        <w:t>e)</w:t>
      </w:r>
      <w:r w:rsidRPr="00645F3E">
        <w:rPr>
          <w:rFonts w:asciiTheme="minorHAnsi" w:hAnsiTheme="minorHAnsi" w:cstheme="minorHAnsi"/>
          <w:b w:val="0"/>
          <w:color w:val="000000" w:themeColor="text1"/>
          <w:sz w:val="24"/>
        </w:rPr>
        <w:t xml:space="preserve"> nebo cizince, kteří budou vykonávat krátkodobé zaměstnání do 3 měsíců na základě tzv. Schengenského víza. </w:t>
      </w:r>
    </w:p>
    <w:p w:rsidR="00645F3E" w:rsidRPr="00645F3E" w:rsidRDefault="00645F3E" w:rsidP="00645F3E">
      <w:pPr>
        <w:pStyle w:val="Zhlav"/>
        <w:jc w:val="both"/>
        <w:rPr>
          <w:rFonts w:asciiTheme="minorHAnsi" w:hAnsiTheme="minorHAnsi" w:cstheme="minorHAnsi"/>
          <w:color w:val="000000" w:themeColor="text1"/>
          <w:szCs w:val="24"/>
        </w:rPr>
      </w:pPr>
      <w:r w:rsidRPr="00645F3E">
        <w:rPr>
          <w:rFonts w:asciiTheme="minorHAnsi" w:hAnsiTheme="minorHAnsi" w:cstheme="minorHAnsi"/>
          <w:b/>
          <w:bCs/>
          <w:color w:val="000000" w:themeColor="text1"/>
          <w:szCs w:val="24"/>
        </w:rPr>
        <w:t xml:space="preserve">             </w:t>
      </w:r>
      <w:r w:rsidRPr="00645F3E">
        <w:rPr>
          <w:rFonts w:asciiTheme="minorHAnsi" w:hAnsiTheme="minorHAnsi" w:cstheme="minorHAnsi"/>
          <w:color w:val="000000" w:themeColor="text1"/>
        </w:rPr>
        <w:t xml:space="preserve">Mezi pracujícími cizinci dominují občané Ukrajiny, s odstupem pak Vietnamci a dále  občané Mongolska, </w:t>
      </w:r>
      <w:r w:rsidRPr="00645F3E">
        <w:rPr>
          <w:rFonts w:asciiTheme="minorHAnsi" w:hAnsiTheme="minorHAnsi" w:cstheme="minorHAnsi"/>
          <w:color w:val="000000" w:themeColor="text1"/>
          <w:szCs w:val="24"/>
        </w:rPr>
        <w:t xml:space="preserve">obsazující zejména některé nepopulární, špatně placené </w:t>
      </w:r>
      <w:r w:rsidRPr="00645F3E">
        <w:rPr>
          <w:rFonts w:asciiTheme="minorHAnsi" w:hAnsiTheme="minorHAnsi" w:cstheme="minorHAnsi"/>
          <w:b/>
          <w:color w:val="000000" w:themeColor="text1"/>
          <w:szCs w:val="24"/>
        </w:rPr>
        <w:t>dělnické činnosti</w:t>
      </w:r>
      <w:r w:rsidRPr="00645F3E">
        <w:rPr>
          <w:rFonts w:asciiTheme="minorHAnsi" w:hAnsiTheme="minorHAnsi" w:cstheme="minorHAnsi"/>
          <w:color w:val="000000" w:themeColor="text1"/>
          <w:szCs w:val="24"/>
        </w:rPr>
        <w:t xml:space="preserve"> v nepříznivých pracovních podmínkách nebo nahrazují kvalifikace chybějící na místním trhu práce (řidiči, pomocní a nekvalifikovaní dělníci na stavbách, svářeči, řezači plamenem, soustružníci apod.). Druhou, menší skupinu cizinců, tvoří občané Ruska, Japonska a USA. Pracují jako </w:t>
      </w:r>
      <w:r w:rsidRPr="00645F3E">
        <w:rPr>
          <w:rFonts w:asciiTheme="minorHAnsi" w:hAnsiTheme="minorHAnsi" w:cstheme="minorHAnsi"/>
          <w:b/>
          <w:color w:val="000000" w:themeColor="text1"/>
          <w:szCs w:val="24"/>
        </w:rPr>
        <w:t>manažeři a specialisté, jsou zaměstnaní ve firmách se zahraniční účastí nebo u nových investorů, vykonávají také lektory jazyků, lékaře a umělecké profese</w:t>
      </w:r>
      <w:r w:rsidRPr="00645F3E">
        <w:rPr>
          <w:rFonts w:asciiTheme="minorHAnsi" w:hAnsiTheme="minorHAnsi" w:cstheme="minorHAnsi"/>
          <w:color w:val="000000" w:themeColor="text1"/>
          <w:szCs w:val="24"/>
        </w:rPr>
        <w:t xml:space="preserve">. </w:t>
      </w:r>
    </w:p>
    <w:p w:rsidR="00645F3E" w:rsidRPr="00645F3E" w:rsidRDefault="00645F3E" w:rsidP="00645F3E">
      <w:pPr>
        <w:pStyle w:val="Zkladntext"/>
        <w:tabs>
          <w:tab w:val="left" w:pos="735"/>
        </w:tabs>
        <w:spacing w:line="240" w:lineRule="auto"/>
        <w:jc w:val="both"/>
        <w:rPr>
          <w:rFonts w:asciiTheme="minorHAnsi" w:hAnsiTheme="minorHAnsi" w:cstheme="minorHAnsi"/>
          <w:b w:val="0"/>
          <w:color w:val="000000" w:themeColor="text1"/>
          <w:sz w:val="24"/>
        </w:rPr>
      </w:pPr>
      <w:r w:rsidRPr="00645F3E">
        <w:rPr>
          <w:rFonts w:asciiTheme="minorHAnsi" w:hAnsiTheme="minorHAnsi" w:cstheme="minorHAnsi"/>
          <w:color w:val="000000" w:themeColor="text1"/>
          <w:sz w:val="24"/>
        </w:rPr>
        <w:tab/>
        <w:t xml:space="preserve"> </w:t>
      </w:r>
      <w:r w:rsidRPr="00645F3E">
        <w:rPr>
          <w:rFonts w:asciiTheme="minorHAnsi" w:hAnsiTheme="minorHAnsi" w:cstheme="minorHAnsi"/>
          <w:b w:val="0"/>
          <w:color w:val="000000" w:themeColor="text1"/>
          <w:sz w:val="24"/>
        </w:rPr>
        <w:t>Co se týče občanů zemí EU, i jeji</w:t>
      </w:r>
      <w:r w:rsidR="006A6134">
        <w:rPr>
          <w:rFonts w:asciiTheme="minorHAnsi" w:hAnsiTheme="minorHAnsi" w:cstheme="minorHAnsi"/>
          <w:b w:val="0"/>
          <w:color w:val="000000" w:themeColor="text1"/>
          <w:sz w:val="24"/>
        </w:rPr>
        <w:t xml:space="preserve">ch počet se meziročně zvýšil o 7 </w:t>
      </w:r>
      <w:r w:rsidRPr="00645F3E">
        <w:rPr>
          <w:rFonts w:asciiTheme="minorHAnsi" w:hAnsiTheme="minorHAnsi" w:cstheme="minorHAnsi"/>
          <w:b w:val="0"/>
          <w:color w:val="000000" w:themeColor="text1"/>
          <w:sz w:val="24"/>
        </w:rPr>
        <w:t>%. Největší podíl mezi občany EU zaujímají občané Slovenska, Bulharska a Rumunska. Poněkud odlišná situace panuje v příhraničním okrese Jeseník – zde mezi cizinci ze zemí EU mírně převládají Poláci a teprve na druhém místě jsou Slováci. Občané uvedených členských států Evropské unie vykonávají převážně nekvalifikované práce na stavbách, ve strojírenství, dopravě i skladování a rovněž jako sezónní pracovníci v zemědělství.</w:t>
      </w:r>
    </w:p>
    <w:p w:rsidR="00645F3E" w:rsidRPr="0077427D" w:rsidRDefault="00645F3E" w:rsidP="00645F3E">
      <w:pPr>
        <w:pStyle w:val="Zhlav"/>
        <w:ind w:firstLine="720"/>
        <w:jc w:val="both"/>
        <w:rPr>
          <w:rFonts w:asciiTheme="minorHAnsi" w:hAnsiTheme="minorHAnsi" w:cstheme="minorHAnsi"/>
          <w:color w:val="FF0000"/>
          <w:szCs w:val="24"/>
        </w:rPr>
      </w:pPr>
      <w:r w:rsidRPr="0077427D">
        <w:rPr>
          <w:rFonts w:asciiTheme="minorHAnsi" w:hAnsiTheme="minorHAnsi" w:cstheme="minorHAnsi"/>
          <w:i/>
          <w:color w:val="FF0000"/>
        </w:rPr>
        <w:tab/>
      </w:r>
      <w:r w:rsidRPr="0077427D">
        <w:rPr>
          <w:rFonts w:asciiTheme="minorHAnsi" w:hAnsiTheme="minorHAnsi" w:cstheme="minorHAnsi"/>
          <w:color w:val="FF0000"/>
          <w:szCs w:val="24"/>
        </w:rPr>
        <w:t xml:space="preserve"> </w:t>
      </w:r>
    </w:p>
    <w:p w:rsidR="00B23004" w:rsidRPr="00002B63" w:rsidRDefault="00B23004" w:rsidP="005E209D">
      <w:pPr>
        <w:ind w:firstLine="720"/>
        <w:jc w:val="both"/>
        <w:rPr>
          <w:rFonts w:asciiTheme="minorHAnsi" w:hAnsiTheme="minorHAnsi" w:cstheme="minorHAnsi"/>
          <w:b/>
          <w:color w:val="FF0000"/>
        </w:rPr>
      </w:pPr>
    </w:p>
    <w:p w:rsidR="00605B90" w:rsidRPr="00002B63" w:rsidRDefault="00CD2985" w:rsidP="00605B90">
      <w:pPr>
        <w:pStyle w:val="Nadpis1"/>
        <w:spacing w:line="360" w:lineRule="auto"/>
        <w:jc w:val="both"/>
        <w:rPr>
          <w:rFonts w:asciiTheme="minorHAnsi" w:hAnsiTheme="minorHAnsi" w:cstheme="minorHAnsi"/>
          <w:b/>
          <w:caps/>
          <w:color w:val="FF0000"/>
        </w:rPr>
      </w:pPr>
      <w:bookmarkStart w:id="49" w:name="_Toc321296445"/>
      <w:bookmarkStart w:id="50" w:name="_Toc321296562"/>
      <w:r w:rsidRPr="00002B63">
        <w:rPr>
          <w:rFonts w:asciiTheme="minorHAnsi" w:hAnsiTheme="minorHAnsi" w:cstheme="minorHAnsi"/>
          <w:b/>
          <w:caps/>
          <w:color w:val="FF0000"/>
        </w:rPr>
        <w:lastRenderedPageBreak/>
        <w:t>5</w:t>
      </w:r>
      <w:r w:rsidR="00605B90" w:rsidRPr="00002B63">
        <w:rPr>
          <w:rFonts w:asciiTheme="minorHAnsi" w:hAnsiTheme="minorHAnsi" w:cstheme="minorHAnsi"/>
          <w:b/>
          <w:caps/>
          <w:color w:val="FF0000"/>
        </w:rPr>
        <w:t xml:space="preserve">. Prognóza vývoje TRHU PRÁCE </w:t>
      </w:r>
      <w:bookmarkEnd w:id="49"/>
      <w:bookmarkEnd w:id="50"/>
      <w:r w:rsidR="0077427D">
        <w:rPr>
          <w:rFonts w:asciiTheme="minorHAnsi" w:hAnsiTheme="minorHAnsi" w:cstheme="minorHAnsi"/>
          <w:b/>
          <w:caps/>
          <w:color w:val="FF0000"/>
        </w:rPr>
        <w:t>na rok 2015</w:t>
      </w:r>
    </w:p>
    <w:p w:rsidR="00605B90" w:rsidRPr="006A6134" w:rsidRDefault="00605B90" w:rsidP="00605B90">
      <w:pPr>
        <w:pStyle w:val="Zkladntext3"/>
        <w:ind w:firstLine="708"/>
        <w:jc w:val="both"/>
        <w:rPr>
          <w:rFonts w:asciiTheme="minorHAnsi" w:hAnsiTheme="minorHAnsi" w:cstheme="minorHAnsi"/>
          <w:i w:val="0"/>
          <w:color w:val="000000" w:themeColor="text1"/>
        </w:rPr>
      </w:pPr>
      <w:r w:rsidRPr="006A6134">
        <w:rPr>
          <w:rFonts w:asciiTheme="minorHAnsi" w:hAnsiTheme="minorHAnsi" w:cstheme="minorHAnsi"/>
          <w:i w:val="0"/>
          <w:color w:val="000000" w:themeColor="text1"/>
        </w:rPr>
        <w:t>Prognóza vývoje míry nezaměstnanosti v Olomouckém kraji je sestavena na základě dosavadního vývoje nezaměstnanosti a poznatk</w:t>
      </w:r>
      <w:r w:rsidR="000F7316" w:rsidRPr="006A6134">
        <w:rPr>
          <w:rFonts w:asciiTheme="minorHAnsi" w:hAnsiTheme="minorHAnsi" w:cstheme="minorHAnsi"/>
          <w:i w:val="0"/>
          <w:color w:val="000000" w:themeColor="text1"/>
        </w:rPr>
        <w:t>ů z monitoringu zaměstnavatelů.</w:t>
      </w:r>
    </w:p>
    <w:p w:rsidR="00605B90" w:rsidRPr="00002B63" w:rsidRDefault="00605B90" w:rsidP="00605B90">
      <w:pPr>
        <w:rPr>
          <w:rFonts w:asciiTheme="minorHAnsi" w:hAnsiTheme="minorHAnsi" w:cstheme="minorHAnsi"/>
        </w:rPr>
      </w:pPr>
    </w:p>
    <w:p w:rsidR="00605B90" w:rsidRPr="00002B63" w:rsidRDefault="00605B90" w:rsidP="006860B3">
      <w:pPr>
        <w:pStyle w:val="Nadpis2"/>
        <w:ind w:firstLine="284"/>
        <w:jc w:val="both"/>
        <w:rPr>
          <w:rFonts w:asciiTheme="minorHAnsi" w:hAnsiTheme="minorHAnsi" w:cstheme="minorHAnsi"/>
          <w:color w:val="000000"/>
        </w:rPr>
      </w:pPr>
      <w:bookmarkStart w:id="51" w:name="_Toc321296446"/>
      <w:bookmarkStart w:id="52" w:name="_Toc321296563"/>
      <w:r w:rsidRPr="00002B63">
        <w:rPr>
          <w:rFonts w:asciiTheme="minorHAnsi" w:hAnsiTheme="minorHAnsi" w:cstheme="minorHAnsi"/>
          <w:b/>
          <w:color w:val="000000"/>
        </w:rPr>
        <w:t>Tabulka 1</w:t>
      </w:r>
      <w:r w:rsidR="00E8792A" w:rsidRPr="00002B63">
        <w:rPr>
          <w:rFonts w:asciiTheme="minorHAnsi" w:hAnsiTheme="minorHAnsi" w:cstheme="minorHAnsi"/>
          <w:b/>
          <w:color w:val="000000"/>
        </w:rPr>
        <w:t>2</w:t>
      </w:r>
      <w:r w:rsidRPr="00002B63">
        <w:rPr>
          <w:rFonts w:asciiTheme="minorHAnsi" w:hAnsiTheme="minorHAnsi" w:cstheme="minorHAnsi"/>
          <w:color w:val="000000"/>
        </w:rPr>
        <w:t xml:space="preserve"> - Předpokládaný vývoj nezaměstnanosti v dalším období</w:t>
      </w:r>
      <w:bookmarkEnd w:id="51"/>
      <w:bookmarkEnd w:id="52"/>
      <w:r w:rsidRPr="00002B63">
        <w:rPr>
          <w:rFonts w:asciiTheme="minorHAnsi" w:hAnsiTheme="minorHAnsi" w:cstheme="minorHAns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1559"/>
        <w:gridCol w:w="1276"/>
        <w:gridCol w:w="709"/>
        <w:gridCol w:w="1701"/>
        <w:gridCol w:w="1276"/>
        <w:gridCol w:w="742"/>
      </w:tblGrid>
      <w:tr w:rsidR="00605B90" w:rsidRPr="00002B63" w:rsidTr="003F1B2C">
        <w:trPr>
          <w:cantSplit/>
          <w:trHeight w:val="369"/>
          <w:jc w:val="center"/>
        </w:trPr>
        <w:tc>
          <w:tcPr>
            <w:tcW w:w="1877" w:type="dxa"/>
            <w:vMerge w:val="restart"/>
            <w:tcBorders>
              <w:top w:val="double" w:sz="4" w:space="0" w:color="auto"/>
              <w:left w:val="double" w:sz="4" w:space="0" w:color="auto"/>
              <w:right w:val="single" w:sz="12" w:space="0" w:color="auto"/>
            </w:tcBorders>
            <w:shd w:val="clear" w:color="auto" w:fill="CCFFFF"/>
          </w:tcPr>
          <w:p w:rsidR="00605B90" w:rsidRPr="00002B63" w:rsidRDefault="00605B90" w:rsidP="00605B90">
            <w:pPr>
              <w:pStyle w:val="Nadpis2"/>
              <w:spacing w:before="240"/>
              <w:jc w:val="center"/>
              <w:rPr>
                <w:rFonts w:asciiTheme="minorHAnsi" w:hAnsiTheme="minorHAnsi" w:cstheme="minorHAnsi"/>
                <w:b/>
                <w:color w:val="000000"/>
                <w:szCs w:val="24"/>
              </w:rPr>
            </w:pPr>
            <w:bookmarkStart w:id="53" w:name="_Toc321296447"/>
            <w:bookmarkStart w:id="54" w:name="_Toc321296564"/>
            <w:r w:rsidRPr="00002B63">
              <w:rPr>
                <w:rFonts w:asciiTheme="minorHAnsi" w:hAnsiTheme="minorHAnsi" w:cstheme="minorHAnsi"/>
                <w:b/>
                <w:color w:val="000000"/>
                <w:szCs w:val="24"/>
              </w:rPr>
              <w:t>očekávaný</w:t>
            </w:r>
            <w:bookmarkEnd w:id="53"/>
            <w:bookmarkEnd w:id="54"/>
            <w:r w:rsidRPr="00002B63">
              <w:rPr>
                <w:rFonts w:asciiTheme="minorHAnsi" w:hAnsiTheme="minorHAnsi" w:cstheme="minorHAnsi"/>
                <w:b/>
                <w:color w:val="000000"/>
                <w:szCs w:val="24"/>
              </w:rPr>
              <w:t xml:space="preserve"> </w:t>
            </w:r>
          </w:p>
          <w:p w:rsidR="00605B90" w:rsidRPr="00002B63" w:rsidRDefault="00605B90" w:rsidP="00605B90">
            <w:pPr>
              <w:pStyle w:val="Nadpis2"/>
              <w:spacing w:before="240"/>
              <w:jc w:val="center"/>
              <w:rPr>
                <w:rFonts w:asciiTheme="minorHAnsi" w:hAnsiTheme="minorHAnsi" w:cstheme="minorHAnsi"/>
                <w:b/>
                <w:color w:val="000000"/>
                <w:szCs w:val="24"/>
              </w:rPr>
            </w:pPr>
            <w:bookmarkStart w:id="55" w:name="_Toc321296448"/>
            <w:bookmarkStart w:id="56" w:name="_Toc321296565"/>
            <w:r w:rsidRPr="00002B63">
              <w:rPr>
                <w:rFonts w:asciiTheme="minorHAnsi" w:hAnsiTheme="minorHAnsi" w:cstheme="minorHAnsi"/>
                <w:b/>
                <w:color w:val="000000"/>
                <w:szCs w:val="24"/>
              </w:rPr>
              <w:t>stav k</w:t>
            </w:r>
            <w:bookmarkEnd w:id="55"/>
            <w:bookmarkEnd w:id="56"/>
            <w:r w:rsidRPr="00002B63">
              <w:rPr>
                <w:rFonts w:asciiTheme="minorHAnsi" w:hAnsiTheme="minorHAnsi" w:cstheme="minorHAnsi"/>
                <w:b/>
                <w:color w:val="000000"/>
                <w:szCs w:val="24"/>
              </w:rPr>
              <w:t xml:space="preserve"> </w:t>
            </w:r>
          </w:p>
        </w:tc>
        <w:tc>
          <w:tcPr>
            <w:tcW w:w="3544" w:type="dxa"/>
            <w:gridSpan w:val="3"/>
            <w:tcBorders>
              <w:top w:val="double" w:sz="4" w:space="0" w:color="auto"/>
              <w:left w:val="nil"/>
              <w:right w:val="single" w:sz="12" w:space="0" w:color="auto"/>
            </w:tcBorders>
            <w:shd w:val="clear" w:color="auto" w:fill="CCFFFF"/>
            <w:vAlign w:val="center"/>
          </w:tcPr>
          <w:p w:rsidR="00605B90" w:rsidRPr="00002B63" w:rsidRDefault="00605B90" w:rsidP="00605B90">
            <w:pPr>
              <w:pStyle w:val="Nadpis2"/>
              <w:jc w:val="center"/>
              <w:rPr>
                <w:rFonts w:asciiTheme="minorHAnsi" w:hAnsiTheme="minorHAnsi" w:cstheme="minorHAnsi"/>
                <w:b/>
                <w:color w:val="000000"/>
                <w:szCs w:val="24"/>
              </w:rPr>
            </w:pPr>
            <w:bookmarkStart w:id="57" w:name="_Toc321296449"/>
            <w:bookmarkStart w:id="58" w:name="_Toc321296566"/>
            <w:r w:rsidRPr="00002B63">
              <w:rPr>
                <w:rFonts w:asciiTheme="minorHAnsi" w:hAnsiTheme="minorHAnsi" w:cstheme="minorHAnsi"/>
                <w:b/>
                <w:color w:val="000000"/>
                <w:szCs w:val="24"/>
              </w:rPr>
              <w:t>optimističtější varianta</w:t>
            </w:r>
            <w:bookmarkEnd w:id="57"/>
            <w:bookmarkEnd w:id="58"/>
          </w:p>
        </w:tc>
        <w:tc>
          <w:tcPr>
            <w:tcW w:w="3719" w:type="dxa"/>
            <w:gridSpan w:val="3"/>
            <w:tcBorders>
              <w:top w:val="double" w:sz="4" w:space="0" w:color="auto"/>
              <w:left w:val="nil"/>
              <w:right w:val="double" w:sz="4" w:space="0" w:color="auto"/>
            </w:tcBorders>
            <w:shd w:val="clear" w:color="auto" w:fill="CCFFFF"/>
            <w:vAlign w:val="center"/>
          </w:tcPr>
          <w:p w:rsidR="00605B90" w:rsidRPr="00002B63" w:rsidRDefault="00605B90" w:rsidP="00605B90">
            <w:pPr>
              <w:pStyle w:val="Nadpis2"/>
              <w:jc w:val="center"/>
              <w:rPr>
                <w:rFonts w:asciiTheme="minorHAnsi" w:hAnsiTheme="minorHAnsi" w:cstheme="minorHAnsi"/>
                <w:b/>
                <w:color w:val="000000"/>
                <w:szCs w:val="24"/>
              </w:rPr>
            </w:pPr>
            <w:bookmarkStart w:id="59" w:name="_Toc321296450"/>
            <w:bookmarkStart w:id="60" w:name="_Toc321296567"/>
            <w:r w:rsidRPr="00002B63">
              <w:rPr>
                <w:rFonts w:asciiTheme="minorHAnsi" w:hAnsiTheme="minorHAnsi" w:cstheme="minorHAnsi"/>
                <w:b/>
                <w:color w:val="000000"/>
                <w:szCs w:val="24"/>
              </w:rPr>
              <w:t>pesimističtější varianta</w:t>
            </w:r>
            <w:bookmarkEnd w:id="59"/>
            <w:bookmarkEnd w:id="60"/>
          </w:p>
        </w:tc>
      </w:tr>
      <w:tr w:rsidR="00B372A4" w:rsidRPr="00002B63" w:rsidTr="003F1B2C">
        <w:trPr>
          <w:cantSplit/>
          <w:jc w:val="center"/>
        </w:trPr>
        <w:tc>
          <w:tcPr>
            <w:tcW w:w="1877" w:type="dxa"/>
            <w:vMerge/>
            <w:tcBorders>
              <w:left w:val="double" w:sz="4" w:space="0" w:color="auto"/>
              <w:bottom w:val="double" w:sz="4" w:space="0" w:color="auto"/>
              <w:right w:val="single" w:sz="12" w:space="0" w:color="auto"/>
            </w:tcBorders>
            <w:shd w:val="clear" w:color="auto" w:fill="CCFFFF"/>
          </w:tcPr>
          <w:p w:rsidR="00B372A4" w:rsidRPr="00002B63" w:rsidRDefault="00B372A4" w:rsidP="00605B90">
            <w:pPr>
              <w:pStyle w:val="Nadpis2"/>
              <w:jc w:val="center"/>
              <w:rPr>
                <w:rFonts w:asciiTheme="minorHAnsi" w:hAnsiTheme="minorHAnsi" w:cstheme="minorHAnsi"/>
                <w:color w:val="000000"/>
                <w:szCs w:val="24"/>
              </w:rPr>
            </w:pPr>
          </w:p>
        </w:tc>
        <w:tc>
          <w:tcPr>
            <w:tcW w:w="1559" w:type="dxa"/>
            <w:tcBorders>
              <w:left w:val="nil"/>
              <w:bottom w:val="double" w:sz="4" w:space="0" w:color="auto"/>
            </w:tcBorders>
            <w:shd w:val="clear" w:color="auto" w:fill="CCFFFF"/>
            <w:vAlign w:val="center"/>
          </w:tcPr>
          <w:p w:rsidR="00B372A4" w:rsidRPr="00002B63" w:rsidRDefault="00B372A4" w:rsidP="00605B90">
            <w:pPr>
              <w:jc w:val="center"/>
              <w:rPr>
                <w:rFonts w:asciiTheme="minorHAnsi" w:hAnsiTheme="minorHAnsi" w:cstheme="minorHAnsi"/>
                <w:b/>
                <w:bCs/>
                <w:color w:val="000000"/>
              </w:rPr>
            </w:pPr>
            <w:r w:rsidRPr="00002B63">
              <w:rPr>
                <w:rFonts w:asciiTheme="minorHAnsi" w:hAnsiTheme="minorHAnsi" w:cstheme="minorHAnsi"/>
                <w:b/>
                <w:bCs/>
                <w:color w:val="000000"/>
              </w:rPr>
              <w:t>počet evidovaných uchazečů</w:t>
            </w:r>
          </w:p>
          <w:p w:rsidR="00B372A4" w:rsidRPr="00002B63" w:rsidRDefault="00B372A4" w:rsidP="00605B90">
            <w:pPr>
              <w:jc w:val="center"/>
              <w:rPr>
                <w:rFonts w:asciiTheme="minorHAnsi" w:hAnsiTheme="minorHAnsi" w:cstheme="minorHAnsi"/>
                <w:b/>
                <w:bCs/>
                <w:color w:val="000000"/>
              </w:rPr>
            </w:pPr>
            <w:r w:rsidRPr="00002B63">
              <w:rPr>
                <w:rFonts w:asciiTheme="minorHAnsi" w:hAnsiTheme="minorHAnsi" w:cstheme="minorHAnsi"/>
                <w:b/>
                <w:bCs/>
                <w:color w:val="000000"/>
              </w:rPr>
              <w:t>celkem</w:t>
            </w:r>
          </w:p>
        </w:tc>
        <w:tc>
          <w:tcPr>
            <w:tcW w:w="1276" w:type="dxa"/>
            <w:tcBorders>
              <w:left w:val="nil"/>
              <w:bottom w:val="double" w:sz="4" w:space="0" w:color="auto"/>
            </w:tcBorders>
            <w:shd w:val="clear" w:color="auto" w:fill="CCFFFF"/>
            <w:vAlign w:val="center"/>
          </w:tcPr>
          <w:p w:rsidR="00B372A4" w:rsidRPr="00002B63" w:rsidRDefault="00B372A4" w:rsidP="00605B90">
            <w:pPr>
              <w:jc w:val="center"/>
              <w:rPr>
                <w:rFonts w:asciiTheme="minorHAnsi" w:hAnsiTheme="minorHAnsi" w:cstheme="minorHAnsi"/>
                <w:b/>
                <w:bCs/>
                <w:color w:val="000000"/>
              </w:rPr>
            </w:pPr>
            <w:r w:rsidRPr="00002B63">
              <w:rPr>
                <w:rFonts w:asciiTheme="minorHAnsi" w:hAnsiTheme="minorHAnsi" w:cstheme="minorHAnsi"/>
                <w:b/>
                <w:bCs/>
                <w:color w:val="000000"/>
              </w:rPr>
              <w:t>z toho dosažitelní</w:t>
            </w:r>
          </w:p>
          <w:p w:rsidR="00B372A4" w:rsidRPr="00002B63" w:rsidRDefault="00B372A4" w:rsidP="00605B90">
            <w:pPr>
              <w:jc w:val="center"/>
              <w:rPr>
                <w:rFonts w:asciiTheme="minorHAnsi" w:hAnsiTheme="minorHAnsi" w:cstheme="minorHAnsi"/>
                <w:b/>
                <w:bCs/>
                <w:color w:val="000000"/>
              </w:rPr>
            </w:pPr>
            <w:r w:rsidRPr="00002B63">
              <w:rPr>
                <w:rFonts w:asciiTheme="minorHAnsi" w:hAnsiTheme="minorHAnsi" w:cstheme="minorHAnsi"/>
                <w:b/>
                <w:bCs/>
                <w:color w:val="000000"/>
              </w:rPr>
              <w:t>15 -</w:t>
            </w:r>
            <w:r w:rsidR="00C439FA">
              <w:rPr>
                <w:rFonts w:asciiTheme="minorHAnsi" w:hAnsiTheme="minorHAnsi" w:cstheme="minorHAnsi"/>
                <w:b/>
                <w:bCs/>
                <w:color w:val="000000"/>
              </w:rPr>
              <w:t xml:space="preserve"> </w:t>
            </w:r>
            <w:r w:rsidRPr="00002B63">
              <w:rPr>
                <w:rFonts w:asciiTheme="minorHAnsi" w:hAnsiTheme="minorHAnsi" w:cstheme="minorHAnsi"/>
                <w:b/>
                <w:bCs/>
                <w:color w:val="000000"/>
              </w:rPr>
              <w:t>64 let</w:t>
            </w:r>
          </w:p>
        </w:tc>
        <w:tc>
          <w:tcPr>
            <w:tcW w:w="709" w:type="dxa"/>
            <w:tcBorders>
              <w:bottom w:val="double" w:sz="4" w:space="0" w:color="auto"/>
              <w:right w:val="single" w:sz="12" w:space="0" w:color="auto"/>
            </w:tcBorders>
            <w:shd w:val="clear" w:color="auto" w:fill="CCFFFF"/>
            <w:vAlign w:val="center"/>
          </w:tcPr>
          <w:p w:rsidR="00B372A4" w:rsidRPr="00002B63" w:rsidRDefault="00B372A4" w:rsidP="00605B90">
            <w:pPr>
              <w:jc w:val="center"/>
              <w:rPr>
                <w:rFonts w:asciiTheme="minorHAnsi" w:hAnsiTheme="minorHAnsi" w:cstheme="minorHAnsi"/>
                <w:b/>
                <w:bCs/>
                <w:color w:val="000000"/>
              </w:rPr>
            </w:pPr>
            <w:r w:rsidRPr="00002B63">
              <w:rPr>
                <w:rFonts w:asciiTheme="minorHAnsi" w:hAnsiTheme="minorHAnsi" w:cstheme="minorHAnsi"/>
                <w:b/>
                <w:bCs/>
                <w:color w:val="000000"/>
              </w:rPr>
              <w:t xml:space="preserve">PNO v % </w:t>
            </w:r>
          </w:p>
        </w:tc>
        <w:tc>
          <w:tcPr>
            <w:tcW w:w="1701" w:type="dxa"/>
            <w:tcBorders>
              <w:left w:val="nil"/>
              <w:bottom w:val="double" w:sz="4" w:space="0" w:color="auto"/>
            </w:tcBorders>
            <w:shd w:val="clear" w:color="auto" w:fill="CCFFFF"/>
            <w:vAlign w:val="center"/>
          </w:tcPr>
          <w:p w:rsidR="00B372A4" w:rsidRPr="00002B63" w:rsidRDefault="00B372A4" w:rsidP="00B372A4">
            <w:pPr>
              <w:jc w:val="center"/>
              <w:rPr>
                <w:rFonts w:asciiTheme="minorHAnsi" w:hAnsiTheme="minorHAnsi" w:cstheme="minorHAnsi"/>
                <w:b/>
                <w:bCs/>
                <w:color w:val="000000"/>
              </w:rPr>
            </w:pPr>
            <w:r w:rsidRPr="00002B63">
              <w:rPr>
                <w:rFonts w:asciiTheme="minorHAnsi" w:hAnsiTheme="minorHAnsi" w:cstheme="minorHAnsi"/>
                <w:b/>
                <w:bCs/>
                <w:color w:val="000000"/>
              </w:rPr>
              <w:t>počet evidovaných uchazečů</w:t>
            </w:r>
          </w:p>
          <w:p w:rsidR="00B372A4" w:rsidRPr="00002B63" w:rsidRDefault="00B372A4" w:rsidP="00B372A4">
            <w:pPr>
              <w:jc w:val="center"/>
              <w:rPr>
                <w:rFonts w:asciiTheme="minorHAnsi" w:hAnsiTheme="minorHAnsi" w:cstheme="minorHAnsi"/>
                <w:b/>
                <w:bCs/>
                <w:color w:val="000000"/>
              </w:rPr>
            </w:pPr>
            <w:r w:rsidRPr="00002B63">
              <w:rPr>
                <w:rFonts w:asciiTheme="minorHAnsi" w:hAnsiTheme="minorHAnsi" w:cstheme="minorHAnsi"/>
                <w:b/>
                <w:bCs/>
                <w:color w:val="000000"/>
              </w:rPr>
              <w:t>celkem</w:t>
            </w:r>
          </w:p>
        </w:tc>
        <w:tc>
          <w:tcPr>
            <w:tcW w:w="1276" w:type="dxa"/>
            <w:tcBorders>
              <w:left w:val="nil"/>
              <w:bottom w:val="double" w:sz="4" w:space="0" w:color="auto"/>
            </w:tcBorders>
            <w:shd w:val="clear" w:color="auto" w:fill="CCFFFF"/>
            <w:vAlign w:val="center"/>
          </w:tcPr>
          <w:p w:rsidR="00B372A4" w:rsidRPr="00002B63" w:rsidRDefault="00B372A4" w:rsidP="00B372A4">
            <w:pPr>
              <w:jc w:val="center"/>
              <w:rPr>
                <w:rFonts w:asciiTheme="minorHAnsi" w:hAnsiTheme="minorHAnsi" w:cstheme="minorHAnsi"/>
                <w:b/>
                <w:bCs/>
                <w:color w:val="000000"/>
              </w:rPr>
            </w:pPr>
            <w:r w:rsidRPr="00002B63">
              <w:rPr>
                <w:rFonts w:asciiTheme="minorHAnsi" w:hAnsiTheme="minorHAnsi" w:cstheme="minorHAnsi"/>
                <w:b/>
                <w:bCs/>
                <w:color w:val="000000"/>
              </w:rPr>
              <w:t>z toho dosažitelní</w:t>
            </w:r>
          </w:p>
          <w:p w:rsidR="00B372A4" w:rsidRPr="00002B63" w:rsidRDefault="00B372A4" w:rsidP="00B372A4">
            <w:pPr>
              <w:jc w:val="center"/>
              <w:rPr>
                <w:rFonts w:asciiTheme="minorHAnsi" w:hAnsiTheme="minorHAnsi" w:cstheme="minorHAnsi"/>
                <w:b/>
                <w:bCs/>
                <w:color w:val="000000"/>
              </w:rPr>
            </w:pPr>
            <w:r w:rsidRPr="00002B63">
              <w:rPr>
                <w:rFonts w:asciiTheme="minorHAnsi" w:hAnsiTheme="minorHAnsi" w:cstheme="minorHAnsi"/>
                <w:b/>
                <w:bCs/>
                <w:color w:val="000000"/>
              </w:rPr>
              <w:t>15 -</w:t>
            </w:r>
            <w:r w:rsidR="00C439FA">
              <w:rPr>
                <w:rFonts w:asciiTheme="minorHAnsi" w:hAnsiTheme="minorHAnsi" w:cstheme="minorHAnsi"/>
                <w:b/>
                <w:bCs/>
                <w:color w:val="000000"/>
              </w:rPr>
              <w:t xml:space="preserve"> </w:t>
            </w:r>
            <w:r w:rsidRPr="00002B63">
              <w:rPr>
                <w:rFonts w:asciiTheme="minorHAnsi" w:hAnsiTheme="minorHAnsi" w:cstheme="minorHAnsi"/>
                <w:b/>
                <w:bCs/>
                <w:color w:val="000000"/>
              </w:rPr>
              <w:t>64 let</w:t>
            </w:r>
          </w:p>
        </w:tc>
        <w:tc>
          <w:tcPr>
            <w:tcW w:w="742" w:type="dxa"/>
            <w:tcBorders>
              <w:bottom w:val="double" w:sz="4" w:space="0" w:color="auto"/>
              <w:right w:val="double" w:sz="4" w:space="0" w:color="auto"/>
            </w:tcBorders>
            <w:shd w:val="clear" w:color="auto" w:fill="CCFFFF"/>
            <w:vAlign w:val="center"/>
          </w:tcPr>
          <w:p w:rsidR="00B372A4" w:rsidRPr="00002B63" w:rsidRDefault="00B372A4" w:rsidP="00B372A4">
            <w:pPr>
              <w:jc w:val="center"/>
              <w:rPr>
                <w:rFonts w:asciiTheme="minorHAnsi" w:hAnsiTheme="minorHAnsi" w:cstheme="minorHAnsi"/>
                <w:b/>
                <w:bCs/>
                <w:color w:val="000000"/>
              </w:rPr>
            </w:pPr>
            <w:r w:rsidRPr="00002B63">
              <w:rPr>
                <w:rFonts w:asciiTheme="minorHAnsi" w:hAnsiTheme="minorHAnsi" w:cstheme="minorHAnsi"/>
                <w:b/>
                <w:bCs/>
                <w:color w:val="000000"/>
              </w:rPr>
              <w:t xml:space="preserve">PNO v % </w:t>
            </w:r>
          </w:p>
        </w:tc>
      </w:tr>
      <w:tr w:rsidR="00605B90" w:rsidRPr="00002B63" w:rsidTr="003F1B2C">
        <w:trPr>
          <w:trHeight w:hRule="exact" w:val="562"/>
          <w:jc w:val="center"/>
        </w:trPr>
        <w:tc>
          <w:tcPr>
            <w:tcW w:w="1877" w:type="dxa"/>
            <w:tcBorders>
              <w:top w:val="double" w:sz="4" w:space="0" w:color="auto"/>
              <w:left w:val="double" w:sz="4" w:space="0" w:color="auto"/>
              <w:bottom w:val="double" w:sz="4" w:space="0" w:color="auto"/>
              <w:right w:val="single" w:sz="12" w:space="0" w:color="auto"/>
            </w:tcBorders>
            <w:shd w:val="clear" w:color="auto" w:fill="CCFFFF"/>
            <w:vAlign w:val="center"/>
          </w:tcPr>
          <w:p w:rsidR="00605B90" w:rsidRPr="000864DC" w:rsidRDefault="00605B90" w:rsidP="00605B90">
            <w:pPr>
              <w:pStyle w:val="Nadpis2"/>
              <w:jc w:val="center"/>
              <w:rPr>
                <w:rFonts w:asciiTheme="minorHAnsi" w:hAnsiTheme="minorHAnsi" w:cstheme="minorHAnsi"/>
                <w:b/>
                <w:color w:val="000000" w:themeColor="text1"/>
                <w:szCs w:val="24"/>
              </w:rPr>
            </w:pPr>
            <w:bookmarkStart w:id="61" w:name="_Toc321296451"/>
            <w:bookmarkStart w:id="62" w:name="_Toc321296568"/>
            <w:r w:rsidRPr="000864DC">
              <w:rPr>
                <w:rFonts w:asciiTheme="minorHAnsi" w:hAnsiTheme="minorHAnsi" w:cstheme="minorHAnsi"/>
                <w:b/>
                <w:color w:val="000000" w:themeColor="text1"/>
                <w:szCs w:val="24"/>
              </w:rPr>
              <w:t>30. 6. 201</w:t>
            </w:r>
            <w:bookmarkEnd w:id="61"/>
            <w:bookmarkEnd w:id="62"/>
            <w:r w:rsidR="000864DC" w:rsidRPr="000864DC">
              <w:rPr>
                <w:rFonts w:asciiTheme="minorHAnsi" w:hAnsiTheme="minorHAnsi" w:cstheme="minorHAnsi"/>
                <w:b/>
                <w:color w:val="000000" w:themeColor="text1"/>
                <w:szCs w:val="24"/>
              </w:rPr>
              <w:t>5</w:t>
            </w:r>
          </w:p>
        </w:tc>
        <w:tc>
          <w:tcPr>
            <w:tcW w:w="1559" w:type="dxa"/>
            <w:tcBorders>
              <w:top w:val="double" w:sz="4" w:space="0" w:color="auto"/>
              <w:left w:val="nil"/>
              <w:bottom w:val="double" w:sz="4" w:space="0" w:color="auto"/>
            </w:tcBorders>
            <w:shd w:val="clear" w:color="auto" w:fill="auto"/>
            <w:vAlign w:val="center"/>
          </w:tcPr>
          <w:p w:rsidR="00605B90"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34 000</w:t>
            </w:r>
          </w:p>
        </w:tc>
        <w:tc>
          <w:tcPr>
            <w:tcW w:w="1276" w:type="dxa"/>
            <w:tcBorders>
              <w:top w:val="double" w:sz="4" w:space="0" w:color="auto"/>
              <w:left w:val="nil"/>
              <w:bottom w:val="double" w:sz="4" w:space="0" w:color="auto"/>
            </w:tcBorders>
            <w:shd w:val="clear" w:color="auto" w:fill="auto"/>
            <w:vAlign w:val="center"/>
          </w:tcPr>
          <w:p w:rsidR="00605B90"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32 700</w:t>
            </w:r>
          </w:p>
        </w:tc>
        <w:tc>
          <w:tcPr>
            <w:tcW w:w="709" w:type="dxa"/>
            <w:tcBorders>
              <w:top w:val="double" w:sz="4" w:space="0" w:color="auto"/>
              <w:bottom w:val="double" w:sz="4" w:space="0" w:color="auto"/>
              <w:right w:val="single" w:sz="12" w:space="0" w:color="auto"/>
            </w:tcBorders>
            <w:vAlign w:val="center"/>
          </w:tcPr>
          <w:p w:rsidR="00605B90" w:rsidRPr="003B4059" w:rsidRDefault="003B4059" w:rsidP="00605B90">
            <w:pPr>
              <w:pStyle w:val="Prosttext"/>
              <w:jc w:val="center"/>
              <w:rPr>
                <w:rFonts w:asciiTheme="minorHAnsi" w:hAnsiTheme="minorHAnsi" w:cstheme="minorHAnsi"/>
                <w:b/>
                <w:color w:val="000000" w:themeColor="text1"/>
                <w:szCs w:val="24"/>
              </w:rPr>
            </w:pPr>
            <w:r w:rsidRPr="003B4059">
              <w:rPr>
                <w:rFonts w:asciiTheme="minorHAnsi" w:hAnsiTheme="minorHAnsi" w:cstheme="minorHAnsi"/>
                <w:b/>
                <w:color w:val="000000" w:themeColor="text1"/>
                <w:szCs w:val="24"/>
              </w:rPr>
              <w:t>7,7</w:t>
            </w:r>
          </w:p>
        </w:tc>
        <w:tc>
          <w:tcPr>
            <w:tcW w:w="1701" w:type="dxa"/>
            <w:tcBorders>
              <w:top w:val="double" w:sz="4" w:space="0" w:color="auto"/>
              <w:left w:val="nil"/>
              <w:bottom w:val="double" w:sz="4" w:space="0" w:color="auto"/>
            </w:tcBorders>
            <w:shd w:val="clear" w:color="auto" w:fill="auto"/>
            <w:vAlign w:val="center"/>
          </w:tcPr>
          <w:p w:rsidR="00605B90"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35 000</w:t>
            </w:r>
          </w:p>
        </w:tc>
        <w:tc>
          <w:tcPr>
            <w:tcW w:w="1276" w:type="dxa"/>
            <w:tcBorders>
              <w:top w:val="double" w:sz="4" w:space="0" w:color="auto"/>
              <w:left w:val="nil"/>
              <w:bottom w:val="double" w:sz="4" w:space="0" w:color="auto"/>
            </w:tcBorders>
            <w:shd w:val="clear" w:color="auto" w:fill="auto"/>
            <w:vAlign w:val="center"/>
          </w:tcPr>
          <w:p w:rsidR="00605B90"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33 600</w:t>
            </w:r>
          </w:p>
        </w:tc>
        <w:tc>
          <w:tcPr>
            <w:tcW w:w="742" w:type="dxa"/>
            <w:tcBorders>
              <w:top w:val="double" w:sz="4" w:space="0" w:color="auto"/>
              <w:bottom w:val="double" w:sz="4" w:space="0" w:color="auto"/>
              <w:right w:val="double" w:sz="4" w:space="0" w:color="auto"/>
            </w:tcBorders>
            <w:vAlign w:val="center"/>
          </w:tcPr>
          <w:p w:rsidR="00605B90" w:rsidRPr="003B4059" w:rsidRDefault="003B4059" w:rsidP="00605B90">
            <w:pPr>
              <w:pStyle w:val="Prosttext"/>
              <w:jc w:val="center"/>
              <w:rPr>
                <w:rFonts w:asciiTheme="minorHAnsi" w:hAnsiTheme="minorHAnsi" w:cstheme="minorHAnsi"/>
                <w:b/>
                <w:color w:val="000000" w:themeColor="text1"/>
                <w:szCs w:val="24"/>
              </w:rPr>
            </w:pPr>
            <w:r w:rsidRPr="003B4059">
              <w:rPr>
                <w:rFonts w:asciiTheme="minorHAnsi" w:hAnsiTheme="minorHAnsi" w:cstheme="minorHAnsi"/>
                <w:b/>
                <w:color w:val="000000" w:themeColor="text1"/>
                <w:szCs w:val="24"/>
              </w:rPr>
              <w:t>7,9</w:t>
            </w:r>
          </w:p>
        </w:tc>
      </w:tr>
      <w:tr w:rsidR="003F5176" w:rsidRPr="00002B63" w:rsidTr="003F1B2C">
        <w:trPr>
          <w:trHeight w:hRule="exact" w:val="562"/>
          <w:jc w:val="center"/>
        </w:trPr>
        <w:tc>
          <w:tcPr>
            <w:tcW w:w="1877" w:type="dxa"/>
            <w:tcBorders>
              <w:top w:val="double" w:sz="4" w:space="0" w:color="auto"/>
              <w:left w:val="double" w:sz="4" w:space="0" w:color="auto"/>
              <w:bottom w:val="double" w:sz="4" w:space="0" w:color="auto"/>
              <w:right w:val="single" w:sz="12" w:space="0" w:color="auto"/>
            </w:tcBorders>
            <w:shd w:val="clear" w:color="auto" w:fill="CCFFFF"/>
            <w:vAlign w:val="center"/>
          </w:tcPr>
          <w:p w:rsidR="003F5176" w:rsidRPr="000864DC" w:rsidRDefault="003F5176" w:rsidP="00605B90">
            <w:pPr>
              <w:pStyle w:val="Nadpis2"/>
              <w:jc w:val="center"/>
              <w:rPr>
                <w:rFonts w:asciiTheme="minorHAnsi" w:hAnsiTheme="minorHAnsi" w:cstheme="minorHAnsi"/>
                <w:b/>
                <w:color w:val="000000" w:themeColor="text1"/>
                <w:szCs w:val="24"/>
              </w:rPr>
            </w:pPr>
            <w:r w:rsidRPr="000864DC">
              <w:rPr>
                <w:rFonts w:asciiTheme="minorHAnsi" w:hAnsiTheme="minorHAnsi" w:cstheme="minorHAnsi"/>
                <w:b/>
                <w:color w:val="000000" w:themeColor="text1"/>
                <w:szCs w:val="24"/>
              </w:rPr>
              <w:t>31. 12. 201</w:t>
            </w:r>
            <w:r w:rsidR="000864DC" w:rsidRPr="000864DC">
              <w:rPr>
                <w:rFonts w:asciiTheme="minorHAnsi" w:hAnsiTheme="minorHAnsi" w:cstheme="minorHAnsi"/>
                <w:b/>
                <w:color w:val="000000" w:themeColor="text1"/>
                <w:szCs w:val="24"/>
              </w:rPr>
              <w:t>5</w:t>
            </w:r>
          </w:p>
        </w:tc>
        <w:tc>
          <w:tcPr>
            <w:tcW w:w="1559" w:type="dxa"/>
            <w:tcBorders>
              <w:top w:val="double" w:sz="4" w:space="0" w:color="auto"/>
              <w:left w:val="nil"/>
              <w:bottom w:val="double" w:sz="4" w:space="0" w:color="auto"/>
            </w:tcBorders>
            <w:shd w:val="clear" w:color="auto" w:fill="auto"/>
            <w:vAlign w:val="center"/>
          </w:tcPr>
          <w:p w:rsidR="003F5176"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37 000</w:t>
            </w:r>
          </w:p>
        </w:tc>
        <w:tc>
          <w:tcPr>
            <w:tcW w:w="1276" w:type="dxa"/>
            <w:tcBorders>
              <w:top w:val="double" w:sz="4" w:space="0" w:color="auto"/>
              <w:left w:val="nil"/>
              <w:bottom w:val="double" w:sz="4" w:space="0" w:color="auto"/>
            </w:tcBorders>
            <w:shd w:val="clear" w:color="auto" w:fill="auto"/>
            <w:vAlign w:val="center"/>
          </w:tcPr>
          <w:p w:rsidR="003F5176"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35 600</w:t>
            </w:r>
          </w:p>
        </w:tc>
        <w:tc>
          <w:tcPr>
            <w:tcW w:w="709" w:type="dxa"/>
            <w:tcBorders>
              <w:top w:val="double" w:sz="4" w:space="0" w:color="auto"/>
              <w:bottom w:val="double" w:sz="4" w:space="0" w:color="auto"/>
              <w:right w:val="single" w:sz="12" w:space="0" w:color="auto"/>
            </w:tcBorders>
            <w:vAlign w:val="center"/>
          </w:tcPr>
          <w:p w:rsidR="003F5176" w:rsidRPr="003B4059" w:rsidRDefault="003B4059" w:rsidP="00605B90">
            <w:pPr>
              <w:pStyle w:val="Prosttext"/>
              <w:jc w:val="center"/>
              <w:rPr>
                <w:rFonts w:asciiTheme="minorHAnsi" w:hAnsiTheme="minorHAnsi" w:cstheme="minorHAnsi"/>
                <w:b/>
                <w:color w:val="000000" w:themeColor="text1"/>
                <w:szCs w:val="24"/>
              </w:rPr>
            </w:pPr>
            <w:r w:rsidRPr="003B4059">
              <w:rPr>
                <w:rFonts w:asciiTheme="minorHAnsi" w:hAnsiTheme="minorHAnsi" w:cstheme="minorHAnsi"/>
                <w:b/>
                <w:color w:val="000000" w:themeColor="text1"/>
                <w:szCs w:val="24"/>
              </w:rPr>
              <w:t>8,4</w:t>
            </w:r>
          </w:p>
        </w:tc>
        <w:tc>
          <w:tcPr>
            <w:tcW w:w="1701" w:type="dxa"/>
            <w:tcBorders>
              <w:top w:val="double" w:sz="4" w:space="0" w:color="auto"/>
              <w:left w:val="nil"/>
              <w:bottom w:val="double" w:sz="4" w:space="0" w:color="auto"/>
            </w:tcBorders>
            <w:shd w:val="clear" w:color="auto" w:fill="auto"/>
            <w:vAlign w:val="center"/>
          </w:tcPr>
          <w:p w:rsidR="003F5176"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39 000</w:t>
            </w:r>
          </w:p>
        </w:tc>
        <w:tc>
          <w:tcPr>
            <w:tcW w:w="1276" w:type="dxa"/>
            <w:tcBorders>
              <w:top w:val="double" w:sz="4" w:space="0" w:color="auto"/>
              <w:left w:val="nil"/>
              <w:bottom w:val="double" w:sz="4" w:space="0" w:color="auto"/>
            </w:tcBorders>
            <w:shd w:val="clear" w:color="auto" w:fill="auto"/>
            <w:vAlign w:val="center"/>
          </w:tcPr>
          <w:p w:rsidR="003F5176" w:rsidRPr="003B4059" w:rsidRDefault="003B4059" w:rsidP="00605B90">
            <w:pPr>
              <w:pStyle w:val="Prosttext"/>
              <w:jc w:val="center"/>
              <w:rPr>
                <w:rFonts w:asciiTheme="minorHAnsi" w:hAnsiTheme="minorHAnsi" w:cstheme="minorHAnsi"/>
                <w:color w:val="000000" w:themeColor="text1"/>
              </w:rPr>
            </w:pPr>
            <w:r w:rsidRPr="003B4059">
              <w:rPr>
                <w:rFonts w:asciiTheme="minorHAnsi" w:hAnsiTheme="minorHAnsi" w:cstheme="minorHAnsi"/>
                <w:color w:val="000000" w:themeColor="text1"/>
              </w:rPr>
              <w:t>37 500</w:t>
            </w:r>
          </w:p>
        </w:tc>
        <w:tc>
          <w:tcPr>
            <w:tcW w:w="742" w:type="dxa"/>
            <w:tcBorders>
              <w:top w:val="double" w:sz="4" w:space="0" w:color="auto"/>
              <w:bottom w:val="double" w:sz="4" w:space="0" w:color="auto"/>
              <w:right w:val="double" w:sz="4" w:space="0" w:color="auto"/>
            </w:tcBorders>
            <w:vAlign w:val="center"/>
          </w:tcPr>
          <w:p w:rsidR="003F5176" w:rsidRPr="003B4059" w:rsidRDefault="003B4059" w:rsidP="00605B90">
            <w:pPr>
              <w:pStyle w:val="Prosttext"/>
              <w:jc w:val="center"/>
              <w:rPr>
                <w:rFonts w:asciiTheme="minorHAnsi" w:hAnsiTheme="minorHAnsi" w:cstheme="minorHAnsi"/>
                <w:b/>
                <w:color w:val="000000" w:themeColor="text1"/>
                <w:szCs w:val="24"/>
              </w:rPr>
            </w:pPr>
            <w:r w:rsidRPr="003B4059">
              <w:rPr>
                <w:rFonts w:asciiTheme="minorHAnsi" w:hAnsiTheme="minorHAnsi" w:cstheme="minorHAnsi"/>
                <w:b/>
                <w:color w:val="000000" w:themeColor="text1"/>
                <w:szCs w:val="24"/>
              </w:rPr>
              <w:t>8,8</w:t>
            </w:r>
          </w:p>
        </w:tc>
      </w:tr>
    </w:tbl>
    <w:p w:rsidR="00605B90" w:rsidRPr="00002B63" w:rsidRDefault="00605B90" w:rsidP="00605B90">
      <w:pPr>
        <w:rPr>
          <w:rFonts w:asciiTheme="minorHAnsi" w:hAnsiTheme="minorHAnsi" w:cstheme="minorHAnsi"/>
          <w:color w:val="FF0000"/>
        </w:rPr>
      </w:pPr>
    </w:p>
    <w:p w:rsidR="006A6134" w:rsidRPr="000864DC" w:rsidRDefault="00F7115E" w:rsidP="006A6134">
      <w:pPr>
        <w:pStyle w:val="Zkladntext"/>
        <w:spacing w:line="240" w:lineRule="atLeast"/>
        <w:ind w:firstLine="720"/>
        <w:jc w:val="both"/>
        <w:rPr>
          <w:rFonts w:asciiTheme="minorHAnsi" w:hAnsiTheme="minorHAnsi" w:cstheme="minorHAnsi"/>
          <w:b w:val="0"/>
          <w:color w:val="000000" w:themeColor="text1"/>
          <w:sz w:val="24"/>
        </w:rPr>
      </w:pPr>
      <w:r w:rsidRPr="000864DC">
        <w:rPr>
          <w:rFonts w:asciiTheme="minorHAnsi" w:hAnsiTheme="minorHAnsi" w:cstheme="minorHAnsi"/>
          <w:b w:val="0"/>
          <w:color w:val="000000" w:themeColor="text1"/>
          <w:sz w:val="24"/>
        </w:rPr>
        <w:t xml:space="preserve">V současné době je </w:t>
      </w:r>
      <w:r w:rsidR="00605B90" w:rsidRPr="000864DC">
        <w:rPr>
          <w:rFonts w:asciiTheme="minorHAnsi" w:hAnsiTheme="minorHAnsi" w:cstheme="minorHAnsi"/>
          <w:b w:val="0"/>
          <w:color w:val="000000" w:themeColor="text1"/>
          <w:sz w:val="24"/>
        </w:rPr>
        <w:t xml:space="preserve">poměrně obtížné určit, jak </w:t>
      </w:r>
      <w:r w:rsidRPr="000864DC">
        <w:rPr>
          <w:rFonts w:asciiTheme="minorHAnsi" w:hAnsiTheme="minorHAnsi" w:cstheme="minorHAnsi"/>
          <w:b w:val="0"/>
          <w:color w:val="000000" w:themeColor="text1"/>
          <w:sz w:val="24"/>
        </w:rPr>
        <w:t>vysoká bude nezaměstnanost na</w:t>
      </w:r>
      <w:r w:rsidR="009020EE" w:rsidRPr="000864DC">
        <w:rPr>
          <w:rFonts w:asciiTheme="minorHAnsi" w:hAnsiTheme="minorHAnsi" w:cstheme="minorHAnsi"/>
          <w:b w:val="0"/>
          <w:color w:val="000000" w:themeColor="text1"/>
          <w:sz w:val="24"/>
        </w:rPr>
        <w:t> konci čer</w:t>
      </w:r>
      <w:r w:rsidR="006A6134" w:rsidRPr="000864DC">
        <w:rPr>
          <w:rFonts w:asciiTheme="minorHAnsi" w:hAnsiTheme="minorHAnsi" w:cstheme="minorHAnsi"/>
          <w:b w:val="0"/>
          <w:color w:val="000000" w:themeColor="text1"/>
          <w:sz w:val="24"/>
        </w:rPr>
        <w:t>vna, případně na konci roku 2015</w:t>
      </w:r>
      <w:r w:rsidR="00605B90" w:rsidRPr="000864DC">
        <w:rPr>
          <w:rFonts w:asciiTheme="minorHAnsi" w:hAnsiTheme="minorHAnsi" w:cstheme="minorHAnsi"/>
          <w:b w:val="0"/>
          <w:color w:val="000000" w:themeColor="text1"/>
          <w:sz w:val="24"/>
        </w:rPr>
        <w:t xml:space="preserve">. </w:t>
      </w:r>
      <w:r w:rsidRPr="000864DC">
        <w:rPr>
          <w:rFonts w:asciiTheme="minorHAnsi" w:hAnsiTheme="minorHAnsi" w:cstheme="minorHAnsi"/>
          <w:b w:val="0"/>
          <w:color w:val="000000" w:themeColor="text1"/>
          <w:sz w:val="24"/>
        </w:rPr>
        <w:t xml:space="preserve">V roce 2012 došlo ke zvratu ve vývoji nezaměstnanosti a </w:t>
      </w:r>
      <w:r w:rsidR="009020EE" w:rsidRPr="000864DC">
        <w:rPr>
          <w:rFonts w:asciiTheme="minorHAnsi" w:hAnsiTheme="minorHAnsi" w:cstheme="minorHAnsi"/>
          <w:b w:val="0"/>
          <w:color w:val="000000" w:themeColor="text1"/>
          <w:sz w:val="24"/>
        </w:rPr>
        <w:t xml:space="preserve">ta začala meziročně stále narůstat. V roce 2013 se </w:t>
      </w:r>
      <w:r w:rsidRPr="000864DC">
        <w:rPr>
          <w:rFonts w:asciiTheme="minorHAnsi" w:hAnsiTheme="minorHAnsi" w:cstheme="minorHAnsi"/>
          <w:b w:val="0"/>
          <w:color w:val="000000" w:themeColor="text1"/>
          <w:sz w:val="24"/>
        </w:rPr>
        <w:t>poče</w:t>
      </w:r>
      <w:r w:rsidR="009020EE" w:rsidRPr="000864DC">
        <w:rPr>
          <w:rFonts w:asciiTheme="minorHAnsi" w:hAnsiTheme="minorHAnsi" w:cstheme="minorHAnsi"/>
          <w:b w:val="0"/>
          <w:color w:val="000000" w:themeColor="text1"/>
          <w:sz w:val="24"/>
        </w:rPr>
        <w:t xml:space="preserve">t uchazečů o zaměstnání </w:t>
      </w:r>
      <w:r w:rsidRPr="000864DC">
        <w:rPr>
          <w:rFonts w:asciiTheme="minorHAnsi" w:hAnsiTheme="minorHAnsi" w:cstheme="minorHAnsi"/>
          <w:b w:val="0"/>
          <w:color w:val="000000" w:themeColor="text1"/>
          <w:sz w:val="24"/>
        </w:rPr>
        <w:t>zač</w:t>
      </w:r>
      <w:r w:rsidR="009020EE" w:rsidRPr="000864DC">
        <w:rPr>
          <w:rFonts w:asciiTheme="minorHAnsi" w:hAnsiTheme="minorHAnsi" w:cstheme="minorHAnsi"/>
          <w:b w:val="0"/>
          <w:color w:val="000000" w:themeColor="text1"/>
          <w:sz w:val="24"/>
        </w:rPr>
        <w:t>al blížit k rekordním hodnotám – na konci roku 2013 bylo dosaženo nejvyšší prosincové hodnoty nezaměstnanosti od vzniku ÚP. V lednu 2014 byla dokonce překročena dosud rekordní hodnota z února 2010 – v Olomouckém kraji bylo evidováno celkem 46 404 nezaměstnaných!</w:t>
      </w:r>
      <w:r w:rsidR="006A6134" w:rsidRPr="000864DC">
        <w:rPr>
          <w:rFonts w:asciiTheme="minorHAnsi" w:hAnsiTheme="minorHAnsi" w:cstheme="minorHAnsi"/>
          <w:b w:val="0"/>
          <w:color w:val="000000" w:themeColor="text1"/>
          <w:sz w:val="24"/>
        </w:rPr>
        <w:t xml:space="preserve"> Na základě tohoto dramatického vývoje nezaměstnanosti jsme pak na začátku roku 2014 i v optimistické variantě odhadovali, že počet </w:t>
      </w:r>
      <w:r w:rsidR="000864DC" w:rsidRPr="000864DC">
        <w:rPr>
          <w:rFonts w:asciiTheme="minorHAnsi" w:hAnsiTheme="minorHAnsi" w:cstheme="minorHAnsi"/>
          <w:b w:val="0"/>
          <w:color w:val="000000" w:themeColor="text1"/>
          <w:sz w:val="24"/>
        </w:rPr>
        <w:t>uchazečů o zaměstnání dosáhne na konci roku hodnoty 42 tisíc osob. Během roku ale začala nezaměstnanost poměrně prudce klesat a skutečný počet nezaměstnaných pak byl o více než 3 tisíce osob nižší.</w:t>
      </w:r>
    </w:p>
    <w:p w:rsidR="00605B90" w:rsidRPr="000864DC" w:rsidRDefault="00605B90" w:rsidP="00605B90">
      <w:pPr>
        <w:pStyle w:val="Zkladntext"/>
        <w:spacing w:line="240" w:lineRule="atLeast"/>
        <w:ind w:firstLine="720"/>
        <w:jc w:val="both"/>
        <w:rPr>
          <w:rFonts w:asciiTheme="minorHAnsi" w:hAnsiTheme="minorHAnsi" w:cstheme="minorHAnsi"/>
          <w:b w:val="0"/>
          <w:color w:val="000000" w:themeColor="text1"/>
          <w:sz w:val="24"/>
        </w:rPr>
      </w:pPr>
      <w:r w:rsidRPr="000864DC">
        <w:rPr>
          <w:rFonts w:asciiTheme="minorHAnsi" w:hAnsiTheme="minorHAnsi" w:cstheme="minorHAnsi"/>
          <w:b w:val="0"/>
          <w:color w:val="000000" w:themeColor="text1"/>
          <w:sz w:val="24"/>
        </w:rPr>
        <w:t xml:space="preserve">Předpokládáme, že od března začne nezaměstnanost postupně klesat. Další vývoj nezaměstnanosti je přímo závislý na ekonomické situaci podniků, na jejich zakázkové náplni a schopnosti financovat výrobu, na případných vládních </w:t>
      </w:r>
      <w:r w:rsidR="00F7115E" w:rsidRPr="000864DC">
        <w:rPr>
          <w:rFonts w:asciiTheme="minorHAnsi" w:hAnsiTheme="minorHAnsi" w:cstheme="minorHAnsi"/>
          <w:b w:val="0"/>
          <w:color w:val="000000" w:themeColor="text1"/>
          <w:sz w:val="24"/>
        </w:rPr>
        <w:t>opatřeních a celkové situaci na světových trzích</w:t>
      </w:r>
      <w:r w:rsidRPr="000864DC">
        <w:rPr>
          <w:rFonts w:asciiTheme="minorHAnsi" w:hAnsiTheme="minorHAnsi" w:cstheme="minorHAnsi"/>
          <w:b w:val="0"/>
          <w:color w:val="000000" w:themeColor="text1"/>
          <w:sz w:val="24"/>
        </w:rPr>
        <w:t>. Určitým stabilizujícím faktorem zaměstnanosti bude pokračování realizace regionálních individuálních projektů.</w:t>
      </w:r>
      <w:r w:rsidR="003B69FF" w:rsidRPr="000864DC">
        <w:rPr>
          <w:rFonts w:asciiTheme="minorHAnsi" w:hAnsiTheme="minorHAnsi" w:cstheme="minorHAnsi"/>
          <w:b w:val="0"/>
          <w:color w:val="000000" w:themeColor="text1"/>
          <w:sz w:val="24"/>
        </w:rPr>
        <w:t xml:space="preserve"> </w:t>
      </w:r>
    </w:p>
    <w:p w:rsidR="003B69FF" w:rsidRPr="003B4059" w:rsidRDefault="00605B90" w:rsidP="003B69FF">
      <w:pPr>
        <w:ind w:firstLine="708"/>
        <w:jc w:val="both"/>
        <w:rPr>
          <w:rFonts w:asciiTheme="minorHAnsi" w:hAnsiTheme="minorHAnsi" w:cstheme="minorHAnsi"/>
          <w:b/>
          <w:color w:val="000000" w:themeColor="text1"/>
        </w:rPr>
      </w:pPr>
      <w:r w:rsidRPr="003B4059">
        <w:rPr>
          <w:rFonts w:asciiTheme="minorHAnsi" w:hAnsiTheme="minorHAnsi" w:cstheme="minorHAnsi"/>
          <w:b/>
          <w:color w:val="000000" w:themeColor="text1"/>
        </w:rPr>
        <w:t>Na základě výše uvedených faktorů oč</w:t>
      </w:r>
      <w:r w:rsidR="000864DC" w:rsidRPr="003B4059">
        <w:rPr>
          <w:rFonts w:asciiTheme="minorHAnsi" w:hAnsiTheme="minorHAnsi" w:cstheme="minorHAnsi"/>
          <w:b/>
          <w:color w:val="000000" w:themeColor="text1"/>
        </w:rPr>
        <w:t>ekáváme, že v polovině roku 2015</w:t>
      </w:r>
      <w:r w:rsidR="00F7115E" w:rsidRPr="003B4059">
        <w:rPr>
          <w:rFonts w:asciiTheme="minorHAnsi" w:hAnsiTheme="minorHAnsi" w:cstheme="minorHAnsi"/>
          <w:b/>
          <w:color w:val="000000" w:themeColor="text1"/>
        </w:rPr>
        <w:t xml:space="preserve"> by se mohl počet registrovaných nezaměstnaných v Olomo</w:t>
      </w:r>
      <w:r w:rsidR="003B4059" w:rsidRPr="003B4059">
        <w:rPr>
          <w:rFonts w:asciiTheme="minorHAnsi" w:hAnsiTheme="minorHAnsi" w:cstheme="minorHAnsi"/>
          <w:b/>
          <w:color w:val="000000" w:themeColor="text1"/>
        </w:rPr>
        <w:t>uckém kraji pohybovat okolo hodnot roku 2012 (tj. 34,5</w:t>
      </w:r>
      <w:r w:rsidR="00F7115E" w:rsidRPr="003B4059">
        <w:rPr>
          <w:rFonts w:asciiTheme="minorHAnsi" w:hAnsiTheme="minorHAnsi" w:cstheme="minorHAnsi"/>
          <w:b/>
          <w:color w:val="000000" w:themeColor="text1"/>
        </w:rPr>
        <w:t xml:space="preserve"> tisíce osob</w:t>
      </w:r>
      <w:r w:rsidR="003B4059" w:rsidRPr="003B4059">
        <w:rPr>
          <w:rFonts w:asciiTheme="minorHAnsi" w:hAnsiTheme="minorHAnsi" w:cstheme="minorHAnsi"/>
          <w:b/>
          <w:color w:val="000000" w:themeColor="text1"/>
        </w:rPr>
        <w:t>)</w:t>
      </w:r>
      <w:r w:rsidR="00F7115E" w:rsidRPr="003B4059">
        <w:rPr>
          <w:rFonts w:asciiTheme="minorHAnsi" w:hAnsiTheme="minorHAnsi" w:cstheme="minorHAnsi"/>
          <w:b/>
          <w:color w:val="000000" w:themeColor="text1"/>
        </w:rPr>
        <w:t xml:space="preserve"> a podíl nezaměs</w:t>
      </w:r>
      <w:r w:rsidR="003B69FF" w:rsidRPr="003B4059">
        <w:rPr>
          <w:rFonts w:asciiTheme="minorHAnsi" w:hAnsiTheme="minorHAnsi" w:cstheme="minorHAnsi"/>
          <w:b/>
          <w:color w:val="000000" w:themeColor="text1"/>
        </w:rPr>
        <w:t xml:space="preserve">tnaných osob bude činit cca </w:t>
      </w:r>
      <w:r w:rsidR="002807EA" w:rsidRPr="003B4059">
        <w:rPr>
          <w:rFonts w:asciiTheme="minorHAnsi" w:hAnsiTheme="minorHAnsi" w:cstheme="minorHAnsi"/>
          <w:b/>
          <w:color w:val="000000" w:themeColor="text1"/>
        </w:rPr>
        <w:t xml:space="preserve"> </w:t>
      </w:r>
      <w:r w:rsidR="00F7115E" w:rsidRPr="003B4059">
        <w:rPr>
          <w:rFonts w:asciiTheme="minorHAnsi" w:hAnsiTheme="minorHAnsi" w:cstheme="minorHAnsi"/>
          <w:b/>
          <w:color w:val="000000" w:themeColor="text1"/>
        </w:rPr>
        <w:t>%</w:t>
      </w:r>
      <w:r w:rsidRPr="003B4059">
        <w:rPr>
          <w:rFonts w:asciiTheme="minorHAnsi" w:hAnsiTheme="minorHAnsi" w:cstheme="minorHAnsi"/>
          <w:b/>
          <w:color w:val="000000" w:themeColor="text1"/>
        </w:rPr>
        <w:t xml:space="preserve">. </w:t>
      </w:r>
      <w:r w:rsidR="003B69FF" w:rsidRPr="003B4059">
        <w:rPr>
          <w:rFonts w:asciiTheme="minorHAnsi" w:hAnsiTheme="minorHAnsi" w:cstheme="minorHAnsi"/>
          <w:b/>
          <w:color w:val="000000" w:themeColor="text1"/>
        </w:rPr>
        <w:t>Na konci roku předpokládáme průměr</w:t>
      </w:r>
      <w:r w:rsidR="002807EA" w:rsidRPr="003B4059">
        <w:rPr>
          <w:rFonts w:asciiTheme="minorHAnsi" w:hAnsiTheme="minorHAnsi" w:cstheme="minorHAnsi"/>
          <w:b/>
          <w:color w:val="000000" w:themeColor="text1"/>
        </w:rPr>
        <w:t xml:space="preserve">ný počet nezaměstnaných </w:t>
      </w:r>
      <w:r w:rsidR="003B4059" w:rsidRPr="003B4059">
        <w:rPr>
          <w:rFonts w:asciiTheme="minorHAnsi" w:hAnsiTheme="minorHAnsi" w:cstheme="minorHAnsi"/>
          <w:b/>
          <w:color w:val="000000" w:themeColor="text1"/>
        </w:rPr>
        <w:t>okolo 38</w:t>
      </w:r>
      <w:r w:rsidR="003B69FF" w:rsidRPr="003B4059">
        <w:rPr>
          <w:rFonts w:asciiTheme="minorHAnsi" w:hAnsiTheme="minorHAnsi" w:cstheme="minorHAnsi"/>
          <w:b/>
          <w:color w:val="000000" w:themeColor="text1"/>
        </w:rPr>
        <w:t xml:space="preserve"> tisíc a PNO cca </w:t>
      </w:r>
      <w:r w:rsidR="003B4059" w:rsidRPr="003B4059">
        <w:rPr>
          <w:rFonts w:asciiTheme="minorHAnsi" w:hAnsiTheme="minorHAnsi" w:cstheme="minorHAnsi"/>
          <w:b/>
          <w:color w:val="000000" w:themeColor="text1"/>
        </w:rPr>
        <w:t xml:space="preserve">8,8 </w:t>
      </w:r>
      <w:r w:rsidR="003B69FF" w:rsidRPr="003B4059">
        <w:rPr>
          <w:rFonts w:asciiTheme="minorHAnsi" w:hAnsiTheme="minorHAnsi" w:cstheme="minorHAnsi"/>
          <w:b/>
          <w:color w:val="000000" w:themeColor="text1"/>
        </w:rPr>
        <w:t>%.</w:t>
      </w:r>
    </w:p>
    <w:p w:rsidR="00605B90" w:rsidRPr="0077427D" w:rsidRDefault="00605B90" w:rsidP="00605B90">
      <w:pPr>
        <w:pStyle w:val="Zkladntext2"/>
        <w:rPr>
          <w:rFonts w:asciiTheme="minorHAnsi" w:hAnsiTheme="minorHAnsi" w:cstheme="minorHAnsi"/>
          <w:i/>
          <w:color w:val="FF0000"/>
          <w:szCs w:val="24"/>
        </w:rPr>
      </w:pPr>
    </w:p>
    <w:p w:rsidR="00605B90" w:rsidRPr="000864DC" w:rsidRDefault="00605B90" w:rsidP="00605B90">
      <w:pPr>
        <w:pStyle w:val="Zkladntext2"/>
        <w:rPr>
          <w:rFonts w:asciiTheme="minorHAnsi" w:hAnsiTheme="minorHAnsi" w:cstheme="minorHAnsi"/>
          <w:i/>
          <w:color w:val="000000" w:themeColor="text1"/>
          <w:szCs w:val="24"/>
        </w:rPr>
      </w:pPr>
      <w:r w:rsidRPr="000864DC">
        <w:rPr>
          <w:rFonts w:asciiTheme="minorHAnsi" w:hAnsiTheme="minorHAnsi" w:cstheme="minorHAnsi"/>
          <w:i/>
          <w:color w:val="000000" w:themeColor="text1"/>
          <w:szCs w:val="24"/>
        </w:rPr>
        <w:t>Poznámka:</w:t>
      </w:r>
    </w:p>
    <w:p w:rsidR="00F7115E" w:rsidRPr="000864DC" w:rsidRDefault="00E93D0A" w:rsidP="00E93D0A">
      <w:pPr>
        <w:pStyle w:val="Zkladntext2"/>
        <w:jc w:val="both"/>
        <w:rPr>
          <w:rFonts w:asciiTheme="minorHAnsi" w:hAnsiTheme="minorHAnsi" w:cstheme="minorHAnsi"/>
          <w:i/>
          <w:color w:val="000000" w:themeColor="text1"/>
          <w:szCs w:val="24"/>
        </w:rPr>
      </w:pPr>
      <w:r w:rsidRPr="000864DC">
        <w:rPr>
          <w:rFonts w:asciiTheme="minorHAnsi" w:hAnsiTheme="minorHAnsi" w:cstheme="minorHAnsi"/>
          <w:bCs/>
          <w:i/>
          <w:color w:val="000000" w:themeColor="text1"/>
          <w:szCs w:val="24"/>
        </w:rPr>
        <w:t xml:space="preserve">Podíl nezaměstnaných osob (PNO) - jedná se o </w:t>
      </w:r>
      <w:r w:rsidRPr="000864DC">
        <w:rPr>
          <w:rFonts w:asciiTheme="minorHAnsi" w:hAnsiTheme="minorHAnsi" w:cstheme="minorHAnsi"/>
          <w:i/>
          <w:color w:val="000000" w:themeColor="text1"/>
          <w:szCs w:val="24"/>
        </w:rPr>
        <w:t>nový ukazatel registrované nezaměstnanosti v ČR, který vyjadřuje podíl dosažitelných uchazečů o zaměstnání ve věku 15 – 64 let ze všech obyvatel ve stejném věku. Tento ukazatel od ledna 2013 nahradil doposud zveřejňovanou míru nezaměstnanosti, která poměřovala všechny dosažitelné uchazeče o zaměstnání pouze k ekonomicky aktivním osobám.</w:t>
      </w:r>
    </w:p>
    <w:p w:rsidR="00605B90" w:rsidRPr="000864DC" w:rsidRDefault="00605B90" w:rsidP="00E93D0A">
      <w:pPr>
        <w:pStyle w:val="Zkladntext3"/>
        <w:jc w:val="both"/>
        <w:rPr>
          <w:rFonts w:asciiTheme="minorHAnsi" w:hAnsiTheme="minorHAnsi" w:cstheme="minorHAnsi"/>
          <w:color w:val="000000" w:themeColor="text1"/>
          <w:szCs w:val="24"/>
        </w:rPr>
      </w:pPr>
      <w:r w:rsidRPr="000864DC">
        <w:rPr>
          <w:rFonts w:asciiTheme="minorHAnsi" w:hAnsiTheme="minorHAnsi" w:cstheme="minorHAnsi"/>
          <w:color w:val="000000" w:themeColor="text1"/>
          <w:szCs w:val="24"/>
        </w:rPr>
        <w:t>Předpok</w:t>
      </w:r>
      <w:r w:rsidR="00E93D0A" w:rsidRPr="000864DC">
        <w:rPr>
          <w:rFonts w:asciiTheme="minorHAnsi" w:hAnsiTheme="minorHAnsi" w:cstheme="minorHAnsi"/>
          <w:color w:val="000000" w:themeColor="text1"/>
          <w:szCs w:val="24"/>
        </w:rPr>
        <w:t>ládaný podíl nezaměstnaných osob v tabulce je počítán</w:t>
      </w:r>
      <w:r w:rsidRPr="000864DC">
        <w:rPr>
          <w:rFonts w:asciiTheme="minorHAnsi" w:hAnsiTheme="minorHAnsi" w:cstheme="minorHAnsi"/>
          <w:color w:val="000000" w:themeColor="text1"/>
          <w:szCs w:val="24"/>
        </w:rPr>
        <w:t xml:space="preserve"> jako podíl předpokládaného dosažitelného počtu uchazečů</w:t>
      </w:r>
      <w:r w:rsidR="00E93D0A" w:rsidRPr="000864DC">
        <w:rPr>
          <w:rFonts w:asciiTheme="minorHAnsi" w:hAnsiTheme="minorHAnsi" w:cstheme="minorHAnsi"/>
          <w:color w:val="000000" w:themeColor="text1"/>
          <w:szCs w:val="24"/>
        </w:rPr>
        <w:t xml:space="preserve"> (ve věku 15 – 64 let)</w:t>
      </w:r>
      <w:r w:rsidRPr="000864DC">
        <w:rPr>
          <w:rFonts w:asciiTheme="minorHAnsi" w:hAnsiTheme="minorHAnsi" w:cstheme="minorHAnsi"/>
          <w:color w:val="000000" w:themeColor="text1"/>
          <w:szCs w:val="24"/>
        </w:rPr>
        <w:t xml:space="preserve"> z pracovní síly platné v době </w:t>
      </w:r>
      <w:r w:rsidR="00E93D0A" w:rsidRPr="000864DC">
        <w:rPr>
          <w:rFonts w:asciiTheme="minorHAnsi" w:hAnsiTheme="minorHAnsi" w:cstheme="minorHAnsi"/>
          <w:color w:val="000000" w:themeColor="text1"/>
          <w:szCs w:val="24"/>
        </w:rPr>
        <w:t>výpočtu (tj. </w:t>
      </w:r>
      <w:r w:rsidR="000864DC" w:rsidRPr="000864DC">
        <w:rPr>
          <w:rFonts w:asciiTheme="minorHAnsi" w:hAnsiTheme="minorHAnsi" w:cstheme="minorHAnsi"/>
          <w:color w:val="000000" w:themeColor="text1"/>
          <w:szCs w:val="24"/>
        </w:rPr>
        <w:t>424 898</w:t>
      </w:r>
      <w:r w:rsidR="002807EA" w:rsidRPr="000864DC">
        <w:rPr>
          <w:rFonts w:asciiTheme="minorHAnsi" w:hAnsiTheme="minorHAnsi" w:cstheme="minorHAnsi"/>
          <w:color w:val="000000" w:themeColor="text1"/>
          <w:szCs w:val="24"/>
        </w:rPr>
        <w:t xml:space="preserve"> osob</w:t>
      </w:r>
      <w:r w:rsidRPr="000864DC">
        <w:rPr>
          <w:rFonts w:asciiTheme="minorHAnsi" w:hAnsiTheme="minorHAnsi" w:cstheme="minorHAnsi"/>
          <w:color w:val="000000" w:themeColor="text1"/>
          <w:szCs w:val="24"/>
        </w:rPr>
        <w:t>). Může se tedy stát, že i když budoucí skutečný počet uchazečů bude odpovída</w:t>
      </w:r>
      <w:r w:rsidR="00E93D0A" w:rsidRPr="000864DC">
        <w:rPr>
          <w:rFonts w:asciiTheme="minorHAnsi" w:hAnsiTheme="minorHAnsi" w:cstheme="minorHAnsi"/>
          <w:color w:val="000000" w:themeColor="text1"/>
          <w:szCs w:val="24"/>
        </w:rPr>
        <w:t>t prognóze, PNO</w:t>
      </w:r>
      <w:r w:rsidRPr="000864DC">
        <w:rPr>
          <w:rFonts w:asciiTheme="minorHAnsi" w:hAnsiTheme="minorHAnsi" w:cstheme="minorHAnsi"/>
          <w:color w:val="000000" w:themeColor="text1"/>
          <w:szCs w:val="24"/>
        </w:rPr>
        <w:t xml:space="preserve"> může mít odlišnou hodnotu  (danou změnou velikosti pracovní síly).</w:t>
      </w:r>
    </w:p>
    <w:p w:rsidR="00605B90" w:rsidRPr="0077427D" w:rsidRDefault="00605B90" w:rsidP="00E93D0A">
      <w:pPr>
        <w:pStyle w:val="Zkladntext3"/>
        <w:spacing w:line="360" w:lineRule="auto"/>
        <w:jc w:val="both"/>
        <w:rPr>
          <w:rFonts w:asciiTheme="minorHAnsi" w:hAnsiTheme="minorHAnsi" w:cstheme="minorHAnsi"/>
          <w:b/>
          <w:i w:val="0"/>
          <w:caps/>
          <w:color w:val="FF0000"/>
          <w:szCs w:val="24"/>
        </w:rPr>
      </w:pPr>
    </w:p>
    <w:p w:rsidR="00AE6900" w:rsidRPr="00EA12E4" w:rsidRDefault="00AE6900" w:rsidP="00AE6900">
      <w:pPr>
        <w:pStyle w:val="Zkladntext3"/>
        <w:spacing w:line="360" w:lineRule="auto"/>
        <w:jc w:val="both"/>
        <w:rPr>
          <w:rFonts w:asciiTheme="minorHAnsi" w:hAnsiTheme="minorHAnsi" w:cstheme="minorHAnsi"/>
          <w:b/>
          <w:i w:val="0"/>
          <w:caps/>
          <w:color w:val="FF0000"/>
          <w:sz w:val="28"/>
        </w:rPr>
      </w:pPr>
      <w:r w:rsidRPr="00EA12E4">
        <w:rPr>
          <w:rFonts w:asciiTheme="minorHAnsi" w:hAnsiTheme="minorHAnsi" w:cstheme="minorHAnsi"/>
          <w:b/>
          <w:i w:val="0"/>
          <w:caps/>
          <w:color w:val="FF0000"/>
          <w:sz w:val="28"/>
        </w:rPr>
        <w:lastRenderedPageBreak/>
        <w:t xml:space="preserve">6. Aktivní politika zaměstnanosti </w:t>
      </w:r>
    </w:p>
    <w:p w:rsidR="00AE6900" w:rsidRPr="00EA12E4" w:rsidRDefault="00AE6900" w:rsidP="00AE6900">
      <w:pPr>
        <w:jc w:val="both"/>
        <w:rPr>
          <w:rFonts w:asciiTheme="minorHAnsi" w:hAnsiTheme="minorHAnsi" w:cstheme="minorHAnsi"/>
          <w:b/>
          <w:color w:val="0000FF"/>
        </w:rPr>
      </w:pPr>
      <w:r w:rsidRPr="00EA12E4">
        <w:rPr>
          <w:rFonts w:asciiTheme="minorHAnsi" w:hAnsiTheme="minorHAnsi" w:cstheme="minorHAnsi"/>
          <w:b/>
          <w:color w:val="0000FF"/>
        </w:rPr>
        <w:t>6.1 Realizace jednotlivých nástrojů APZ v roce 2014</w:t>
      </w:r>
    </w:p>
    <w:p w:rsidR="00AE6900" w:rsidRPr="00EA12E4" w:rsidRDefault="00AE6900" w:rsidP="00AE6900">
      <w:pPr>
        <w:jc w:val="both"/>
        <w:rPr>
          <w:rFonts w:asciiTheme="minorHAnsi" w:hAnsiTheme="minorHAnsi" w:cstheme="minorHAnsi"/>
          <w:b/>
          <w:i/>
          <w:color w:val="0000FF"/>
          <w:sz w:val="16"/>
          <w:szCs w:val="16"/>
        </w:rPr>
      </w:pPr>
    </w:p>
    <w:p w:rsidR="00AE6900" w:rsidRPr="00EA12E4" w:rsidRDefault="00AE6900" w:rsidP="00AE6900">
      <w:pPr>
        <w:ind w:firstLine="708"/>
        <w:jc w:val="both"/>
        <w:rPr>
          <w:rFonts w:asciiTheme="minorHAnsi" w:hAnsiTheme="minorHAnsi" w:cstheme="minorHAnsi"/>
        </w:rPr>
      </w:pPr>
      <w:r w:rsidRPr="00EA12E4">
        <w:rPr>
          <w:rFonts w:asciiTheme="minorHAnsi" w:hAnsiTheme="minorHAnsi" w:cstheme="minorHAnsi"/>
        </w:rPr>
        <w:t>Pozornost Krajské pobočky ÚP v Olomouci byla pro rok 2014 zaměřena zejména na uchazeče o zaměstnání nejvíce znevýhodněné na trhu práce a na zvyšování jejich zaměstnatelnosti, na snižování dlouhodobé nezaměstnanosti a na snižování regionálních rozdílů v nezaměstnanosti.</w:t>
      </w:r>
    </w:p>
    <w:p w:rsidR="00AE6900" w:rsidRPr="00EA12E4" w:rsidRDefault="00AE6900" w:rsidP="00AE6900">
      <w:pPr>
        <w:pStyle w:val="Zkladntext"/>
        <w:spacing w:line="240" w:lineRule="auto"/>
        <w:ind w:firstLine="720"/>
        <w:jc w:val="both"/>
        <w:rPr>
          <w:rFonts w:asciiTheme="minorHAnsi" w:hAnsiTheme="minorHAnsi" w:cstheme="minorHAnsi"/>
          <w:b w:val="0"/>
          <w:sz w:val="24"/>
        </w:rPr>
      </w:pPr>
      <w:r w:rsidRPr="00EA12E4">
        <w:rPr>
          <w:rFonts w:asciiTheme="minorHAnsi" w:hAnsiTheme="minorHAnsi" w:cstheme="minorHAnsi"/>
          <w:b w:val="0"/>
          <w:sz w:val="24"/>
        </w:rPr>
        <w:t>Podle doporučení MPSV ČR – Správy služeb zaměstnanosti se ÚP také zaměřil na další zkvalitňování potenciálu pracovní síly a na obsazování pokud možno všech volných míst nahlášených zaměstnavateli (tyto priority se realizovaly z velké části pomocí rekvalifikací a nástrojů aktivní politiky zaměstnanosti).</w:t>
      </w:r>
    </w:p>
    <w:p w:rsidR="00AE6900" w:rsidRPr="00EA12E4" w:rsidRDefault="00AE6900" w:rsidP="00AE6900">
      <w:pPr>
        <w:pStyle w:val="Zkladntext"/>
        <w:spacing w:line="240" w:lineRule="auto"/>
        <w:ind w:firstLine="720"/>
        <w:jc w:val="both"/>
        <w:rPr>
          <w:rFonts w:asciiTheme="minorHAnsi" w:hAnsiTheme="minorHAnsi" w:cstheme="minorHAnsi"/>
          <w:sz w:val="24"/>
        </w:rPr>
      </w:pPr>
      <w:r w:rsidRPr="00EA12E4">
        <w:rPr>
          <w:rFonts w:asciiTheme="minorHAnsi" w:hAnsiTheme="minorHAnsi" w:cstheme="minorHAnsi"/>
          <w:sz w:val="24"/>
        </w:rPr>
        <w:t>Úřad práce zvažoval vhodnost použití jednotlivých nástrojů aktivní politiky zaměstnanosti, a to v závislosti na situaci na trhu práce v regionu, skladbu uchazečů o zaměstnání registrovaných v jeho evidenci tak, aby byly prostředky APZ vynakládány co nejefektivněji a nejúčelněji (za účelem minimalizace případů, kdy je podpořen uchazeč o zaměstnání, který by si pracovní uplatnění nalezl i bez použití nástrojů APZ).</w:t>
      </w:r>
    </w:p>
    <w:p w:rsidR="00AE6900" w:rsidRPr="00EA12E4" w:rsidRDefault="00AE6900" w:rsidP="00AE6900">
      <w:pPr>
        <w:jc w:val="both"/>
        <w:rPr>
          <w:rFonts w:asciiTheme="minorHAnsi" w:hAnsiTheme="minorHAnsi" w:cstheme="minorHAnsi"/>
        </w:rPr>
      </w:pPr>
      <w:r w:rsidRPr="00EA12E4">
        <w:rPr>
          <w:rFonts w:asciiTheme="minorHAnsi" w:hAnsiTheme="minorHAnsi" w:cstheme="minorHAnsi"/>
        </w:rPr>
        <w:t xml:space="preserve">          ÚP fakticky podporoval nástroji APZ dlouhodobě nezaměstnané (nejméně 5 měsíců evidence) nebo ty, kteří stáli delší dobu mimo trh práce (např. osoby po rodičovské dovolené, </w:t>
      </w:r>
      <w:r w:rsidRPr="00EA12E4">
        <w:rPr>
          <w:rFonts w:asciiTheme="minorHAnsi" w:hAnsiTheme="minorHAnsi" w:cstheme="minorHAnsi"/>
          <w:i/>
        </w:rPr>
        <w:t>uchazeče o zaměstnání, kteří jsou dlouhodobě nezaměstnaní, protože přerušili evidenci na ÚP, aniž se zaměstnali</w:t>
      </w:r>
      <w:r w:rsidRPr="00EA12E4">
        <w:rPr>
          <w:rFonts w:asciiTheme="minorHAnsi" w:hAnsiTheme="minorHAnsi" w:cstheme="minorHAnsi"/>
        </w:rPr>
        <w:t xml:space="preserve">), uchazeče ve věku nad 55 let, se zdravotním postižením, absolventy bez praxe, mladé do 25 let a UoZ ve věku do 30 let bez praxe nebo s praxí v souhrnné délce max. 2 roky po ukončení studia. Podporu si zasloužili zejména ti uchazeči, u kterých se na trhu práce kumulovalo více znevýhodnění (např. odlehlé místo bydliště se špatnou dopravní obslužností, nízká nebo málo uplatnitelná kvalifikace, zdravotní omezení). </w:t>
      </w:r>
      <w:r w:rsidRPr="00EA12E4">
        <w:rPr>
          <w:rFonts w:asciiTheme="minorHAnsi" w:hAnsiTheme="minorHAnsi" w:cstheme="minorHAnsi"/>
          <w:b/>
        </w:rPr>
        <w:t>Hlavním cílem bylo využívat a kombinovat nástroje APZ tak, aby pomohly uchazečům o zaměstnání s největšími handicapy na trhu práce.</w:t>
      </w:r>
    </w:p>
    <w:p w:rsidR="00AE6900" w:rsidRPr="00EA12E4" w:rsidRDefault="00AE6900" w:rsidP="003B4059">
      <w:pPr>
        <w:ind w:firstLine="709"/>
        <w:jc w:val="both"/>
        <w:rPr>
          <w:rFonts w:asciiTheme="minorHAnsi" w:hAnsiTheme="minorHAnsi" w:cstheme="minorHAnsi"/>
        </w:rPr>
      </w:pPr>
      <w:r w:rsidRPr="00EA12E4">
        <w:rPr>
          <w:rFonts w:asciiTheme="minorHAnsi" w:hAnsiTheme="minorHAnsi" w:cstheme="minorHAnsi"/>
        </w:rPr>
        <w:t>V roce 2014 úřad práce pokračoval v realizaci vybraných nástrojů APZ (vyhrazená společensky účelná pracovní místa, veřejně prospěšné práce, poradenské služby a rekvalifikace) prostřednictvím Evropského sociálního fondu. Z prostředků OP LZZ (operační program Lidské zdroje a zaměstnanost) se financovaly 4 NIPy (národní individuální projekty), které jsou vázány stejnou metodikou a pravidly jako nástroje APZ, a to NIP-VPP, NIP-SÚPM, NIP-Vzdělávejte se pro růst! – rekvalifikace a NIP - Vzdělávání a dovednosti pro trh práce. Na řešení nezaměstnanosti v roce 2014 se tedy podílely příspěvky nejen v rámci „klasické“ APZ, ale také finanční prostředky poskytované z Evropského sociálního fondu.</w:t>
      </w:r>
    </w:p>
    <w:p w:rsidR="00AE6900" w:rsidRPr="00EA12E4" w:rsidRDefault="00AE6900" w:rsidP="00AE6900">
      <w:pPr>
        <w:pStyle w:val="Zkladntext"/>
        <w:spacing w:line="240" w:lineRule="atLeast"/>
        <w:jc w:val="both"/>
        <w:rPr>
          <w:rFonts w:asciiTheme="minorHAnsi" w:hAnsiTheme="minorHAnsi" w:cstheme="minorHAnsi"/>
          <w:b w:val="0"/>
          <w:color w:val="FF0000"/>
          <w:sz w:val="24"/>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rPr>
      </w:pPr>
      <w:r w:rsidRPr="00EA12E4">
        <w:rPr>
          <w:rFonts w:asciiTheme="minorHAnsi" w:hAnsiTheme="minorHAnsi" w:cstheme="minorHAnsi"/>
          <w:b/>
        </w:rPr>
        <w:lastRenderedPageBreak/>
        <w:t>Tabulka 13</w:t>
      </w:r>
      <w:r w:rsidRPr="00EA12E4">
        <w:rPr>
          <w:rFonts w:asciiTheme="minorHAnsi" w:hAnsiTheme="minorHAnsi" w:cstheme="minorHAnsi"/>
        </w:rPr>
        <w:t xml:space="preserve"> – Přehled APZ od počátku roku do 31. 12. 2014</w:t>
      </w:r>
    </w:p>
    <w:p w:rsidR="00AE6900" w:rsidRPr="00EA12E4" w:rsidRDefault="00AE6900" w:rsidP="00AE6900">
      <w:pPr>
        <w:ind w:firstLine="720"/>
        <w:jc w:val="both"/>
        <w:rPr>
          <w:rFonts w:asciiTheme="minorHAnsi" w:hAnsiTheme="minorHAnsi" w:cstheme="minorHAnsi"/>
          <w:b/>
          <w:sz w:val="16"/>
          <w:szCs w:val="16"/>
        </w:rPr>
      </w:pPr>
    </w:p>
    <w:tbl>
      <w:tblPr>
        <w:tblW w:w="9229" w:type="dxa"/>
        <w:tblInd w:w="55" w:type="dxa"/>
        <w:tblCellMar>
          <w:left w:w="70" w:type="dxa"/>
          <w:right w:w="70" w:type="dxa"/>
        </w:tblCellMar>
        <w:tblLook w:val="04A0" w:firstRow="1" w:lastRow="0" w:firstColumn="1" w:lastColumn="0" w:noHBand="0" w:noVBand="1"/>
      </w:tblPr>
      <w:tblGrid>
        <w:gridCol w:w="3276"/>
        <w:gridCol w:w="992"/>
        <w:gridCol w:w="1276"/>
        <w:gridCol w:w="721"/>
        <w:gridCol w:w="1595"/>
        <w:gridCol w:w="1369"/>
      </w:tblGrid>
      <w:tr w:rsidR="00AE6900" w:rsidRPr="00EA12E4" w:rsidTr="00600C3A">
        <w:trPr>
          <w:cantSplit/>
          <w:trHeight w:val="2028"/>
        </w:trPr>
        <w:tc>
          <w:tcPr>
            <w:tcW w:w="3276" w:type="dxa"/>
            <w:tcBorders>
              <w:top w:val="double" w:sz="4" w:space="0" w:color="auto"/>
              <w:left w:val="double" w:sz="4" w:space="0" w:color="auto"/>
              <w:bottom w:val="double" w:sz="4" w:space="0" w:color="auto"/>
              <w:right w:val="single" w:sz="8" w:space="0" w:color="auto"/>
            </w:tcBorders>
            <w:shd w:val="clear" w:color="auto" w:fill="CCFFFF"/>
            <w:vAlign w:val="center"/>
            <w:hideMark/>
          </w:tcPr>
          <w:p w:rsidR="00AE6900" w:rsidRPr="00EA12E4" w:rsidRDefault="00AE6900" w:rsidP="00AE6900">
            <w:pPr>
              <w:jc w:val="center"/>
              <w:rPr>
                <w:rFonts w:asciiTheme="minorHAnsi" w:hAnsiTheme="minorHAnsi" w:cstheme="minorHAnsi"/>
                <w:b/>
                <w:color w:val="000000"/>
              </w:rPr>
            </w:pPr>
            <w:r w:rsidRPr="00EA12E4">
              <w:rPr>
                <w:rFonts w:asciiTheme="minorHAnsi" w:hAnsiTheme="minorHAnsi" w:cstheme="minorHAnsi"/>
                <w:b/>
                <w:color w:val="000000"/>
              </w:rPr>
              <w:t>nástroj APZ</w:t>
            </w:r>
          </w:p>
        </w:tc>
        <w:tc>
          <w:tcPr>
            <w:tcW w:w="992" w:type="dxa"/>
            <w:tcBorders>
              <w:top w:val="double" w:sz="4" w:space="0" w:color="auto"/>
              <w:left w:val="nil"/>
              <w:bottom w:val="double" w:sz="4" w:space="0" w:color="auto"/>
              <w:right w:val="single" w:sz="8" w:space="0" w:color="auto"/>
            </w:tcBorders>
            <w:shd w:val="clear" w:color="auto" w:fill="CCFFFF"/>
            <w:textDirection w:val="btLr"/>
            <w:vAlign w:val="center"/>
            <w:hideMark/>
          </w:tcPr>
          <w:p w:rsidR="00AE6900" w:rsidRPr="00EA12E4" w:rsidRDefault="00AE6900" w:rsidP="00AE6900">
            <w:pPr>
              <w:jc w:val="center"/>
              <w:rPr>
                <w:rFonts w:asciiTheme="minorHAnsi" w:hAnsiTheme="minorHAnsi" w:cstheme="minorHAnsi"/>
                <w:b/>
                <w:bCs/>
                <w:color w:val="000000"/>
              </w:rPr>
            </w:pPr>
            <w:r w:rsidRPr="00EA12E4">
              <w:rPr>
                <w:rFonts w:asciiTheme="minorHAnsi" w:hAnsiTheme="minorHAnsi" w:cstheme="minorHAnsi"/>
                <w:b/>
                <w:bCs/>
                <w:color w:val="000000"/>
              </w:rPr>
              <w:t>počet vytvořených míst</w:t>
            </w:r>
          </w:p>
        </w:tc>
        <w:tc>
          <w:tcPr>
            <w:tcW w:w="1276" w:type="dxa"/>
            <w:tcBorders>
              <w:top w:val="double" w:sz="4" w:space="0" w:color="auto"/>
              <w:left w:val="nil"/>
              <w:bottom w:val="double" w:sz="4" w:space="0" w:color="auto"/>
              <w:right w:val="single" w:sz="8" w:space="0" w:color="auto"/>
            </w:tcBorders>
            <w:shd w:val="clear" w:color="auto" w:fill="CCFFFF"/>
            <w:textDirection w:val="btLr"/>
            <w:vAlign w:val="center"/>
            <w:hideMark/>
          </w:tcPr>
          <w:p w:rsidR="00AE6900" w:rsidRPr="00EA12E4" w:rsidRDefault="00AE6900" w:rsidP="00AE6900">
            <w:pPr>
              <w:jc w:val="center"/>
              <w:rPr>
                <w:rFonts w:asciiTheme="minorHAnsi" w:hAnsiTheme="minorHAnsi" w:cstheme="minorHAnsi"/>
                <w:b/>
                <w:bCs/>
                <w:color w:val="000000"/>
              </w:rPr>
            </w:pPr>
            <w:r w:rsidRPr="00EA12E4">
              <w:rPr>
                <w:rFonts w:asciiTheme="minorHAnsi" w:hAnsiTheme="minorHAnsi" w:cstheme="minorHAnsi"/>
                <w:b/>
                <w:bCs/>
                <w:color w:val="000000"/>
              </w:rPr>
              <w:t xml:space="preserve">počet umístěných uchazečů </w:t>
            </w:r>
          </w:p>
          <w:p w:rsidR="00AE6900" w:rsidRPr="00EA12E4" w:rsidRDefault="00AE6900" w:rsidP="00AE6900">
            <w:pPr>
              <w:jc w:val="center"/>
              <w:rPr>
                <w:rFonts w:asciiTheme="minorHAnsi" w:hAnsiTheme="minorHAnsi" w:cstheme="minorHAnsi"/>
                <w:b/>
                <w:bCs/>
                <w:color w:val="000000"/>
              </w:rPr>
            </w:pPr>
            <w:r w:rsidRPr="00EA12E4">
              <w:rPr>
                <w:rFonts w:asciiTheme="minorHAnsi" w:hAnsiTheme="minorHAnsi" w:cstheme="minorHAnsi"/>
                <w:b/>
                <w:bCs/>
                <w:color w:val="000000"/>
              </w:rPr>
              <w:t>(příp. podpořených zaměstnanců)</w:t>
            </w:r>
          </w:p>
        </w:tc>
        <w:tc>
          <w:tcPr>
            <w:tcW w:w="721" w:type="dxa"/>
            <w:tcBorders>
              <w:top w:val="double" w:sz="4" w:space="0" w:color="auto"/>
              <w:left w:val="nil"/>
              <w:bottom w:val="double" w:sz="4" w:space="0" w:color="auto"/>
              <w:right w:val="single" w:sz="8" w:space="0" w:color="auto"/>
            </w:tcBorders>
            <w:shd w:val="clear" w:color="auto" w:fill="CCFFFF"/>
            <w:textDirection w:val="btLr"/>
            <w:vAlign w:val="center"/>
            <w:hideMark/>
          </w:tcPr>
          <w:p w:rsidR="00AE6900" w:rsidRPr="00EA12E4" w:rsidRDefault="00AE6900" w:rsidP="00AE6900">
            <w:pPr>
              <w:pStyle w:val="Odstavecseseznamem"/>
              <w:numPr>
                <w:ilvl w:val="0"/>
                <w:numId w:val="3"/>
              </w:numPr>
              <w:jc w:val="center"/>
              <w:rPr>
                <w:rFonts w:asciiTheme="minorHAnsi" w:hAnsiTheme="minorHAnsi" w:cstheme="minorHAnsi"/>
                <w:b/>
                <w:bCs/>
                <w:color w:val="000000"/>
              </w:rPr>
            </w:pPr>
            <w:r w:rsidRPr="00EA12E4">
              <w:rPr>
                <w:rFonts w:asciiTheme="minorHAnsi" w:hAnsiTheme="minorHAnsi" w:cstheme="minorHAnsi"/>
                <w:b/>
                <w:bCs/>
                <w:color w:val="000000"/>
              </w:rPr>
              <w:t>z toho OZP</w:t>
            </w:r>
          </w:p>
        </w:tc>
        <w:tc>
          <w:tcPr>
            <w:tcW w:w="1595" w:type="dxa"/>
            <w:tcBorders>
              <w:top w:val="double" w:sz="4" w:space="0" w:color="auto"/>
              <w:left w:val="nil"/>
              <w:bottom w:val="double" w:sz="4" w:space="0" w:color="auto"/>
              <w:right w:val="single" w:sz="8" w:space="0" w:color="auto"/>
            </w:tcBorders>
            <w:shd w:val="clear" w:color="auto" w:fill="CCFFFF"/>
            <w:textDirection w:val="btLr"/>
            <w:vAlign w:val="center"/>
            <w:hideMark/>
          </w:tcPr>
          <w:p w:rsidR="00AE6900" w:rsidRPr="00EA12E4" w:rsidRDefault="00AE6900" w:rsidP="00AE6900">
            <w:pPr>
              <w:jc w:val="center"/>
              <w:rPr>
                <w:rFonts w:asciiTheme="minorHAnsi" w:hAnsiTheme="minorHAnsi" w:cstheme="minorHAnsi"/>
                <w:b/>
                <w:bCs/>
                <w:color w:val="000000"/>
              </w:rPr>
            </w:pPr>
            <w:r w:rsidRPr="00EA12E4">
              <w:rPr>
                <w:rFonts w:asciiTheme="minorHAnsi" w:hAnsiTheme="minorHAnsi" w:cstheme="minorHAnsi"/>
                <w:b/>
                <w:bCs/>
                <w:color w:val="000000"/>
              </w:rPr>
              <w:t xml:space="preserve">schválený rozpočet </w:t>
            </w:r>
          </w:p>
          <w:p w:rsidR="00AE6900" w:rsidRPr="00EA12E4" w:rsidRDefault="00AE6900" w:rsidP="00AE6900">
            <w:pPr>
              <w:jc w:val="center"/>
              <w:rPr>
                <w:rFonts w:asciiTheme="minorHAnsi" w:hAnsiTheme="minorHAnsi" w:cstheme="minorHAnsi"/>
                <w:b/>
                <w:bCs/>
                <w:color w:val="000000"/>
              </w:rPr>
            </w:pPr>
            <w:r w:rsidRPr="00EA12E4">
              <w:rPr>
                <w:rFonts w:asciiTheme="minorHAnsi" w:hAnsiTheme="minorHAnsi" w:cstheme="minorHAnsi"/>
                <w:b/>
                <w:bCs/>
                <w:color w:val="000000"/>
              </w:rPr>
              <w:t>(v tis. Kč)</w:t>
            </w:r>
          </w:p>
        </w:tc>
        <w:tc>
          <w:tcPr>
            <w:tcW w:w="1369" w:type="dxa"/>
            <w:tcBorders>
              <w:top w:val="double" w:sz="4" w:space="0" w:color="auto"/>
              <w:left w:val="nil"/>
              <w:bottom w:val="double" w:sz="4" w:space="0" w:color="auto"/>
              <w:right w:val="double" w:sz="4" w:space="0" w:color="auto"/>
            </w:tcBorders>
            <w:shd w:val="clear" w:color="auto" w:fill="CCFFFF"/>
            <w:textDirection w:val="btLr"/>
            <w:vAlign w:val="center"/>
            <w:hideMark/>
          </w:tcPr>
          <w:p w:rsidR="00AE6900" w:rsidRPr="00EA12E4" w:rsidRDefault="00AE6900" w:rsidP="00AE6900">
            <w:pPr>
              <w:jc w:val="center"/>
              <w:rPr>
                <w:rFonts w:asciiTheme="minorHAnsi" w:hAnsiTheme="minorHAnsi" w:cstheme="minorHAnsi"/>
                <w:b/>
                <w:bCs/>
                <w:color w:val="000000"/>
              </w:rPr>
            </w:pPr>
            <w:r w:rsidRPr="00EA12E4">
              <w:rPr>
                <w:rFonts w:asciiTheme="minorHAnsi" w:hAnsiTheme="minorHAnsi" w:cstheme="minorHAnsi"/>
                <w:b/>
                <w:bCs/>
                <w:color w:val="000000"/>
              </w:rPr>
              <w:t>čerpání v %</w:t>
            </w:r>
          </w:p>
        </w:tc>
      </w:tr>
      <w:tr w:rsidR="00AE6900" w:rsidRPr="00EA12E4" w:rsidTr="00600C3A">
        <w:trPr>
          <w:trHeight w:val="360"/>
        </w:trPr>
        <w:tc>
          <w:tcPr>
            <w:tcW w:w="9229" w:type="dxa"/>
            <w:gridSpan w:val="6"/>
            <w:tcBorders>
              <w:top w:val="double" w:sz="4" w:space="0" w:color="auto"/>
              <w:left w:val="double" w:sz="4" w:space="0" w:color="auto"/>
              <w:bottom w:val="double" w:sz="4" w:space="0" w:color="auto"/>
              <w:right w:val="double" w:sz="4" w:space="0" w:color="auto"/>
            </w:tcBorders>
            <w:shd w:val="clear" w:color="000000" w:fill="BFBFBF"/>
            <w:vAlign w:val="center"/>
            <w:hideMark/>
          </w:tcPr>
          <w:p w:rsidR="00AE6900" w:rsidRPr="00EA12E4" w:rsidRDefault="00AE6900" w:rsidP="00AE6900">
            <w:pPr>
              <w:jc w:val="center"/>
              <w:rPr>
                <w:rFonts w:asciiTheme="minorHAnsi" w:hAnsiTheme="minorHAnsi" w:cstheme="minorHAnsi"/>
                <w:b/>
                <w:bCs/>
                <w:color w:val="000000"/>
                <w:sz w:val="22"/>
                <w:szCs w:val="22"/>
              </w:rPr>
            </w:pPr>
            <w:r w:rsidRPr="00EA12E4">
              <w:rPr>
                <w:rFonts w:asciiTheme="minorHAnsi" w:hAnsiTheme="minorHAnsi" w:cstheme="minorHAnsi"/>
                <w:b/>
                <w:bCs/>
                <w:color w:val="000000"/>
                <w:sz w:val="22"/>
                <w:szCs w:val="22"/>
              </w:rPr>
              <w:t>národní APZ</w:t>
            </w:r>
          </w:p>
        </w:tc>
      </w:tr>
      <w:tr w:rsidR="00AE6900" w:rsidRPr="00EA12E4" w:rsidTr="00600C3A">
        <w:trPr>
          <w:trHeight w:val="360"/>
        </w:trPr>
        <w:tc>
          <w:tcPr>
            <w:tcW w:w="3276" w:type="dxa"/>
            <w:tcBorders>
              <w:top w:val="double" w:sz="4"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VPP</w:t>
            </w:r>
          </w:p>
        </w:tc>
        <w:tc>
          <w:tcPr>
            <w:tcW w:w="992" w:type="dxa"/>
            <w:tcBorders>
              <w:top w:val="double" w:sz="4" w:space="0" w:color="auto"/>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247</w:t>
            </w:r>
          </w:p>
        </w:tc>
        <w:tc>
          <w:tcPr>
            <w:tcW w:w="1276" w:type="dxa"/>
            <w:tcBorders>
              <w:top w:val="double" w:sz="4" w:space="0" w:color="auto"/>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275</w:t>
            </w:r>
          </w:p>
        </w:tc>
        <w:tc>
          <w:tcPr>
            <w:tcW w:w="721" w:type="dxa"/>
            <w:tcBorders>
              <w:top w:val="double" w:sz="4" w:space="0" w:color="auto"/>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17</w:t>
            </w:r>
          </w:p>
        </w:tc>
        <w:tc>
          <w:tcPr>
            <w:tcW w:w="1595" w:type="dxa"/>
            <w:tcBorders>
              <w:top w:val="double" w:sz="4" w:space="0" w:color="auto"/>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50 000</w:t>
            </w:r>
          </w:p>
        </w:tc>
        <w:tc>
          <w:tcPr>
            <w:tcW w:w="1369" w:type="dxa"/>
            <w:tcBorders>
              <w:top w:val="double" w:sz="4" w:space="0" w:color="auto"/>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40 %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Aktivizační pracovní příležitost</w:t>
            </w:r>
          </w:p>
        </w:tc>
        <w:tc>
          <w:tcPr>
            <w:tcW w:w="992"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259</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247</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13</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2 000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67%</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SÚPM zřízená zaměstnavatelem</w:t>
            </w:r>
          </w:p>
        </w:tc>
        <w:tc>
          <w:tcPr>
            <w:tcW w:w="992"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24</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24</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12</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2 000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72 %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SÚPM vyhrazená zaměstnav.</w:t>
            </w:r>
          </w:p>
        </w:tc>
        <w:tc>
          <w:tcPr>
            <w:tcW w:w="992"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604</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615</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color w:val="FF0000"/>
              </w:rPr>
            </w:pPr>
            <w:r w:rsidRPr="00EA12E4">
              <w:rPr>
                <w:rFonts w:asciiTheme="minorHAnsi" w:hAnsiTheme="minorHAnsi" w:cstheme="minorHAnsi"/>
                <w:b/>
                <w:bCs/>
              </w:rPr>
              <w:t>23</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80 000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99 %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SÚPM - SVČ zřízená UoZ</w:t>
            </w:r>
          </w:p>
        </w:tc>
        <w:tc>
          <w:tcPr>
            <w:tcW w:w="992"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188</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color w:val="FF0000"/>
              </w:rPr>
            </w:pPr>
            <w:r w:rsidRPr="00EA12E4">
              <w:rPr>
                <w:rFonts w:asciiTheme="minorHAnsi" w:hAnsiTheme="minorHAnsi" w:cstheme="minorHAnsi"/>
                <w:b/>
              </w:rPr>
              <w:t>1</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11 300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90 %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CHPM zřízená zaměstnavatel.</w:t>
            </w:r>
          </w:p>
        </w:tc>
        <w:tc>
          <w:tcPr>
            <w:tcW w:w="992"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32</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36</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color w:val="FF0000"/>
              </w:rPr>
            </w:pPr>
            <w:r w:rsidRPr="00EA12E4">
              <w:rPr>
                <w:rFonts w:asciiTheme="minorHAnsi" w:hAnsiTheme="minorHAnsi" w:cstheme="minorHAnsi"/>
                <w:b/>
              </w:rPr>
              <w:t>36</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2 000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837DE1" w:rsidP="00837DE1">
            <w:pPr>
              <w:jc w:val="center"/>
              <w:rPr>
                <w:rFonts w:asciiTheme="minorHAnsi" w:hAnsiTheme="minorHAnsi" w:cstheme="minorHAnsi"/>
                <w:b/>
              </w:rPr>
            </w:pPr>
            <w:r>
              <w:rPr>
                <w:rFonts w:asciiTheme="minorHAnsi" w:hAnsiTheme="minorHAnsi" w:cstheme="minorHAnsi"/>
                <w:b/>
              </w:rPr>
              <w:t>91</w:t>
            </w:r>
            <w:r w:rsidR="00AE6900" w:rsidRPr="00EA12E4">
              <w:rPr>
                <w:rFonts w:asciiTheme="minorHAnsi" w:hAnsiTheme="minorHAnsi" w:cstheme="minorHAnsi"/>
                <w:b/>
              </w:rPr>
              <w:t xml:space="preserve">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CHPM - SVČ osob se ZP</w:t>
            </w:r>
          </w:p>
        </w:tc>
        <w:tc>
          <w:tcPr>
            <w:tcW w:w="992"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CHPM, CHPM SVČ – provoz</w:t>
            </w:r>
          </w:p>
        </w:tc>
        <w:tc>
          <w:tcPr>
            <w:tcW w:w="992"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46</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46</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2 000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88 %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příspěvek na zapracování</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překlenovací příspěvek</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276"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721"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rekvalifikace (bez zvolených)</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53</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595" w:type="dxa"/>
            <w:vMerge w:val="restart"/>
            <w:tcBorders>
              <w:top w:val="nil"/>
              <w:left w:val="nil"/>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8 000</w:t>
            </w:r>
          </w:p>
        </w:tc>
        <w:tc>
          <w:tcPr>
            <w:tcW w:w="1369" w:type="dxa"/>
            <w:vMerge w:val="restart"/>
            <w:tcBorders>
              <w:top w:val="nil"/>
              <w:left w:val="nil"/>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25 %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zvolené rekvalifikace</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88</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w:t>
            </w:r>
          </w:p>
        </w:tc>
        <w:tc>
          <w:tcPr>
            <w:tcW w:w="1595" w:type="dxa"/>
            <w:vMerge/>
            <w:tcBorders>
              <w:left w:val="nil"/>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p>
        </w:tc>
        <w:tc>
          <w:tcPr>
            <w:tcW w:w="1369" w:type="dxa"/>
            <w:vMerge/>
            <w:tcBorders>
              <w:left w:val="nil"/>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poradenské činnosti</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rPr>
            </w:pPr>
            <w:r w:rsidRPr="00EA12E4">
              <w:rPr>
                <w:rFonts w:asciiTheme="minorHAnsi" w:hAnsiTheme="minorHAnsi" w:cstheme="minorHAnsi"/>
              </w:rPr>
              <w:t>-</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w:t>
            </w:r>
          </w:p>
        </w:tc>
        <w:tc>
          <w:tcPr>
            <w:tcW w:w="1595" w:type="dxa"/>
            <w:vMerge/>
            <w:tcBorders>
              <w:left w:val="nil"/>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p>
        </w:tc>
        <w:tc>
          <w:tcPr>
            <w:tcW w:w="1369" w:type="dxa"/>
            <w:vMerge/>
            <w:tcBorders>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pracovní rehabilitace</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rPr>
            </w:pPr>
            <w:r w:rsidRPr="00EA12E4">
              <w:rPr>
                <w:rFonts w:asciiTheme="minorHAnsi" w:hAnsiTheme="minorHAnsi" w:cstheme="minorHAnsi"/>
              </w:rPr>
              <w:t>-</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3</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3</w:t>
            </w:r>
          </w:p>
        </w:tc>
        <w:tc>
          <w:tcPr>
            <w:tcW w:w="1595" w:type="dxa"/>
            <w:vMerge/>
            <w:tcBorders>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0,2 %</w:t>
            </w:r>
          </w:p>
        </w:tc>
      </w:tr>
      <w:tr w:rsidR="00AE6900" w:rsidRPr="00EA12E4" w:rsidTr="00600C3A">
        <w:trPr>
          <w:trHeight w:val="360"/>
        </w:trPr>
        <w:tc>
          <w:tcPr>
            <w:tcW w:w="3276" w:type="dxa"/>
            <w:tcBorders>
              <w:top w:val="nil"/>
              <w:left w:val="double" w:sz="4" w:space="0" w:color="auto"/>
              <w:bottom w:val="double" w:sz="4" w:space="0" w:color="auto"/>
              <w:right w:val="single" w:sz="8" w:space="0" w:color="auto"/>
            </w:tcBorders>
            <w:shd w:val="clear" w:color="000000" w:fill="FFC000"/>
            <w:vAlign w:val="center"/>
            <w:hideMark/>
          </w:tcPr>
          <w:p w:rsidR="00AE6900" w:rsidRPr="00EA12E4" w:rsidRDefault="00AE6900" w:rsidP="00AE6900">
            <w:pPr>
              <w:jc w:val="both"/>
              <w:rPr>
                <w:rFonts w:asciiTheme="minorHAnsi" w:hAnsiTheme="minorHAnsi" w:cstheme="minorHAnsi"/>
                <w:b/>
                <w:bCs/>
                <w:i/>
                <w:iCs/>
                <w:color w:val="000000"/>
                <w:sz w:val="22"/>
                <w:szCs w:val="22"/>
              </w:rPr>
            </w:pPr>
            <w:r w:rsidRPr="00EA12E4">
              <w:rPr>
                <w:rFonts w:asciiTheme="minorHAnsi" w:hAnsiTheme="minorHAnsi" w:cstheme="minorHAnsi"/>
                <w:b/>
                <w:bCs/>
                <w:i/>
                <w:iCs/>
                <w:color w:val="000000"/>
                <w:sz w:val="22"/>
                <w:szCs w:val="22"/>
              </w:rPr>
              <w:t>celkem národní APZ</w:t>
            </w:r>
          </w:p>
        </w:tc>
        <w:tc>
          <w:tcPr>
            <w:tcW w:w="992" w:type="dxa"/>
            <w:tcBorders>
              <w:top w:val="nil"/>
              <w:left w:val="nil"/>
              <w:bottom w:val="double" w:sz="4" w:space="0" w:color="auto"/>
              <w:right w:val="single" w:sz="8" w:space="0" w:color="auto"/>
            </w:tcBorders>
            <w:shd w:val="clear" w:color="000000" w:fill="FFC000"/>
            <w:noWrap/>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1 166</w:t>
            </w:r>
          </w:p>
        </w:tc>
        <w:tc>
          <w:tcPr>
            <w:tcW w:w="1276" w:type="dxa"/>
            <w:tcBorders>
              <w:top w:val="nil"/>
              <w:left w:val="nil"/>
              <w:bottom w:val="double" w:sz="4" w:space="0" w:color="auto"/>
              <w:right w:val="single" w:sz="8" w:space="0" w:color="auto"/>
            </w:tcBorders>
            <w:shd w:val="clear" w:color="000000" w:fill="FFC000"/>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1 575</w:t>
            </w:r>
          </w:p>
        </w:tc>
        <w:tc>
          <w:tcPr>
            <w:tcW w:w="721" w:type="dxa"/>
            <w:tcBorders>
              <w:top w:val="nil"/>
              <w:left w:val="nil"/>
              <w:bottom w:val="double" w:sz="4" w:space="0" w:color="auto"/>
              <w:right w:val="single" w:sz="8" w:space="0" w:color="auto"/>
            </w:tcBorders>
            <w:shd w:val="clear" w:color="000000" w:fill="FFC000"/>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151</w:t>
            </w:r>
          </w:p>
        </w:tc>
        <w:tc>
          <w:tcPr>
            <w:tcW w:w="1595" w:type="dxa"/>
            <w:tcBorders>
              <w:top w:val="nil"/>
              <w:left w:val="nil"/>
              <w:bottom w:val="double" w:sz="4" w:space="0" w:color="auto"/>
              <w:right w:val="single" w:sz="8" w:space="0" w:color="auto"/>
            </w:tcBorders>
            <w:shd w:val="clear" w:color="000000" w:fill="FFC000"/>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157 300</w:t>
            </w:r>
          </w:p>
        </w:tc>
        <w:tc>
          <w:tcPr>
            <w:tcW w:w="1369" w:type="dxa"/>
            <w:tcBorders>
              <w:top w:val="nil"/>
              <w:left w:val="nil"/>
              <w:bottom w:val="double" w:sz="4" w:space="0" w:color="auto"/>
              <w:right w:val="double" w:sz="4" w:space="0" w:color="auto"/>
            </w:tcBorders>
            <w:shd w:val="clear" w:color="000000" w:fill="FFC000"/>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64 %</w:t>
            </w:r>
          </w:p>
        </w:tc>
      </w:tr>
      <w:tr w:rsidR="00AE6900" w:rsidRPr="00EA12E4" w:rsidTr="00600C3A">
        <w:trPr>
          <w:trHeight w:val="360"/>
        </w:trPr>
        <w:tc>
          <w:tcPr>
            <w:tcW w:w="9229" w:type="dxa"/>
            <w:gridSpan w:val="6"/>
            <w:tcBorders>
              <w:top w:val="double" w:sz="4" w:space="0" w:color="auto"/>
              <w:left w:val="double" w:sz="4" w:space="0" w:color="auto"/>
              <w:bottom w:val="double" w:sz="4" w:space="0" w:color="auto"/>
              <w:right w:val="double" w:sz="4" w:space="0" w:color="auto"/>
            </w:tcBorders>
            <w:shd w:val="clear" w:color="000000" w:fill="BFBFBF"/>
            <w:vAlign w:val="center"/>
            <w:hideMark/>
          </w:tcPr>
          <w:p w:rsidR="00AE6900" w:rsidRPr="00EA12E4" w:rsidRDefault="00AE6900" w:rsidP="00AE6900">
            <w:pPr>
              <w:jc w:val="center"/>
              <w:rPr>
                <w:rFonts w:asciiTheme="minorHAnsi" w:hAnsiTheme="minorHAnsi" w:cstheme="minorHAnsi"/>
                <w:b/>
                <w:bCs/>
                <w:color w:val="000000"/>
                <w:sz w:val="22"/>
                <w:szCs w:val="22"/>
              </w:rPr>
            </w:pPr>
            <w:r w:rsidRPr="00EA12E4">
              <w:rPr>
                <w:rFonts w:asciiTheme="minorHAnsi" w:hAnsiTheme="minorHAnsi" w:cstheme="minorHAnsi"/>
                <w:b/>
                <w:bCs/>
                <w:color w:val="000000"/>
                <w:sz w:val="22"/>
                <w:szCs w:val="22"/>
              </w:rPr>
              <w:t>ESF - OP LZZ</w:t>
            </w:r>
          </w:p>
        </w:tc>
      </w:tr>
      <w:tr w:rsidR="00AE6900" w:rsidRPr="00EA12E4" w:rsidTr="00600C3A">
        <w:trPr>
          <w:trHeight w:val="360"/>
        </w:trPr>
        <w:tc>
          <w:tcPr>
            <w:tcW w:w="3276" w:type="dxa"/>
            <w:tcBorders>
              <w:top w:val="double" w:sz="4"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VPP NIP</w:t>
            </w:r>
          </w:p>
        </w:tc>
        <w:tc>
          <w:tcPr>
            <w:tcW w:w="992" w:type="dxa"/>
            <w:tcBorders>
              <w:top w:val="double" w:sz="4" w:space="0" w:color="auto"/>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1 663</w:t>
            </w:r>
          </w:p>
        </w:tc>
        <w:tc>
          <w:tcPr>
            <w:tcW w:w="1276" w:type="dxa"/>
            <w:tcBorders>
              <w:top w:val="double" w:sz="4" w:space="0" w:color="auto"/>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1 739</w:t>
            </w:r>
          </w:p>
        </w:tc>
        <w:tc>
          <w:tcPr>
            <w:tcW w:w="721" w:type="dxa"/>
            <w:tcBorders>
              <w:top w:val="double" w:sz="4" w:space="0" w:color="auto"/>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93</w:t>
            </w:r>
          </w:p>
        </w:tc>
        <w:tc>
          <w:tcPr>
            <w:tcW w:w="1595" w:type="dxa"/>
            <w:tcBorders>
              <w:top w:val="double" w:sz="4" w:space="0" w:color="auto"/>
              <w:left w:val="nil"/>
              <w:bottom w:val="single" w:sz="8" w:space="0" w:color="auto"/>
              <w:right w:val="single" w:sz="8" w:space="0" w:color="auto"/>
            </w:tcBorders>
            <w:shd w:val="clear" w:color="auto" w:fill="auto"/>
            <w:vAlign w:val="center"/>
          </w:tcPr>
          <w:p w:rsidR="00AE6900" w:rsidRPr="00EA12E4" w:rsidRDefault="00AE6900" w:rsidP="00AE6900">
            <w:pPr>
              <w:ind w:firstLineChars="200" w:firstLine="482"/>
              <w:rPr>
                <w:rFonts w:asciiTheme="minorHAnsi" w:hAnsiTheme="minorHAnsi" w:cstheme="minorHAnsi"/>
                <w:b/>
              </w:rPr>
            </w:pPr>
            <w:r w:rsidRPr="00EA12E4">
              <w:rPr>
                <w:rFonts w:asciiTheme="minorHAnsi" w:hAnsiTheme="minorHAnsi" w:cstheme="minorHAnsi"/>
                <w:b/>
              </w:rPr>
              <w:t>133 000</w:t>
            </w:r>
          </w:p>
        </w:tc>
        <w:tc>
          <w:tcPr>
            <w:tcW w:w="1369" w:type="dxa"/>
            <w:tcBorders>
              <w:top w:val="double" w:sz="4" w:space="0" w:color="auto"/>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99 %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SÚPM NIP vyhrazená</w:t>
            </w:r>
          </w:p>
        </w:tc>
        <w:tc>
          <w:tcPr>
            <w:tcW w:w="992" w:type="dxa"/>
            <w:tcBorders>
              <w:top w:val="nil"/>
              <w:left w:val="nil"/>
              <w:bottom w:val="single" w:sz="8" w:space="0" w:color="auto"/>
              <w:right w:val="single" w:sz="8" w:space="0" w:color="auto"/>
            </w:tcBorders>
            <w:shd w:val="clear" w:color="000000" w:fill="FFFFFF"/>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3 108</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2 999</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74</w:t>
            </w:r>
          </w:p>
        </w:tc>
        <w:tc>
          <w:tcPr>
            <w:tcW w:w="1595"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ind w:firstLineChars="200" w:firstLine="482"/>
              <w:rPr>
                <w:rFonts w:asciiTheme="minorHAnsi" w:hAnsiTheme="minorHAnsi" w:cstheme="minorHAnsi"/>
                <w:b/>
                <w:bCs/>
              </w:rPr>
            </w:pPr>
            <w:r w:rsidRPr="00EA12E4">
              <w:rPr>
                <w:rFonts w:asciiTheme="minorHAnsi" w:hAnsiTheme="minorHAnsi" w:cstheme="minorHAnsi"/>
                <w:b/>
                <w:bCs/>
              </w:rPr>
              <w:t>189 400</w:t>
            </w:r>
          </w:p>
        </w:tc>
        <w:tc>
          <w:tcPr>
            <w:tcW w:w="1369" w:type="dxa"/>
            <w:tcBorders>
              <w:top w:val="nil"/>
              <w:left w:val="nil"/>
              <w:bottom w:val="single" w:sz="8" w:space="0" w:color="auto"/>
              <w:right w:val="double" w:sz="4"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95 %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rekvalifikace NIP (bez zvol.)</w:t>
            </w:r>
          </w:p>
        </w:tc>
        <w:tc>
          <w:tcPr>
            <w:tcW w:w="992"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w:t>
            </w:r>
          </w:p>
        </w:tc>
        <w:tc>
          <w:tcPr>
            <w:tcW w:w="1276"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1 054</w:t>
            </w:r>
          </w:p>
        </w:tc>
        <w:tc>
          <w:tcPr>
            <w:tcW w:w="721" w:type="dxa"/>
            <w:tcBorders>
              <w:top w:val="nil"/>
              <w:left w:val="nil"/>
              <w:bottom w:val="single" w:sz="8" w:space="0" w:color="auto"/>
              <w:right w:val="single" w:sz="8" w:space="0" w:color="auto"/>
            </w:tcBorders>
            <w:shd w:val="clear" w:color="auto" w:fill="auto"/>
            <w:vAlign w:val="center"/>
          </w:tcPr>
          <w:p w:rsidR="00AE6900" w:rsidRPr="00EA12E4" w:rsidRDefault="00AE6900" w:rsidP="00AE6900">
            <w:pPr>
              <w:jc w:val="center"/>
              <w:rPr>
                <w:rFonts w:asciiTheme="minorHAnsi" w:hAnsiTheme="minorHAnsi" w:cstheme="minorHAnsi"/>
                <w:b/>
                <w:bCs/>
              </w:rPr>
            </w:pPr>
            <w:r w:rsidRPr="00EA12E4">
              <w:rPr>
                <w:rFonts w:asciiTheme="minorHAnsi" w:hAnsiTheme="minorHAnsi" w:cstheme="minorHAnsi"/>
                <w:b/>
                <w:bCs/>
              </w:rPr>
              <w:t>3</w:t>
            </w:r>
          </w:p>
        </w:tc>
        <w:tc>
          <w:tcPr>
            <w:tcW w:w="1595" w:type="dxa"/>
            <w:vMerge w:val="restart"/>
            <w:tcBorders>
              <w:top w:val="nil"/>
              <w:left w:val="nil"/>
              <w:right w:val="single" w:sz="8" w:space="0" w:color="auto"/>
            </w:tcBorders>
            <w:shd w:val="clear" w:color="auto" w:fill="auto"/>
            <w:vAlign w:val="center"/>
          </w:tcPr>
          <w:p w:rsidR="00AE6900" w:rsidRPr="00EA12E4" w:rsidRDefault="00AE6900" w:rsidP="00AE6900">
            <w:pPr>
              <w:rPr>
                <w:rFonts w:asciiTheme="minorHAnsi" w:hAnsiTheme="minorHAnsi" w:cstheme="minorHAnsi"/>
                <w:b/>
                <w:bCs/>
                <w:sz w:val="20"/>
                <w:szCs w:val="20"/>
              </w:rPr>
            </w:pPr>
            <w:r w:rsidRPr="00EA12E4">
              <w:rPr>
                <w:rFonts w:asciiTheme="minorHAnsi" w:hAnsiTheme="minorHAnsi" w:cstheme="minorHAnsi"/>
                <w:b/>
                <w:bCs/>
                <w:sz w:val="20"/>
                <w:szCs w:val="20"/>
              </w:rPr>
              <w:t>VSPR! – R: 2 500</w:t>
            </w:r>
          </w:p>
          <w:p w:rsidR="00AE6900" w:rsidRPr="00EA12E4" w:rsidRDefault="00AE6900" w:rsidP="00AE6900">
            <w:pPr>
              <w:rPr>
                <w:rFonts w:asciiTheme="minorHAnsi" w:hAnsiTheme="minorHAnsi" w:cstheme="minorHAnsi"/>
                <w:b/>
                <w:bCs/>
                <w:sz w:val="18"/>
                <w:szCs w:val="18"/>
              </w:rPr>
            </w:pPr>
            <w:r w:rsidRPr="00EA12E4">
              <w:rPr>
                <w:rFonts w:asciiTheme="minorHAnsi" w:hAnsiTheme="minorHAnsi" w:cstheme="minorHAnsi"/>
                <w:b/>
                <w:bCs/>
                <w:sz w:val="20"/>
                <w:szCs w:val="20"/>
              </w:rPr>
              <w:t>VDTP: 20 226</w:t>
            </w:r>
          </w:p>
        </w:tc>
        <w:tc>
          <w:tcPr>
            <w:tcW w:w="1369" w:type="dxa"/>
            <w:vMerge w:val="restart"/>
            <w:tcBorders>
              <w:top w:val="nil"/>
              <w:left w:val="nil"/>
              <w:right w:val="double" w:sz="4" w:space="0" w:color="auto"/>
            </w:tcBorders>
            <w:shd w:val="clear" w:color="auto" w:fill="auto"/>
            <w:vAlign w:val="center"/>
          </w:tcPr>
          <w:p w:rsidR="00AE6900" w:rsidRPr="00EA12E4" w:rsidRDefault="00AE6900" w:rsidP="00AE6900">
            <w:pPr>
              <w:rPr>
                <w:rFonts w:asciiTheme="minorHAnsi" w:hAnsiTheme="minorHAnsi" w:cstheme="minorHAnsi"/>
                <w:b/>
                <w:bCs/>
                <w:sz w:val="20"/>
                <w:szCs w:val="20"/>
              </w:rPr>
            </w:pPr>
            <w:r w:rsidRPr="00EA12E4">
              <w:rPr>
                <w:rFonts w:asciiTheme="minorHAnsi" w:hAnsiTheme="minorHAnsi" w:cstheme="minorHAnsi"/>
                <w:b/>
                <w:bCs/>
                <w:sz w:val="20"/>
                <w:szCs w:val="20"/>
              </w:rPr>
              <w:t>VSPR! - R: 49%</w:t>
            </w:r>
          </w:p>
          <w:p w:rsidR="00AE6900" w:rsidRPr="00EA12E4" w:rsidRDefault="00AE6900" w:rsidP="00AE6900">
            <w:pPr>
              <w:rPr>
                <w:rFonts w:asciiTheme="minorHAnsi" w:hAnsiTheme="minorHAnsi" w:cstheme="minorHAnsi"/>
                <w:b/>
                <w:bCs/>
                <w:sz w:val="18"/>
                <w:szCs w:val="18"/>
              </w:rPr>
            </w:pPr>
            <w:r w:rsidRPr="00EA12E4">
              <w:rPr>
                <w:rFonts w:asciiTheme="minorHAnsi" w:hAnsiTheme="minorHAnsi" w:cstheme="minorHAnsi"/>
                <w:b/>
                <w:bCs/>
                <w:sz w:val="20"/>
                <w:szCs w:val="20"/>
              </w:rPr>
              <w:t>VDTP: 58 %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zvolené rekvalifikace NIP</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276"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483</w:t>
            </w:r>
          </w:p>
        </w:tc>
        <w:tc>
          <w:tcPr>
            <w:tcW w:w="721"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w:t>
            </w:r>
          </w:p>
        </w:tc>
        <w:tc>
          <w:tcPr>
            <w:tcW w:w="1595" w:type="dxa"/>
            <w:vMerge/>
            <w:tcBorders>
              <w:left w:val="nil"/>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p>
        </w:tc>
        <w:tc>
          <w:tcPr>
            <w:tcW w:w="1369" w:type="dxa"/>
            <w:vMerge/>
            <w:tcBorders>
              <w:left w:val="nil"/>
              <w:right w:val="double" w:sz="4"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poradenské činnosti NIP</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276"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721"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595" w:type="dxa"/>
            <w:vMerge/>
            <w:tcBorders>
              <w:left w:val="nil"/>
              <w:right w:val="single" w:sz="8" w:space="0" w:color="auto"/>
            </w:tcBorders>
            <w:shd w:val="clear" w:color="auto" w:fill="auto"/>
            <w:noWrap/>
            <w:vAlign w:val="center"/>
          </w:tcPr>
          <w:p w:rsidR="00AE6900" w:rsidRPr="00EA12E4" w:rsidRDefault="00AE6900" w:rsidP="00AE6900">
            <w:pPr>
              <w:rPr>
                <w:rFonts w:asciiTheme="minorHAnsi" w:hAnsiTheme="minorHAnsi" w:cstheme="minorHAnsi"/>
                <w:b/>
              </w:rPr>
            </w:pPr>
          </w:p>
        </w:tc>
        <w:tc>
          <w:tcPr>
            <w:tcW w:w="1369" w:type="dxa"/>
            <w:vMerge/>
            <w:tcBorders>
              <w:left w:val="nil"/>
              <w:bottom w:val="single" w:sz="8" w:space="0" w:color="auto"/>
              <w:right w:val="double" w:sz="4"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pracovní rehabilitace NIP</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276"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721"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595" w:type="dxa"/>
            <w:vMerge/>
            <w:tcBorders>
              <w:left w:val="nil"/>
              <w:bottom w:val="single" w:sz="8" w:space="0" w:color="auto"/>
              <w:right w:val="single" w:sz="8" w:space="0" w:color="auto"/>
            </w:tcBorders>
            <w:shd w:val="clear" w:color="auto" w:fill="auto"/>
            <w:noWrap/>
            <w:vAlign w:val="center"/>
          </w:tcPr>
          <w:p w:rsidR="00AE6900" w:rsidRPr="00EA12E4" w:rsidRDefault="00AE6900" w:rsidP="00AE6900">
            <w:pPr>
              <w:rPr>
                <w:rFonts w:asciiTheme="minorHAnsi" w:hAnsiTheme="minorHAnsi" w:cstheme="minorHAnsi"/>
                <w:b/>
              </w:rPr>
            </w:pPr>
          </w:p>
        </w:tc>
        <w:tc>
          <w:tcPr>
            <w:tcW w:w="1369" w:type="dxa"/>
            <w:tcBorders>
              <w:top w:val="nil"/>
              <w:left w:val="nil"/>
              <w:bottom w:val="single" w:sz="8" w:space="0" w:color="auto"/>
              <w:right w:val="double" w:sz="4"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RIP OP LZZ (bez odbor. praxí)</w:t>
            </w:r>
          </w:p>
        </w:tc>
        <w:tc>
          <w:tcPr>
            <w:tcW w:w="992" w:type="dxa"/>
            <w:tcBorders>
              <w:top w:val="nil"/>
              <w:left w:val="nil"/>
              <w:bottom w:val="single" w:sz="8" w:space="0" w:color="auto"/>
              <w:right w:val="single" w:sz="8" w:space="0" w:color="auto"/>
            </w:tcBorders>
            <w:shd w:val="clear" w:color="auto" w:fill="auto"/>
            <w:noWrap/>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437</w:t>
            </w:r>
          </w:p>
        </w:tc>
        <w:tc>
          <w:tcPr>
            <w:tcW w:w="1276" w:type="dxa"/>
            <w:tcBorders>
              <w:top w:val="nil"/>
              <w:left w:val="nil"/>
              <w:bottom w:val="single" w:sz="8" w:space="0" w:color="auto"/>
              <w:right w:val="single" w:sz="8" w:space="0" w:color="auto"/>
            </w:tcBorders>
            <w:shd w:val="clear" w:color="auto" w:fill="auto"/>
            <w:noWrap/>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1 461*</w:t>
            </w:r>
          </w:p>
        </w:tc>
        <w:tc>
          <w:tcPr>
            <w:tcW w:w="721" w:type="dxa"/>
            <w:tcBorders>
              <w:top w:val="nil"/>
              <w:left w:val="nil"/>
              <w:bottom w:val="single" w:sz="8" w:space="0" w:color="auto"/>
              <w:right w:val="single" w:sz="8" w:space="0" w:color="auto"/>
            </w:tcBorders>
            <w:shd w:val="clear" w:color="auto" w:fill="auto"/>
            <w:noWrap/>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1595" w:type="dxa"/>
            <w:tcBorders>
              <w:top w:val="nil"/>
              <w:left w:val="nil"/>
              <w:bottom w:val="single" w:sz="8" w:space="0" w:color="auto"/>
              <w:right w:val="single" w:sz="8" w:space="0" w:color="auto"/>
            </w:tcBorders>
            <w:shd w:val="clear" w:color="auto" w:fill="auto"/>
            <w:noWrap/>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185 338**</w:t>
            </w:r>
          </w:p>
        </w:tc>
        <w:tc>
          <w:tcPr>
            <w:tcW w:w="1369" w:type="dxa"/>
            <w:tcBorders>
              <w:top w:val="nil"/>
              <w:left w:val="nil"/>
              <w:bottom w:val="single" w:sz="8" w:space="0" w:color="auto"/>
              <w:right w:val="double" w:sz="4" w:space="0" w:color="auto"/>
            </w:tcBorders>
            <w:shd w:val="clear" w:color="auto" w:fill="auto"/>
            <w:noWrap/>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47 %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Odborné praxe pro</w:t>
            </w:r>
            <w:r w:rsidR="00600C3A">
              <w:rPr>
                <w:rFonts w:asciiTheme="minorHAnsi" w:hAnsiTheme="minorHAnsi" w:cstheme="minorHAnsi"/>
                <w:color w:val="000000"/>
                <w:sz w:val="22"/>
                <w:szCs w:val="22"/>
              </w:rPr>
              <w:t xml:space="preserve"> mladé do 30 l.</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425</w:t>
            </w:r>
          </w:p>
        </w:tc>
        <w:tc>
          <w:tcPr>
            <w:tcW w:w="1276"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428*</w:t>
            </w:r>
          </w:p>
        </w:tc>
        <w:tc>
          <w:tcPr>
            <w:tcW w:w="721"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1595"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117 396**</w:t>
            </w:r>
          </w:p>
        </w:tc>
        <w:tc>
          <w:tcPr>
            <w:tcW w:w="1369" w:type="dxa"/>
            <w:tcBorders>
              <w:top w:val="nil"/>
              <w:left w:val="nil"/>
              <w:bottom w:val="single" w:sz="8" w:space="0" w:color="auto"/>
              <w:right w:val="double" w:sz="4"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42 %</w:t>
            </w:r>
          </w:p>
        </w:tc>
      </w:tr>
      <w:tr w:rsidR="00AE6900" w:rsidRPr="00EA12E4" w:rsidTr="00600C3A">
        <w:trPr>
          <w:trHeight w:val="360"/>
        </w:trPr>
        <w:tc>
          <w:tcPr>
            <w:tcW w:w="3276" w:type="dxa"/>
            <w:tcBorders>
              <w:top w:val="single" w:sz="8" w:space="0" w:color="auto"/>
              <w:left w:val="double" w:sz="4" w:space="0" w:color="auto"/>
              <w:bottom w:val="single" w:sz="8" w:space="0" w:color="auto"/>
              <w:right w:val="single" w:sz="8" w:space="0" w:color="auto"/>
            </w:tcBorders>
            <w:shd w:val="clear" w:color="auto" w:fill="CCFFFF"/>
            <w:vAlign w:val="center"/>
            <w:hideMark/>
          </w:tcPr>
          <w:p w:rsidR="00AE6900" w:rsidRPr="00EA12E4" w:rsidRDefault="00AE6900" w:rsidP="00AE6900">
            <w:pPr>
              <w:rPr>
                <w:rFonts w:asciiTheme="minorHAnsi" w:hAnsiTheme="minorHAnsi" w:cstheme="minorHAnsi"/>
                <w:color w:val="000000"/>
                <w:sz w:val="22"/>
                <w:szCs w:val="22"/>
              </w:rPr>
            </w:pPr>
            <w:r w:rsidRPr="00EA12E4">
              <w:rPr>
                <w:rFonts w:asciiTheme="minorHAnsi" w:hAnsiTheme="minorHAnsi" w:cstheme="minorHAnsi"/>
                <w:color w:val="000000"/>
                <w:sz w:val="22"/>
                <w:szCs w:val="22"/>
              </w:rPr>
              <w:t>grantové projekty ESF</w:t>
            </w:r>
          </w:p>
        </w:tc>
        <w:tc>
          <w:tcPr>
            <w:tcW w:w="992"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rPr>
            </w:pPr>
            <w:r w:rsidRPr="00EA12E4">
              <w:rPr>
                <w:rFonts w:asciiTheme="minorHAnsi" w:hAnsiTheme="minorHAnsi" w:cstheme="minorHAnsi"/>
              </w:rPr>
              <w:t>-</w:t>
            </w:r>
          </w:p>
        </w:tc>
        <w:tc>
          <w:tcPr>
            <w:tcW w:w="1276"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315</w:t>
            </w:r>
          </w:p>
        </w:tc>
        <w:tc>
          <w:tcPr>
            <w:tcW w:w="721"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w:t>
            </w:r>
          </w:p>
        </w:tc>
        <w:tc>
          <w:tcPr>
            <w:tcW w:w="1595" w:type="dxa"/>
            <w:tcBorders>
              <w:top w:val="nil"/>
              <w:left w:val="nil"/>
              <w:bottom w:val="single" w:sz="8" w:space="0" w:color="auto"/>
              <w:right w:val="single" w:sz="8" w:space="0" w:color="auto"/>
            </w:tcBorders>
            <w:shd w:val="clear" w:color="auto" w:fill="auto"/>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0</w:t>
            </w:r>
          </w:p>
        </w:tc>
        <w:tc>
          <w:tcPr>
            <w:tcW w:w="1369" w:type="dxa"/>
            <w:tcBorders>
              <w:top w:val="nil"/>
              <w:left w:val="nil"/>
              <w:bottom w:val="single" w:sz="8" w:space="0" w:color="auto"/>
              <w:right w:val="double" w:sz="4" w:space="0" w:color="auto"/>
            </w:tcBorders>
            <w:shd w:val="clear" w:color="auto" w:fill="auto"/>
            <w:noWrap/>
            <w:vAlign w:val="center"/>
          </w:tcPr>
          <w:p w:rsidR="00AE6900" w:rsidRPr="00EA12E4" w:rsidRDefault="00AE6900" w:rsidP="00AE6900">
            <w:pPr>
              <w:jc w:val="center"/>
              <w:rPr>
                <w:rFonts w:asciiTheme="minorHAnsi" w:hAnsiTheme="minorHAnsi" w:cstheme="minorHAnsi"/>
              </w:rPr>
            </w:pPr>
          </w:p>
        </w:tc>
      </w:tr>
      <w:tr w:rsidR="00AE6900" w:rsidRPr="00EA12E4" w:rsidTr="00600C3A">
        <w:trPr>
          <w:trHeight w:val="360"/>
        </w:trPr>
        <w:tc>
          <w:tcPr>
            <w:tcW w:w="3276" w:type="dxa"/>
            <w:tcBorders>
              <w:top w:val="nil"/>
              <w:left w:val="double" w:sz="4" w:space="0" w:color="auto"/>
              <w:bottom w:val="single" w:sz="8" w:space="0" w:color="auto"/>
              <w:right w:val="single" w:sz="8" w:space="0" w:color="auto"/>
            </w:tcBorders>
            <w:shd w:val="clear" w:color="000000" w:fill="FFC000"/>
            <w:vAlign w:val="center"/>
            <w:hideMark/>
          </w:tcPr>
          <w:p w:rsidR="00AE6900" w:rsidRPr="00EA12E4" w:rsidRDefault="00AE6900" w:rsidP="00AE6900">
            <w:pPr>
              <w:rPr>
                <w:rFonts w:asciiTheme="minorHAnsi" w:hAnsiTheme="minorHAnsi" w:cstheme="minorHAnsi"/>
                <w:b/>
                <w:bCs/>
                <w:i/>
                <w:iCs/>
                <w:color w:val="000000"/>
                <w:sz w:val="22"/>
                <w:szCs w:val="22"/>
              </w:rPr>
            </w:pPr>
            <w:r w:rsidRPr="00EA12E4">
              <w:rPr>
                <w:rFonts w:asciiTheme="minorHAnsi" w:hAnsiTheme="minorHAnsi" w:cstheme="minorHAnsi"/>
                <w:b/>
                <w:bCs/>
                <w:i/>
                <w:iCs/>
                <w:color w:val="000000"/>
                <w:sz w:val="22"/>
                <w:szCs w:val="22"/>
              </w:rPr>
              <w:t>celkem ESF - OP LZZ</w:t>
            </w:r>
          </w:p>
        </w:tc>
        <w:tc>
          <w:tcPr>
            <w:tcW w:w="992" w:type="dxa"/>
            <w:tcBorders>
              <w:top w:val="nil"/>
              <w:left w:val="nil"/>
              <w:bottom w:val="single" w:sz="8" w:space="0" w:color="auto"/>
              <w:right w:val="single" w:sz="8" w:space="0" w:color="auto"/>
            </w:tcBorders>
            <w:shd w:val="clear" w:color="000000" w:fill="FFC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5 633</w:t>
            </w:r>
          </w:p>
        </w:tc>
        <w:tc>
          <w:tcPr>
            <w:tcW w:w="1276" w:type="dxa"/>
            <w:tcBorders>
              <w:top w:val="nil"/>
              <w:left w:val="nil"/>
              <w:bottom w:val="single" w:sz="8" w:space="0" w:color="auto"/>
              <w:right w:val="single" w:sz="8" w:space="0" w:color="auto"/>
            </w:tcBorders>
            <w:shd w:val="clear" w:color="000000" w:fill="FFC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8 479</w:t>
            </w:r>
          </w:p>
        </w:tc>
        <w:tc>
          <w:tcPr>
            <w:tcW w:w="721" w:type="dxa"/>
            <w:tcBorders>
              <w:top w:val="nil"/>
              <w:left w:val="nil"/>
              <w:bottom w:val="single" w:sz="8" w:space="0" w:color="auto"/>
              <w:right w:val="single" w:sz="8" w:space="0" w:color="auto"/>
            </w:tcBorders>
            <w:shd w:val="clear" w:color="000000" w:fill="FFC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174</w:t>
            </w:r>
          </w:p>
        </w:tc>
        <w:tc>
          <w:tcPr>
            <w:tcW w:w="1595" w:type="dxa"/>
            <w:tcBorders>
              <w:top w:val="nil"/>
              <w:left w:val="nil"/>
              <w:bottom w:val="single" w:sz="8" w:space="0" w:color="auto"/>
              <w:right w:val="single" w:sz="8" w:space="0" w:color="auto"/>
            </w:tcBorders>
            <w:shd w:val="clear" w:color="000000" w:fill="FFC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647 860</w:t>
            </w:r>
          </w:p>
        </w:tc>
        <w:tc>
          <w:tcPr>
            <w:tcW w:w="1369" w:type="dxa"/>
            <w:tcBorders>
              <w:top w:val="nil"/>
              <w:left w:val="nil"/>
              <w:bottom w:val="single" w:sz="8" w:space="0" w:color="auto"/>
              <w:right w:val="double" w:sz="4" w:space="0" w:color="auto"/>
            </w:tcBorders>
            <w:shd w:val="clear" w:color="000000" w:fill="FFC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65 %</w:t>
            </w:r>
          </w:p>
        </w:tc>
      </w:tr>
      <w:tr w:rsidR="00AE6900" w:rsidRPr="00EA12E4" w:rsidTr="00600C3A">
        <w:trPr>
          <w:trHeight w:val="360"/>
        </w:trPr>
        <w:tc>
          <w:tcPr>
            <w:tcW w:w="3276" w:type="dxa"/>
            <w:tcBorders>
              <w:top w:val="nil"/>
              <w:left w:val="double" w:sz="4" w:space="0" w:color="auto"/>
              <w:bottom w:val="double" w:sz="4" w:space="0" w:color="auto"/>
              <w:right w:val="single" w:sz="8" w:space="0" w:color="auto"/>
            </w:tcBorders>
            <w:shd w:val="clear" w:color="000000" w:fill="FF0000"/>
            <w:vAlign w:val="center"/>
            <w:hideMark/>
          </w:tcPr>
          <w:p w:rsidR="00AE6900" w:rsidRPr="00EA12E4" w:rsidRDefault="00AE6900" w:rsidP="00AE6900">
            <w:pPr>
              <w:rPr>
                <w:rFonts w:asciiTheme="minorHAnsi" w:hAnsiTheme="minorHAnsi" w:cstheme="minorHAnsi"/>
                <w:b/>
                <w:bCs/>
                <w:color w:val="000000"/>
                <w:sz w:val="22"/>
                <w:szCs w:val="22"/>
              </w:rPr>
            </w:pPr>
            <w:r w:rsidRPr="00EA12E4">
              <w:rPr>
                <w:rFonts w:asciiTheme="minorHAnsi" w:hAnsiTheme="minorHAnsi" w:cstheme="minorHAnsi"/>
                <w:b/>
                <w:bCs/>
                <w:color w:val="000000"/>
                <w:sz w:val="22"/>
                <w:szCs w:val="22"/>
              </w:rPr>
              <w:t>celkem nár. APZ + ESF</w:t>
            </w:r>
          </w:p>
        </w:tc>
        <w:tc>
          <w:tcPr>
            <w:tcW w:w="992" w:type="dxa"/>
            <w:tcBorders>
              <w:top w:val="nil"/>
              <w:left w:val="nil"/>
              <w:bottom w:val="double" w:sz="4" w:space="0" w:color="auto"/>
              <w:right w:val="single" w:sz="8" w:space="0" w:color="auto"/>
            </w:tcBorders>
            <w:shd w:val="clear" w:color="000000" w:fill="FF0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6 799</w:t>
            </w:r>
          </w:p>
        </w:tc>
        <w:tc>
          <w:tcPr>
            <w:tcW w:w="1276" w:type="dxa"/>
            <w:tcBorders>
              <w:top w:val="nil"/>
              <w:left w:val="nil"/>
              <w:bottom w:val="double" w:sz="4" w:space="0" w:color="auto"/>
              <w:right w:val="single" w:sz="8" w:space="0" w:color="auto"/>
            </w:tcBorders>
            <w:shd w:val="clear" w:color="000000" w:fill="FF0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10 054</w:t>
            </w:r>
          </w:p>
        </w:tc>
        <w:tc>
          <w:tcPr>
            <w:tcW w:w="721" w:type="dxa"/>
            <w:tcBorders>
              <w:top w:val="nil"/>
              <w:left w:val="nil"/>
              <w:bottom w:val="double" w:sz="4" w:space="0" w:color="auto"/>
              <w:right w:val="single" w:sz="8" w:space="0" w:color="auto"/>
            </w:tcBorders>
            <w:shd w:val="clear" w:color="000000" w:fill="FF0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325</w:t>
            </w:r>
          </w:p>
        </w:tc>
        <w:tc>
          <w:tcPr>
            <w:tcW w:w="1595" w:type="dxa"/>
            <w:tcBorders>
              <w:top w:val="nil"/>
              <w:left w:val="nil"/>
              <w:bottom w:val="double" w:sz="4" w:space="0" w:color="auto"/>
              <w:right w:val="single" w:sz="8" w:space="0" w:color="auto"/>
            </w:tcBorders>
            <w:shd w:val="clear" w:color="000000" w:fill="FF0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805 160</w:t>
            </w:r>
          </w:p>
        </w:tc>
        <w:tc>
          <w:tcPr>
            <w:tcW w:w="1369" w:type="dxa"/>
            <w:tcBorders>
              <w:top w:val="nil"/>
              <w:left w:val="nil"/>
              <w:bottom w:val="double" w:sz="4" w:space="0" w:color="auto"/>
              <w:right w:val="double" w:sz="4" w:space="0" w:color="auto"/>
            </w:tcBorders>
            <w:shd w:val="clear" w:color="000000" w:fill="FF0000"/>
            <w:noWrap/>
            <w:vAlign w:val="center"/>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64 %</w:t>
            </w:r>
          </w:p>
        </w:tc>
      </w:tr>
    </w:tbl>
    <w:p w:rsidR="00AE6900" w:rsidRPr="00EA12E4" w:rsidRDefault="00AE6900" w:rsidP="00AE6900">
      <w:pPr>
        <w:rPr>
          <w:rFonts w:asciiTheme="minorHAnsi" w:hAnsiTheme="minorHAnsi" w:cstheme="minorHAnsi"/>
          <w:sz w:val="20"/>
          <w:szCs w:val="20"/>
        </w:rPr>
      </w:pPr>
      <w:r w:rsidRPr="00EA12E4">
        <w:rPr>
          <w:rFonts w:asciiTheme="minorHAnsi" w:hAnsiTheme="minorHAnsi" w:cstheme="minorHAnsi"/>
          <w:sz w:val="20"/>
          <w:szCs w:val="20"/>
        </w:rPr>
        <w:t xml:space="preserve">* UoZ umístěno na SÚPM,  na PPM; rekvalifikováno  UoZ. </w:t>
      </w:r>
    </w:p>
    <w:p w:rsidR="00AE6900" w:rsidRPr="00EA12E4" w:rsidRDefault="00AE6900" w:rsidP="00AE6900">
      <w:pPr>
        <w:rPr>
          <w:rFonts w:asciiTheme="minorHAnsi" w:hAnsiTheme="minorHAnsi" w:cstheme="minorHAnsi"/>
          <w:sz w:val="20"/>
          <w:szCs w:val="20"/>
        </w:rPr>
      </w:pPr>
      <w:r w:rsidRPr="00EA12E4">
        <w:rPr>
          <w:rFonts w:asciiTheme="minorHAnsi" w:hAnsiTheme="minorHAnsi" w:cstheme="minorHAnsi"/>
          <w:sz w:val="20"/>
          <w:szCs w:val="20"/>
        </w:rPr>
        <w:t>**Celkové prostředky přidělené na realizaci RIP po celou dobu trvání projektů</w:t>
      </w:r>
    </w:p>
    <w:p w:rsidR="00AE6900" w:rsidRPr="00EA12E4" w:rsidRDefault="00AE6900" w:rsidP="00AE6900">
      <w:pPr>
        <w:ind w:firstLine="709"/>
        <w:rPr>
          <w:rFonts w:asciiTheme="minorHAnsi" w:hAnsiTheme="minorHAnsi" w:cstheme="minorHAnsi"/>
          <w:b/>
        </w:rPr>
      </w:pPr>
      <w:r w:rsidRPr="00EA12E4">
        <w:rPr>
          <w:rFonts w:asciiTheme="minorHAnsi" w:hAnsiTheme="minorHAnsi" w:cstheme="minorHAnsi"/>
          <w:b/>
        </w:rPr>
        <w:lastRenderedPageBreak/>
        <w:t>Aktivizační pracovní příležitost</w:t>
      </w:r>
    </w:p>
    <w:p w:rsidR="00AE6900" w:rsidRPr="00EA12E4" w:rsidRDefault="00AE6900" w:rsidP="00AE6900">
      <w:pPr>
        <w:pStyle w:val="Bezmezer"/>
        <w:ind w:firstLine="709"/>
        <w:jc w:val="both"/>
        <w:rPr>
          <w:rFonts w:asciiTheme="minorHAnsi" w:hAnsiTheme="minorHAnsi" w:cstheme="minorHAnsi"/>
          <w:sz w:val="24"/>
          <w:szCs w:val="24"/>
        </w:rPr>
      </w:pPr>
      <w:r w:rsidRPr="00EA12E4">
        <w:rPr>
          <w:rFonts w:asciiTheme="minorHAnsi" w:hAnsiTheme="minorHAnsi" w:cstheme="minorHAnsi"/>
          <w:b/>
          <w:sz w:val="24"/>
          <w:szCs w:val="24"/>
        </w:rPr>
        <w:t>V roce 2014 byl do APZ nově zařazen příspěvek na aktivizační pracovní příležitost</w:t>
      </w:r>
      <w:r w:rsidRPr="00EA12E4">
        <w:rPr>
          <w:rFonts w:asciiTheme="minorHAnsi" w:hAnsiTheme="minorHAnsi" w:cstheme="minorHAnsi"/>
          <w:sz w:val="24"/>
          <w:szCs w:val="24"/>
        </w:rPr>
        <w:t xml:space="preserve"> (APP) sloužící k aktivizaci uchazečů o zaměstnání dlouhodobě vedených v evidenci ÚP ČR – a to formou podpory tvorby krátkodobých pracovních příležitostí. Příspěvkem Krajská pobočka ÚP ČR v Olomouci, podporovala uchazeče o zaměstnání, kterým se dlouhodobě nedaří (vzhledem k závažnosti jejich znevýhodnění), umístit na trh práce. Jedná se o UoZ vedené v evidenci nepřetržitě </w:t>
      </w:r>
      <w:r w:rsidRPr="00EA12E4">
        <w:rPr>
          <w:rFonts w:asciiTheme="minorHAnsi" w:hAnsiTheme="minorHAnsi" w:cstheme="minorHAnsi"/>
          <w:b/>
          <w:sz w:val="24"/>
          <w:szCs w:val="24"/>
        </w:rPr>
        <w:t>déle než 12 měsíců nebo kteří se ocitli v hmotné nouzi</w:t>
      </w:r>
      <w:r w:rsidRPr="00EA12E4">
        <w:rPr>
          <w:rFonts w:asciiTheme="minorHAnsi" w:hAnsiTheme="minorHAnsi" w:cstheme="minorHAnsi"/>
          <w:sz w:val="24"/>
          <w:szCs w:val="24"/>
        </w:rPr>
        <w:t>.</w:t>
      </w:r>
    </w:p>
    <w:p w:rsidR="00AE6900" w:rsidRPr="00EA12E4" w:rsidRDefault="00AE6900" w:rsidP="00AE6900">
      <w:pPr>
        <w:pStyle w:val="Bezmezer"/>
        <w:ind w:firstLine="709"/>
        <w:jc w:val="both"/>
        <w:rPr>
          <w:rFonts w:asciiTheme="minorHAnsi" w:hAnsiTheme="minorHAnsi" w:cstheme="minorHAnsi"/>
          <w:b/>
        </w:rPr>
      </w:pPr>
      <w:r w:rsidRPr="00EA12E4">
        <w:rPr>
          <w:rFonts w:asciiTheme="minorHAnsi" w:hAnsiTheme="minorHAnsi" w:cstheme="minorHAnsi"/>
          <w:sz w:val="24"/>
          <w:szCs w:val="24"/>
        </w:rPr>
        <w:t xml:space="preserve">APP byla ze strany zaměstnavatele sjednána s UoZ na základě uzavření Dohody o provedení práce, formou nekolidujícího zaměstnání (maximální výdělek 4.250,- Kč měsíčně) v maximálním rozsahu </w:t>
      </w:r>
      <w:r w:rsidRPr="00EA12E4">
        <w:rPr>
          <w:rFonts w:asciiTheme="minorHAnsi" w:hAnsiTheme="minorHAnsi" w:cstheme="minorHAnsi"/>
          <w:b/>
          <w:sz w:val="24"/>
          <w:szCs w:val="24"/>
        </w:rPr>
        <w:t>40 hodin měsíčně, maximálně na 3 měsíce a nejdéle do 31.12.2014. Výše příspěvku mohla činit 60 korun za každou odpracovanou hodinu</w:t>
      </w:r>
      <w:r w:rsidRPr="00EA12E4">
        <w:rPr>
          <w:rFonts w:asciiTheme="minorHAnsi" w:hAnsiTheme="minorHAnsi" w:cstheme="minorHAnsi"/>
          <w:sz w:val="24"/>
          <w:szCs w:val="24"/>
        </w:rPr>
        <w:t xml:space="preserve"> (příspěvek vyplácen měsíčně a zpětně).</w:t>
      </w:r>
    </w:p>
    <w:p w:rsidR="00AE6900" w:rsidRPr="00EA12E4" w:rsidRDefault="00AE6900" w:rsidP="00AE6900">
      <w:pPr>
        <w:ind w:firstLine="709"/>
        <w:jc w:val="both"/>
        <w:rPr>
          <w:rFonts w:asciiTheme="minorHAnsi" w:hAnsiTheme="minorHAnsi" w:cstheme="minorHAnsi"/>
          <w:b/>
        </w:rPr>
      </w:pPr>
      <w:r w:rsidRPr="00EA12E4">
        <w:rPr>
          <w:rFonts w:asciiTheme="minorHAnsi" w:hAnsiTheme="minorHAnsi" w:cstheme="minorHAnsi"/>
          <w:b/>
        </w:rPr>
        <w:t xml:space="preserve">Tímto nástrojem bylo celkem podpořeno 247 uchazečů o zaměstnání a vyplaceno bylo celkem 1 349 997 Kč. </w:t>
      </w:r>
    </w:p>
    <w:p w:rsidR="00AE6900" w:rsidRPr="00EA12E4" w:rsidRDefault="00AE6900" w:rsidP="00AE6900">
      <w:pPr>
        <w:rPr>
          <w:rFonts w:asciiTheme="minorHAnsi" w:hAnsiTheme="minorHAnsi" w:cstheme="minorHAnsi"/>
          <w:sz w:val="20"/>
          <w:szCs w:val="20"/>
        </w:rPr>
      </w:pPr>
    </w:p>
    <w:p w:rsidR="00AE6900" w:rsidRPr="00EA12E4" w:rsidRDefault="00AE6900" w:rsidP="00AE6900">
      <w:pPr>
        <w:ind w:firstLine="709"/>
        <w:rPr>
          <w:rFonts w:asciiTheme="minorHAnsi" w:hAnsiTheme="minorHAnsi" w:cstheme="minorHAnsi"/>
          <w:b/>
        </w:rPr>
      </w:pPr>
      <w:r w:rsidRPr="00EA12E4">
        <w:rPr>
          <w:rFonts w:asciiTheme="minorHAnsi" w:hAnsiTheme="minorHAnsi" w:cstheme="minorHAnsi"/>
          <w:b/>
        </w:rPr>
        <w:t>Veřejně prospěšné práce</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Tato aktivita byla zaměřena především na uchazeče o zaměstnání, kterým je věnována ze strany úřadů práce zvýšená péče při zprostředkování zaměstnání. Úřad práce tedy podpořil uchazeče o zaměstnání, kteří stáli delší dobu mimo trh práce, s vyšším věkem nad 55 let, absolventy bez praxe, se zdravotním omezením nebo péčí o dítě a osoby sociálně znevýhodněn</w:t>
      </w:r>
      <w:r w:rsidR="00DE3987">
        <w:rPr>
          <w:rFonts w:asciiTheme="minorHAnsi" w:hAnsiTheme="minorHAnsi" w:cstheme="minorHAnsi"/>
        </w:rPr>
        <w:t>é</w:t>
      </w:r>
      <w:r w:rsidRPr="00EA12E4">
        <w:rPr>
          <w:rFonts w:asciiTheme="minorHAnsi" w:hAnsiTheme="minorHAnsi" w:cstheme="minorHAnsi"/>
        </w:rPr>
        <w:t xml:space="preserve">. </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 xml:space="preserve">Hlavním přínosem pro UoZ bylo zejména udržení a obnovení základních pracovních návyků, motivace a aktivizace k práci. Dále pak získat zaměstnání v místě bydliště, což vyhovuje uchazečům také z důvodu ekonomického hlediska. Pro zaměstnavatele je tento nástroj významnou finanční pomocí, dále takto podpořená pracovní místa jsou zejména přínosem k celkovému zlepšení vzhledu obcí a měst a zlepšení životního prostředí. </w:t>
      </w:r>
    </w:p>
    <w:p w:rsidR="00AE6900" w:rsidRPr="00EA12E4" w:rsidRDefault="00AE6900" w:rsidP="00DE3987">
      <w:pPr>
        <w:ind w:firstLine="709"/>
        <w:jc w:val="both"/>
        <w:rPr>
          <w:rFonts w:asciiTheme="minorHAnsi" w:hAnsiTheme="minorHAnsi" w:cstheme="minorHAnsi"/>
          <w:color w:val="FF0000"/>
          <w:u w:val="single"/>
        </w:rPr>
      </w:pPr>
      <w:r w:rsidRPr="00EA12E4">
        <w:rPr>
          <w:rFonts w:asciiTheme="minorHAnsi" w:hAnsiTheme="minorHAnsi" w:cstheme="minorHAnsi"/>
          <w:b/>
        </w:rPr>
        <w:t>Celkem tímto nástrojem bylo v roce 2014 podpořeno 2014 uchazečů o zaměstnání. Oproti roku 2013 došlo ke snížení takto podpořených uchazečů o 214 osob (tj. o 9,6 %).</w:t>
      </w:r>
      <w:r w:rsidRPr="00EA12E4">
        <w:rPr>
          <w:rFonts w:asciiTheme="minorHAnsi" w:hAnsiTheme="minorHAnsi" w:cstheme="minorHAnsi"/>
        </w:rPr>
        <w:t xml:space="preserve"> Celkem v roce 2014 bylo vyčerpáno 20 117 866 Kč z národní APZ a 142 762 635 z ESF. </w:t>
      </w:r>
    </w:p>
    <w:p w:rsidR="00327B25" w:rsidRDefault="00327B25" w:rsidP="00AE6900">
      <w:pPr>
        <w:ind w:left="720" w:hanging="11"/>
        <w:jc w:val="both"/>
        <w:rPr>
          <w:rFonts w:asciiTheme="minorHAnsi" w:hAnsiTheme="minorHAnsi" w:cstheme="minorHAnsi"/>
          <w:b/>
        </w:rPr>
      </w:pPr>
    </w:p>
    <w:p w:rsidR="00AE6900" w:rsidRPr="00EA12E4" w:rsidRDefault="00AE6900" w:rsidP="00AE6900">
      <w:pPr>
        <w:ind w:left="720" w:hanging="11"/>
        <w:jc w:val="both"/>
        <w:rPr>
          <w:rFonts w:asciiTheme="minorHAnsi" w:hAnsiTheme="minorHAnsi" w:cstheme="minorHAnsi"/>
          <w:b/>
        </w:rPr>
      </w:pPr>
      <w:r w:rsidRPr="00EA12E4">
        <w:rPr>
          <w:rFonts w:asciiTheme="minorHAnsi" w:hAnsiTheme="minorHAnsi" w:cstheme="minorHAnsi"/>
          <w:b/>
        </w:rPr>
        <w:t>Společensky účelná pracovní místa vyhrazená u zaměstnavatele</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Jednalo se o nejvyužívanější nástroj aktivní politiky zaměstnanosti ze strany zaměstnavatelů. Tento nástroj byl zaměřen především na uchazeče o zaměstnání znevýhodněné na trhu práce. Jednalo se zejména o osoby zdravotně znevýhodněné, dlouhodobě nezaměstnané (nad 5 měsíců), mladé do 25 let, absolventy škol, UoZ ve věku do 30 let bez praxe nebo s praxí v souhrnné délce max. 2 roky po ukončení studia, osoby nad 55 let nebo matky vracející se z mateřské případně rodičovské dovolené.</w:t>
      </w:r>
    </w:p>
    <w:p w:rsidR="00AE6900" w:rsidRDefault="00AE6900" w:rsidP="00AE6900">
      <w:pPr>
        <w:ind w:firstLine="709"/>
        <w:jc w:val="both"/>
        <w:rPr>
          <w:rFonts w:asciiTheme="minorHAnsi" w:hAnsiTheme="minorHAnsi" w:cstheme="minorHAnsi"/>
        </w:rPr>
      </w:pPr>
      <w:r w:rsidRPr="00EA12E4">
        <w:rPr>
          <w:rFonts w:asciiTheme="minorHAnsi" w:hAnsiTheme="minorHAnsi" w:cstheme="minorHAnsi"/>
          <w:b/>
        </w:rPr>
        <w:t xml:space="preserve">V roce 2014 bylo vytvořeno 3 712 míst, na kterých bylo umístěno celkem 3 614 uchazečů. Ve srovnání s rokem 2013 bylo vytvořeno v roce 2014 o 873 pracovních míst více (což je nárůst o 31 %). </w:t>
      </w:r>
      <w:r w:rsidRPr="00EA12E4">
        <w:rPr>
          <w:rFonts w:asciiTheme="minorHAnsi" w:hAnsiTheme="minorHAnsi" w:cstheme="minorHAnsi"/>
        </w:rPr>
        <w:t xml:space="preserve"> Celkem v roce 2014 bylo vyčerpáno 79 786 102 Kč ze zdrojů národní APZ a ze zdrojů ESF 236 098 807 Kč. U tohoto nástroje opět došlo k nárůstu počtu umístěných uchazečů.</w:t>
      </w:r>
    </w:p>
    <w:p w:rsidR="00DE3987" w:rsidRDefault="00DE3987" w:rsidP="00AE6900">
      <w:pPr>
        <w:ind w:firstLine="709"/>
        <w:jc w:val="both"/>
        <w:rPr>
          <w:rFonts w:asciiTheme="minorHAnsi" w:hAnsiTheme="minorHAnsi" w:cstheme="minorHAnsi"/>
        </w:rPr>
      </w:pPr>
      <w:r w:rsidRPr="00EA12E4">
        <w:rPr>
          <w:rFonts w:asciiTheme="minorHAnsi" w:hAnsiTheme="minorHAnsi" w:cstheme="minorHAnsi"/>
        </w:rPr>
        <w:t xml:space="preserve">V návaznosti na využití výše uvedených nástrojů aktivní politiky zaměstnanosti byla uzavřena Smlouva o součinnosti při realizaci pilotního programu „Prostupné zaměstnávání v Olomouckém kraji“. Na každého účastníka programu bude následně a provázaně použito více nástrojů aktivní politiky zaměstnanosti (APP, VPP a SÚPM). Program je realizován od 1.4.2014 do 30.6.2016 a celkem bude podpořeno maximálně 60 uchazečů o zaměstnání.  </w:t>
      </w:r>
    </w:p>
    <w:p w:rsidR="00DE3987" w:rsidRPr="00EA12E4" w:rsidRDefault="00DE3987" w:rsidP="00AE6900">
      <w:pPr>
        <w:ind w:firstLine="709"/>
        <w:jc w:val="both"/>
        <w:rPr>
          <w:rFonts w:asciiTheme="minorHAnsi" w:hAnsiTheme="minorHAnsi" w:cstheme="minorHAnsi"/>
        </w:rPr>
      </w:pPr>
    </w:p>
    <w:p w:rsidR="00AE6900" w:rsidRPr="00EA12E4" w:rsidRDefault="00AE6900" w:rsidP="00AE6900">
      <w:pPr>
        <w:ind w:left="720"/>
        <w:jc w:val="both"/>
        <w:rPr>
          <w:rFonts w:asciiTheme="minorHAnsi" w:hAnsiTheme="minorHAnsi" w:cstheme="minorHAnsi"/>
          <w:b/>
        </w:rPr>
      </w:pPr>
      <w:r w:rsidRPr="00EA12E4">
        <w:rPr>
          <w:rFonts w:asciiTheme="minorHAnsi" w:hAnsiTheme="minorHAnsi" w:cstheme="minorHAnsi"/>
          <w:b/>
        </w:rPr>
        <w:t>Společensky účelná pracovní místa zřízená zaměstnavatelem</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 xml:space="preserve">Jedná se o příspěvek na nově zřizovaná pracovní místa. Při stanovení výše finančních prostředků byly určující plánované náklady na zřízení nových pracovních míst. Doba obsazení SÚPM byla sjednávána na 365 kalendářních dnů. O tento nástroj byl již tradičně nízký zájem ze strany zaměstnavatelů (zaměstnavatelé upřednostňují nástroj SÚPM vyhrazená). </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b/>
        </w:rPr>
        <w:t xml:space="preserve">V roce 2014 bylo vytvořeno celkem 24 nových pracovních míst a umístěno celkem 24 uchazečů. </w:t>
      </w:r>
      <w:r w:rsidRPr="00EA12E4">
        <w:rPr>
          <w:rFonts w:asciiTheme="minorHAnsi" w:hAnsiTheme="minorHAnsi" w:cstheme="minorHAnsi"/>
        </w:rPr>
        <w:t xml:space="preserve">Bylo vyplaceno celkem </w:t>
      </w:r>
      <w:r w:rsidR="00DE3987">
        <w:rPr>
          <w:rFonts w:asciiTheme="minorHAnsi" w:hAnsiTheme="minorHAnsi" w:cstheme="minorHAnsi"/>
        </w:rPr>
        <w:t>1 445 000</w:t>
      </w:r>
      <w:r w:rsidRPr="00EA12E4">
        <w:rPr>
          <w:rFonts w:asciiTheme="minorHAnsi" w:hAnsiTheme="minorHAnsi" w:cstheme="minorHAnsi"/>
        </w:rPr>
        <w:t xml:space="preserve"> Kč na nově zřízená pracovní místa.</w:t>
      </w:r>
    </w:p>
    <w:p w:rsidR="00AE6900" w:rsidRPr="00EA12E4" w:rsidRDefault="00AE6900" w:rsidP="00AE6900">
      <w:pPr>
        <w:ind w:firstLine="709"/>
        <w:jc w:val="both"/>
        <w:rPr>
          <w:rFonts w:asciiTheme="minorHAnsi" w:hAnsiTheme="minorHAnsi" w:cstheme="minorHAnsi"/>
          <w:color w:val="FF0000"/>
        </w:rPr>
      </w:pPr>
    </w:p>
    <w:p w:rsidR="00AE6900" w:rsidRPr="00EA12E4" w:rsidRDefault="00AE6900" w:rsidP="00AE6900">
      <w:pPr>
        <w:ind w:left="720"/>
        <w:jc w:val="both"/>
        <w:rPr>
          <w:rFonts w:asciiTheme="minorHAnsi" w:hAnsiTheme="minorHAnsi" w:cstheme="minorHAnsi"/>
          <w:b/>
        </w:rPr>
      </w:pPr>
      <w:r w:rsidRPr="00EA12E4">
        <w:rPr>
          <w:rFonts w:asciiTheme="minorHAnsi" w:hAnsiTheme="minorHAnsi" w:cstheme="minorHAnsi"/>
          <w:b/>
        </w:rPr>
        <w:t>SÚPM zřízená uchazečem o zaměstnání pro účel výkonu SVČ</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 xml:space="preserve">Příspěvek na zřízení společensky účelného pracovního místa za účelem výkonu samostatné výdělečné činnosti byl účelově vázán, tzn., že byl výhradně použit za účelem uvedeným v dohodě a v souladu se seznamem nákladových položek. Doba výkonu samostatné výdělečné činnosti byla sjednávána na dobu nejméně 365 kalendářních dnů.   </w:t>
      </w:r>
    </w:p>
    <w:p w:rsidR="00AE6900" w:rsidRPr="00EA12E4" w:rsidRDefault="00AE6900" w:rsidP="00AE6900">
      <w:pPr>
        <w:pStyle w:val="Odstavecseseznamem"/>
        <w:ind w:left="0" w:firstLine="709"/>
        <w:jc w:val="both"/>
        <w:rPr>
          <w:rFonts w:asciiTheme="minorHAnsi" w:hAnsiTheme="minorHAnsi" w:cstheme="minorHAnsi"/>
        </w:rPr>
      </w:pPr>
      <w:r w:rsidRPr="00EA12E4">
        <w:rPr>
          <w:rFonts w:asciiTheme="minorHAnsi" w:hAnsiTheme="minorHAnsi" w:cstheme="minorHAnsi"/>
          <w:b/>
        </w:rPr>
        <w:t xml:space="preserve">Celkem bylo v roce 2014 podpořeno 188 uchazečů, což je oproti roku 2013 o 22 osob méně. </w:t>
      </w:r>
      <w:r w:rsidRPr="00EA12E4">
        <w:rPr>
          <w:rFonts w:asciiTheme="minorHAnsi" w:hAnsiTheme="minorHAnsi" w:cstheme="minorHAnsi"/>
        </w:rPr>
        <w:t xml:space="preserve">Nižší počet zřízených SÚPM pro výkon SVČ byl způsoben vyšší kontrolou životaschopnosti podnikatelských záměrů a také se brala v úvahu konkurence v daném oboru podnikání a regionu. Tak jako v roce 2013 spektrum činností začínajících OSVČ  bylo široké a směřovalo do služeb různého charakteru. Celkem bylo vyplaceno na tento nástroj </w:t>
      </w:r>
      <w:r w:rsidR="00DE3987">
        <w:rPr>
          <w:rFonts w:asciiTheme="minorHAnsi" w:hAnsiTheme="minorHAnsi" w:cstheme="minorHAnsi"/>
        </w:rPr>
        <w:t>10 220 362</w:t>
      </w:r>
      <w:r w:rsidRPr="00EA12E4">
        <w:rPr>
          <w:rFonts w:asciiTheme="minorHAnsi" w:hAnsiTheme="minorHAnsi" w:cstheme="minorHAnsi"/>
        </w:rPr>
        <w:t xml:space="preserve"> Kč.</w:t>
      </w:r>
    </w:p>
    <w:p w:rsidR="00AE6900" w:rsidRPr="00EA12E4" w:rsidRDefault="00AE6900" w:rsidP="00AE6900">
      <w:pPr>
        <w:pStyle w:val="Odstavecseseznamem"/>
        <w:ind w:left="0" w:firstLine="709"/>
        <w:jc w:val="both"/>
        <w:rPr>
          <w:rFonts w:asciiTheme="minorHAnsi" w:hAnsiTheme="minorHAnsi" w:cstheme="minorHAnsi"/>
          <w:color w:val="FF0000"/>
        </w:rPr>
      </w:pPr>
    </w:p>
    <w:p w:rsidR="00AE6900" w:rsidRPr="00EA12E4" w:rsidRDefault="00AE6900" w:rsidP="00AE6900">
      <w:pPr>
        <w:ind w:left="720"/>
        <w:jc w:val="both"/>
        <w:rPr>
          <w:rFonts w:asciiTheme="minorHAnsi" w:hAnsiTheme="minorHAnsi" w:cstheme="minorHAnsi"/>
          <w:b/>
        </w:rPr>
      </w:pPr>
      <w:r w:rsidRPr="00EA12E4">
        <w:rPr>
          <w:rFonts w:asciiTheme="minorHAnsi" w:hAnsiTheme="minorHAnsi" w:cstheme="minorHAnsi"/>
          <w:b/>
        </w:rPr>
        <w:t>Chráněná pracovní místa</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b/>
        </w:rPr>
        <w:t>V roce 2014 bylo vytvořeno 32 míst, na kterých bylo umístěno 36 uchazečů.</w:t>
      </w:r>
      <w:r w:rsidRPr="00EA12E4">
        <w:rPr>
          <w:rFonts w:asciiTheme="minorHAnsi" w:hAnsiTheme="minorHAnsi" w:cstheme="minorHAnsi"/>
        </w:rPr>
        <w:t xml:space="preserve"> Snížení počtu vytvořených chráněných pracovních míst bylo ovlivněno vymezováním chráněných pracovních míst u zaměstnavatelů zaměstnávajících více než 50 % OZP a pobírající příspěvky dle § 78. Celková výše příspěvků činila 1 </w:t>
      </w:r>
      <w:r w:rsidR="00DE3987">
        <w:rPr>
          <w:rFonts w:asciiTheme="minorHAnsi" w:hAnsiTheme="minorHAnsi" w:cstheme="minorHAnsi"/>
        </w:rPr>
        <w:t>8</w:t>
      </w:r>
      <w:r w:rsidRPr="00EA12E4">
        <w:rPr>
          <w:rFonts w:asciiTheme="minorHAnsi" w:hAnsiTheme="minorHAnsi" w:cstheme="minorHAnsi"/>
        </w:rPr>
        <w:t>29 000 Kč.</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Na úhradu provozních nákladů chráněného pracovního místa bylo v roce 2014 vynaloženo celkem 1 766 630 Kč.</w:t>
      </w:r>
    </w:p>
    <w:p w:rsidR="00AE6900" w:rsidRPr="00EA12E4" w:rsidRDefault="00AE6900" w:rsidP="00AE6900">
      <w:pPr>
        <w:jc w:val="both"/>
        <w:rPr>
          <w:rFonts w:asciiTheme="minorHAnsi" w:hAnsiTheme="minorHAnsi" w:cstheme="minorHAnsi"/>
          <w:color w:val="FF0000"/>
        </w:rPr>
      </w:pPr>
    </w:p>
    <w:p w:rsidR="00AE6900" w:rsidRPr="005E4817" w:rsidRDefault="00AE6900" w:rsidP="00327B25">
      <w:pPr>
        <w:pStyle w:val="Zkladntext"/>
        <w:spacing w:line="240" w:lineRule="auto"/>
        <w:ind w:left="1" w:firstLine="708"/>
        <w:jc w:val="both"/>
        <w:rPr>
          <w:rFonts w:asciiTheme="minorHAnsi" w:hAnsiTheme="minorHAnsi" w:cstheme="minorHAnsi"/>
          <w:b w:val="0"/>
          <w:sz w:val="24"/>
        </w:rPr>
      </w:pPr>
      <w:r w:rsidRPr="00EA12E4">
        <w:rPr>
          <w:rFonts w:asciiTheme="minorHAnsi" w:hAnsiTheme="minorHAnsi" w:cstheme="minorHAnsi"/>
          <w:sz w:val="24"/>
        </w:rPr>
        <w:t xml:space="preserve">Celkový počet nově vytvořených </w:t>
      </w:r>
      <w:r w:rsidR="00327B25">
        <w:rPr>
          <w:rFonts w:asciiTheme="minorHAnsi" w:hAnsiTheme="minorHAnsi" w:cstheme="minorHAnsi"/>
          <w:sz w:val="24"/>
        </w:rPr>
        <w:t>míst se v porovnání s rokem 2013</w:t>
      </w:r>
      <w:r w:rsidRPr="00EA12E4">
        <w:rPr>
          <w:rFonts w:asciiTheme="minorHAnsi" w:hAnsiTheme="minorHAnsi" w:cstheme="minorHAnsi"/>
          <w:sz w:val="24"/>
        </w:rPr>
        <w:t xml:space="preserve"> zvýšil o 10 %. V roce 2014 úřad práce nepodporoval příspěvek na zapracování a překlenovací příspěvek. K nárůstu došlo u nástroje  APZ - SÚPM vyhrazená o 873 pracovních míst.</w:t>
      </w:r>
      <w:r w:rsidRPr="00EA12E4">
        <w:rPr>
          <w:rFonts w:asciiTheme="minorHAnsi" w:hAnsiTheme="minorHAnsi" w:cstheme="minorHAnsi"/>
        </w:rPr>
        <w:t xml:space="preserve"> </w:t>
      </w:r>
      <w:r w:rsidRPr="00EA12E4">
        <w:rPr>
          <w:rFonts w:asciiTheme="minorHAnsi" w:hAnsiTheme="minorHAnsi" w:cstheme="minorHAnsi"/>
          <w:b w:val="0"/>
          <w:sz w:val="24"/>
        </w:rPr>
        <w:t xml:space="preserve">Jedná se o nejvyužívanější nástroj aktivní politiky zaměstnanosti. Motivační výše příspěvku a minimální administrativní náročnost spojená s jeho použitím vytvářejí pro zaměstnavatele podmínky, za kterých jsou ochotni přijmout i uchazeče o zaměstnání výrazně znevýhodněné na trhu práce. </w:t>
      </w:r>
      <w:r w:rsidRPr="005E4817">
        <w:rPr>
          <w:rFonts w:asciiTheme="minorHAnsi" w:hAnsiTheme="minorHAnsi" w:cstheme="minorHAnsi"/>
          <w:b w:val="0"/>
          <w:sz w:val="24"/>
        </w:rPr>
        <w:t>Na vytvoření pracovních příležitostí v rámci veřejně prospěšných prací se podařilo umístit výhradně osoby dlouhodobě nezaměstnané s kumulací handicapů. Tyto nástroje byly podporovány především ze zdrojů ESF.</w:t>
      </w:r>
    </w:p>
    <w:p w:rsidR="00AE6900" w:rsidRPr="00EA12E4" w:rsidRDefault="00AE6900" w:rsidP="00AE6900">
      <w:pPr>
        <w:pStyle w:val="Zkladntext2"/>
        <w:ind w:firstLine="708"/>
        <w:jc w:val="both"/>
        <w:rPr>
          <w:rFonts w:asciiTheme="minorHAnsi" w:hAnsiTheme="minorHAnsi" w:cstheme="minorHAnsi"/>
          <w:b/>
          <w:color w:val="FF0000"/>
          <w:szCs w:val="24"/>
        </w:rPr>
      </w:pPr>
    </w:p>
    <w:p w:rsidR="00AE6900" w:rsidRPr="00EA12E4" w:rsidRDefault="00AE6900" w:rsidP="00AE6900">
      <w:pPr>
        <w:pStyle w:val="Zkladntext"/>
        <w:spacing w:line="240" w:lineRule="auto"/>
        <w:jc w:val="both"/>
        <w:rPr>
          <w:rFonts w:asciiTheme="minorHAnsi" w:hAnsiTheme="minorHAnsi" w:cstheme="minorHAnsi"/>
          <w:b w:val="0"/>
          <w:sz w:val="24"/>
        </w:rPr>
      </w:pPr>
      <w:r w:rsidRPr="00EA12E4">
        <w:rPr>
          <w:rFonts w:asciiTheme="minorHAnsi" w:hAnsiTheme="minorHAnsi" w:cstheme="minorHAnsi"/>
          <w:b w:val="0"/>
          <w:color w:val="FF0000"/>
          <w:sz w:val="24"/>
        </w:rPr>
        <w:t xml:space="preserve">            </w:t>
      </w:r>
      <w:r w:rsidRPr="00EA12E4">
        <w:rPr>
          <w:rFonts w:asciiTheme="minorHAnsi" w:hAnsiTheme="minorHAnsi" w:cstheme="minorHAnsi"/>
          <w:sz w:val="24"/>
        </w:rPr>
        <w:t>Zabezpečování odborné praxe UoZ do 30 let na ÚP ČR</w:t>
      </w:r>
    </w:p>
    <w:p w:rsidR="00AE6900" w:rsidRPr="00EA12E4" w:rsidRDefault="00AE6900" w:rsidP="00AE6900">
      <w:pPr>
        <w:pStyle w:val="Zkladntext"/>
        <w:spacing w:line="240" w:lineRule="auto"/>
        <w:ind w:firstLine="709"/>
        <w:jc w:val="both"/>
        <w:rPr>
          <w:rFonts w:asciiTheme="minorHAnsi" w:hAnsiTheme="minorHAnsi" w:cstheme="minorHAnsi"/>
          <w:b w:val="0"/>
          <w:sz w:val="24"/>
        </w:rPr>
      </w:pPr>
      <w:r w:rsidRPr="00EA12E4">
        <w:rPr>
          <w:rFonts w:asciiTheme="minorHAnsi" w:hAnsiTheme="minorHAnsi" w:cstheme="minorHAnsi"/>
          <w:b w:val="0"/>
          <w:sz w:val="24"/>
        </w:rPr>
        <w:t>V roce 2014 byl opět realizov</w:t>
      </w:r>
      <w:r w:rsidR="00327B25">
        <w:rPr>
          <w:rFonts w:asciiTheme="minorHAnsi" w:hAnsiTheme="minorHAnsi" w:cstheme="minorHAnsi"/>
          <w:b w:val="0"/>
          <w:sz w:val="24"/>
        </w:rPr>
        <w:t>án projekt, který umožnil úřadu</w:t>
      </w:r>
      <w:r w:rsidRPr="00EA12E4">
        <w:rPr>
          <w:rFonts w:asciiTheme="minorHAnsi" w:hAnsiTheme="minorHAnsi" w:cstheme="minorHAnsi"/>
          <w:b w:val="0"/>
          <w:sz w:val="24"/>
        </w:rPr>
        <w:t xml:space="preserve"> práce zabezpečit odbornou praxi absolventům středních, vyšších a vysokých škol na pracovištích ÚP prostřednictvím agentury práce MANPOWER</w:t>
      </w:r>
      <w:r w:rsidR="00837DE1">
        <w:rPr>
          <w:rFonts w:asciiTheme="minorHAnsi" w:hAnsiTheme="minorHAnsi" w:cstheme="minorHAnsi"/>
          <w:b w:val="0"/>
          <w:sz w:val="24"/>
        </w:rPr>
        <w:t xml:space="preserve"> GROUP</w:t>
      </w:r>
      <w:r w:rsidRPr="00EA12E4">
        <w:rPr>
          <w:rFonts w:asciiTheme="minorHAnsi" w:hAnsiTheme="minorHAnsi" w:cstheme="minorHAnsi"/>
          <w:b w:val="0"/>
          <w:sz w:val="24"/>
        </w:rPr>
        <w:t xml:space="preserve">. Takto </w:t>
      </w:r>
      <w:r w:rsidRPr="00EA12E4">
        <w:rPr>
          <w:rFonts w:asciiTheme="minorHAnsi" w:hAnsiTheme="minorHAnsi" w:cstheme="minorHAnsi"/>
          <w:sz w:val="24"/>
        </w:rPr>
        <w:t>bylo v Olomouckém kraji od listopadu 2014 umístěno celkem 43 UoZ</w:t>
      </w:r>
      <w:r w:rsidRPr="00EA12E4">
        <w:rPr>
          <w:rFonts w:asciiTheme="minorHAnsi" w:hAnsiTheme="minorHAnsi" w:cstheme="minorHAnsi"/>
          <w:b w:val="0"/>
          <w:sz w:val="24"/>
        </w:rPr>
        <w:t xml:space="preserve"> s příspěvkem ve výši 24 000 Kč měsíčně. </w:t>
      </w:r>
    </w:p>
    <w:p w:rsidR="00AE6900" w:rsidRPr="00EA12E4" w:rsidRDefault="00AE6900" w:rsidP="00AE6900">
      <w:pPr>
        <w:pStyle w:val="Zkladntext"/>
        <w:spacing w:line="240" w:lineRule="auto"/>
        <w:ind w:firstLine="709"/>
        <w:jc w:val="both"/>
        <w:rPr>
          <w:rFonts w:asciiTheme="minorHAnsi" w:hAnsiTheme="minorHAnsi" w:cstheme="minorHAnsi"/>
          <w:b w:val="0"/>
          <w:color w:val="FF0000"/>
          <w:sz w:val="24"/>
        </w:rPr>
      </w:pPr>
    </w:p>
    <w:p w:rsidR="00AE6900" w:rsidRDefault="00AE6900" w:rsidP="00AE6900">
      <w:pPr>
        <w:pStyle w:val="Zkladntext"/>
        <w:spacing w:line="240" w:lineRule="auto"/>
        <w:ind w:firstLine="709"/>
        <w:jc w:val="both"/>
        <w:rPr>
          <w:rFonts w:asciiTheme="minorHAnsi" w:hAnsiTheme="minorHAnsi" w:cstheme="minorHAnsi"/>
          <w:b w:val="0"/>
          <w:color w:val="FF0000"/>
          <w:sz w:val="24"/>
        </w:rPr>
      </w:pPr>
    </w:p>
    <w:p w:rsidR="00600C3A" w:rsidRDefault="00600C3A" w:rsidP="00AE6900">
      <w:pPr>
        <w:pStyle w:val="Zkladntext"/>
        <w:spacing w:line="240" w:lineRule="auto"/>
        <w:ind w:firstLine="709"/>
        <w:jc w:val="both"/>
        <w:rPr>
          <w:rFonts w:asciiTheme="minorHAnsi" w:hAnsiTheme="minorHAnsi" w:cstheme="minorHAnsi"/>
          <w:b w:val="0"/>
          <w:color w:val="FF0000"/>
          <w:sz w:val="24"/>
        </w:rPr>
      </w:pPr>
    </w:p>
    <w:p w:rsidR="00AE6900" w:rsidRDefault="00AE6900" w:rsidP="00AE6900">
      <w:pPr>
        <w:pStyle w:val="Zkladntext"/>
        <w:spacing w:line="240" w:lineRule="auto"/>
        <w:ind w:firstLine="709"/>
        <w:jc w:val="both"/>
        <w:rPr>
          <w:rFonts w:asciiTheme="minorHAnsi" w:hAnsiTheme="minorHAnsi" w:cstheme="minorHAnsi"/>
          <w:b w:val="0"/>
          <w:color w:val="FF0000"/>
          <w:sz w:val="24"/>
        </w:rPr>
      </w:pPr>
    </w:p>
    <w:p w:rsidR="00327B25" w:rsidRDefault="00AE6900" w:rsidP="00327B25">
      <w:pPr>
        <w:pStyle w:val="Zkladntext"/>
        <w:spacing w:line="240" w:lineRule="atLeast"/>
        <w:jc w:val="both"/>
        <w:rPr>
          <w:rFonts w:asciiTheme="minorHAnsi" w:hAnsiTheme="minorHAnsi" w:cstheme="minorHAnsi"/>
          <w:color w:val="0000FF"/>
          <w:sz w:val="24"/>
        </w:rPr>
      </w:pPr>
      <w:r w:rsidRPr="00EA12E4">
        <w:rPr>
          <w:rFonts w:asciiTheme="minorHAnsi" w:hAnsiTheme="minorHAnsi" w:cstheme="minorHAnsi"/>
          <w:snapToGrid w:val="0"/>
        </w:rPr>
        <w:lastRenderedPageBreak/>
        <w:tab/>
      </w:r>
      <w:r w:rsidRPr="00EA12E4">
        <w:rPr>
          <w:rFonts w:asciiTheme="minorHAnsi" w:hAnsiTheme="minorHAnsi" w:cstheme="minorHAnsi"/>
          <w:color w:val="0000FF"/>
          <w:sz w:val="24"/>
        </w:rPr>
        <w:t>6.2 Rekvalifikace a poradenské činnosti</w:t>
      </w:r>
    </w:p>
    <w:p w:rsidR="00327B25" w:rsidRPr="00327B25" w:rsidRDefault="00327B25" w:rsidP="00327B25">
      <w:pPr>
        <w:pStyle w:val="Zkladntext"/>
        <w:spacing w:line="240" w:lineRule="atLeast"/>
        <w:jc w:val="both"/>
        <w:rPr>
          <w:rFonts w:asciiTheme="minorHAnsi" w:hAnsiTheme="minorHAnsi" w:cstheme="minorHAnsi"/>
          <w:color w:val="0000FF"/>
          <w:sz w:val="16"/>
          <w:szCs w:val="16"/>
        </w:rPr>
      </w:pPr>
    </w:p>
    <w:p w:rsidR="00AE6900" w:rsidRPr="00327B25" w:rsidRDefault="00AE6900" w:rsidP="00327B25">
      <w:pPr>
        <w:pStyle w:val="Zkladntext"/>
        <w:spacing w:line="240" w:lineRule="atLeast"/>
        <w:ind w:firstLine="709"/>
        <w:jc w:val="both"/>
        <w:rPr>
          <w:rFonts w:asciiTheme="minorHAnsi" w:hAnsiTheme="minorHAnsi" w:cstheme="minorHAnsi"/>
          <w:b w:val="0"/>
          <w:color w:val="0000FF"/>
          <w:sz w:val="24"/>
        </w:rPr>
      </w:pPr>
      <w:r w:rsidRPr="00327B25">
        <w:rPr>
          <w:rFonts w:asciiTheme="minorHAnsi" w:hAnsiTheme="minorHAnsi" w:cstheme="minorHAnsi"/>
          <w:b w:val="0"/>
          <w:sz w:val="24"/>
        </w:rPr>
        <w:t>Význam rekvalifikací v souboru nástrojů APZ stále stoupá, zejména kvůli kvalifikační struktuře nezaměstnaných. S ekonomickým oživením roste poptávka zaměstnavatelů po nových kvalifikovaných zaměstnancích. Registrovaní UoZ však často získali jinou kvalifikaci, než požadují zaměstnavatelé (jde o tzv. strukturální nezaměstnanost), nebo jejich kvalifikaci není ve srovnání s požadavky zaměstnavatelů dost široká, hluboká nebo specializovaná, než zaměstnavatel ne vždy chce a může řešit zapracováním nového zaměstnance. Uchazeči a zájemci o zaměstnání proto využívají rekvalifikace k rozšíření a zvýšení kvalifikace, k získání odborných znalostí a kompetencí vyžadovaných na trhu práce, k následnému přechodu do jiných profesí a samozřejmě také k získávání doplňkových osvědčení. V rámci projektu Vzdělávání a dovednosti pro trh práce pak krajská pobočka zajišťuje rekvalifikace (často podle definic profesních kvalifikací v Národní soustavě kvalifikací) podle potřeb konkrétních zaměstnavatelů a to na pracovní místa, která firmy potřebují obsadit.</w:t>
      </w:r>
    </w:p>
    <w:p w:rsidR="00AE6900" w:rsidRPr="00EA12E4" w:rsidRDefault="00AE6900" w:rsidP="00BF79B2">
      <w:pPr>
        <w:ind w:firstLine="709"/>
        <w:jc w:val="both"/>
        <w:rPr>
          <w:rFonts w:asciiTheme="minorHAnsi" w:hAnsiTheme="minorHAnsi" w:cstheme="minorHAnsi"/>
        </w:rPr>
      </w:pPr>
      <w:r w:rsidRPr="00327B25">
        <w:rPr>
          <w:rFonts w:asciiTheme="minorHAnsi" w:hAnsiTheme="minorHAnsi" w:cstheme="minorHAnsi"/>
        </w:rPr>
        <w:t>Pro zabezpečované rekvalifikace využívala KrP stávající rámcové smlouvy</w:t>
      </w:r>
      <w:r w:rsidRPr="00EA12E4">
        <w:rPr>
          <w:rFonts w:asciiTheme="minorHAnsi" w:hAnsiTheme="minorHAnsi" w:cstheme="minorHAnsi"/>
        </w:rPr>
        <w:t xml:space="preserve"> (veřejná zakázka  „Rekvalifikace I – KrP v Olomouci“) a pokud realizovala rekvalifikace „na míru“ pro konkrétní zaměstnavatele, postupovala cestou zakázek malého rozsahu.</w:t>
      </w:r>
    </w:p>
    <w:p w:rsidR="00AE6900" w:rsidRPr="00EA12E4" w:rsidRDefault="00AE6900" w:rsidP="00327B25">
      <w:pPr>
        <w:pStyle w:val="Normlnweb"/>
        <w:spacing w:before="0" w:beforeAutospacing="0" w:after="0" w:afterAutospacing="0"/>
        <w:ind w:firstLine="709"/>
        <w:jc w:val="both"/>
        <w:rPr>
          <w:rFonts w:asciiTheme="minorHAnsi" w:hAnsiTheme="minorHAnsi" w:cstheme="minorHAnsi"/>
          <w:color w:val="FF0000"/>
        </w:rPr>
      </w:pPr>
      <w:r w:rsidRPr="00EA12E4">
        <w:rPr>
          <w:rFonts w:asciiTheme="minorHAnsi" w:hAnsiTheme="minorHAnsi" w:cstheme="minorHAnsi"/>
        </w:rPr>
        <w:t xml:space="preserve">U zvolených rekvalifikací sice uchazeč o zaměstnání nemá možnost pobírat podporu při rekvalifikaci, ale může si sám vybrat dodavatele a zajistit si tak rekvalifikaci velmi rychle, nebo od vzdělávacího zařízení, které využívá potenciální zaměstnavatel, nebo (v některých případech) s trošku jiným </w:t>
      </w:r>
      <w:r w:rsidRPr="00EA12E4">
        <w:rPr>
          <w:rFonts w:asciiTheme="minorHAnsi" w:hAnsiTheme="minorHAnsi" w:cstheme="minorHAnsi"/>
          <w:color w:val="000000" w:themeColor="text1"/>
        </w:rPr>
        <w:t>obsahem, než je obvyklé.</w:t>
      </w:r>
    </w:p>
    <w:p w:rsidR="00AE6900" w:rsidRPr="00EA12E4" w:rsidRDefault="00AE6900" w:rsidP="00BF79B2">
      <w:pPr>
        <w:pStyle w:val="Normlnweb"/>
        <w:spacing w:before="0" w:beforeAutospacing="0" w:after="0" w:afterAutospacing="0"/>
        <w:ind w:firstLine="709"/>
        <w:jc w:val="both"/>
        <w:rPr>
          <w:rFonts w:asciiTheme="minorHAnsi" w:hAnsiTheme="minorHAnsi" w:cstheme="minorHAnsi"/>
        </w:rPr>
      </w:pPr>
      <w:r w:rsidRPr="00EA12E4">
        <w:rPr>
          <w:rFonts w:asciiTheme="minorHAnsi" w:hAnsiTheme="minorHAnsi" w:cstheme="minorHAnsi"/>
        </w:rPr>
        <w:t>V určitých případech (i když ne plošně) může být rekvalifikace nástrojem, který pomáhá uchazečům o zaměstnání ze skupin znevýhodněných na trhu práce.</w:t>
      </w:r>
      <w:r w:rsidR="00BF79B2">
        <w:rPr>
          <w:rFonts w:asciiTheme="minorHAnsi" w:hAnsiTheme="minorHAnsi" w:cstheme="minorHAnsi"/>
        </w:rPr>
        <w:t xml:space="preserve"> </w:t>
      </w:r>
      <w:r w:rsidRPr="00EA12E4">
        <w:rPr>
          <w:rFonts w:asciiTheme="minorHAnsi" w:hAnsiTheme="minorHAnsi" w:cstheme="minorHAnsi"/>
        </w:rPr>
        <w:t>Struktura rekvalifikací se meziročně příliš nemění. Mezi nejčastěji realizované rekvalifikační kurzy patřily i v roce 2014 kurzy obsluhy PC (a to od kurzů typu základy PC až ke kurzům ECDL), kurzy administrativního pracovníka, kurzy k získání svářečských průkazů, kurzy účetnictví, obsluhy vysokozdvižných vozíků, kurzy pro pracovníky sociálních služeb, kurzy obrábění a obsluhy CNC strojů, rekvalifikace k získání řidičských průkazů apod. Prostřednictvím zvolených rekvalifikací se uchazeči o zaměstnání rekvalifikovali na pracovní činnosti např. v oblasti služeb (kosmetika, kadeřnictví, masáže), dále získávali základní znalosti pro zahájení soukromého podnikání, připravovali se na práci strážného, kouče, sanitáře, atd.</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Podle zkušeností krajské pobočky rostou šance na umístění po rekvalifikaci, jestliže žadatel volí rekvalifikaci s ohledem na své možnosti a plány na trhu práce a ještě před nástupem do kurzu si u zaměstnavatelů ověří, že pro ně bude jeho nová kvalifikace přínosem. Snažíme se proto uchazeče o zaměstnání právě k takovému postupu vést. Důsledkem je růst počtu žádostí o rekvalifikaci podložených zkušenostmi z předchozího hledání práce, průzkumem trhu nebo příslibem zaměstnání.</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b/>
        </w:rPr>
        <w:t xml:space="preserve">V roce 2014 bylo rekvalifikováno celkem 1 678 osob, z toho ve zvolené rekvalifikaci 571 uchazečů a zájemců o zaměstnání a v rámci tzv. zaměstnanecké rekvalifikace 18 osob. </w:t>
      </w:r>
      <w:r w:rsidRPr="00EA12E4">
        <w:rPr>
          <w:rFonts w:asciiTheme="minorHAnsi" w:hAnsiTheme="minorHAnsi" w:cstheme="minorHAnsi"/>
        </w:rPr>
        <w:t>Náklady na rekvalifikace byly hrazeny jak z národního rozpočtu, tak i z financí EU prostřednictvím tzv. národních individuálních projektů „Vzdělávejte se pro růst! – rekvalifikace“ a „Vzdělávání a dovednosti pro trh práce“ (podrobněji o těchto projektech v další kapitole).</w:t>
      </w:r>
    </w:p>
    <w:p w:rsidR="00327B25" w:rsidRDefault="00AE6900" w:rsidP="00327B25">
      <w:pPr>
        <w:pStyle w:val="Default"/>
        <w:ind w:left="5" w:hanging="5"/>
        <w:jc w:val="both"/>
        <w:rPr>
          <w:rFonts w:asciiTheme="minorHAnsi" w:hAnsiTheme="minorHAnsi" w:cstheme="minorHAnsi"/>
        </w:rPr>
      </w:pPr>
      <w:r w:rsidRPr="00EA12E4">
        <w:rPr>
          <w:rFonts w:asciiTheme="minorHAnsi" w:hAnsiTheme="minorHAnsi" w:cstheme="minorHAnsi"/>
        </w:rPr>
        <w:t xml:space="preserve">V roce 2014 KrP ÚP v Olomouci spolupracovala mimo jiné i s několika realizátory grantových projektů a snažila se prostřednictvím jimi nabízených rekvalifikací pokrýt některé rekvalifikační potřeby uchazečů o zaměstnání. Grantové projekty pomáhají UoZ při vstupu na trh práce komplexně (často obsahují poradenství, rekvalifikace, hledání zaměstnání, a mnohdy i další aktivity) a jsou tak „doprovodnou rukou“, které může UoZ dovést až k pracovnímu místu. </w:t>
      </w:r>
    </w:p>
    <w:p w:rsidR="00AE6900" w:rsidRPr="00EA12E4" w:rsidRDefault="00AE6900" w:rsidP="00327B25">
      <w:pPr>
        <w:pStyle w:val="Default"/>
        <w:ind w:left="5" w:firstLine="704"/>
        <w:jc w:val="both"/>
        <w:rPr>
          <w:rFonts w:asciiTheme="minorHAnsi" w:hAnsiTheme="minorHAnsi" w:cstheme="minorHAnsi"/>
        </w:rPr>
      </w:pPr>
      <w:r w:rsidRPr="00EA12E4">
        <w:rPr>
          <w:rFonts w:asciiTheme="minorHAnsi" w:hAnsiTheme="minorHAnsi" w:cstheme="minorHAnsi"/>
        </w:rPr>
        <w:lastRenderedPageBreak/>
        <w:t>Na webu krajské pobočky je uveřejněna a pravidelně aktualizována přehledná prezentace s nabídkou „živých projektů“, z níž je zřejmá nejen cílová skupina projektu, ale i jeho obsah a nástroje, kterými se snaží uchazeče o zaměstnání podpořit, a kde lze také najít kontakt na realizátory projektu. Zde si mohou uchazeči o zaměstnání mezi projekty vybírat jak sami, tak v rámci poradenství poskytovaného Úřadem práce.</w:t>
      </w:r>
      <w:r w:rsidR="00BF79B2">
        <w:rPr>
          <w:rFonts w:asciiTheme="minorHAnsi" w:hAnsiTheme="minorHAnsi" w:cstheme="minorHAnsi"/>
        </w:rPr>
        <w:t xml:space="preserve"> </w:t>
      </w:r>
      <w:r w:rsidRPr="00EA12E4">
        <w:rPr>
          <w:rFonts w:asciiTheme="minorHAnsi" w:hAnsiTheme="minorHAnsi" w:cstheme="minorHAnsi"/>
        </w:rPr>
        <w:t xml:space="preserve">V roce 2014 bylo do </w:t>
      </w:r>
      <w:r w:rsidRPr="00EA12E4">
        <w:rPr>
          <w:rFonts w:asciiTheme="minorHAnsi" w:hAnsiTheme="minorHAnsi" w:cstheme="minorHAnsi"/>
          <w:b/>
        </w:rPr>
        <w:t>grantových projektů</w:t>
      </w:r>
      <w:r w:rsidRPr="00EA12E4">
        <w:rPr>
          <w:rFonts w:asciiTheme="minorHAnsi" w:hAnsiTheme="minorHAnsi" w:cstheme="minorHAnsi"/>
        </w:rPr>
        <w:t xml:space="preserve"> krajskou pobočkou v Olomouci </w:t>
      </w:r>
      <w:r w:rsidRPr="00EA12E4">
        <w:rPr>
          <w:rFonts w:asciiTheme="minorHAnsi" w:hAnsiTheme="minorHAnsi" w:cstheme="minorHAnsi"/>
          <w:b/>
        </w:rPr>
        <w:t>vysláno 315 UoZ</w:t>
      </w:r>
      <w:r w:rsidRPr="00EA12E4">
        <w:rPr>
          <w:rFonts w:asciiTheme="minorHAnsi" w:hAnsiTheme="minorHAnsi" w:cstheme="minorHAnsi"/>
        </w:rPr>
        <w:t>.</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V roce 2014 krajská pobočka realizovala taktéž </w:t>
      </w:r>
      <w:r w:rsidRPr="00EA12E4">
        <w:rPr>
          <w:rFonts w:asciiTheme="minorHAnsi" w:hAnsiTheme="minorHAnsi" w:cstheme="minorHAnsi"/>
          <w:b/>
        </w:rPr>
        <w:t>18 zaměstnaneckých rekvalifikací</w:t>
      </w:r>
      <w:r w:rsidRPr="00EA12E4">
        <w:rPr>
          <w:rFonts w:asciiTheme="minorHAnsi" w:hAnsiTheme="minorHAnsi" w:cstheme="minorHAnsi"/>
        </w:rPr>
        <w:t>. Tento nástroj je určen zaměstnavatelům, kteří provádějí rekvalifikaci v zájmu dalšího pracovního uplatnění svých zaměstnanců (např. při reorganizaci firmy) a umožňuje jim získat od Úřadu práce příspěvek na rekvalifikaci zaměstnanců (kurzovné až do výše 100% nákladů). V současnosti je tento nástroj využíván minimálně. Zaměstnavatelé mnohem častěji  využívali pro školení svých zaměstnanců projekty typu Vzdělávejte se pro růst! - adaptabilita či POVEZ (Podpora odborného vzdělávání zaměstnanců), v nichž mohli získat jak příspěvek na náklady školení, tak i na mzdu zaměstnanců po dobu školení. Při výběru vzdělávání podle svých potřeb nejsou v rámci výše uvedených projektů zaměstnavatelé omezeni jen na rekvalifikace podle definice uvedené v zákoně o zaměstnanosti.</w:t>
      </w:r>
      <w:r w:rsidR="00327B25">
        <w:rPr>
          <w:rFonts w:asciiTheme="minorHAnsi" w:hAnsiTheme="minorHAnsi" w:cstheme="minorHAnsi"/>
        </w:rPr>
        <w:t xml:space="preserve"> </w:t>
      </w:r>
      <w:r w:rsidRPr="00EA12E4">
        <w:rPr>
          <w:rFonts w:asciiTheme="minorHAnsi" w:hAnsiTheme="minorHAnsi" w:cstheme="minorHAnsi"/>
        </w:rPr>
        <w:t>Na rekvalifikace zaměstna</w:t>
      </w:r>
      <w:r w:rsidR="00327B25">
        <w:rPr>
          <w:rFonts w:asciiTheme="minorHAnsi" w:hAnsiTheme="minorHAnsi" w:cstheme="minorHAnsi"/>
        </w:rPr>
        <w:t xml:space="preserve">nců bylo vynaloženo </w:t>
      </w:r>
      <w:r w:rsidRPr="00EA12E4">
        <w:rPr>
          <w:rFonts w:asciiTheme="minorHAnsi" w:hAnsiTheme="minorHAnsi" w:cstheme="minorHAnsi"/>
        </w:rPr>
        <w:t>248 045,- Kč.</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Nedílnou součástí aktivní politiky zaměstnanosti je i </w:t>
      </w:r>
      <w:r w:rsidRPr="00EA12E4">
        <w:rPr>
          <w:rFonts w:asciiTheme="minorHAnsi" w:hAnsiTheme="minorHAnsi" w:cstheme="minorHAnsi"/>
          <w:b/>
        </w:rPr>
        <w:t>poradenství</w:t>
      </w:r>
      <w:r w:rsidRPr="00EA12E4">
        <w:rPr>
          <w:rFonts w:asciiTheme="minorHAnsi" w:hAnsiTheme="minorHAnsi" w:cstheme="minorHAnsi"/>
        </w:rPr>
        <w:t xml:space="preserve"> pro uchazeče a případně také zájemce o zaměstnání, ať už zajišťované poradci ÚP, nebo nákupem služby od externích dodavatelů. V roce 2014 zabezpečovala krajská pobočka poradenství pouze vlastními silami (tzn. pomocí speciálních poradců na pracovištích krajské pobočky v Jeseníku, Olomouci, Prostějově, Přerově a Šumperku; podle místních podmínek poradci vyjížděli s některými poradenskými aktivitami i na menší kontaktní pracoviště v rámci okresu). Zakázka na výběr dodavatelů poradenských činností bude vyhlášena v roce 2015 s cílem rozšířit rejstřík nabízených poradenských činností a navýšit poradenskou kapacitu krajské pobočky.</w:t>
      </w:r>
    </w:p>
    <w:p w:rsidR="00AE6900" w:rsidRPr="00EA12E4" w:rsidRDefault="00AE6900" w:rsidP="00BF79B2">
      <w:pPr>
        <w:ind w:left="1" w:firstLine="709"/>
        <w:jc w:val="both"/>
        <w:rPr>
          <w:rFonts w:asciiTheme="minorHAnsi" w:hAnsiTheme="minorHAnsi" w:cstheme="minorHAnsi"/>
        </w:rPr>
      </w:pPr>
      <w:r w:rsidRPr="00EA12E4">
        <w:rPr>
          <w:rFonts w:asciiTheme="minorHAnsi" w:hAnsiTheme="minorHAnsi" w:cstheme="minorHAnsi"/>
        </w:rPr>
        <w:t xml:space="preserve">Pro celý Úřad práce ČR byla v polovině roku 2013 navržena struktura sledování poskytnutého poradenství. Čísla uvedená níže v tabulce vycházejí z této nové struktury a jedná se o údaje za rok 2014. </w:t>
      </w:r>
    </w:p>
    <w:p w:rsidR="00AE6900" w:rsidRPr="00EA12E4" w:rsidRDefault="00AE6900" w:rsidP="00BF79B2">
      <w:pPr>
        <w:ind w:firstLine="709"/>
        <w:jc w:val="both"/>
        <w:rPr>
          <w:rFonts w:asciiTheme="minorHAnsi" w:hAnsiTheme="minorHAnsi" w:cstheme="minorHAnsi"/>
          <w:b/>
          <w:color w:val="FF0000"/>
        </w:rPr>
      </w:pPr>
    </w:p>
    <w:p w:rsidR="00AE6900" w:rsidRPr="00EA12E4" w:rsidRDefault="00AE6900" w:rsidP="00AE6900">
      <w:pPr>
        <w:jc w:val="both"/>
        <w:rPr>
          <w:rFonts w:asciiTheme="minorHAnsi" w:hAnsiTheme="minorHAnsi" w:cstheme="minorHAnsi"/>
        </w:rPr>
      </w:pPr>
      <w:r w:rsidRPr="00EA12E4">
        <w:rPr>
          <w:rFonts w:asciiTheme="minorHAnsi" w:hAnsiTheme="minorHAnsi" w:cstheme="minorHAnsi"/>
          <w:b/>
        </w:rPr>
        <w:t>Tabulka 14</w:t>
      </w:r>
      <w:r w:rsidRPr="00EA12E4">
        <w:rPr>
          <w:rFonts w:asciiTheme="minorHAnsi" w:hAnsiTheme="minorHAnsi" w:cstheme="minorHAnsi"/>
        </w:rPr>
        <w:t xml:space="preserve"> – Objem a struktura poradenství poskytnutého nad rámec činnosti poradců pro zprostředkování uchazečům a zájemcům o zaměstnání v roce 2014</w:t>
      </w: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30"/>
        <w:gridCol w:w="988"/>
        <w:gridCol w:w="981"/>
        <w:gridCol w:w="4907"/>
      </w:tblGrid>
      <w:tr w:rsidR="00AE6900" w:rsidRPr="00EA12E4" w:rsidTr="00327B25">
        <w:tc>
          <w:tcPr>
            <w:tcW w:w="2730" w:type="dxa"/>
            <w:vMerge w:val="restart"/>
            <w:tcBorders>
              <w:top w:val="double" w:sz="4" w:space="0" w:color="auto"/>
            </w:tcBorders>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Typ poradenství</w:t>
            </w:r>
          </w:p>
        </w:tc>
        <w:tc>
          <w:tcPr>
            <w:tcW w:w="1969" w:type="dxa"/>
            <w:gridSpan w:val="2"/>
            <w:tcBorders>
              <w:top w:val="double" w:sz="4" w:space="0" w:color="auto"/>
            </w:tcBorders>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Počet zapojených</w:t>
            </w:r>
          </w:p>
        </w:tc>
        <w:tc>
          <w:tcPr>
            <w:tcW w:w="4907" w:type="dxa"/>
            <w:vMerge w:val="restart"/>
            <w:tcBorders>
              <w:top w:val="double" w:sz="4" w:space="0" w:color="auto"/>
            </w:tcBorders>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Poznámka</w:t>
            </w:r>
          </w:p>
        </w:tc>
      </w:tr>
      <w:tr w:rsidR="00AE6900" w:rsidRPr="00EA12E4" w:rsidTr="00327B25">
        <w:tc>
          <w:tcPr>
            <w:tcW w:w="2730" w:type="dxa"/>
            <w:vMerge/>
            <w:tcBorders>
              <w:bottom w:val="double" w:sz="4" w:space="0" w:color="auto"/>
            </w:tcBorders>
          </w:tcPr>
          <w:p w:rsidR="00AE6900" w:rsidRPr="00EA12E4" w:rsidRDefault="00AE6900" w:rsidP="00AE6900">
            <w:pPr>
              <w:jc w:val="both"/>
              <w:rPr>
                <w:rFonts w:asciiTheme="minorHAnsi" w:hAnsiTheme="minorHAnsi" w:cstheme="minorHAnsi"/>
                <w:b/>
              </w:rPr>
            </w:pPr>
          </w:p>
        </w:tc>
        <w:tc>
          <w:tcPr>
            <w:tcW w:w="988" w:type="dxa"/>
            <w:tcBorders>
              <w:bottom w:val="double" w:sz="4" w:space="0" w:color="auto"/>
            </w:tcBorders>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skupin</w:t>
            </w:r>
          </w:p>
        </w:tc>
        <w:tc>
          <w:tcPr>
            <w:tcW w:w="981" w:type="dxa"/>
            <w:tcBorders>
              <w:bottom w:val="double" w:sz="4" w:space="0" w:color="auto"/>
            </w:tcBorders>
          </w:tcPr>
          <w:p w:rsidR="00AE6900" w:rsidRPr="00EA12E4" w:rsidRDefault="00AE6900" w:rsidP="00AE6900">
            <w:pPr>
              <w:jc w:val="center"/>
              <w:rPr>
                <w:rFonts w:asciiTheme="minorHAnsi" w:hAnsiTheme="minorHAnsi" w:cstheme="minorHAnsi"/>
                <w:b/>
              </w:rPr>
            </w:pPr>
            <w:r w:rsidRPr="00EA12E4">
              <w:rPr>
                <w:rFonts w:asciiTheme="minorHAnsi" w:hAnsiTheme="minorHAnsi" w:cstheme="minorHAnsi"/>
                <w:b/>
              </w:rPr>
              <w:t>osob</w:t>
            </w:r>
          </w:p>
        </w:tc>
        <w:tc>
          <w:tcPr>
            <w:tcW w:w="4907" w:type="dxa"/>
            <w:vMerge/>
            <w:tcBorders>
              <w:bottom w:val="double" w:sz="4" w:space="0" w:color="auto"/>
            </w:tcBorders>
          </w:tcPr>
          <w:p w:rsidR="00AE6900" w:rsidRPr="00EA12E4" w:rsidRDefault="00AE6900" w:rsidP="00AE6900">
            <w:pPr>
              <w:jc w:val="both"/>
              <w:rPr>
                <w:rFonts w:asciiTheme="minorHAnsi" w:hAnsiTheme="minorHAnsi" w:cstheme="minorHAnsi"/>
                <w:b/>
              </w:rPr>
            </w:pPr>
          </w:p>
        </w:tc>
      </w:tr>
      <w:tr w:rsidR="00AE6900" w:rsidRPr="00EA12E4" w:rsidTr="00327B25">
        <w:tc>
          <w:tcPr>
            <w:tcW w:w="2730" w:type="dxa"/>
            <w:tcBorders>
              <w:top w:val="double" w:sz="4" w:space="0" w:color="auto"/>
              <w:bottom w:val="single" w:sz="4" w:space="0" w:color="auto"/>
            </w:tcBorders>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Jobclub</w:t>
            </w:r>
          </w:p>
        </w:tc>
        <w:tc>
          <w:tcPr>
            <w:tcW w:w="988" w:type="dxa"/>
            <w:tcBorders>
              <w:top w:val="double" w:sz="4" w:space="0" w:color="auto"/>
              <w:bottom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14</w:t>
            </w:r>
          </w:p>
        </w:tc>
        <w:tc>
          <w:tcPr>
            <w:tcW w:w="981" w:type="dxa"/>
            <w:tcBorders>
              <w:top w:val="double" w:sz="4" w:space="0" w:color="auto"/>
              <w:bottom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70</w:t>
            </w:r>
          </w:p>
        </w:tc>
        <w:tc>
          <w:tcPr>
            <w:tcW w:w="4907" w:type="dxa"/>
            <w:tcBorders>
              <w:top w:val="double" w:sz="4" w:space="0" w:color="auto"/>
              <w:bottom w:val="single" w:sz="4" w:space="0" w:color="auto"/>
            </w:tcBorders>
            <w:vAlign w:val="center"/>
          </w:tcPr>
          <w:p w:rsidR="00AE6900" w:rsidRPr="00EA12E4" w:rsidRDefault="00AE6900" w:rsidP="00AE6900">
            <w:pPr>
              <w:rPr>
                <w:rFonts w:asciiTheme="minorHAnsi" w:hAnsiTheme="minorHAnsi" w:cstheme="minorHAnsi"/>
                <w:sz w:val="22"/>
                <w:szCs w:val="22"/>
              </w:rPr>
            </w:pPr>
            <w:r w:rsidRPr="00EA12E4">
              <w:rPr>
                <w:rFonts w:asciiTheme="minorHAnsi" w:hAnsiTheme="minorHAnsi" w:cstheme="minorHAnsi"/>
                <w:sz w:val="22"/>
                <w:szCs w:val="22"/>
              </w:rPr>
              <w:t>skupinové poradenství k hledání zaměstnání; probíhá ve</w:t>
            </w:r>
            <w:r w:rsidR="00327B25">
              <w:rPr>
                <w:rFonts w:asciiTheme="minorHAnsi" w:hAnsiTheme="minorHAnsi" w:cstheme="minorHAnsi"/>
                <w:sz w:val="22"/>
                <w:szCs w:val="22"/>
              </w:rPr>
              <w:t xml:space="preserve"> stálé skupině, zahrnuje min.</w:t>
            </w:r>
            <w:r w:rsidRPr="00EA12E4">
              <w:rPr>
                <w:rFonts w:asciiTheme="minorHAnsi" w:hAnsiTheme="minorHAnsi" w:cstheme="minorHAnsi"/>
                <w:sz w:val="22"/>
                <w:szCs w:val="22"/>
              </w:rPr>
              <w:t xml:space="preserve"> 6 schůzek</w:t>
            </w:r>
          </w:p>
        </w:tc>
      </w:tr>
      <w:tr w:rsidR="00AE6900" w:rsidRPr="00EA12E4" w:rsidTr="00327B25">
        <w:tc>
          <w:tcPr>
            <w:tcW w:w="2730" w:type="dxa"/>
            <w:tcBorders>
              <w:top w:val="single" w:sz="4" w:space="0" w:color="auto"/>
              <w:bottom w:val="single" w:sz="4" w:space="0" w:color="auto"/>
            </w:tcBorders>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Jiné skupinové poradenství s tématy jobclubu</w:t>
            </w:r>
          </w:p>
        </w:tc>
        <w:tc>
          <w:tcPr>
            <w:tcW w:w="988" w:type="dxa"/>
            <w:tcBorders>
              <w:top w:val="single" w:sz="4" w:space="0" w:color="auto"/>
              <w:bottom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415</w:t>
            </w:r>
          </w:p>
        </w:tc>
        <w:tc>
          <w:tcPr>
            <w:tcW w:w="981" w:type="dxa"/>
            <w:tcBorders>
              <w:top w:val="single" w:sz="4" w:space="0" w:color="auto"/>
              <w:bottom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5522</w:t>
            </w:r>
          </w:p>
        </w:tc>
        <w:tc>
          <w:tcPr>
            <w:tcW w:w="4907" w:type="dxa"/>
            <w:tcBorders>
              <w:top w:val="single" w:sz="4" w:space="0" w:color="auto"/>
              <w:bottom w:val="single" w:sz="4" w:space="0" w:color="auto"/>
            </w:tcBorders>
            <w:vAlign w:val="center"/>
          </w:tcPr>
          <w:p w:rsidR="00AE6900" w:rsidRPr="00EA12E4" w:rsidRDefault="00AE6900" w:rsidP="00AE6900">
            <w:pPr>
              <w:rPr>
                <w:rFonts w:asciiTheme="minorHAnsi" w:hAnsiTheme="minorHAnsi" w:cstheme="minorHAnsi"/>
                <w:sz w:val="22"/>
                <w:szCs w:val="22"/>
              </w:rPr>
            </w:pPr>
            <w:r w:rsidRPr="00EA12E4">
              <w:rPr>
                <w:rFonts w:asciiTheme="minorHAnsi" w:hAnsiTheme="minorHAnsi" w:cstheme="minorHAnsi"/>
                <w:sz w:val="22"/>
                <w:szCs w:val="22"/>
              </w:rPr>
              <w:t>méně než 6 schůzek, často v proměnlivé skupině, převážně informační a instruktážní povahy</w:t>
            </w:r>
          </w:p>
        </w:tc>
      </w:tr>
      <w:tr w:rsidR="00AE6900" w:rsidRPr="00EA12E4" w:rsidTr="00327B25">
        <w:trPr>
          <w:trHeight w:val="508"/>
        </w:trPr>
        <w:tc>
          <w:tcPr>
            <w:tcW w:w="2730" w:type="dxa"/>
            <w:tcBorders>
              <w:top w:val="single" w:sz="4" w:space="0" w:color="auto"/>
              <w:left w:val="double" w:sz="2" w:space="0" w:color="auto"/>
              <w:bottom w:val="single" w:sz="8" w:space="0" w:color="auto"/>
              <w:right w:val="single" w:sz="4" w:space="0" w:color="auto"/>
            </w:tcBorders>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Vstupní poradenství pro mladé do 30 let</w:t>
            </w:r>
          </w:p>
        </w:tc>
        <w:tc>
          <w:tcPr>
            <w:tcW w:w="988" w:type="dxa"/>
            <w:tcBorders>
              <w:top w:val="single" w:sz="4" w:space="0" w:color="auto"/>
              <w:left w:val="single" w:sz="4" w:space="0" w:color="auto"/>
              <w:bottom w:val="single" w:sz="8" w:space="0" w:color="auto"/>
              <w:right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340</w:t>
            </w:r>
          </w:p>
        </w:tc>
        <w:tc>
          <w:tcPr>
            <w:tcW w:w="981" w:type="dxa"/>
            <w:tcBorders>
              <w:top w:val="single" w:sz="4" w:space="0" w:color="auto"/>
              <w:left w:val="single" w:sz="4" w:space="0" w:color="auto"/>
              <w:bottom w:val="single" w:sz="8" w:space="0" w:color="auto"/>
              <w:right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5526</w:t>
            </w:r>
          </w:p>
        </w:tc>
        <w:tc>
          <w:tcPr>
            <w:tcW w:w="4907" w:type="dxa"/>
            <w:vMerge w:val="restart"/>
            <w:tcBorders>
              <w:top w:val="single" w:sz="4" w:space="0" w:color="auto"/>
              <w:left w:val="single" w:sz="4" w:space="0" w:color="auto"/>
              <w:bottom w:val="single" w:sz="4" w:space="0" w:color="auto"/>
            </w:tcBorders>
            <w:vAlign w:val="center"/>
          </w:tcPr>
          <w:p w:rsidR="00AE6900" w:rsidRPr="00EA12E4" w:rsidRDefault="00AE6900" w:rsidP="00AE6900">
            <w:pPr>
              <w:rPr>
                <w:rFonts w:asciiTheme="minorHAnsi" w:hAnsiTheme="minorHAnsi" w:cstheme="minorHAnsi"/>
                <w:sz w:val="22"/>
                <w:szCs w:val="22"/>
              </w:rPr>
            </w:pPr>
            <w:r w:rsidRPr="00EA12E4">
              <w:rPr>
                <w:rFonts w:asciiTheme="minorHAnsi" w:hAnsiTheme="minorHAnsi" w:cstheme="minorHAnsi"/>
                <w:sz w:val="22"/>
                <w:szCs w:val="22"/>
              </w:rPr>
              <w:t>jednorázové informace o službách ÚP a možnostech řešení nezaměstnanosti</w:t>
            </w:r>
          </w:p>
        </w:tc>
      </w:tr>
      <w:tr w:rsidR="00AE6900" w:rsidRPr="00EA12E4" w:rsidTr="00327B25">
        <w:trPr>
          <w:trHeight w:val="532"/>
        </w:trPr>
        <w:tc>
          <w:tcPr>
            <w:tcW w:w="2730" w:type="dxa"/>
            <w:tcBorders>
              <w:top w:val="single" w:sz="8" w:space="0" w:color="auto"/>
            </w:tcBorders>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Vstupní poradenství pro nově registrované UoZ</w:t>
            </w:r>
          </w:p>
        </w:tc>
        <w:tc>
          <w:tcPr>
            <w:tcW w:w="988" w:type="dxa"/>
            <w:tcBorders>
              <w:top w:val="single" w:sz="8" w:space="0" w:color="auto"/>
              <w:bottom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602</w:t>
            </w:r>
          </w:p>
        </w:tc>
        <w:tc>
          <w:tcPr>
            <w:tcW w:w="981" w:type="dxa"/>
            <w:tcBorders>
              <w:top w:val="single" w:sz="8" w:space="0" w:color="auto"/>
              <w:bottom w:val="single" w:sz="4" w:space="0" w:color="auto"/>
              <w:right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6 154</w:t>
            </w:r>
          </w:p>
        </w:tc>
        <w:tc>
          <w:tcPr>
            <w:tcW w:w="4907" w:type="dxa"/>
            <w:vMerge/>
            <w:tcBorders>
              <w:top w:val="single" w:sz="4" w:space="0" w:color="auto"/>
              <w:left w:val="single" w:sz="4" w:space="0" w:color="auto"/>
              <w:bottom w:val="single" w:sz="4" w:space="0" w:color="auto"/>
            </w:tcBorders>
            <w:vAlign w:val="center"/>
          </w:tcPr>
          <w:p w:rsidR="00AE6900" w:rsidRPr="00EA12E4" w:rsidRDefault="00AE6900" w:rsidP="00AE6900">
            <w:pPr>
              <w:rPr>
                <w:rFonts w:asciiTheme="minorHAnsi" w:hAnsiTheme="minorHAnsi" w:cstheme="minorHAnsi"/>
                <w:sz w:val="22"/>
                <w:szCs w:val="22"/>
              </w:rPr>
            </w:pPr>
          </w:p>
        </w:tc>
      </w:tr>
      <w:tr w:rsidR="00AE6900" w:rsidRPr="00EA12E4" w:rsidTr="00327B25">
        <w:trPr>
          <w:trHeight w:val="692"/>
        </w:trPr>
        <w:tc>
          <w:tcPr>
            <w:tcW w:w="2730" w:type="dxa"/>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Skupinové poradenství k volbě povolání</w:t>
            </w:r>
          </w:p>
        </w:tc>
        <w:tc>
          <w:tcPr>
            <w:tcW w:w="988" w:type="dxa"/>
            <w:tcBorders>
              <w:top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313</w:t>
            </w:r>
          </w:p>
          <w:p w:rsidR="00AE6900" w:rsidRPr="00327B25" w:rsidRDefault="00AE6900" w:rsidP="00AE6900">
            <w:pPr>
              <w:jc w:val="center"/>
              <w:rPr>
                <w:rFonts w:asciiTheme="minorHAnsi" w:hAnsiTheme="minorHAnsi" w:cstheme="minorHAnsi"/>
              </w:rPr>
            </w:pPr>
          </w:p>
        </w:tc>
        <w:tc>
          <w:tcPr>
            <w:tcW w:w="981" w:type="dxa"/>
            <w:tcBorders>
              <w:top w:val="sing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7 362</w:t>
            </w:r>
          </w:p>
        </w:tc>
        <w:tc>
          <w:tcPr>
            <w:tcW w:w="4907" w:type="dxa"/>
            <w:tcBorders>
              <w:top w:val="single" w:sz="4" w:space="0" w:color="auto"/>
            </w:tcBorders>
            <w:vAlign w:val="center"/>
          </w:tcPr>
          <w:p w:rsidR="00AE6900" w:rsidRPr="00EA12E4" w:rsidRDefault="00AE6900" w:rsidP="00AE6900">
            <w:pPr>
              <w:rPr>
                <w:rFonts w:asciiTheme="minorHAnsi" w:hAnsiTheme="minorHAnsi" w:cstheme="minorHAnsi"/>
                <w:sz w:val="22"/>
                <w:szCs w:val="22"/>
              </w:rPr>
            </w:pPr>
            <w:r w:rsidRPr="00EA12E4">
              <w:rPr>
                <w:rFonts w:asciiTheme="minorHAnsi" w:hAnsiTheme="minorHAnsi" w:cstheme="minorHAnsi"/>
                <w:sz w:val="22"/>
                <w:szCs w:val="22"/>
              </w:rPr>
              <w:t>pro žáky a studenty základních a středních, případně i dalších škol</w:t>
            </w:r>
          </w:p>
        </w:tc>
      </w:tr>
      <w:tr w:rsidR="00AE6900" w:rsidRPr="00EA12E4" w:rsidTr="00327B25">
        <w:tc>
          <w:tcPr>
            <w:tcW w:w="2730" w:type="dxa"/>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Individuální poradenství k volbě / změně povolání</w:t>
            </w:r>
          </w:p>
        </w:tc>
        <w:tc>
          <w:tcPr>
            <w:tcW w:w="988" w:type="dxa"/>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X</w:t>
            </w:r>
          </w:p>
        </w:tc>
        <w:tc>
          <w:tcPr>
            <w:tcW w:w="981" w:type="dxa"/>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1820</w:t>
            </w:r>
          </w:p>
        </w:tc>
        <w:tc>
          <w:tcPr>
            <w:tcW w:w="4907" w:type="dxa"/>
            <w:vAlign w:val="center"/>
          </w:tcPr>
          <w:p w:rsidR="00AE6900" w:rsidRPr="00EA12E4" w:rsidRDefault="00AE6900" w:rsidP="00AE6900">
            <w:pPr>
              <w:rPr>
                <w:rFonts w:asciiTheme="minorHAnsi" w:hAnsiTheme="minorHAnsi" w:cstheme="minorHAnsi"/>
                <w:sz w:val="22"/>
                <w:szCs w:val="22"/>
              </w:rPr>
            </w:pPr>
            <w:r w:rsidRPr="00EA12E4">
              <w:rPr>
                <w:rFonts w:asciiTheme="minorHAnsi" w:hAnsiTheme="minorHAnsi" w:cstheme="minorHAnsi"/>
                <w:sz w:val="22"/>
                <w:szCs w:val="22"/>
              </w:rPr>
              <w:t>konzultace žákům, studentům, uchazečům a zájemcům o zaměstnání a veřejnosti při volbě povolání</w:t>
            </w:r>
          </w:p>
        </w:tc>
      </w:tr>
      <w:tr w:rsidR="00AE6900" w:rsidRPr="00EA12E4" w:rsidTr="00327B25">
        <w:tc>
          <w:tcPr>
            <w:tcW w:w="2730" w:type="dxa"/>
            <w:tcBorders>
              <w:bottom w:val="double" w:sz="4" w:space="0" w:color="auto"/>
            </w:tcBorders>
            <w:vAlign w:val="center"/>
          </w:tcPr>
          <w:p w:rsidR="00AE6900" w:rsidRPr="00EA12E4" w:rsidRDefault="00AE6900" w:rsidP="00AE6900">
            <w:pPr>
              <w:rPr>
                <w:rFonts w:asciiTheme="minorHAnsi" w:hAnsiTheme="minorHAnsi" w:cstheme="minorHAnsi"/>
                <w:b/>
                <w:sz w:val="22"/>
                <w:szCs w:val="22"/>
              </w:rPr>
            </w:pPr>
            <w:r w:rsidRPr="00EA12E4">
              <w:rPr>
                <w:rFonts w:asciiTheme="minorHAnsi" w:hAnsiTheme="minorHAnsi" w:cstheme="minorHAnsi"/>
                <w:b/>
                <w:sz w:val="22"/>
                <w:szCs w:val="22"/>
              </w:rPr>
              <w:t>Ostatní individuální poradenství</w:t>
            </w:r>
          </w:p>
        </w:tc>
        <w:tc>
          <w:tcPr>
            <w:tcW w:w="988" w:type="dxa"/>
            <w:tcBorders>
              <w:bottom w:val="doub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X</w:t>
            </w:r>
          </w:p>
        </w:tc>
        <w:tc>
          <w:tcPr>
            <w:tcW w:w="981" w:type="dxa"/>
            <w:tcBorders>
              <w:bottom w:val="double" w:sz="4" w:space="0" w:color="auto"/>
            </w:tcBorders>
            <w:vAlign w:val="center"/>
          </w:tcPr>
          <w:p w:rsidR="00AE6900" w:rsidRPr="00327B25" w:rsidRDefault="00AE6900" w:rsidP="00AE6900">
            <w:pPr>
              <w:jc w:val="center"/>
              <w:rPr>
                <w:rFonts w:asciiTheme="minorHAnsi" w:hAnsiTheme="minorHAnsi" w:cstheme="minorHAnsi"/>
              </w:rPr>
            </w:pPr>
            <w:r w:rsidRPr="00327B25">
              <w:rPr>
                <w:rFonts w:asciiTheme="minorHAnsi" w:hAnsiTheme="minorHAnsi" w:cstheme="minorHAnsi"/>
              </w:rPr>
              <w:t>10 768</w:t>
            </w:r>
          </w:p>
        </w:tc>
        <w:tc>
          <w:tcPr>
            <w:tcW w:w="4907" w:type="dxa"/>
            <w:tcBorders>
              <w:bottom w:val="double" w:sz="4" w:space="0" w:color="auto"/>
            </w:tcBorders>
            <w:vAlign w:val="center"/>
          </w:tcPr>
          <w:p w:rsidR="00AE6900" w:rsidRPr="00EA12E4" w:rsidRDefault="00AE6900" w:rsidP="00327B25">
            <w:pPr>
              <w:rPr>
                <w:rFonts w:asciiTheme="minorHAnsi" w:hAnsiTheme="minorHAnsi" w:cstheme="minorHAnsi"/>
                <w:sz w:val="22"/>
                <w:szCs w:val="22"/>
              </w:rPr>
            </w:pPr>
            <w:r w:rsidRPr="00EA12E4">
              <w:rPr>
                <w:rFonts w:asciiTheme="minorHAnsi" w:hAnsiTheme="minorHAnsi" w:cstheme="minorHAnsi"/>
                <w:sz w:val="22"/>
                <w:szCs w:val="22"/>
              </w:rPr>
              <w:t xml:space="preserve">pomoc při řešení konkrétních problémů - buď samotné nezaměstnanosti, nebo problémů, které ji ovlivňují, </w:t>
            </w:r>
            <w:r w:rsidR="00327B25">
              <w:rPr>
                <w:rFonts w:asciiTheme="minorHAnsi" w:hAnsiTheme="minorHAnsi" w:cstheme="minorHAnsi"/>
                <w:sz w:val="22"/>
                <w:szCs w:val="22"/>
              </w:rPr>
              <w:t>vč. distančního poradenství (telefon</w:t>
            </w:r>
            <w:r w:rsidRPr="00EA12E4">
              <w:rPr>
                <w:rFonts w:asciiTheme="minorHAnsi" w:hAnsiTheme="minorHAnsi" w:cstheme="minorHAnsi"/>
                <w:sz w:val="22"/>
                <w:szCs w:val="22"/>
              </w:rPr>
              <w:t>, mail</w:t>
            </w:r>
            <w:r w:rsidR="00327B25">
              <w:rPr>
                <w:rFonts w:asciiTheme="minorHAnsi" w:hAnsiTheme="minorHAnsi" w:cstheme="minorHAnsi"/>
                <w:sz w:val="22"/>
                <w:szCs w:val="22"/>
              </w:rPr>
              <w:t>)</w:t>
            </w:r>
          </w:p>
        </w:tc>
      </w:tr>
    </w:tbl>
    <w:p w:rsidR="00AE6900" w:rsidRPr="00EA12E4" w:rsidRDefault="00AE6900" w:rsidP="00AE6900">
      <w:pPr>
        <w:ind w:firstLine="851"/>
        <w:jc w:val="both"/>
        <w:rPr>
          <w:rFonts w:asciiTheme="minorHAnsi" w:hAnsiTheme="minorHAnsi" w:cstheme="minorHAnsi"/>
          <w:color w:val="FF0000"/>
        </w:rPr>
      </w:pP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b/>
        </w:rPr>
        <w:t>Výše uvedené typy poradenství jsou poskytovány ve všech okresech</w:t>
      </w:r>
      <w:r w:rsidRPr="00EA12E4">
        <w:rPr>
          <w:rFonts w:asciiTheme="minorHAnsi" w:hAnsiTheme="minorHAnsi" w:cstheme="minorHAnsi"/>
        </w:rPr>
        <w:t xml:space="preserve"> (pouze jobclub je v Přerově a Prostějově nahrazován jiným skupinovým poradenstvím s tématy jobclubu). Intenzita využívání jednotlivých forem poradenství je však v různých okresech ovlivněna situací na trhu práce, strukturou a potřebami nezaměstnaných, ale i místními zvyklostmi, zkušenostmi a počty poradců. Ve spolupráci s poradci pro zprostředkování aplikují speciální poradci v podmínkách jednotlivých okresů ty formy poradenství, které se dlouhodobě dobře osvědčují a fungují.</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Skutečný počet osob, kterým bylo poskytnuto poradenství, je vyšší, než je uvedeno v tabulce (mezi účastníky skupinového poradenství, které se skládá z více schůzek, jsou započteni jen ti, kteří prošli celým skupinovým poradenstvím). V tabulce není zohledněn počet účastníků tzv. oborových dnů, jejichž cílem bylo prezentovat ve spolupráci s hospodářskými komorami a zaměstnavateli veřejnosti (zejména žákům základních škol a jejich rodičům) profese nedostatkové na trhu práce (strojírenské, řemeslné, ve zdravotnictví apod.). </w:t>
      </w:r>
    </w:p>
    <w:p w:rsidR="00AE6900" w:rsidRPr="00EA12E4" w:rsidRDefault="00AE6900" w:rsidP="00AE6900">
      <w:pPr>
        <w:ind w:firstLine="851"/>
        <w:jc w:val="both"/>
        <w:rPr>
          <w:rFonts w:asciiTheme="minorHAnsi" w:hAnsiTheme="minorHAnsi" w:cstheme="minorHAnsi"/>
          <w:color w:val="FF0000"/>
        </w:rPr>
      </w:pPr>
    </w:p>
    <w:p w:rsidR="00AE6900" w:rsidRDefault="00AE6900" w:rsidP="00AE6900">
      <w:pPr>
        <w:ind w:firstLine="851"/>
        <w:rPr>
          <w:rFonts w:asciiTheme="minorHAnsi" w:hAnsiTheme="minorHAnsi" w:cstheme="minorHAnsi"/>
          <w:b/>
          <w:color w:val="0000FF"/>
        </w:rPr>
      </w:pPr>
    </w:p>
    <w:p w:rsidR="00AE6900" w:rsidRPr="00EA12E4" w:rsidRDefault="00AE6900" w:rsidP="00BF79B2">
      <w:pPr>
        <w:rPr>
          <w:rFonts w:asciiTheme="minorHAnsi" w:hAnsiTheme="minorHAnsi" w:cstheme="minorHAnsi"/>
          <w:b/>
          <w:color w:val="0000FF"/>
        </w:rPr>
      </w:pPr>
      <w:r w:rsidRPr="00EA12E4">
        <w:rPr>
          <w:rFonts w:asciiTheme="minorHAnsi" w:hAnsiTheme="minorHAnsi" w:cstheme="minorHAnsi"/>
          <w:b/>
          <w:color w:val="0000FF"/>
        </w:rPr>
        <w:t>6.3 Projekty ESF</w:t>
      </w:r>
    </w:p>
    <w:p w:rsidR="00AE6900" w:rsidRPr="00EA12E4" w:rsidRDefault="00AE6900" w:rsidP="00AE6900">
      <w:pPr>
        <w:ind w:firstLine="851"/>
        <w:rPr>
          <w:rFonts w:asciiTheme="minorHAnsi" w:hAnsiTheme="minorHAnsi" w:cstheme="minorHAnsi"/>
          <w:b/>
          <w:i/>
          <w:color w:val="0000FF"/>
          <w:sz w:val="16"/>
          <w:szCs w:val="16"/>
        </w:rPr>
      </w:pPr>
    </w:p>
    <w:p w:rsidR="00AE6900" w:rsidRPr="00EA12E4" w:rsidRDefault="00AE6900" w:rsidP="00BF79B2">
      <w:pPr>
        <w:jc w:val="both"/>
        <w:rPr>
          <w:rFonts w:asciiTheme="minorHAnsi" w:hAnsiTheme="minorHAnsi" w:cstheme="minorHAnsi"/>
          <w:b/>
          <w:color w:val="FF0000"/>
        </w:rPr>
      </w:pPr>
      <w:r w:rsidRPr="00EA12E4">
        <w:rPr>
          <w:rFonts w:asciiTheme="minorHAnsi" w:hAnsiTheme="minorHAnsi" w:cstheme="minorHAnsi"/>
          <w:b/>
          <w:color w:val="FF0000"/>
        </w:rPr>
        <w:t>Národní individuální projekty</w:t>
      </w:r>
    </w:p>
    <w:p w:rsidR="00AE6900" w:rsidRDefault="00BF79B2" w:rsidP="00BF79B2">
      <w:pPr>
        <w:ind w:firstLine="709"/>
        <w:jc w:val="both"/>
        <w:outlineLvl w:val="0"/>
        <w:rPr>
          <w:rFonts w:asciiTheme="minorHAnsi" w:hAnsiTheme="minorHAnsi" w:cstheme="minorHAnsi"/>
          <w:color w:val="000000" w:themeColor="text1"/>
        </w:rPr>
      </w:pPr>
      <w:r w:rsidRPr="00BF79B2">
        <w:rPr>
          <w:rFonts w:asciiTheme="minorHAnsi" w:hAnsiTheme="minorHAnsi" w:cstheme="minorHAnsi"/>
          <w:color w:val="000000" w:themeColor="text1"/>
        </w:rPr>
        <w:t>V roce 2014 úřad práce realizoval tzv. národní individuální projekty (NIP), které jsou financovány z fondů EU (konkrétně z Operačního programu Lidské zdroje a zaměstnanost – OP </w:t>
      </w:r>
      <w:r>
        <w:rPr>
          <w:rFonts w:asciiTheme="minorHAnsi" w:hAnsiTheme="minorHAnsi" w:cstheme="minorHAnsi"/>
          <w:color w:val="000000" w:themeColor="text1"/>
        </w:rPr>
        <w:t>LZZ) a českých veřejných zdrojů:</w:t>
      </w:r>
    </w:p>
    <w:p w:rsidR="00BF79B2" w:rsidRPr="00BF79B2" w:rsidRDefault="00BF79B2" w:rsidP="00BF79B2">
      <w:pPr>
        <w:ind w:firstLine="709"/>
        <w:jc w:val="both"/>
        <w:outlineLvl w:val="0"/>
        <w:rPr>
          <w:rFonts w:asciiTheme="minorHAnsi" w:hAnsiTheme="minorHAnsi" w:cstheme="minorHAnsi"/>
          <w:color w:val="000000" w:themeColor="text1"/>
        </w:rPr>
      </w:pP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b/>
        </w:rPr>
        <w:t>NIP – Vzdělávejte se pro růst! – rekvalifikace:</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Tento projekt byl realizován od 1.7.2011 do 30.6.2014 a umožnil úřadu práce reagovat na růst nezaměstnanosti a s ním související zvýšenou poptávku po rekvalifikacích. Byly realizovány rekvalifikační kurzy jednak na základě potřeb trhu práce, tak i na základě požadavků klientů. Cílem projektu bylo zvýšit možnosti a potenciál uchazečů a zájemců o zaměstnání k uplatnění v hospodářských odvětvích, která zaznamenala v uplynulých letech prorůstový potenciál, jsou hodnocena jako perspektivní a mají významný podíl na tvorbě HDP, a pomoci jim tak k lepšímu kariérnímu uplatnění na trhu práce. Aktivita se zaměřovala zejména na skupiny uchazečů dle § 33 ZoZ, na uchazeče s problematickým uplatněním na trhu práce (např. v návaznosti na zdravotní omezení).</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Krajská pobočka v Olomouci tak na základě vymezených NACE (kódová specifikace ekonomických činností firem) z projektu financovala kurzy zaměřené do strojírenství (obsluha CNC strojů, svářečské kurzy), do oblasti elektro (vyhláška č. 50/1978 Sb.), kurzy pracovníka v sociálních službách, kurzy obsluhy vysokozdvižných vozíků a rekvalifikace směřující do stavebnictví (provoz a používání strojů na staveništi).</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Aktivity v rámci tohoto projektu byly ukončeny k  30.4.2014. Na rekvalifikace UoZ v rámci tohoto projektu vynaložila v roce 2014 krajská pobočka 1 231 557,80,- Kč a bylo rekvalifikováno celkem 76 uchazečů o zaměstnání.</w:t>
      </w:r>
    </w:p>
    <w:p w:rsidR="00AE6900" w:rsidRPr="00EA12E4" w:rsidRDefault="00AE6900" w:rsidP="00BF79B2">
      <w:pPr>
        <w:ind w:firstLine="709"/>
        <w:jc w:val="both"/>
        <w:rPr>
          <w:rFonts w:asciiTheme="minorHAnsi" w:hAnsiTheme="minorHAnsi" w:cstheme="minorHAnsi"/>
        </w:rPr>
      </w:pPr>
    </w:p>
    <w:p w:rsidR="00AE6900" w:rsidRPr="00EA12E4" w:rsidRDefault="00AE6900" w:rsidP="00BF79B2">
      <w:pPr>
        <w:ind w:firstLine="709"/>
        <w:jc w:val="both"/>
        <w:rPr>
          <w:rFonts w:asciiTheme="minorHAnsi" w:hAnsiTheme="minorHAnsi" w:cstheme="minorHAnsi"/>
          <w:b/>
        </w:rPr>
      </w:pPr>
      <w:r w:rsidRPr="00EA12E4">
        <w:rPr>
          <w:rFonts w:asciiTheme="minorHAnsi" w:hAnsiTheme="minorHAnsi" w:cstheme="minorHAnsi"/>
          <w:b/>
        </w:rPr>
        <w:t>NIP - Vzdělávání a dovednosti pro trh práce:</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Tento projekt byl zahájen v polovině roku 2013. Cílem projektu je na základě permanentně probíhajícího monitoringu personálních a vzdělávacích potřeb zaměstnavatelů vytipovat nejvhodnější rekvalifikační kurzy a doporučit ty rekvalifikované UoZ, jež budou nejlépe zaměstnavatelům vyhovovat. Výstupy z tohoto monitoringu se nepromítají jen do realizace rekvalifikací, ale i do dalších činností krajské pobočky ÚP.</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color w:val="FF0000"/>
        </w:rPr>
        <w:lastRenderedPageBreak/>
        <w:t xml:space="preserve"> </w:t>
      </w:r>
      <w:r w:rsidRPr="00EA12E4">
        <w:rPr>
          <w:rFonts w:asciiTheme="minorHAnsi" w:hAnsiTheme="minorHAnsi" w:cstheme="minorHAnsi"/>
          <w:color w:val="FF0000"/>
        </w:rPr>
        <w:tab/>
      </w:r>
      <w:r w:rsidRPr="00EA12E4">
        <w:rPr>
          <w:rFonts w:asciiTheme="minorHAnsi" w:hAnsiTheme="minorHAnsi" w:cstheme="minorHAnsi"/>
        </w:rPr>
        <w:t>V roce 2014 bylo projektem Vzdělávání a dovednosti pro trh práce podpořeno celkem 1461 UoZ, z toho 850 UoZ byli muži a 611 UoZ byly ženy. Na podporu UoZ bylo v roce 2014 v rámci výše uvedeného projektu vynaloženo 11 676 418 Kč.</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Do kurzů standardní rekvalifikace, hrazených z projektu Vzdělávání a dovednosti pro trh práce, v roce 2014 nastoupilo v 978 UoZ (532 mužů a 446 žen). Úspěšně standardní rekvalifikační kurzy v roce 2014 ukončilo 890 UoZ (473 mužů a 417 žen). Zvolenými rekvalifikacemi bylo ve stejném období podpořeno 483 UoZ (318 mužů a 165 žen) a úspěšně je ukončilo 423 UoZ (289 mužů a 134 žen).</w:t>
      </w:r>
    </w:p>
    <w:p w:rsidR="00AE6900" w:rsidRPr="00EA12E4" w:rsidRDefault="00AE6900" w:rsidP="00BF79B2">
      <w:pPr>
        <w:ind w:firstLine="709"/>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Pr="00EA12E4">
        <w:rPr>
          <w:rFonts w:asciiTheme="minorHAnsi" w:hAnsiTheme="minorHAnsi" w:cstheme="minorHAnsi"/>
        </w:rPr>
        <w:t>Z úspěšných absolventů rekvalifikačních kurzů realizovaných v rámci projektu Vzdělávání a dovednosti pro trh práce, nastoupilo v roce 2014 do zaměstnání 453 UoZ (253 mužů a 200 žen). Z UoZ, kteří v roce 2014 nastoupili do zaměstnání, bylo 317 podpořeno standardní rekvalifikací a 136 zvolenou rekvalifikací.</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V rámci projektu bylo v roce 2014 realizováno 96 setkání se zaměstnavateli a jinými subjekty. Z toho 70 zaměstnavatelů bylo osloveno projektem poprvé. </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     V roce 2014 jsme v rámci projektu Vzdělávání a dovednosti pro trh práce soutěžili na základě personálních požadavků firem Olomouckého kraje 8 rekvalifikačních kurzů. </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Firma Mubea s.r.o. poptávala strojírenské dělníky. Na základě této personální potřeby jsme v roce 2013 vyhlásili zakázku malého rozsahu na rekvalifikační kurz „Dělník ve strojírenské výrobě“. Kurz byl vysoutěžen počátkem roku 2014. Realizovali jsme celkem tři běhy kurzu, dva pro firmu Mubea s.r.o. a jeden pro firmy Senior Flexonics Czech s.r.o. a Everlift spol. s.r.o. Celkem bylo podpořeno 23 UoZ (muži), přičemž rekvalifikaci úspěšně ukončilo 21 z nich. Po úspěšném absolvování rekvalifikačního kurzu „Dělník ve strojírenské výrobě“ se zaměstnalo 15 UoZ.  </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Na základě personálních potřeb státních institucí jsme realizovali rekvalifikační kurz „Organizačně technický pracovník“. Podpořeno bylo 49 UoZ,</w:t>
      </w:r>
      <w:r w:rsidR="00327B25">
        <w:rPr>
          <w:rFonts w:asciiTheme="minorHAnsi" w:hAnsiTheme="minorHAnsi" w:cstheme="minorHAnsi"/>
        </w:rPr>
        <w:t xml:space="preserve"> především ženy (46 žen</w:t>
      </w:r>
      <w:r w:rsidRPr="00EA12E4">
        <w:rPr>
          <w:rFonts w:asciiTheme="minorHAnsi" w:hAnsiTheme="minorHAnsi" w:cstheme="minorHAnsi"/>
        </w:rPr>
        <w:t xml:space="preserve">). Některé běhy tohoto kurzu byly ukončeny v roce 2014, další budou končit až počátkem roku 2015. </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Rekvalifikační kurzy „Montér elektrických rozvaděčů“ (na základě personální potřeby firmy Bircher Process Control BBC s.r.o.), „Brašnář“ (realizovaný pro firmu Gala a.s) a „Obsluha CNC obráběcích strojů“ (na základě poptávky personálu ve firmě SSI Schäfer s.r.o.) byly zahájeny v roce 2014. Ukončení kurzů však spadá až do roku 2015. </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Zbylé tři rekvalifikační kurzy soutěžené na základě personální potřeby firmy Unex a.s. a částečně firmy Pars nova a.s., konkrétně „Opravář strojů a zařízení“, „Frézování kovových materiálů“ a „Vrtání kovových materiálů“ nebyly v roce 2014 realizovány. Zahájení těchto kurzů se předpokládá v prvním čtvrtletí roku 2015. Všechny uvedené rekvalifikační kurzy byly soutěženy jako veřejné zakázky malého rozsahu, přičemž pro kurzy „Vrtání kovových materiálů“, „Frézování kovových materiálů“ a „Opravář strojů a zařízení“ se podařilo vybrat dodavatele až na druhý pokus a pro kurz „Brašnář“ na třetí pokus.</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V současnosti nabízí koordinátor projektu možnosti cílených rekvalifikací zaměstnavatelům v textilním průmyslu a v dopravě.</w:t>
      </w:r>
    </w:p>
    <w:p w:rsidR="00AE6900" w:rsidRPr="00EA12E4" w:rsidRDefault="00AE6900" w:rsidP="00BF79B2">
      <w:pPr>
        <w:ind w:firstLine="709"/>
        <w:jc w:val="both"/>
        <w:rPr>
          <w:rFonts w:asciiTheme="minorHAnsi" w:hAnsiTheme="minorHAnsi" w:cstheme="minorHAnsi"/>
        </w:rPr>
      </w:pPr>
    </w:p>
    <w:p w:rsidR="00AE6900" w:rsidRPr="00EA12E4" w:rsidRDefault="00AE6900" w:rsidP="00BF79B2">
      <w:pPr>
        <w:ind w:firstLine="709"/>
        <w:jc w:val="both"/>
        <w:rPr>
          <w:rFonts w:asciiTheme="minorHAnsi" w:hAnsiTheme="minorHAnsi" w:cstheme="minorHAnsi"/>
          <w:b/>
        </w:rPr>
      </w:pPr>
      <w:r w:rsidRPr="00EA12E4">
        <w:rPr>
          <w:rFonts w:asciiTheme="minorHAnsi" w:hAnsiTheme="minorHAnsi" w:cstheme="minorHAnsi"/>
          <w:b/>
        </w:rPr>
        <w:t>NIP - Vzdělávejte se pro růst! - adaptabilita</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„Vzdělávejte se pro růst!“ byl národní individuální projekt Ministerstva práce a sociálních věcí, který má za sebou tři roky realizace a v roce 2014 se dostal do závěrečné fáze.  Za dobu své realizace naplnil beze zbytku svůj účel, tj. pomohl firmám zvedat kvalifikaci jejich zaměstnanců a díky tomu je kladně hodnocen nejen úřadem práce, ale i zaměstnavateli.</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 xml:space="preserve">Z finančních prostředků projektu mohli zaměstnavatelé čerpat náklady na odborné školení svých zaměstnanců, tj. kurzovné a příspěvek na mzdové náklady za dobu školení až do </w:t>
      </w:r>
      <w:r w:rsidRPr="00EA12E4">
        <w:rPr>
          <w:rFonts w:asciiTheme="minorHAnsi" w:hAnsiTheme="minorHAnsi" w:cstheme="minorHAnsi"/>
        </w:rPr>
        <w:lastRenderedPageBreak/>
        <w:t>výše 24 000 Kč /osoba /měsíc. Jeden zaměstnavatel mohl z pro</w:t>
      </w:r>
      <w:r w:rsidR="00327B25">
        <w:rPr>
          <w:rFonts w:asciiTheme="minorHAnsi" w:hAnsiTheme="minorHAnsi" w:cstheme="minorHAnsi"/>
        </w:rPr>
        <w:t>jektu čerpat měsíčně až 500 000 </w:t>
      </w:r>
      <w:r w:rsidRPr="00EA12E4">
        <w:rPr>
          <w:rFonts w:asciiTheme="minorHAnsi" w:hAnsiTheme="minorHAnsi" w:cstheme="minorHAnsi"/>
        </w:rPr>
        <w:t xml:space="preserve">Kč (součet mzdových nákladů a kurzovného). </w:t>
      </w:r>
    </w:p>
    <w:p w:rsidR="00AE6900" w:rsidRPr="00EA12E4" w:rsidRDefault="00AE6900" w:rsidP="00BF79B2">
      <w:pPr>
        <w:ind w:firstLine="709"/>
        <w:jc w:val="both"/>
        <w:rPr>
          <w:rFonts w:asciiTheme="minorHAnsi" w:hAnsiTheme="minorHAnsi" w:cstheme="minorHAnsi"/>
        </w:rPr>
      </w:pPr>
      <w:r w:rsidRPr="00EA12E4">
        <w:rPr>
          <w:rFonts w:asciiTheme="minorHAnsi" w:hAnsiTheme="minorHAnsi" w:cstheme="minorHAnsi"/>
        </w:rPr>
        <w:t>Projekt byl zaměřen pouze pro rozvojová odvětví, která byla pro celou ČR předem vytipována. Jedná se o strojírenství, výrobu motorových vozidel, počítačů, elektronických a optických přístrojů a zařízení, elektrických zařízení, o stavebnictví, nezávislý maloobchod (jen subjekty s méně než 250 zaměstnanci), ambulantní a terénní sociální služby a odpadové hospodářství. Projekt byl zahájen 31. 5. 2011 a školení v jeho rámci mohla být plánována až do konce února 2014.   Za rok 2014 bylo v rámci tohoto projektu čerpáno 9 313 334,29 Kč – jednalo se však pouze o uhrazení závazků z roku 2013 (pouze se vyúčtovávalo), jelikož dohody se neuzavíraly (poslední v prosinci). Mezi nejčastější vzdělávací aktivity patří kurzy, které vycházejí z konkrétních potřeb provozu firmy, např. svářečské průkazy, proškolení ve speciálních softwarových aplikacích nebo odborná jazyková výuka.</w:t>
      </w:r>
    </w:p>
    <w:p w:rsidR="00AE6900" w:rsidRPr="00EA12E4" w:rsidRDefault="00AE6900" w:rsidP="00BF79B2">
      <w:pPr>
        <w:ind w:firstLine="709"/>
        <w:jc w:val="both"/>
        <w:rPr>
          <w:rFonts w:asciiTheme="minorHAnsi" w:hAnsiTheme="minorHAnsi" w:cstheme="minorHAnsi"/>
          <w:color w:val="FF0000"/>
        </w:rPr>
      </w:pPr>
    </w:p>
    <w:p w:rsidR="00AE6900" w:rsidRPr="002A1036" w:rsidRDefault="00AE6900" w:rsidP="00BF79B2">
      <w:pPr>
        <w:ind w:firstLine="709"/>
        <w:jc w:val="both"/>
        <w:rPr>
          <w:rFonts w:asciiTheme="minorHAnsi" w:hAnsiTheme="minorHAnsi" w:cstheme="minorHAnsi"/>
          <w:b/>
        </w:rPr>
      </w:pPr>
      <w:r w:rsidRPr="002A1036">
        <w:rPr>
          <w:rFonts w:asciiTheme="minorHAnsi" w:hAnsiTheme="minorHAnsi" w:cstheme="minorHAnsi"/>
          <w:b/>
        </w:rPr>
        <w:t>NIP - Podpora odborného vzdělávání zaměstnanců</w:t>
      </w:r>
    </w:p>
    <w:p w:rsidR="00AE6900" w:rsidRPr="00327B25" w:rsidRDefault="00AE6900" w:rsidP="00327B25">
      <w:pPr>
        <w:ind w:firstLine="709"/>
        <w:jc w:val="both"/>
        <w:rPr>
          <w:rFonts w:asciiTheme="minorHAnsi" w:hAnsiTheme="minorHAnsi" w:cstheme="minorHAnsi"/>
          <w:b/>
        </w:rPr>
      </w:pPr>
      <w:r w:rsidRPr="002A1036">
        <w:rPr>
          <w:rFonts w:asciiTheme="minorHAnsi" w:hAnsiTheme="minorHAnsi" w:cstheme="minorHAnsi"/>
        </w:rPr>
        <w:t xml:space="preserve">Vzhledem k velmi dobré odezvě projektu </w:t>
      </w:r>
      <w:r w:rsidRPr="002A1036">
        <w:rPr>
          <w:rFonts w:asciiTheme="minorHAnsi" w:hAnsiTheme="minorHAnsi" w:cstheme="minorHAnsi"/>
          <w:b/>
        </w:rPr>
        <w:t xml:space="preserve">Vzdělávejte se pro růst! </w:t>
      </w:r>
      <w:r w:rsidR="00327B25">
        <w:rPr>
          <w:rFonts w:asciiTheme="minorHAnsi" w:hAnsiTheme="minorHAnsi" w:cstheme="minorHAnsi"/>
          <w:b/>
        </w:rPr>
        <w:t>–</w:t>
      </w:r>
      <w:r w:rsidRPr="002A1036">
        <w:rPr>
          <w:rFonts w:asciiTheme="minorHAnsi" w:hAnsiTheme="minorHAnsi" w:cstheme="minorHAnsi"/>
          <w:b/>
        </w:rPr>
        <w:t xml:space="preserve"> adaptabilita</w:t>
      </w:r>
      <w:r w:rsidR="00327B25">
        <w:rPr>
          <w:rFonts w:asciiTheme="minorHAnsi" w:hAnsiTheme="minorHAnsi" w:cstheme="minorHAnsi"/>
          <w:b/>
        </w:rPr>
        <w:t xml:space="preserve"> </w:t>
      </w:r>
      <w:r w:rsidR="00327B25">
        <w:rPr>
          <w:rFonts w:asciiTheme="minorHAnsi" w:hAnsiTheme="minorHAnsi" w:cstheme="minorHAnsi"/>
        </w:rPr>
        <w:t>u </w:t>
      </w:r>
      <w:r w:rsidRPr="002A1036">
        <w:rPr>
          <w:rFonts w:asciiTheme="minorHAnsi" w:hAnsiTheme="minorHAnsi" w:cstheme="minorHAnsi"/>
        </w:rPr>
        <w:t>zaměstnavatelů, byl 1. 12. 2013 zahájen navazující projekt „</w:t>
      </w:r>
      <w:r w:rsidRPr="002A1036">
        <w:rPr>
          <w:rFonts w:asciiTheme="minorHAnsi" w:hAnsiTheme="minorHAnsi" w:cstheme="minorHAnsi"/>
          <w:b/>
        </w:rPr>
        <w:t>Podpora odborného vzdělávání zaměstnanců</w:t>
      </w:r>
      <w:r w:rsidRPr="002A1036">
        <w:rPr>
          <w:rFonts w:asciiTheme="minorHAnsi" w:hAnsiTheme="minorHAnsi" w:cstheme="minorHAnsi"/>
        </w:rPr>
        <w:t>“, který bude ukončen 30. 11. 2015. Projekt není vyhrazen pro určená ekonomická odvětví, ale je otevřen všem zaměstnavatelům (a také osobám samostatně výdělečně činným, které se samy chtějí odborně vzdělávat), pokud doloží buď růst trž</w:t>
      </w:r>
      <w:r w:rsidR="007B5E07">
        <w:rPr>
          <w:rFonts w:asciiTheme="minorHAnsi" w:hAnsiTheme="minorHAnsi" w:cstheme="minorHAnsi"/>
        </w:rPr>
        <w:t>eb, nebo pokles tržeb nižší než </w:t>
      </w:r>
      <w:r w:rsidRPr="002A1036">
        <w:rPr>
          <w:rFonts w:asciiTheme="minorHAnsi" w:hAnsiTheme="minorHAnsi" w:cstheme="minorHAnsi"/>
        </w:rPr>
        <w:t>5% (od 1. 2. 2015 nově nižší než 15 %). Vývoj tržeb se dokládá z výkazu zisků a ztrát (tzv. výsledovka za 2 srovnatelná časová období (obvykle jsou to poslední a předposlední účetní období).</w:t>
      </w:r>
      <w:r w:rsidRPr="002A1036">
        <w:rPr>
          <w:rFonts w:asciiTheme="minorHAnsi" w:hAnsiTheme="minorHAnsi" w:cstheme="minorHAnsi"/>
          <w:sz w:val="32"/>
          <w:szCs w:val="32"/>
        </w:rPr>
        <w:t xml:space="preserve"> </w:t>
      </w:r>
    </w:p>
    <w:p w:rsidR="00AE6900" w:rsidRPr="002A1036" w:rsidRDefault="00AE6900" w:rsidP="00BF79B2">
      <w:pPr>
        <w:ind w:firstLine="709"/>
        <w:jc w:val="both"/>
        <w:rPr>
          <w:rFonts w:asciiTheme="minorHAnsi" w:hAnsiTheme="minorHAnsi" w:cstheme="minorHAnsi"/>
        </w:rPr>
      </w:pPr>
      <w:r w:rsidRPr="002A1036">
        <w:rPr>
          <w:rFonts w:asciiTheme="minorHAnsi" w:hAnsiTheme="minorHAnsi" w:cstheme="minorHAnsi"/>
        </w:rPr>
        <w:t xml:space="preserve">Z projektu lze hradit odborné jazykové kurzy, akreditované rekvalifikace (ucelené vzdělávací programy s celostátní platností) a další (neakreditované) školení podle potřeb zaměstnavatelů. Školení může zaměstnavatel zajistit </w:t>
      </w:r>
      <w:r w:rsidRPr="002A1036">
        <w:rPr>
          <w:rFonts w:asciiTheme="minorHAnsi" w:hAnsiTheme="minorHAnsi" w:cstheme="minorHAnsi"/>
          <w:b/>
          <w:bCs/>
        </w:rPr>
        <w:t>jak externím vzdělávacím zařízením, tak interním lektorem.</w:t>
      </w:r>
    </w:p>
    <w:p w:rsidR="00AE6900" w:rsidRPr="002A1036" w:rsidRDefault="00AE6900" w:rsidP="00BF79B2">
      <w:pPr>
        <w:ind w:firstLine="709"/>
        <w:jc w:val="both"/>
        <w:rPr>
          <w:rFonts w:asciiTheme="minorHAnsi" w:hAnsiTheme="minorHAnsi" w:cstheme="minorHAnsi"/>
        </w:rPr>
      </w:pPr>
      <w:r w:rsidRPr="002A1036">
        <w:rPr>
          <w:rFonts w:asciiTheme="minorHAnsi" w:hAnsiTheme="minorHAnsi" w:cstheme="minorHAnsi"/>
        </w:rPr>
        <w:t>Příspěvek na mzdové náklady za dobu školení činí nejvýše 25 500 Kč na osobu a měsíc. Pro výpočet maximálního mzdového příspěvku za hodinu se vychází z minimální hodinové mzdy, maximum činí 151 Kč.</w:t>
      </w:r>
    </w:p>
    <w:p w:rsidR="00AE6900" w:rsidRDefault="00AE6900" w:rsidP="00BF79B2">
      <w:pPr>
        <w:ind w:firstLine="709"/>
        <w:jc w:val="both"/>
        <w:rPr>
          <w:rFonts w:asciiTheme="minorHAnsi" w:hAnsiTheme="minorHAnsi" w:cstheme="minorHAnsi"/>
        </w:rPr>
      </w:pPr>
      <w:r w:rsidRPr="002A1036">
        <w:rPr>
          <w:rFonts w:asciiTheme="minorHAnsi" w:hAnsiTheme="minorHAnsi" w:cstheme="minorHAnsi"/>
          <w:b/>
        </w:rPr>
        <w:t xml:space="preserve">Žádost (nebo žádosti) o příspěvek z projektu v Olomouckém kraji od začátku projektu do konce roku 2014 podalo celkem 103 zaměstnavatelů. Úřad práce s nimi uzavřel celkem 387 dohod o odborném rozvoji zaměstnanců (na každý tematicky a termínově odlišný kurz zvláštní dohodu) a finančně tak podpořil proškolení 1505 zaměstnanců (skutečný počet zapojených osob je vyšší, protože někteří zaměstnanci se zúčastnili dvou nebo více kurzů). </w:t>
      </w:r>
      <w:r w:rsidRPr="002A1036">
        <w:rPr>
          <w:rFonts w:asciiTheme="minorHAnsi" w:hAnsiTheme="minorHAnsi" w:cstheme="minorHAnsi"/>
        </w:rPr>
        <w:t>Firmy nejčastěji žádají o realizaci školení zaměřených na odborné znalosti řadových zaměstnanců (např. obsluha pracovních plošin, rozšíření řidičských oprávnění, získání nebo</w:t>
      </w:r>
      <w:r w:rsidR="00600C3A">
        <w:rPr>
          <w:rFonts w:asciiTheme="minorHAnsi" w:hAnsiTheme="minorHAnsi" w:cstheme="minorHAnsi"/>
        </w:rPr>
        <w:t xml:space="preserve"> obnova svářečských průkazů), o </w:t>
      </w:r>
      <w:r w:rsidRPr="002A1036">
        <w:rPr>
          <w:rFonts w:asciiTheme="minorHAnsi" w:hAnsiTheme="minorHAnsi" w:cstheme="minorHAnsi"/>
        </w:rPr>
        <w:t xml:space="preserve">kurzy obchodní nebo technické angličtiny nebo němčiny, ale i o specifické kurzy podle svých individuálních potřeb (např. rekvalifikace tesař, daňový specialista). </w:t>
      </w:r>
    </w:p>
    <w:p w:rsidR="00BF79B2" w:rsidRPr="000B741F" w:rsidRDefault="00BF79B2" w:rsidP="00BF79B2">
      <w:pPr>
        <w:rPr>
          <w:b/>
          <w:color w:val="0070C0"/>
        </w:rPr>
      </w:pPr>
    </w:p>
    <w:p w:rsidR="00AE6900" w:rsidRPr="002A1036" w:rsidRDefault="00AE6900" w:rsidP="00BF79B2">
      <w:pPr>
        <w:ind w:firstLine="709"/>
        <w:jc w:val="both"/>
        <w:rPr>
          <w:rFonts w:asciiTheme="minorHAnsi" w:hAnsiTheme="minorHAnsi" w:cstheme="minorHAnsi"/>
          <w:b/>
        </w:rPr>
      </w:pPr>
      <w:r w:rsidRPr="002A1036">
        <w:rPr>
          <w:rFonts w:asciiTheme="minorHAnsi" w:hAnsiTheme="minorHAnsi" w:cstheme="minorHAnsi"/>
          <w:b/>
        </w:rPr>
        <w:t xml:space="preserve">NIP - „Vzdělávejte se pro stabilitu“ </w:t>
      </w:r>
    </w:p>
    <w:p w:rsidR="00AE6900" w:rsidRPr="00EA12E4" w:rsidRDefault="00AE6900" w:rsidP="00BF79B2">
      <w:pPr>
        <w:pStyle w:val="Normlnweb"/>
        <w:shd w:val="clear" w:color="auto" w:fill="FFFFFF"/>
        <w:spacing w:before="0" w:beforeAutospacing="0" w:after="0" w:afterAutospacing="0"/>
        <w:ind w:firstLine="709"/>
        <w:jc w:val="both"/>
        <w:rPr>
          <w:rFonts w:asciiTheme="minorHAnsi" w:hAnsiTheme="minorHAnsi" w:cstheme="minorHAnsi"/>
        </w:rPr>
      </w:pPr>
      <w:r w:rsidRPr="00EA12E4">
        <w:rPr>
          <w:rFonts w:asciiTheme="minorHAnsi" w:hAnsiTheme="minorHAnsi" w:cstheme="minorHAnsi"/>
        </w:rPr>
        <w:t xml:space="preserve">V roce 2014 pokračoval projekt, jehož cílem bylo podpořit udržení pracovních míst u těch zaměstnavatelů, kteří se v souvislosti s negativním vývojem ekonomiky v ČR nacházeli v přechodně obtížné hospodářské situaci a dočasně nebyli schopni svým zaměstnancům přidělovat práci ve sjednaném rozsahu. Zaměstnavatelům bylo umožněno, aby pro své zaměstnance v době, kdy jim nebyli schopni přidělit práci, realizovali odborný rozvoj. Tím docházelo kromě udržení pracovních míst k naplnění druhého, neméně podstatného cíle projektu – zvýšení kvalifikace zapojených zaměstnanců a posílení jejich zaměstnatelnosti. </w:t>
      </w:r>
    </w:p>
    <w:p w:rsidR="00AE6900" w:rsidRPr="00EA12E4" w:rsidRDefault="00AE6900" w:rsidP="00BF79B2">
      <w:pPr>
        <w:pStyle w:val="Normlnweb"/>
        <w:shd w:val="clear" w:color="auto" w:fill="FFFFFF"/>
        <w:spacing w:before="0" w:beforeAutospacing="0" w:after="0" w:afterAutospacing="0"/>
        <w:ind w:firstLine="709"/>
        <w:jc w:val="both"/>
        <w:rPr>
          <w:rFonts w:asciiTheme="minorHAnsi" w:hAnsiTheme="minorHAnsi" w:cstheme="minorHAnsi"/>
        </w:rPr>
      </w:pPr>
      <w:r w:rsidRPr="00EA12E4">
        <w:rPr>
          <w:rFonts w:asciiTheme="minorHAnsi" w:hAnsiTheme="minorHAnsi" w:cstheme="minorHAnsi"/>
        </w:rPr>
        <w:lastRenderedPageBreak/>
        <w:t xml:space="preserve">Projekt umožnil zaměstnavatelům získat finanční příspěvek na realizaci odborného rozvoje zaměstnanců včetně příspěvku na mzdové náklady vzdělávaných zaměstnanců vzniklých za dobu jejich účasti na odborném rozvoji. </w:t>
      </w:r>
    </w:p>
    <w:p w:rsidR="00AE6900" w:rsidRPr="00EA12E4" w:rsidRDefault="00AE6900" w:rsidP="00BF79B2">
      <w:pPr>
        <w:pStyle w:val="Normlnweb"/>
        <w:shd w:val="clear" w:color="auto" w:fill="FFFFFF"/>
        <w:spacing w:before="0" w:beforeAutospacing="0" w:after="0" w:afterAutospacing="0"/>
        <w:ind w:firstLine="709"/>
        <w:jc w:val="both"/>
        <w:rPr>
          <w:rFonts w:asciiTheme="minorHAnsi" w:hAnsiTheme="minorHAnsi" w:cstheme="minorHAnsi"/>
        </w:rPr>
      </w:pPr>
      <w:r w:rsidRPr="00EA12E4">
        <w:rPr>
          <w:rFonts w:asciiTheme="minorHAnsi" w:hAnsiTheme="minorHAnsi" w:cstheme="minorHAnsi"/>
          <w:b/>
        </w:rPr>
        <w:t>Projektem bylo v roce 2014 podpořeno 23 zaměstnanců na 4 vzdělávací aktivity s celkovou částkou 751 666 Kč.</w:t>
      </w:r>
      <w:r w:rsidRPr="00EA12E4">
        <w:rPr>
          <w:rFonts w:asciiTheme="minorHAnsi" w:hAnsiTheme="minorHAnsi" w:cstheme="minorHAnsi"/>
        </w:rPr>
        <w:t xml:space="preserve"> </w:t>
      </w:r>
    </w:p>
    <w:p w:rsidR="00AE6900" w:rsidRPr="00EA12E4" w:rsidRDefault="00AE6900" w:rsidP="00BF79B2">
      <w:pPr>
        <w:pStyle w:val="Normlnweb"/>
        <w:shd w:val="clear" w:color="auto" w:fill="FFFFFF"/>
        <w:spacing w:before="0" w:beforeAutospacing="0" w:after="0" w:afterAutospacing="0"/>
        <w:ind w:firstLine="709"/>
        <w:jc w:val="both"/>
        <w:rPr>
          <w:rFonts w:asciiTheme="minorHAnsi" w:hAnsiTheme="minorHAnsi" w:cstheme="minorHAnsi"/>
          <w:color w:val="FF0000"/>
        </w:rPr>
      </w:pPr>
    </w:p>
    <w:p w:rsidR="00AE6900" w:rsidRDefault="00AE6900" w:rsidP="009517D4">
      <w:pPr>
        <w:jc w:val="both"/>
        <w:rPr>
          <w:rFonts w:asciiTheme="minorHAnsi" w:hAnsiTheme="minorHAnsi" w:cstheme="minorHAnsi"/>
          <w:b/>
          <w:color w:val="FF0000"/>
        </w:rPr>
      </w:pPr>
      <w:r w:rsidRPr="00EA12E4">
        <w:rPr>
          <w:rFonts w:asciiTheme="minorHAnsi" w:hAnsiTheme="minorHAnsi" w:cstheme="minorHAnsi"/>
          <w:b/>
          <w:color w:val="FF0000"/>
        </w:rPr>
        <w:t>Regionální individuální projekty</w:t>
      </w:r>
    </w:p>
    <w:p w:rsidR="00AE6900" w:rsidRPr="00EA12E4" w:rsidRDefault="00AE6900" w:rsidP="00AE6900">
      <w:pPr>
        <w:ind w:firstLine="851"/>
        <w:jc w:val="both"/>
        <w:rPr>
          <w:rFonts w:asciiTheme="minorHAnsi" w:hAnsiTheme="minorHAnsi" w:cstheme="minorHAnsi"/>
        </w:rPr>
      </w:pPr>
      <w:r w:rsidRPr="00EA12E4">
        <w:rPr>
          <w:rFonts w:asciiTheme="minorHAnsi" w:hAnsiTheme="minorHAnsi" w:cstheme="minorHAnsi"/>
        </w:rPr>
        <w:t>Kromě toho ÚP v Olomouckém kraji pokračoval v realizaci tzv. </w:t>
      </w:r>
      <w:r w:rsidRPr="00EA12E4">
        <w:rPr>
          <w:rFonts w:asciiTheme="minorHAnsi" w:hAnsiTheme="minorHAnsi" w:cstheme="minorHAnsi"/>
          <w:b/>
        </w:rPr>
        <w:t>Regionálních individuálních projektů</w:t>
      </w:r>
      <w:r w:rsidRPr="00EA12E4">
        <w:rPr>
          <w:rFonts w:asciiTheme="minorHAnsi" w:hAnsiTheme="minorHAnsi" w:cstheme="minorHAnsi"/>
        </w:rPr>
        <w:t xml:space="preserve"> (dále jen RIP), které jsou zaměřeny na zvýšení zaměstnatelnosti nezaměstnaných osob z vybraných cílových skupin – a to prostřednictvím využití nástrojů a opatření aktivní politiky zaměstnanosti s možností zařazení inovativních a doplňkových aktivit pro účastníky projektu. V jednotlivých projektech je uchazeč o zaměstnání zařazován do různých aktivit – individuálního a skupinového poradenství, pracovní diagnostiky, rekvalifikace, příp. je umístěn na nové pracovní místo.</w:t>
      </w:r>
    </w:p>
    <w:p w:rsidR="00AE6900" w:rsidRDefault="00AE6900" w:rsidP="00AE6900">
      <w:pPr>
        <w:ind w:firstLine="851"/>
        <w:jc w:val="both"/>
        <w:rPr>
          <w:rFonts w:asciiTheme="minorHAnsi" w:hAnsiTheme="minorHAnsi" w:cstheme="minorHAnsi"/>
          <w:color w:val="FF0000"/>
        </w:rPr>
      </w:pPr>
    </w:p>
    <w:p w:rsidR="00AE6900" w:rsidRPr="00EA12E4" w:rsidRDefault="00AE6900" w:rsidP="00AE6900">
      <w:pPr>
        <w:rPr>
          <w:rFonts w:asciiTheme="minorHAnsi" w:hAnsiTheme="minorHAnsi" w:cstheme="minorHAnsi"/>
          <w:b/>
        </w:rPr>
      </w:pPr>
      <w:r w:rsidRPr="00EA12E4">
        <w:rPr>
          <w:rFonts w:asciiTheme="minorHAnsi" w:hAnsiTheme="minorHAnsi" w:cstheme="minorHAnsi"/>
          <w:b/>
        </w:rPr>
        <w:t>V roce 2014 probíhaly následující RIP:</w:t>
      </w:r>
    </w:p>
    <w:p w:rsidR="00AE6900" w:rsidRPr="00EA12E4" w:rsidRDefault="00AE6900" w:rsidP="00AE6900">
      <w:pPr>
        <w:ind w:firstLine="851"/>
        <w:rPr>
          <w:rFonts w:asciiTheme="minorHAnsi" w:hAnsiTheme="minorHAnsi" w:cstheme="minorHAnsi"/>
          <w:b/>
          <w:color w:val="FF0000"/>
          <w:sz w:val="16"/>
          <w:szCs w:val="16"/>
        </w:rPr>
      </w:pPr>
    </w:p>
    <w:p w:rsidR="00AE6900" w:rsidRPr="00EA12E4" w:rsidRDefault="00AE6900" w:rsidP="007B5E07">
      <w:pPr>
        <w:spacing w:line="276" w:lineRule="auto"/>
        <w:ind w:firstLine="851"/>
        <w:jc w:val="both"/>
        <w:rPr>
          <w:rFonts w:asciiTheme="minorHAnsi" w:hAnsiTheme="minorHAnsi" w:cstheme="minorHAnsi"/>
        </w:rPr>
      </w:pPr>
      <w:r w:rsidRPr="00EA12E4">
        <w:rPr>
          <w:rFonts w:asciiTheme="minorHAnsi" w:hAnsiTheme="minorHAnsi" w:cstheme="minorHAnsi"/>
          <w:b/>
        </w:rPr>
        <w:t>1. Absolvent v Olomouckém kraji</w:t>
      </w:r>
      <w:r w:rsidRPr="00EA12E4">
        <w:rPr>
          <w:rFonts w:asciiTheme="minorHAnsi" w:hAnsiTheme="minorHAnsi" w:cstheme="minorHAnsi"/>
        </w:rPr>
        <w:t xml:space="preserve"> – uchazeči o zaměstnání, kteří splňují podmínku</w:t>
      </w:r>
      <w:r w:rsidR="007B5E07">
        <w:rPr>
          <w:rFonts w:asciiTheme="minorHAnsi" w:hAnsiTheme="minorHAnsi" w:cstheme="minorHAnsi"/>
        </w:rPr>
        <w:t xml:space="preserve"> max. </w:t>
      </w:r>
      <w:r w:rsidRPr="00EA12E4">
        <w:rPr>
          <w:rFonts w:asciiTheme="minorHAnsi" w:hAnsiTheme="minorHAnsi" w:cstheme="minorHAnsi"/>
        </w:rPr>
        <w:t>2 let po ukončení studia. Dále nemají žádnou nebo minimální praxi (max. 6</w:t>
      </w:r>
      <w:r w:rsidR="007B5E07">
        <w:rPr>
          <w:rFonts w:asciiTheme="minorHAnsi" w:hAnsiTheme="minorHAnsi" w:cstheme="minorHAnsi"/>
        </w:rPr>
        <w:t> </w:t>
      </w:r>
      <w:r w:rsidRPr="00EA12E4">
        <w:rPr>
          <w:rFonts w:asciiTheme="minorHAnsi" w:hAnsiTheme="minorHAnsi" w:cstheme="minorHAnsi"/>
        </w:rPr>
        <w:t>měsíců), dosahují minimálně středoškolského vzdělání, a kteří mají trvalé bydliště na území Olomouckého kraje.</w:t>
      </w:r>
    </w:p>
    <w:p w:rsidR="00AE6900" w:rsidRPr="00EA12E4" w:rsidRDefault="00AE6900" w:rsidP="00AE6900">
      <w:pPr>
        <w:spacing w:line="276" w:lineRule="auto"/>
        <w:ind w:firstLine="851"/>
        <w:jc w:val="both"/>
        <w:rPr>
          <w:rFonts w:asciiTheme="minorHAnsi" w:hAnsiTheme="minorHAnsi" w:cstheme="minorHAnsi"/>
        </w:rPr>
      </w:pPr>
      <w:r w:rsidRPr="00EA12E4">
        <w:rPr>
          <w:rFonts w:asciiTheme="minorHAnsi" w:hAnsiTheme="minorHAnsi" w:cstheme="minorHAnsi"/>
          <w:b/>
        </w:rPr>
        <w:t>2</w:t>
      </w:r>
      <w:r w:rsidRPr="00EA12E4">
        <w:rPr>
          <w:rFonts w:asciiTheme="minorHAnsi" w:hAnsiTheme="minorHAnsi" w:cstheme="minorHAnsi"/>
        </w:rPr>
        <w:t xml:space="preserve">. </w:t>
      </w:r>
      <w:r w:rsidRPr="00EA12E4">
        <w:rPr>
          <w:rFonts w:asciiTheme="minorHAnsi" w:hAnsiTheme="minorHAnsi" w:cstheme="minorHAnsi"/>
          <w:b/>
        </w:rPr>
        <w:t>Využijte zkušenost v Olomouckém kraji</w:t>
      </w:r>
      <w:r w:rsidRPr="00EA12E4">
        <w:rPr>
          <w:rFonts w:asciiTheme="minorHAnsi" w:hAnsiTheme="minorHAnsi" w:cstheme="minorHAnsi"/>
        </w:rPr>
        <w:t xml:space="preserve"> – pro uchazeče o zaměstnání, kteří nejpozději v roce zařazení do projektu dosáhli věku 45 let.</w:t>
      </w:r>
    </w:p>
    <w:p w:rsidR="00AE6900" w:rsidRPr="00EA12E4" w:rsidRDefault="00AE6900" w:rsidP="00AE6900">
      <w:pPr>
        <w:spacing w:line="276" w:lineRule="auto"/>
        <w:ind w:firstLine="851"/>
        <w:jc w:val="both"/>
        <w:rPr>
          <w:rFonts w:asciiTheme="minorHAnsi" w:hAnsiTheme="minorHAnsi" w:cstheme="minorHAnsi"/>
        </w:rPr>
      </w:pPr>
      <w:r w:rsidRPr="00EA12E4">
        <w:rPr>
          <w:rFonts w:asciiTheme="minorHAnsi" w:hAnsiTheme="minorHAnsi" w:cstheme="minorHAnsi"/>
          <w:b/>
        </w:rPr>
        <w:t>3.</w:t>
      </w:r>
      <w:r w:rsidRPr="00EA12E4">
        <w:rPr>
          <w:rFonts w:asciiTheme="minorHAnsi" w:hAnsiTheme="minorHAnsi" w:cstheme="minorHAnsi"/>
        </w:rPr>
        <w:t xml:space="preserve"> </w:t>
      </w:r>
      <w:r w:rsidRPr="00EA12E4">
        <w:rPr>
          <w:rFonts w:asciiTheme="minorHAnsi" w:hAnsiTheme="minorHAnsi" w:cstheme="minorHAnsi"/>
          <w:b/>
          <w:bCs/>
        </w:rPr>
        <w:t>Odborné praxe pro mladé do 30 let v Olomouckém kraji</w:t>
      </w:r>
      <w:r w:rsidRPr="00EA12E4">
        <w:rPr>
          <w:rFonts w:asciiTheme="minorHAnsi" w:hAnsiTheme="minorHAnsi" w:cstheme="minorHAnsi"/>
          <w:bCs/>
        </w:rPr>
        <w:t xml:space="preserve"> – pro uchazeče o zaměstnání ve věku do 30 let s pracovními zkušenostmi max. 2 roky po ukončení přípravy na povolání/počátečního vzdělávání. </w:t>
      </w:r>
    </w:p>
    <w:p w:rsidR="00AE6900" w:rsidRPr="00EA12E4" w:rsidRDefault="00AE6900" w:rsidP="00AE6900">
      <w:pPr>
        <w:spacing w:line="276" w:lineRule="auto"/>
        <w:ind w:left="4" w:firstLine="847"/>
        <w:jc w:val="both"/>
        <w:rPr>
          <w:rFonts w:asciiTheme="minorHAnsi" w:hAnsiTheme="minorHAnsi" w:cstheme="minorHAnsi"/>
        </w:rPr>
      </w:pPr>
      <w:r w:rsidRPr="00EA12E4">
        <w:rPr>
          <w:rFonts w:asciiTheme="minorHAnsi" w:hAnsiTheme="minorHAnsi" w:cstheme="minorHAnsi"/>
          <w:b/>
        </w:rPr>
        <w:t>5. Příležitost pro mladé v Olomouckém kraji</w:t>
      </w:r>
      <w:r w:rsidRPr="00EA12E4">
        <w:rPr>
          <w:rFonts w:asciiTheme="minorHAnsi" w:hAnsiTheme="minorHAnsi" w:cstheme="minorHAnsi"/>
        </w:rPr>
        <w:t xml:space="preserve"> – pro uchazeče o zaměstnání ve věku do 30 let, kteří jsou v evidenci ÚP déle než 5 měsíců.</w:t>
      </w:r>
    </w:p>
    <w:p w:rsidR="00AE6900" w:rsidRPr="00EA12E4" w:rsidRDefault="00AE6900" w:rsidP="00AE6900">
      <w:pPr>
        <w:spacing w:line="276" w:lineRule="auto"/>
        <w:ind w:firstLine="851"/>
        <w:jc w:val="both"/>
        <w:rPr>
          <w:rFonts w:asciiTheme="minorHAnsi" w:hAnsiTheme="minorHAnsi" w:cstheme="minorHAnsi"/>
        </w:rPr>
      </w:pPr>
      <w:r w:rsidRPr="00EA12E4">
        <w:rPr>
          <w:rFonts w:asciiTheme="minorHAnsi" w:hAnsiTheme="minorHAnsi" w:cstheme="minorHAnsi"/>
          <w:b/>
        </w:rPr>
        <w:t>6. Vzdělávejte se pro růst v Olomouckém kraji!</w:t>
      </w:r>
      <w:r w:rsidRPr="00EA12E4">
        <w:rPr>
          <w:rFonts w:asciiTheme="minorHAnsi" w:hAnsiTheme="minorHAnsi" w:cstheme="minorHAnsi"/>
        </w:rPr>
        <w:t xml:space="preserve"> – jedná se o vzdělávací programy</w:t>
      </w:r>
    </w:p>
    <w:p w:rsidR="00AE6900" w:rsidRPr="00EA12E4" w:rsidRDefault="00AE6900" w:rsidP="00AE6900">
      <w:pPr>
        <w:spacing w:line="276" w:lineRule="auto"/>
        <w:jc w:val="both"/>
        <w:rPr>
          <w:rFonts w:asciiTheme="minorHAnsi" w:hAnsiTheme="minorHAnsi" w:cstheme="minorHAnsi"/>
        </w:rPr>
      </w:pPr>
      <w:r w:rsidRPr="00EA12E4">
        <w:rPr>
          <w:rFonts w:asciiTheme="minorHAnsi" w:hAnsiTheme="minorHAnsi" w:cstheme="minorHAnsi"/>
        </w:rPr>
        <w:t>pro zaměstnance organizací působících ve vybraných ekonomických oblastech.</w:t>
      </w:r>
    </w:p>
    <w:p w:rsidR="00AE6900" w:rsidRPr="00EA12E4" w:rsidRDefault="00AE6900" w:rsidP="007B5E07">
      <w:pPr>
        <w:ind w:firstLine="851"/>
        <w:jc w:val="both"/>
        <w:rPr>
          <w:rFonts w:asciiTheme="minorHAnsi" w:hAnsiTheme="minorHAnsi" w:cstheme="minorHAnsi"/>
          <w:color w:val="000000"/>
        </w:rPr>
      </w:pPr>
      <w:r w:rsidRPr="00EA12E4">
        <w:rPr>
          <w:rFonts w:asciiTheme="minorHAnsi" w:hAnsiTheme="minorHAnsi" w:cstheme="minorHAnsi"/>
          <w:b/>
        </w:rPr>
        <w:t>7</w:t>
      </w:r>
      <w:r w:rsidRPr="00EA12E4">
        <w:rPr>
          <w:rFonts w:asciiTheme="minorHAnsi" w:hAnsiTheme="minorHAnsi" w:cstheme="minorHAnsi"/>
        </w:rPr>
        <w:t xml:space="preserve">. </w:t>
      </w:r>
      <w:r w:rsidRPr="00EA12E4">
        <w:rPr>
          <w:rFonts w:asciiTheme="minorHAnsi" w:hAnsiTheme="minorHAnsi" w:cstheme="minorHAnsi"/>
          <w:b/>
        </w:rPr>
        <w:t>Harmonizace zaměstnání a rodiny</w:t>
      </w:r>
      <w:r w:rsidRPr="00EA12E4">
        <w:rPr>
          <w:rFonts w:asciiTheme="minorHAnsi" w:hAnsiTheme="minorHAnsi" w:cstheme="minorHAnsi"/>
        </w:rPr>
        <w:t xml:space="preserve"> – pro uchazeče, kteří jsou </w:t>
      </w:r>
      <w:r w:rsidR="007B5E07">
        <w:rPr>
          <w:rFonts w:asciiTheme="minorHAnsi" w:hAnsiTheme="minorHAnsi" w:cstheme="minorHAnsi"/>
          <w:color w:val="000000"/>
        </w:rPr>
        <w:t>evidováni na Úřadě </w:t>
      </w:r>
      <w:r w:rsidRPr="00EA12E4">
        <w:rPr>
          <w:rFonts w:asciiTheme="minorHAnsi" w:hAnsiTheme="minorHAnsi" w:cstheme="minorHAnsi"/>
          <w:color w:val="000000"/>
        </w:rPr>
        <w:t>práce České republiky - kontaktních pracovištích Krajské pobočky v Olomouci s trvalým pobytem na tomto území a</w:t>
      </w:r>
      <w:r w:rsidRPr="00EA12E4">
        <w:rPr>
          <w:rFonts w:asciiTheme="minorHAnsi" w:hAnsiTheme="minorHAnsi" w:cstheme="minorHAnsi"/>
        </w:rPr>
        <w:t xml:space="preserve"> </w:t>
      </w:r>
      <w:r w:rsidRPr="00EA12E4">
        <w:rPr>
          <w:rFonts w:asciiTheme="minorHAnsi" w:hAnsiTheme="minorHAnsi" w:cstheme="minorHAnsi"/>
          <w:bCs/>
          <w:color w:val="000000"/>
        </w:rPr>
        <w:t>kteří pečují o dítě (děti) do 10 let věku</w:t>
      </w:r>
      <w:r w:rsidRPr="00EA12E4">
        <w:rPr>
          <w:rFonts w:asciiTheme="minorHAnsi" w:hAnsiTheme="minorHAnsi" w:cstheme="minorHAnsi"/>
          <w:color w:val="000000"/>
        </w:rPr>
        <w:t>.</w:t>
      </w:r>
    </w:p>
    <w:p w:rsidR="00AE6900" w:rsidRPr="00EA12E4" w:rsidRDefault="00AE6900" w:rsidP="00AE6900">
      <w:pPr>
        <w:ind w:firstLine="851"/>
        <w:rPr>
          <w:rFonts w:asciiTheme="minorHAnsi" w:hAnsiTheme="minorHAnsi" w:cstheme="minorHAnsi"/>
        </w:rPr>
      </w:pPr>
      <w:r w:rsidRPr="00EA12E4">
        <w:rPr>
          <w:rFonts w:asciiTheme="minorHAnsi" w:hAnsiTheme="minorHAnsi" w:cstheme="minorHAnsi"/>
          <w:b/>
        </w:rPr>
        <w:t>9.</w:t>
      </w:r>
      <w:r w:rsidRPr="00EA12E4">
        <w:rPr>
          <w:rFonts w:asciiTheme="minorHAnsi" w:hAnsiTheme="minorHAnsi" w:cstheme="minorHAnsi"/>
        </w:rPr>
        <w:t xml:space="preserve"> </w:t>
      </w:r>
      <w:r w:rsidRPr="00EA12E4">
        <w:rPr>
          <w:rFonts w:asciiTheme="minorHAnsi" w:hAnsiTheme="minorHAnsi" w:cstheme="minorHAnsi"/>
          <w:b/>
        </w:rPr>
        <w:t>Zpět do práce v Olomouckém kraji</w:t>
      </w:r>
      <w:r w:rsidRPr="00EA12E4">
        <w:rPr>
          <w:rFonts w:asciiTheme="minorHAnsi" w:hAnsiTheme="minorHAnsi" w:cstheme="minorHAnsi"/>
        </w:rPr>
        <w:t xml:space="preserve"> – pro uchazeče o zaměstnání, kteří jsou vedeni v evidenci ÚP nepřetržitě déle než 12 měsíců, s bydlištěm na území Olomouckého kraje.</w:t>
      </w:r>
    </w:p>
    <w:p w:rsidR="00AE6900" w:rsidRPr="00EA12E4" w:rsidRDefault="00AE6900" w:rsidP="00AE6900">
      <w:pPr>
        <w:ind w:firstLine="851"/>
        <w:jc w:val="both"/>
        <w:rPr>
          <w:rFonts w:asciiTheme="minorHAnsi" w:hAnsiTheme="minorHAnsi" w:cstheme="minorHAnsi"/>
        </w:rPr>
      </w:pPr>
      <w:r w:rsidRPr="00EA12E4">
        <w:rPr>
          <w:rFonts w:asciiTheme="minorHAnsi" w:hAnsiTheme="minorHAnsi" w:cstheme="minorHAnsi"/>
          <w:b/>
        </w:rPr>
        <w:t>10.</w:t>
      </w:r>
      <w:r w:rsidRPr="00EA12E4">
        <w:rPr>
          <w:rFonts w:asciiTheme="minorHAnsi" w:hAnsiTheme="minorHAnsi" w:cstheme="minorHAnsi"/>
        </w:rPr>
        <w:t xml:space="preserve"> </w:t>
      </w:r>
      <w:r w:rsidRPr="00EA12E4">
        <w:rPr>
          <w:rFonts w:asciiTheme="minorHAnsi" w:hAnsiTheme="minorHAnsi" w:cstheme="minorHAnsi"/>
          <w:b/>
        </w:rPr>
        <w:t>Šance pro vyučené v Olomouckém kraji</w:t>
      </w:r>
      <w:r w:rsidRPr="00EA12E4">
        <w:rPr>
          <w:rFonts w:asciiTheme="minorHAnsi" w:hAnsiTheme="minorHAnsi" w:cstheme="minorHAnsi"/>
        </w:rPr>
        <w:t xml:space="preserve"> – pro uchazeče o zaměstnání, kteří jsou registrování na ÚP ČR – kontaktních pracovištích Krajské pobočky v Olomouci, s nejvyšším dosaženým vzděláním ukončeným výučním listem.</w:t>
      </w:r>
    </w:p>
    <w:p w:rsidR="00AE6900" w:rsidRPr="00EA12E4" w:rsidRDefault="00AE6900" w:rsidP="00AE6900">
      <w:pPr>
        <w:ind w:firstLine="851"/>
        <w:jc w:val="both"/>
        <w:rPr>
          <w:rFonts w:asciiTheme="minorHAnsi" w:hAnsiTheme="minorHAnsi" w:cstheme="minorHAnsi"/>
          <w:bCs/>
        </w:rPr>
      </w:pPr>
      <w:r w:rsidRPr="00EA12E4">
        <w:rPr>
          <w:rFonts w:asciiTheme="minorHAnsi" w:hAnsiTheme="minorHAnsi" w:cstheme="minorHAnsi"/>
          <w:b/>
          <w:bCs/>
        </w:rPr>
        <w:t>12. „Vzdělávejte se pro růst v Olomouckém kraji II!“</w:t>
      </w:r>
      <w:r w:rsidRPr="00EA12E4">
        <w:rPr>
          <w:rFonts w:asciiTheme="minorHAnsi" w:hAnsiTheme="minorHAnsi" w:cstheme="minorHAnsi"/>
          <w:bCs/>
        </w:rPr>
        <w:t xml:space="preserve"> - jedná se o vzdělávací programy pro zaměstnance organizací působících ve vybraných ekonomických oblastech.</w:t>
      </w:r>
    </w:p>
    <w:p w:rsidR="00AE6900" w:rsidRPr="00EA12E4" w:rsidRDefault="00AE6900" w:rsidP="00AE6900">
      <w:pPr>
        <w:ind w:firstLine="851"/>
        <w:jc w:val="both"/>
        <w:rPr>
          <w:rFonts w:asciiTheme="minorHAnsi" w:hAnsiTheme="minorHAnsi" w:cstheme="minorHAnsi"/>
          <w:bCs/>
        </w:rPr>
      </w:pPr>
      <w:r w:rsidRPr="00EA12E4">
        <w:rPr>
          <w:rFonts w:asciiTheme="minorHAnsi" w:hAnsiTheme="minorHAnsi" w:cstheme="minorHAnsi"/>
          <w:b/>
          <w:bCs/>
        </w:rPr>
        <w:t xml:space="preserve">13. Generační tandem - </w:t>
      </w:r>
      <w:r w:rsidRPr="00EA12E4">
        <w:rPr>
          <w:rFonts w:asciiTheme="minorHAnsi" w:hAnsiTheme="minorHAnsi" w:cstheme="minorHAnsi"/>
          <w:b/>
        </w:rPr>
        <w:t>podpora generační výměny v Olomouckém kraji</w:t>
      </w:r>
      <w:r w:rsidRPr="00EA12E4">
        <w:rPr>
          <w:rFonts w:asciiTheme="minorHAnsi" w:hAnsiTheme="minorHAnsi" w:cstheme="minorHAnsi"/>
          <w:bCs/>
        </w:rPr>
        <w:t xml:space="preserve"> je zaměřen na zajištění generační výměny a podpory mezigenerační solidarity na trhu práce prostřednictvím udržení v zaměstnání pracovníků v předdůchodovém věku a posílení souladu mezi kvalifikační nabídkou a poptávkou na trhu práce u osob na trh práce nově vstupujících.</w:t>
      </w:r>
    </w:p>
    <w:p w:rsidR="00AE6900" w:rsidRPr="00EA12E4" w:rsidRDefault="00AE6900" w:rsidP="00AE6900">
      <w:pPr>
        <w:ind w:firstLine="851"/>
        <w:jc w:val="both"/>
        <w:rPr>
          <w:rFonts w:asciiTheme="minorHAnsi" w:hAnsiTheme="minorHAnsi" w:cstheme="minorHAnsi"/>
          <w:bCs/>
          <w:color w:val="FF0000"/>
        </w:rPr>
      </w:pPr>
    </w:p>
    <w:p w:rsidR="00AE6900" w:rsidRPr="00EA12E4" w:rsidRDefault="00AE6900" w:rsidP="00AE6900">
      <w:pPr>
        <w:ind w:firstLine="851"/>
        <w:jc w:val="both"/>
        <w:rPr>
          <w:rFonts w:asciiTheme="minorHAnsi" w:hAnsiTheme="minorHAnsi" w:cstheme="minorHAnsi"/>
          <w:bCs/>
          <w:color w:val="FF0000"/>
        </w:rPr>
      </w:pPr>
    </w:p>
    <w:p w:rsidR="00AE6900" w:rsidRPr="00EA12E4" w:rsidRDefault="00AE6900" w:rsidP="00AE6900">
      <w:pPr>
        <w:pStyle w:val="Zkladntext3"/>
        <w:spacing w:line="360" w:lineRule="auto"/>
        <w:jc w:val="both"/>
        <w:rPr>
          <w:rFonts w:asciiTheme="minorHAnsi" w:hAnsiTheme="minorHAnsi" w:cstheme="minorHAnsi"/>
          <w:b/>
          <w:i w:val="0"/>
          <w:caps/>
          <w:color w:val="FF0000"/>
          <w:sz w:val="28"/>
        </w:rPr>
      </w:pPr>
      <w:r w:rsidRPr="00EA12E4">
        <w:rPr>
          <w:rFonts w:asciiTheme="minorHAnsi" w:hAnsiTheme="minorHAnsi" w:cstheme="minorHAnsi"/>
          <w:b/>
          <w:i w:val="0"/>
          <w:caps/>
          <w:color w:val="FF0000"/>
          <w:sz w:val="28"/>
        </w:rPr>
        <w:lastRenderedPageBreak/>
        <w:t>7. CÍLE APZ PRO ROK 2015</w:t>
      </w:r>
    </w:p>
    <w:p w:rsidR="00AE6900" w:rsidRPr="00EA12E4" w:rsidRDefault="00AE6900" w:rsidP="00AE6900">
      <w:pPr>
        <w:ind w:firstLine="851"/>
        <w:jc w:val="both"/>
        <w:rPr>
          <w:rFonts w:asciiTheme="minorHAnsi" w:hAnsiTheme="minorHAnsi" w:cstheme="minorHAnsi"/>
        </w:rPr>
      </w:pPr>
      <w:r w:rsidRPr="00EA12E4">
        <w:rPr>
          <w:rFonts w:asciiTheme="minorHAnsi" w:hAnsiTheme="minorHAnsi" w:cstheme="minorHAnsi"/>
        </w:rPr>
        <w:t>Úřad práce ČR – krajská pobočka v Olomouci bude při realizaci aktivní politiky zaměstnanosti vycházet z rozpočtového opatření pro rok 2014, ze základních kritérií a výše finančních příspěvků na nástroje a opatření aktivní politiky zaměstnanosti, upravených v Normativní instrukci MPSV č. 15/2014 – Realizace aktivní politiky zaměstnanosti, Směrnicí GŘ č. 1/2015 Postup Úřadu práce ČR při realizaci nástrojů a opatření aktivní politiky zaměstnanosti.</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 xml:space="preserve">Prostředky APZ budou vynakládány co nejefektivněji tak, aby byly minimalizovány případy, kdy je nástroji APZ podpořen uchazeč o zaměstnání, jemuž je možné nalézt vhodné zaměstnání jiným způsobem. Nástroje vyhrazená společensky účelná pracovní místa a veřejně prospěšné práce budou přednostně financovány z prostředků ESF. </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 xml:space="preserve">K umístění uchazečů o zaměstnání budou využívány nástroje veřejně prospěšné práce, vyhrazená a zřízená společensky účelná pracovní místa, společensky účelná pracovní místa zřízená pro uchazeče o zaměstnání za účelem výkonu samostatné výdělečné činnosti a zřízení a provoz chráněných pracovních míst. </w:t>
      </w:r>
    </w:p>
    <w:p w:rsidR="00AE6900" w:rsidRPr="00EA12E4" w:rsidRDefault="00AE6900" w:rsidP="00AE6900">
      <w:pPr>
        <w:ind w:firstLine="709"/>
        <w:jc w:val="both"/>
        <w:rPr>
          <w:rFonts w:asciiTheme="minorHAnsi" w:hAnsiTheme="minorHAnsi" w:cstheme="minorHAnsi"/>
          <w:color w:val="FF0000"/>
        </w:rPr>
      </w:pPr>
      <w:r w:rsidRPr="00EA12E4">
        <w:rPr>
          <w:rFonts w:asciiTheme="minorHAnsi" w:hAnsiTheme="minorHAnsi" w:cstheme="minorHAnsi"/>
        </w:rPr>
        <w:t>Uvedenými nástroji budou přednostně podporováni uchazeči o zaměstnání, kterým nelze pro jejich individuální charakteristiky sjednat zaměstnání jiným způsobem.</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Jedná se zejména o uchazeče o zaměstnání, kterým je kvůli jejich zdravotnímu stavu, věku (absolventi bez praxe, mladí do 30 let a osoby nad 50 let) či péči o dítě věnována při zprostředkování práce zvýšená péče, či uchazeče o zaměstnání, u nichž existuje důvodný předpoklad dlouhodobého setrvání v evidenci na úřadu práce.</w:t>
      </w:r>
    </w:p>
    <w:p w:rsidR="00AE6900" w:rsidRPr="00EA12E4" w:rsidRDefault="00AE6900" w:rsidP="00AE6900">
      <w:pPr>
        <w:ind w:firstLine="709"/>
        <w:jc w:val="both"/>
        <w:rPr>
          <w:rFonts w:asciiTheme="minorHAnsi" w:hAnsiTheme="minorHAnsi" w:cstheme="minorHAnsi"/>
        </w:rPr>
      </w:pPr>
      <w:r w:rsidRPr="00EA12E4">
        <w:rPr>
          <w:rFonts w:asciiTheme="minorHAnsi" w:hAnsiTheme="minorHAnsi" w:cstheme="minorHAnsi"/>
        </w:rPr>
        <w:t xml:space="preserve">Pozornost je také zaměřena na uchazeče o zaměstnání, jímž je potřeba věnovat zvýšenou péči z jiného důvodu bránícího jejich vstupu na volný trh práce. Za jiný závažný důvod je rovněž považováno ohrožení sociálním vyloučením z důvodu setrvání v dlouhodobé nezaměstnanosti. </w:t>
      </w:r>
    </w:p>
    <w:p w:rsidR="00AE6900" w:rsidRPr="00EA12E4" w:rsidRDefault="00AE6900" w:rsidP="00AE6900">
      <w:pPr>
        <w:jc w:val="both"/>
        <w:rPr>
          <w:rFonts w:asciiTheme="minorHAnsi" w:hAnsiTheme="minorHAnsi" w:cstheme="minorHAnsi"/>
          <w:color w:val="FF0000"/>
        </w:rPr>
      </w:pPr>
    </w:p>
    <w:p w:rsidR="00EF0B5E" w:rsidRPr="00002B63" w:rsidRDefault="00EF0B5E" w:rsidP="00092698">
      <w:pPr>
        <w:pStyle w:val="Zkladntext3"/>
        <w:jc w:val="both"/>
        <w:rPr>
          <w:rFonts w:asciiTheme="minorHAnsi" w:hAnsiTheme="minorHAnsi" w:cstheme="minorHAnsi"/>
          <w:color w:val="000000"/>
        </w:rPr>
        <w:sectPr w:rsidR="00EF0B5E" w:rsidRPr="00002B63" w:rsidSect="00FD6D50">
          <w:footerReference w:type="even" r:id="rId17"/>
          <w:footerReference w:type="default" r:id="rId18"/>
          <w:pgSz w:w="11906" w:h="16838"/>
          <w:pgMar w:top="1418" w:right="1247" w:bottom="1418" w:left="1247" w:header="709" w:footer="709" w:gutter="0"/>
          <w:cols w:space="708"/>
          <w:titlePg/>
          <w:docGrid w:linePitch="360"/>
        </w:sectPr>
      </w:pPr>
    </w:p>
    <w:tbl>
      <w:tblPr>
        <w:tblW w:w="15480" w:type="dxa"/>
        <w:tblInd w:w="-650" w:type="dxa"/>
        <w:tblLayout w:type="fixed"/>
        <w:tblCellMar>
          <w:left w:w="70" w:type="dxa"/>
          <w:right w:w="70" w:type="dxa"/>
        </w:tblCellMar>
        <w:tblLook w:val="0000" w:firstRow="0" w:lastRow="0" w:firstColumn="0" w:lastColumn="0" w:noHBand="0" w:noVBand="0"/>
      </w:tblPr>
      <w:tblGrid>
        <w:gridCol w:w="3420"/>
        <w:gridCol w:w="4336"/>
        <w:gridCol w:w="4500"/>
        <w:gridCol w:w="900"/>
        <w:gridCol w:w="900"/>
        <w:gridCol w:w="1424"/>
      </w:tblGrid>
      <w:tr w:rsidR="00061C31" w:rsidRPr="00002B63" w:rsidTr="00A95882">
        <w:trPr>
          <w:trHeight w:val="390"/>
        </w:trPr>
        <w:tc>
          <w:tcPr>
            <w:tcW w:w="7756" w:type="dxa"/>
            <w:gridSpan w:val="2"/>
            <w:tcBorders>
              <w:top w:val="nil"/>
              <w:left w:val="nil"/>
              <w:bottom w:val="nil"/>
              <w:right w:val="nil"/>
            </w:tcBorders>
            <w:shd w:val="clear" w:color="auto" w:fill="auto"/>
            <w:noWrap/>
            <w:vAlign w:val="center"/>
          </w:tcPr>
          <w:p w:rsidR="00061C31" w:rsidRPr="00002B63" w:rsidRDefault="00061C31" w:rsidP="00AD6943">
            <w:pPr>
              <w:jc w:val="center"/>
              <w:rPr>
                <w:rFonts w:asciiTheme="minorHAnsi" w:hAnsiTheme="minorHAnsi" w:cstheme="minorHAnsi"/>
                <w:b/>
                <w:bCs/>
                <w:color w:val="FF0000"/>
                <w:sz w:val="28"/>
                <w:szCs w:val="28"/>
              </w:rPr>
            </w:pPr>
            <w:r w:rsidRPr="00002B63">
              <w:rPr>
                <w:rFonts w:asciiTheme="minorHAnsi" w:hAnsiTheme="minorHAnsi" w:cstheme="minorHAnsi"/>
                <w:b/>
                <w:bCs/>
                <w:color w:val="FF0000"/>
                <w:sz w:val="28"/>
                <w:szCs w:val="28"/>
              </w:rPr>
              <w:lastRenderedPageBreak/>
              <w:t>Příloha 1: Nejvýznamnější zaměstnavatelé Olomouckého kraje</w:t>
            </w:r>
          </w:p>
        </w:tc>
        <w:tc>
          <w:tcPr>
            <w:tcW w:w="4500" w:type="dxa"/>
            <w:tcBorders>
              <w:top w:val="nil"/>
              <w:left w:val="nil"/>
              <w:bottom w:val="nil"/>
              <w:right w:val="nil"/>
            </w:tcBorders>
            <w:shd w:val="clear" w:color="auto" w:fill="auto"/>
            <w:noWrap/>
            <w:vAlign w:val="center"/>
          </w:tcPr>
          <w:p w:rsidR="00061C31" w:rsidRPr="00002B63" w:rsidRDefault="00AD6943" w:rsidP="00AD6943">
            <w:pPr>
              <w:rPr>
                <w:rFonts w:asciiTheme="minorHAnsi" w:hAnsiTheme="minorHAnsi" w:cstheme="minorHAnsi"/>
                <w:b/>
                <w:color w:val="FF0000"/>
                <w:sz w:val="28"/>
                <w:szCs w:val="28"/>
              </w:rPr>
            </w:pPr>
            <w:r w:rsidRPr="00002B63">
              <w:rPr>
                <w:rFonts w:asciiTheme="minorHAnsi" w:hAnsiTheme="minorHAnsi" w:cstheme="minorHAnsi"/>
                <w:b/>
                <w:color w:val="FF0000"/>
                <w:sz w:val="28"/>
                <w:szCs w:val="28"/>
              </w:rPr>
              <w:t>(s min. 100 zaměstnanci)</w:t>
            </w:r>
          </w:p>
        </w:tc>
        <w:tc>
          <w:tcPr>
            <w:tcW w:w="900" w:type="dxa"/>
            <w:tcBorders>
              <w:top w:val="nil"/>
              <w:left w:val="nil"/>
              <w:bottom w:val="nil"/>
              <w:right w:val="nil"/>
            </w:tcBorders>
            <w:shd w:val="clear" w:color="auto" w:fill="auto"/>
            <w:noWrap/>
            <w:vAlign w:val="center"/>
          </w:tcPr>
          <w:p w:rsidR="00061C31" w:rsidRPr="00002B63" w:rsidRDefault="00061C31" w:rsidP="00061C31">
            <w:pPr>
              <w:rPr>
                <w:rFonts w:asciiTheme="minorHAnsi" w:hAnsiTheme="minorHAnsi" w:cstheme="minorHAnsi"/>
                <w:sz w:val="20"/>
                <w:szCs w:val="20"/>
              </w:rPr>
            </w:pPr>
          </w:p>
        </w:tc>
        <w:tc>
          <w:tcPr>
            <w:tcW w:w="900" w:type="dxa"/>
            <w:tcBorders>
              <w:top w:val="nil"/>
              <w:left w:val="nil"/>
              <w:bottom w:val="nil"/>
              <w:right w:val="nil"/>
            </w:tcBorders>
            <w:shd w:val="clear" w:color="auto" w:fill="auto"/>
            <w:noWrap/>
            <w:vAlign w:val="center"/>
          </w:tcPr>
          <w:p w:rsidR="00061C31" w:rsidRPr="00002B63" w:rsidRDefault="00061C31" w:rsidP="00061C31">
            <w:pPr>
              <w:jc w:val="center"/>
              <w:rPr>
                <w:rFonts w:asciiTheme="minorHAnsi" w:hAnsiTheme="minorHAnsi" w:cstheme="minorHAnsi"/>
                <w:sz w:val="20"/>
                <w:szCs w:val="20"/>
              </w:rPr>
            </w:pPr>
          </w:p>
        </w:tc>
        <w:tc>
          <w:tcPr>
            <w:tcW w:w="1424" w:type="dxa"/>
            <w:tcBorders>
              <w:top w:val="nil"/>
              <w:left w:val="nil"/>
              <w:bottom w:val="nil"/>
              <w:right w:val="nil"/>
            </w:tcBorders>
            <w:shd w:val="clear" w:color="auto" w:fill="auto"/>
            <w:noWrap/>
            <w:vAlign w:val="center"/>
          </w:tcPr>
          <w:p w:rsidR="00061C31" w:rsidRPr="00002B63" w:rsidRDefault="00061C31" w:rsidP="00061C31">
            <w:pPr>
              <w:rPr>
                <w:rFonts w:asciiTheme="minorHAnsi" w:hAnsiTheme="minorHAnsi" w:cstheme="minorHAnsi"/>
                <w:sz w:val="20"/>
                <w:szCs w:val="20"/>
              </w:rPr>
            </w:pPr>
          </w:p>
        </w:tc>
      </w:tr>
      <w:tr w:rsidR="00061C31" w:rsidRPr="00002B63" w:rsidTr="00A95882">
        <w:trPr>
          <w:trHeight w:val="330"/>
        </w:trPr>
        <w:tc>
          <w:tcPr>
            <w:tcW w:w="3420" w:type="dxa"/>
            <w:vMerge w:val="restart"/>
            <w:tcBorders>
              <w:top w:val="single" w:sz="8" w:space="0" w:color="auto"/>
              <w:left w:val="single" w:sz="8" w:space="0" w:color="auto"/>
              <w:bottom w:val="single" w:sz="8" w:space="0" w:color="000000"/>
              <w:right w:val="single" w:sz="8" w:space="0" w:color="auto"/>
            </w:tcBorders>
            <w:shd w:val="clear" w:color="auto" w:fill="CCFFFF"/>
            <w:vAlign w:val="center"/>
          </w:tcPr>
          <w:p w:rsidR="00061C31" w:rsidRPr="00002B63" w:rsidRDefault="00061C31" w:rsidP="00061C31">
            <w:pPr>
              <w:jc w:val="center"/>
              <w:rPr>
                <w:rFonts w:asciiTheme="minorHAnsi" w:hAnsiTheme="minorHAnsi" w:cstheme="minorHAnsi"/>
                <w:b/>
                <w:bCs/>
                <w:color w:val="000000"/>
              </w:rPr>
            </w:pPr>
            <w:r w:rsidRPr="00002B63">
              <w:rPr>
                <w:rFonts w:asciiTheme="minorHAnsi" w:hAnsiTheme="minorHAnsi" w:cstheme="minorHAnsi"/>
                <w:b/>
                <w:bCs/>
                <w:color w:val="000000"/>
              </w:rPr>
              <w:t>Odvětví</w:t>
            </w:r>
          </w:p>
        </w:tc>
        <w:tc>
          <w:tcPr>
            <w:tcW w:w="4336" w:type="dxa"/>
            <w:vMerge w:val="restart"/>
            <w:tcBorders>
              <w:top w:val="single" w:sz="8" w:space="0" w:color="auto"/>
              <w:left w:val="single" w:sz="8" w:space="0" w:color="auto"/>
              <w:bottom w:val="single" w:sz="8" w:space="0" w:color="000000"/>
              <w:right w:val="single" w:sz="8" w:space="0" w:color="auto"/>
            </w:tcBorders>
            <w:shd w:val="clear" w:color="auto" w:fill="CCFFFF"/>
            <w:vAlign w:val="center"/>
          </w:tcPr>
          <w:p w:rsidR="00061C31" w:rsidRPr="00002B63" w:rsidRDefault="00061C31" w:rsidP="00061C31">
            <w:pPr>
              <w:jc w:val="center"/>
              <w:rPr>
                <w:rFonts w:asciiTheme="minorHAnsi" w:hAnsiTheme="minorHAnsi" w:cstheme="minorHAnsi"/>
                <w:b/>
                <w:bCs/>
                <w:color w:val="000000"/>
              </w:rPr>
            </w:pPr>
            <w:r w:rsidRPr="00002B63">
              <w:rPr>
                <w:rFonts w:asciiTheme="minorHAnsi" w:hAnsiTheme="minorHAnsi" w:cstheme="minorHAnsi"/>
                <w:b/>
                <w:bCs/>
                <w:color w:val="000000"/>
              </w:rPr>
              <w:t>Název zaměstnavatele</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CCFFFF"/>
            <w:vAlign w:val="center"/>
          </w:tcPr>
          <w:p w:rsidR="00061C31" w:rsidRPr="00002B63" w:rsidRDefault="00061C31" w:rsidP="00061C31">
            <w:pPr>
              <w:jc w:val="center"/>
              <w:rPr>
                <w:rFonts w:asciiTheme="minorHAnsi" w:hAnsiTheme="minorHAnsi" w:cstheme="minorHAnsi"/>
                <w:b/>
                <w:bCs/>
                <w:color w:val="000000"/>
              </w:rPr>
            </w:pPr>
            <w:r w:rsidRPr="00002B63">
              <w:rPr>
                <w:rFonts w:asciiTheme="minorHAnsi" w:hAnsiTheme="minorHAnsi" w:cstheme="minorHAnsi"/>
                <w:b/>
                <w:bCs/>
                <w:color w:val="000000"/>
              </w:rPr>
              <w:t>Předmět činnosti</w:t>
            </w:r>
          </w:p>
        </w:tc>
        <w:tc>
          <w:tcPr>
            <w:tcW w:w="1800" w:type="dxa"/>
            <w:gridSpan w:val="2"/>
            <w:tcBorders>
              <w:top w:val="single" w:sz="8" w:space="0" w:color="auto"/>
              <w:left w:val="nil"/>
              <w:bottom w:val="single" w:sz="8" w:space="0" w:color="auto"/>
              <w:right w:val="single" w:sz="8" w:space="0" w:color="000000"/>
            </w:tcBorders>
            <w:shd w:val="clear" w:color="auto" w:fill="CCFFFF"/>
            <w:vAlign w:val="center"/>
          </w:tcPr>
          <w:p w:rsidR="00061C31" w:rsidRPr="00002B63" w:rsidRDefault="00061C31" w:rsidP="00061C31">
            <w:pPr>
              <w:jc w:val="center"/>
              <w:rPr>
                <w:rFonts w:asciiTheme="minorHAnsi" w:hAnsiTheme="minorHAnsi" w:cstheme="minorHAnsi"/>
                <w:b/>
                <w:bCs/>
                <w:color w:val="000000"/>
              </w:rPr>
            </w:pPr>
            <w:r w:rsidRPr="00002B63">
              <w:rPr>
                <w:rFonts w:asciiTheme="minorHAnsi" w:hAnsiTheme="minorHAnsi" w:cstheme="minorHAnsi"/>
                <w:b/>
                <w:bCs/>
                <w:color w:val="000000"/>
              </w:rPr>
              <w:t>Stav  zaměstnanosti</w:t>
            </w:r>
          </w:p>
        </w:tc>
        <w:tc>
          <w:tcPr>
            <w:tcW w:w="1424" w:type="dxa"/>
            <w:vMerge w:val="restart"/>
            <w:tcBorders>
              <w:top w:val="single" w:sz="8" w:space="0" w:color="auto"/>
              <w:left w:val="single" w:sz="8" w:space="0" w:color="auto"/>
              <w:bottom w:val="single" w:sz="8" w:space="0" w:color="000000"/>
              <w:right w:val="single" w:sz="8" w:space="0" w:color="auto"/>
            </w:tcBorders>
            <w:shd w:val="clear" w:color="auto" w:fill="CCFFFF"/>
            <w:vAlign w:val="center"/>
          </w:tcPr>
          <w:p w:rsidR="00061C31" w:rsidRPr="00002B63" w:rsidRDefault="00061C31" w:rsidP="00061C31">
            <w:pPr>
              <w:jc w:val="center"/>
              <w:rPr>
                <w:rFonts w:asciiTheme="minorHAnsi" w:hAnsiTheme="minorHAnsi" w:cstheme="minorHAnsi"/>
                <w:b/>
                <w:bCs/>
                <w:color w:val="000000"/>
              </w:rPr>
            </w:pPr>
            <w:r w:rsidRPr="00002B63">
              <w:rPr>
                <w:rFonts w:asciiTheme="minorHAnsi" w:hAnsiTheme="minorHAnsi" w:cstheme="minorHAnsi"/>
                <w:b/>
                <w:bCs/>
                <w:color w:val="000000"/>
              </w:rPr>
              <w:t>Okres</w:t>
            </w:r>
          </w:p>
        </w:tc>
      </w:tr>
      <w:tr w:rsidR="00061C31" w:rsidRPr="00002B63" w:rsidTr="00A95882">
        <w:trPr>
          <w:trHeight w:val="525"/>
        </w:trPr>
        <w:tc>
          <w:tcPr>
            <w:tcW w:w="3420" w:type="dxa"/>
            <w:vMerge/>
            <w:tcBorders>
              <w:top w:val="single" w:sz="8" w:space="0" w:color="auto"/>
              <w:left w:val="single" w:sz="8" w:space="0" w:color="auto"/>
              <w:bottom w:val="single" w:sz="8" w:space="0" w:color="000000"/>
              <w:right w:val="single" w:sz="8" w:space="0" w:color="auto"/>
            </w:tcBorders>
            <w:vAlign w:val="center"/>
          </w:tcPr>
          <w:p w:rsidR="00061C31" w:rsidRPr="00002B63" w:rsidRDefault="00061C31" w:rsidP="00061C31">
            <w:pPr>
              <w:rPr>
                <w:rFonts w:asciiTheme="minorHAnsi" w:hAnsiTheme="minorHAnsi" w:cstheme="minorHAnsi"/>
                <w:b/>
                <w:bCs/>
                <w:color w:val="000000"/>
              </w:rPr>
            </w:pPr>
          </w:p>
        </w:tc>
        <w:tc>
          <w:tcPr>
            <w:tcW w:w="4336" w:type="dxa"/>
            <w:vMerge/>
            <w:tcBorders>
              <w:top w:val="single" w:sz="8" w:space="0" w:color="auto"/>
              <w:left w:val="single" w:sz="8" w:space="0" w:color="auto"/>
              <w:bottom w:val="single" w:sz="8" w:space="0" w:color="000000"/>
              <w:right w:val="single" w:sz="8" w:space="0" w:color="auto"/>
            </w:tcBorders>
            <w:vAlign w:val="center"/>
          </w:tcPr>
          <w:p w:rsidR="00061C31" w:rsidRPr="00002B63" w:rsidRDefault="00061C31" w:rsidP="00061C31">
            <w:pPr>
              <w:rPr>
                <w:rFonts w:asciiTheme="minorHAnsi" w:hAnsiTheme="minorHAnsi" w:cstheme="minorHAnsi"/>
                <w:b/>
                <w:bCs/>
                <w:color w:val="000000"/>
              </w:rPr>
            </w:pPr>
          </w:p>
        </w:tc>
        <w:tc>
          <w:tcPr>
            <w:tcW w:w="4500" w:type="dxa"/>
            <w:vMerge/>
            <w:tcBorders>
              <w:top w:val="single" w:sz="8" w:space="0" w:color="auto"/>
              <w:left w:val="single" w:sz="8" w:space="0" w:color="auto"/>
              <w:bottom w:val="single" w:sz="8" w:space="0" w:color="000000"/>
              <w:right w:val="single" w:sz="8" w:space="0" w:color="auto"/>
            </w:tcBorders>
            <w:vAlign w:val="center"/>
          </w:tcPr>
          <w:p w:rsidR="00061C31" w:rsidRPr="00002B63" w:rsidRDefault="00061C31" w:rsidP="00061C31">
            <w:pPr>
              <w:rPr>
                <w:rFonts w:asciiTheme="minorHAnsi" w:hAnsiTheme="minorHAnsi" w:cstheme="minorHAnsi"/>
                <w:b/>
                <w:bCs/>
                <w:color w:val="000000"/>
              </w:rPr>
            </w:pPr>
          </w:p>
        </w:tc>
        <w:tc>
          <w:tcPr>
            <w:tcW w:w="900" w:type="dxa"/>
            <w:tcBorders>
              <w:top w:val="nil"/>
              <w:left w:val="nil"/>
              <w:bottom w:val="single" w:sz="8" w:space="0" w:color="auto"/>
              <w:right w:val="single" w:sz="8" w:space="0" w:color="auto"/>
            </w:tcBorders>
            <w:shd w:val="clear" w:color="auto" w:fill="CCFFFF"/>
            <w:vAlign w:val="center"/>
          </w:tcPr>
          <w:p w:rsidR="00061C31" w:rsidRPr="00002B63" w:rsidRDefault="0009571C" w:rsidP="00061C31">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w:t>
            </w:r>
            <w:r w:rsidR="00DC0A7D" w:rsidRPr="00002B63">
              <w:rPr>
                <w:rFonts w:asciiTheme="minorHAnsi" w:hAnsiTheme="minorHAnsi" w:cstheme="minorHAnsi"/>
                <w:b/>
                <w:bCs/>
                <w:color w:val="000000"/>
                <w:sz w:val="20"/>
                <w:szCs w:val="20"/>
              </w:rPr>
              <w:t>1</w:t>
            </w:r>
            <w:r w:rsidR="0093210C">
              <w:rPr>
                <w:rFonts w:asciiTheme="minorHAnsi" w:hAnsiTheme="minorHAnsi" w:cstheme="minorHAnsi"/>
                <w:b/>
                <w:bCs/>
                <w:color w:val="000000"/>
                <w:sz w:val="20"/>
                <w:szCs w:val="20"/>
              </w:rPr>
              <w:t>3</w:t>
            </w:r>
          </w:p>
        </w:tc>
        <w:tc>
          <w:tcPr>
            <w:tcW w:w="900" w:type="dxa"/>
            <w:tcBorders>
              <w:top w:val="nil"/>
              <w:left w:val="nil"/>
              <w:bottom w:val="single" w:sz="8" w:space="0" w:color="auto"/>
              <w:right w:val="single" w:sz="8" w:space="0" w:color="auto"/>
            </w:tcBorders>
            <w:shd w:val="clear" w:color="auto" w:fill="CCFFFF"/>
            <w:vAlign w:val="center"/>
          </w:tcPr>
          <w:p w:rsidR="00061C31" w:rsidRPr="00002B63" w:rsidRDefault="0009571C" w:rsidP="00061C31">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4</w:t>
            </w:r>
          </w:p>
        </w:tc>
        <w:tc>
          <w:tcPr>
            <w:tcW w:w="1424" w:type="dxa"/>
            <w:vMerge/>
            <w:tcBorders>
              <w:top w:val="single" w:sz="8" w:space="0" w:color="auto"/>
              <w:left w:val="single" w:sz="8" w:space="0" w:color="auto"/>
              <w:bottom w:val="single" w:sz="8" w:space="0" w:color="000000"/>
              <w:right w:val="single" w:sz="8" w:space="0" w:color="auto"/>
            </w:tcBorders>
            <w:vAlign w:val="center"/>
          </w:tcPr>
          <w:p w:rsidR="00061C31" w:rsidRPr="00002B63" w:rsidRDefault="00061C31" w:rsidP="00061C31">
            <w:pPr>
              <w:rPr>
                <w:rFonts w:asciiTheme="minorHAnsi" w:hAnsiTheme="minorHAnsi" w:cstheme="minorHAnsi"/>
                <w:b/>
                <w:bCs/>
                <w:color w:val="000000"/>
              </w:rPr>
            </w:pPr>
          </w:p>
        </w:tc>
      </w:tr>
      <w:tr w:rsidR="0093210C" w:rsidRPr="00002B63" w:rsidTr="00A95882">
        <w:trPr>
          <w:trHeight w:val="300"/>
        </w:trPr>
        <w:tc>
          <w:tcPr>
            <w:tcW w:w="3420" w:type="dxa"/>
            <w:vMerge w:val="restart"/>
            <w:tcBorders>
              <w:top w:val="nil"/>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Zemědělství a lesnictví</w:t>
            </w: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94459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Úsovsko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94459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podnikání v zemědělské výrobě (včetně prodeje)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178</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944591">
            <w:pPr>
              <w:jc w:val="center"/>
              <w:rPr>
                <w:rFonts w:asciiTheme="minorHAnsi" w:hAnsiTheme="minorHAnsi" w:cstheme="minorHAnsi"/>
                <w:color w:val="000000"/>
                <w:sz w:val="22"/>
                <w:szCs w:val="22"/>
              </w:rPr>
            </w:pPr>
            <w:r>
              <w:rPr>
                <w:rFonts w:asciiTheme="minorHAnsi" w:hAnsiTheme="minorHAnsi" w:cstheme="minorHAnsi"/>
                <w:color w:val="000000"/>
                <w:sz w:val="22"/>
                <w:szCs w:val="22"/>
              </w:rPr>
              <w:t>172</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94459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94459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Vojenské lesy a statky ČR, s.p.</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94459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lesnická činnost, pěstování a těžba dřeva</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304</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944591">
            <w:pPr>
              <w:jc w:val="center"/>
              <w:rPr>
                <w:rFonts w:asciiTheme="minorHAnsi" w:hAnsiTheme="minorHAnsi" w:cstheme="minorHAnsi"/>
                <w:color w:val="000000"/>
                <w:sz w:val="22"/>
                <w:szCs w:val="22"/>
              </w:rPr>
            </w:pPr>
            <w:r>
              <w:rPr>
                <w:rFonts w:asciiTheme="minorHAnsi" w:hAnsiTheme="minorHAnsi" w:cstheme="minorHAnsi"/>
                <w:color w:val="000000"/>
                <w:sz w:val="22"/>
                <w:szCs w:val="22"/>
              </w:rPr>
              <w:t>298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94459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 PR, PV</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94459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ZD Senice na Hané</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94459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rostlinná a živočišná výroba</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201</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944591">
            <w:pPr>
              <w:jc w:val="center"/>
              <w:rPr>
                <w:rFonts w:asciiTheme="minorHAnsi" w:hAnsiTheme="minorHAnsi" w:cstheme="minorHAnsi"/>
                <w:color w:val="000000"/>
                <w:sz w:val="22"/>
                <w:szCs w:val="22"/>
              </w:rPr>
            </w:pPr>
            <w:r>
              <w:rPr>
                <w:rFonts w:asciiTheme="minorHAnsi" w:hAnsiTheme="minorHAnsi" w:cstheme="minorHAnsi"/>
                <w:color w:val="000000"/>
                <w:sz w:val="22"/>
                <w:szCs w:val="22"/>
              </w:rPr>
              <w:t>186</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94459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5"/>
        </w:trPr>
        <w:tc>
          <w:tcPr>
            <w:tcW w:w="3420" w:type="dxa"/>
            <w:vMerge/>
            <w:tcBorders>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Zemědělské družstvo Unčovice</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rostlinná a živočišná výroba</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200</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750CFF" w:rsidP="005F7F89">
            <w:pPr>
              <w:jc w:val="center"/>
              <w:rPr>
                <w:rFonts w:asciiTheme="minorHAnsi" w:hAnsiTheme="minorHAnsi" w:cstheme="minorHAnsi"/>
                <w:color w:val="000000"/>
                <w:sz w:val="22"/>
                <w:szCs w:val="22"/>
              </w:rPr>
            </w:pPr>
            <w:r>
              <w:rPr>
                <w:rFonts w:asciiTheme="minorHAnsi" w:hAnsiTheme="minorHAnsi" w:cstheme="minorHAnsi"/>
                <w:color w:val="000000"/>
                <w:sz w:val="22"/>
                <w:szCs w:val="22"/>
              </w:rPr>
              <w:t>189</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val="restart"/>
            <w:tcBorders>
              <w:top w:val="nil"/>
              <w:left w:val="single" w:sz="8" w:space="0" w:color="auto"/>
              <w:right w:val="single" w:sz="8" w:space="0" w:color="auto"/>
            </w:tcBorders>
            <w:shd w:val="clear" w:color="auto" w:fill="auto"/>
            <w:vAlign w:val="center"/>
          </w:tcPr>
          <w:p w:rsidR="0093210C" w:rsidRPr="00002B63" w:rsidRDefault="0093210C" w:rsidP="0042321B">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Těžební průmysl</w:t>
            </w: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Slezský kámen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těžba a zpracování kamene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96</w:t>
            </w:r>
          </w:p>
        </w:tc>
        <w:tc>
          <w:tcPr>
            <w:tcW w:w="900" w:type="dxa"/>
            <w:tcBorders>
              <w:top w:val="nil"/>
              <w:left w:val="nil"/>
              <w:bottom w:val="nil"/>
              <w:right w:val="single" w:sz="8" w:space="0" w:color="auto"/>
            </w:tcBorders>
            <w:shd w:val="clear" w:color="auto" w:fill="auto"/>
            <w:noWrap/>
            <w:vAlign w:val="center"/>
          </w:tcPr>
          <w:p w:rsidR="0093210C"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76</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93210C" w:rsidRPr="00002B63" w:rsidTr="00A95882">
        <w:trPr>
          <w:trHeight w:val="315"/>
        </w:trPr>
        <w:tc>
          <w:tcPr>
            <w:tcW w:w="3420" w:type="dxa"/>
            <w:vMerge/>
            <w:tcBorders>
              <w:left w:val="single" w:sz="8" w:space="0" w:color="auto"/>
              <w:bottom w:val="single" w:sz="8" w:space="0" w:color="000000"/>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Vápenka Vitošov s.r.o.</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dobývání vápenců</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188</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750CFF"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180</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val="restart"/>
            <w:tcBorders>
              <w:top w:val="nil"/>
              <w:left w:val="single" w:sz="8" w:space="0" w:color="auto"/>
              <w:right w:val="single" w:sz="8" w:space="0" w:color="auto"/>
            </w:tcBorders>
            <w:shd w:val="clear" w:color="auto" w:fill="auto"/>
            <w:vAlign w:val="center"/>
          </w:tcPr>
          <w:p w:rsidR="0093210C"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Potravinářský průmysl</w:t>
            </w:r>
          </w:p>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MAKOVEC,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a zpracování masa</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590</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564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B15FC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Nestlé Česko s.r.o., závod ZORA Olomouc</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cukrovinek a čokolády </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927</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954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B15FC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OLMA Olomouc,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mléka a mléčných výrobků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421</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421</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B15FC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 SU</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ORRERO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sýrů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256</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288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B15FC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Pekárna Racek,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pekařská, cukrářská a těstárenská výroba</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191</w:t>
            </w:r>
          </w:p>
        </w:tc>
        <w:tc>
          <w:tcPr>
            <w:tcW w:w="900" w:type="dxa"/>
            <w:tcBorders>
              <w:top w:val="nil"/>
              <w:left w:val="nil"/>
              <w:bottom w:val="nil"/>
              <w:right w:val="single" w:sz="8" w:space="0" w:color="auto"/>
            </w:tcBorders>
            <w:shd w:val="clear" w:color="auto" w:fill="auto"/>
            <w:noWrap/>
            <w:vAlign w:val="center"/>
          </w:tcPr>
          <w:p w:rsidR="0093210C" w:rsidRPr="00002B63" w:rsidRDefault="00750CFF"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203</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B15FC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Penam, spol. s r.o.</w:t>
            </w:r>
          </w:p>
        </w:tc>
        <w:tc>
          <w:tcPr>
            <w:tcW w:w="4500" w:type="dxa"/>
            <w:tcBorders>
              <w:top w:val="nil"/>
              <w:left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pekařská, cukrářská a těstárenská výroba</w:t>
            </w:r>
          </w:p>
        </w:tc>
        <w:tc>
          <w:tcPr>
            <w:tcW w:w="900" w:type="dxa"/>
            <w:tcBorders>
              <w:top w:val="nil"/>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416</w:t>
            </w:r>
          </w:p>
        </w:tc>
        <w:tc>
          <w:tcPr>
            <w:tcW w:w="900" w:type="dxa"/>
            <w:tcBorders>
              <w:top w:val="nil"/>
              <w:left w:val="nil"/>
              <w:right w:val="single" w:sz="8" w:space="0" w:color="auto"/>
            </w:tcBorders>
            <w:shd w:val="clear" w:color="auto" w:fill="auto"/>
            <w:noWrap/>
            <w:vAlign w:val="center"/>
          </w:tcPr>
          <w:p w:rsidR="0093210C" w:rsidRPr="00002B63" w:rsidRDefault="0042321B"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403</w:t>
            </w:r>
          </w:p>
        </w:tc>
        <w:tc>
          <w:tcPr>
            <w:tcW w:w="1424" w:type="dxa"/>
            <w:tcBorders>
              <w:top w:val="nil"/>
              <w:left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 PV, SU</w:t>
            </w:r>
          </w:p>
        </w:tc>
      </w:tr>
      <w:tr w:rsidR="0093210C" w:rsidRPr="00002B63" w:rsidTr="00A95882">
        <w:trPr>
          <w:trHeight w:val="315"/>
        </w:trPr>
        <w:tc>
          <w:tcPr>
            <w:tcW w:w="3420" w:type="dxa"/>
            <w:vMerge/>
            <w:tcBorders>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Pivovar Holba, a.s.</w:t>
            </w:r>
          </w:p>
        </w:tc>
        <w:tc>
          <w:tcPr>
            <w:tcW w:w="4500" w:type="dxa"/>
            <w:tcBorders>
              <w:top w:val="nil"/>
              <w:left w:val="nil"/>
              <w:right w:val="single" w:sz="8" w:space="0" w:color="auto"/>
            </w:tcBorders>
            <w:shd w:val="clear" w:color="auto" w:fill="auto"/>
            <w:noWrap/>
            <w:vAlign w:val="center"/>
          </w:tcPr>
          <w:p w:rsidR="0093210C" w:rsidRPr="00002B63" w:rsidRDefault="0093210C" w:rsidP="00B15FC2">
            <w:pPr>
              <w:rPr>
                <w:rFonts w:asciiTheme="minorHAnsi" w:hAnsiTheme="minorHAnsi" w:cstheme="minorHAnsi"/>
                <w:i/>
                <w:iCs/>
                <w:color w:val="000000"/>
                <w:sz w:val="22"/>
                <w:szCs w:val="22"/>
              </w:rPr>
            </w:pPr>
            <w:r>
              <w:rPr>
                <w:rFonts w:asciiTheme="minorHAnsi" w:hAnsiTheme="minorHAnsi" w:cstheme="minorHAnsi"/>
                <w:i/>
                <w:iCs/>
                <w:color w:val="000000"/>
                <w:sz w:val="22"/>
                <w:szCs w:val="22"/>
              </w:rPr>
              <w:t>výroba piva</w:t>
            </w:r>
          </w:p>
        </w:tc>
        <w:tc>
          <w:tcPr>
            <w:tcW w:w="900" w:type="dxa"/>
            <w:tcBorders>
              <w:top w:val="nil"/>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155</w:t>
            </w:r>
          </w:p>
        </w:tc>
        <w:tc>
          <w:tcPr>
            <w:tcW w:w="900" w:type="dxa"/>
            <w:tcBorders>
              <w:top w:val="nil"/>
              <w:left w:val="nil"/>
              <w:right w:val="single" w:sz="8" w:space="0" w:color="auto"/>
            </w:tcBorders>
            <w:shd w:val="clear" w:color="auto" w:fill="auto"/>
            <w:noWrap/>
            <w:vAlign w:val="center"/>
          </w:tcPr>
          <w:p w:rsidR="0093210C" w:rsidRPr="00002B63" w:rsidRDefault="0042321B" w:rsidP="00B15FC2">
            <w:pPr>
              <w:jc w:val="center"/>
              <w:rPr>
                <w:rFonts w:asciiTheme="minorHAnsi" w:hAnsiTheme="minorHAnsi" w:cstheme="minorHAnsi"/>
                <w:color w:val="000000"/>
                <w:sz w:val="22"/>
                <w:szCs w:val="22"/>
              </w:rPr>
            </w:pPr>
            <w:r>
              <w:rPr>
                <w:rFonts w:asciiTheme="minorHAnsi" w:hAnsiTheme="minorHAnsi" w:cstheme="minorHAnsi"/>
                <w:color w:val="000000"/>
                <w:sz w:val="22"/>
                <w:szCs w:val="22"/>
              </w:rPr>
              <w:t>141</w:t>
            </w:r>
          </w:p>
        </w:tc>
        <w:tc>
          <w:tcPr>
            <w:tcW w:w="1424" w:type="dxa"/>
            <w:tcBorders>
              <w:top w:val="nil"/>
              <w:left w:val="nil"/>
              <w:right w:val="single" w:sz="8" w:space="0" w:color="auto"/>
            </w:tcBorders>
            <w:shd w:val="clear" w:color="auto" w:fill="auto"/>
            <w:noWrap/>
            <w:vAlign w:val="center"/>
          </w:tcPr>
          <w:p w:rsidR="0093210C" w:rsidRPr="00002B63" w:rsidRDefault="0093210C" w:rsidP="00B15FC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w:t>
            </w:r>
          </w:p>
        </w:tc>
      </w:tr>
      <w:tr w:rsidR="0093210C" w:rsidRPr="00002B63" w:rsidTr="00A95882">
        <w:trPr>
          <w:trHeight w:val="315"/>
        </w:trPr>
        <w:tc>
          <w:tcPr>
            <w:tcW w:w="3420" w:type="dxa"/>
            <w:vMerge/>
            <w:tcBorders>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Pivovar ZUBR a.s.</w:t>
            </w:r>
          </w:p>
        </w:tc>
        <w:tc>
          <w:tcPr>
            <w:tcW w:w="4500" w:type="dxa"/>
            <w:tcBorders>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piva</w:t>
            </w:r>
          </w:p>
        </w:tc>
        <w:tc>
          <w:tcPr>
            <w:tcW w:w="900" w:type="dxa"/>
            <w:tcBorders>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135</w:t>
            </w:r>
          </w:p>
        </w:tc>
        <w:tc>
          <w:tcPr>
            <w:tcW w:w="900" w:type="dxa"/>
            <w:tcBorders>
              <w:left w:val="nil"/>
              <w:bottom w:val="single" w:sz="8" w:space="0" w:color="auto"/>
              <w:right w:val="single" w:sz="8" w:space="0" w:color="auto"/>
            </w:tcBorders>
            <w:shd w:val="clear" w:color="auto" w:fill="auto"/>
            <w:noWrap/>
            <w:vAlign w:val="center"/>
          </w:tcPr>
          <w:p w:rsidR="0093210C" w:rsidRPr="00002B63" w:rsidRDefault="0042321B"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132</w:t>
            </w:r>
          </w:p>
        </w:tc>
        <w:tc>
          <w:tcPr>
            <w:tcW w:w="1424" w:type="dxa"/>
            <w:tcBorders>
              <w:left w:val="nil"/>
              <w:bottom w:val="single" w:sz="8" w:space="0" w:color="auto"/>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val="restart"/>
            <w:tcBorders>
              <w:top w:val="nil"/>
              <w:left w:val="single" w:sz="8" w:space="0" w:color="auto"/>
              <w:bottom w:val="single" w:sz="8" w:space="0" w:color="000000"/>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Textilní a oděvnický průmysl</w:t>
            </w: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KROK CZ, v.o.s.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pracovních oděvů a obuvi  </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334</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5F7F89">
            <w:pPr>
              <w:jc w:val="center"/>
              <w:rPr>
                <w:rFonts w:asciiTheme="minorHAnsi" w:hAnsiTheme="minorHAnsi" w:cstheme="minorHAnsi"/>
                <w:color w:val="000000"/>
                <w:sz w:val="22"/>
                <w:szCs w:val="22"/>
              </w:rPr>
            </w:pPr>
            <w:r>
              <w:rPr>
                <w:rFonts w:asciiTheme="minorHAnsi" w:hAnsiTheme="minorHAnsi" w:cstheme="minorHAnsi"/>
                <w:color w:val="000000"/>
                <w:sz w:val="22"/>
                <w:szCs w:val="22"/>
              </w:rPr>
              <w:t>330</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top w:val="nil"/>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Moděva, oděvní družstvo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textilní a oděvní</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165</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5F7F89">
            <w:pPr>
              <w:jc w:val="center"/>
              <w:rPr>
                <w:rFonts w:asciiTheme="minorHAnsi" w:hAnsiTheme="minorHAnsi" w:cstheme="minorHAnsi"/>
                <w:color w:val="000000"/>
                <w:sz w:val="22"/>
                <w:szCs w:val="22"/>
              </w:rPr>
            </w:pPr>
            <w:r>
              <w:rPr>
                <w:rFonts w:asciiTheme="minorHAnsi" w:hAnsiTheme="minorHAnsi" w:cstheme="minorHAnsi"/>
                <w:color w:val="000000"/>
                <w:sz w:val="22"/>
                <w:szCs w:val="22"/>
              </w:rPr>
              <w:t>164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15"/>
        </w:trPr>
        <w:tc>
          <w:tcPr>
            <w:tcW w:w="3420" w:type="dxa"/>
            <w:vMerge/>
            <w:tcBorders>
              <w:top w:val="nil"/>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Toray Textiles Central Europe s.r.o.</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a prodej polyesterových látek</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274</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1E562A" w:rsidP="005F7F89">
            <w:pPr>
              <w:jc w:val="center"/>
              <w:rPr>
                <w:rFonts w:asciiTheme="minorHAnsi" w:hAnsiTheme="minorHAnsi" w:cstheme="minorHAnsi"/>
                <w:color w:val="000000"/>
                <w:sz w:val="22"/>
                <w:szCs w:val="22"/>
              </w:rPr>
            </w:pPr>
            <w:r>
              <w:rPr>
                <w:rFonts w:asciiTheme="minorHAnsi" w:hAnsiTheme="minorHAnsi" w:cstheme="minorHAnsi"/>
                <w:color w:val="000000"/>
                <w:sz w:val="22"/>
                <w:szCs w:val="22"/>
              </w:rPr>
              <w:t>305</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15"/>
        </w:trPr>
        <w:tc>
          <w:tcPr>
            <w:tcW w:w="3420" w:type="dxa"/>
            <w:tcBorders>
              <w:top w:val="nil"/>
              <w:left w:val="single" w:sz="8" w:space="0" w:color="auto"/>
              <w:bottom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Kožedělný  průmysl</w:t>
            </w: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Gala a.s. </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brašnářského a sedlářského zboží</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205</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1E562A"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209</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00"/>
        </w:trPr>
        <w:tc>
          <w:tcPr>
            <w:tcW w:w="3420" w:type="dxa"/>
            <w:vMerge w:val="restart"/>
            <w:tcBorders>
              <w:top w:val="nil"/>
              <w:left w:val="single" w:sz="8" w:space="0" w:color="auto"/>
              <w:right w:val="single" w:sz="4"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Dřevařský a papírenský průmysl</w:t>
            </w:r>
          </w:p>
        </w:tc>
        <w:tc>
          <w:tcPr>
            <w:tcW w:w="4336" w:type="dxa"/>
            <w:tcBorders>
              <w:top w:val="nil"/>
              <w:left w:val="single" w:sz="4" w:space="0" w:color="auto"/>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Agrop Nova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vícevrstvých desek z řeziva</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205</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201</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00"/>
        </w:trPr>
        <w:tc>
          <w:tcPr>
            <w:tcW w:w="3420" w:type="dxa"/>
            <w:vMerge/>
            <w:tcBorders>
              <w:left w:val="single" w:sz="8" w:space="0" w:color="auto"/>
              <w:right w:val="single" w:sz="4"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single" w:sz="4" w:space="0" w:color="auto"/>
              <w:bottom w:val="nil"/>
              <w:right w:val="single" w:sz="8" w:space="0" w:color="auto"/>
            </w:tcBorders>
            <w:shd w:val="clear" w:color="auto" w:fill="auto"/>
            <w:noWrap/>
            <w:vAlign w:val="center"/>
          </w:tcPr>
          <w:p w:rsidR="0093210C" w:rsidRPr="00002B63" w:rsidRDefault="0093210C" w:rsidP="00015C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w:t>
            </w:r>
            <w:r>
              <w:rPr>
                <w:rFonts w:asciiTheme="minorHAnsi" w:hAnsiTheme="minorHAnsi" w:cstheme="minorHAnsi"/>
                <w:color w:val="000000"/>
                <w:sz w:val="22"/>
                <w:szCs w:val="22"/>
              </w:rPr>
              <w:t>Balsac papermill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15C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papírenská</w:t>
            </w:r>
            <w:r w:rsidRPr="00002B63">
              <w:rPr>
                <w:rFonts w:asciiTheme="minorHAnsi" w:hAnsiTheme="minorHAnsi" w:cstheme="minorHAnsi"/>
                <w:color w:val="000000"/>
                <w:sz w:val="22"/>
                <w:szCs w:val="22"/>
              </w:rPr>
              <w:t xml:space="preserve"> </w:t>
            </w:r>
            <w:r w:rsidRPr="00002B63">
              <w:rPr>
                <w:rFonts w:asciiTheme="minorHAnsi" w:hAnsiTheme="minorHAnsi" w:cstheme="minorHAnsi"/>
                <w:i/>
                <w:iCs/>
                <w:color w:val="000000"/>
                <w:sz w:val="22"/>
                <w:szCs w:val="22"/>
              </w:rPr>
              <w:t>výroba</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222</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015C7F">
            <w:pPr>
              <w:jc w:val="center"/>
              <w:rPr>
                <w:rFonts w:asciiTheme="minorHAnsi" w:hAnsiTheme="minorHAnsi" w:cstheme="minorHAnsi"/>
                <w:color w:val="000000"/>
                <w:sz w:val="22"/>
                <w:szCs w:val="22"/>
              </w:rPr>
            </w:pPr>
            <w:r>
              <w:rPr>
                <w:rFonts w:asciiTheme="minorHAnsi" w:hAnsiTheme="minorHAnsi" w:cstheme="minorHAnsi"/>
                <w:color w:val="000000"/>
                <w:sz w:val="22"/>
                <w:szCs w:val="22"/>
              </w:rPr>
              <w:t>235</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15C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13"/>
        </w:trPr>
        <w:tc>
          <w:tcPr>
            <w:tcW w:w="3420" w:type="dxa"/>
            <w:vMerge/>
            <w:tcBorders>
              <w:left w:val="single" w:sz="8" w:space="0" w:color="auto"/>
              <w:bottom w:val="single" w:sz="4" w:space="0" w:color="auto"/>
              <w:right w:val="single" w:sz="4"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left w:val="single" w:sz="4" w:space="0" w:color="auto"/>
              <w:bottom w:val="single" w:sz="4" w:space="0" w:color="auto"/>
              <w:right w:val="single" w:sz="8" w:space="0" w:color="auto"/>
            </w:tcBorders>
            <w:shd w:val="clear" w:color="auto" w:fill="auto"/>
            <w:noWrap/>
            <w:vAlign w:val="center"/>
          </w:tcPr>
          <w:p w:rsidR="0093210C" w:rsidRPr="00002B63" w:rsidRDefault="0093210C" w:rsidP="00015C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OP papírna Olšany s.r.o.</w:t>
            </w:r>
          </w:p>
        </w:tc>
        <w:tc>
          <w:tcPr>
            <w:tcW w:w="4500" w:type="dxa"/>
            <w:tcBorders>
              <w:top w:val="nil"/>
              <w:left w:val="nil"/>
              <w:bottom w:val="single" w:sz="4" w:space="0" w:color="auto"/>
              <w:right w:val="single" w:sz="8" w:space="0" w:color="auto"/>
            </w:tcBorders>
            <w:shd w:val="clear" w:color="auto" w:fill="auto"/>
            <w:noWrap/>
            <w:vAlign w:val="center"/>
          </w:tcPr>
          <w:p w:rsidR="0093210C" w:rsidRPr="00002B63" w:rsidRDefault="0093210C" w:rsidP="00015C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zpracování a výroba papíru</w:t>
            </w:r>
          </w:p>
        </w:tc>
        <w:tc>
          <w:tcPr>
            <w:tcW w:w="900" w:type="dxa"/>
            <w:tcBorders>
              <w:top w:val="nil"/>
              <w:left w:val="nil"/>
              <w:bottom w:val="single" w:sz="4"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431</w:t>
            </w:r>
          </w:p>
        </w:tc>
        <w:tc>
          <w:tcPr>
            <w:tcW w:w="900" w:type="dxa"/>
            <w:tcBorders>
              <w:top w:val="nil"/>
              <w:left w:val="nil"/>
              <w:bottom w:val="single" w:sz="4" w:space="0" w:color="auto"/>
              <w:right w:val="single" w:sz="8" w:space="0" w:color="auto"/>
            </w:tcBorders>
            <w:shd w:val="clear" w:color="auto" w:fill="auto"/>
            <w:noWrap/>
            <w:vAlign w:val="center"/>
          </w:tcPr>
          <w:p w:rsidR="0093210C" w:rsidRPr="00002B63" w:rsidRDefault="001E562A" w:rsidP="00015C7F">
            <w:pPr>
              <w:jc w:val="center"/>
              <w:rPr>
                <w:rFonts w:asciiTheme="minorHAnsi" w:hAnsiTheme="minorHAnsi" w:cstheme="minorHAnsi"/>
                <w:color w:val="000000"/>
                <w:sz w:val="22"/>
                <w:szCs w:val="22"/>
              </w:rPr>
            </w:pPr>
            <w:r>
              <w:rPr>
                <w:rFonts w:asciiTheme="minorHAnsi" w:hAnsiTheme="minorHAnsi" w:cstheme="minorHAnsi"/>
                <w:color w:val="000000"/>
                <w:sz w:val="22"/>
                <w:szCs w:val="22"/>
              </w:rPr>
              <w:t>435</w:t>
            </w:r>
          </w:p>
        </w:tc>
        <w:tc>
          <w:tcPr>
            <w:tcW w:w="1424" w:type="dxa"/>
            <w:tcBorders>
              <w:top w:val="nil"/>
              <w:left w:val="nil"/>
              <w:bottom w:val="single" w:sz="4" w:space="0" w:color="auto"/>
              <w:right w:val="single" w:sz="8" w:space="0" w:color="auto"/>
            </w:tcBorders>
            <w:shd w:val="clear" w:color="auto" w:fill="auto"/>
            <w:noWrap/>
            <w:vAlign w:val="center"/>
          </w:tcPr>
          <w:p w:rsidR="0093210C" w:rsidRPr="00002B63" w:rsidRDefault="0093210C" w:rsidP="00015C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13"/>
        </w:trPr>
        <w:tc>
          <w:tcPr>
            <w:tcW w:w="3420" w:type="dxa"/>
            <w:vMerge w:val="restart"/>
            <w:tcBorders>
              <w:left w:val="single" w:sz="8" w:space="0" w:color="auto"/>
              <w:right w:val="single" w:sz="4" w:space="0" w:color="auto"/>
            </w:tcBorders>
            <w:vAlign w:val="center"/>
          </w:tcPr>
          <w:p w:rsidR="0093210C" w:rsidRPr="00002B63" w:rsidRDefault="0093210C" w:rsidP="00F617D6">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xml:space="preserve">Chemický, gumárenský </w:t>
            </w:r>
          </w:p>
          <w:p w:rsidR="0093210C" w:rsidRPr="00002B63" w:rsidRDefault="0093210C" w:rsidP="00F617D6">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a plastikářský průmysl</w:t>
            </w:r>
          </w:p>
        </w:tc>
        <w:tc>
          <w:tcPr>
            <w:tcW w:w="4336" w:type="dxa"/>
            <w:tcBorders>
              <w:top w:val="single" w:sz="4" w:space="0" w:color="auto"/>
              <w:left w:val="single" w:sz="4" w:space="0" w:color="auto"/>
              <w:right w:val="single" w:sz="8" w:space="0" w:color="auto"/>
            </w:tcBorders>
            <w:shd w:val="clear" w:color="auto" w:fill="auto"/>
            <w:noWrap/>
            <w:vAlign w:val="center"/>
          </w:tcPr>
          <w:p w:rsidR="0093210C" w:rsidRPr="00002B63" w:rsidRDefault="0093210C" w:rsidP="00F617D6">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Farmak Olomouc, a.s.</w:t>
            </w:r>
          </w:p>
        </w:tc>
        <w:tc>
          <w:tcPr>
            <w:tcW w:w="4500" w:type="dxa"/>
            <w:tcBorders>
              <w:top w:val="single" w:sz="4" w:space="0" w:color="auto"/>
              <w:left w:val="nil"/>
              <w:right w:val="single" w:sz="8" w:space="0" w:color="auto"/>
            </w:tcBorders>
            <w:shd w:val="clear" w:color="auto" w:fill="auto"/>
            <w:noWrap/>
            <w:vAlign w:val="center"/>
          </w:tcPr>
          <w:p w:rsidR="0093210C" w:rsidRPr="00002B63" w:rsidRDefault="0093210C" w:rsidP="00F617D6">
            <w:pPr>
              <w:jc w:val="both"/>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léčiv a dezinfekčních prostředků</w:t>
            </w:r>
          </w:p>
        </w:tc>
        <w:tc>
          <w:tcPr>
            <w:tcW w:w="900" w:type="dxa"/>
            <w:tcBorders>
              <w:top w:val="single" w:sz="4" w:space="0" w:color="auto"/>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239</w:t>
            </w:r>
          </w:p>
        </w:tc>
        <w:tc>
          <w:tcPr>
            <w:tcW w:w="900" w:type="dxa"/>
            <w:tcBorders>
              <w:top w:val="single" w:sz="4" w:space="0" w:color="auto"/>
              <w:left w:val="nil"/>
              <w:right w:val="single" w:sz="8" w:space="0" w:color="auto"/>
            </w:tcBorders>
            <w:shd w:val="clear" w:color="auto" w:fill="auto"/>
            <w:noWrap/>
            <w:vAlign w:val="center"/>
          </w:tcPr>
          <w:p w:rsidR="0093210C" w:rsidRPr="00002B63" w:rsidRDefault="001E562A" w:rsidP="00F617D6">
            <w:pPr>
              <w:jc w:val="center"/>
              <w:rPr>
                <w:rFonts w:asciiTheme="minorHAnsi" w:hAnsiTheme="minorHAnsi" w:cstheme="minorHAnsi"/>
                <w:color w:val="000000"/>
                <w:sz w:val="22"/>
                <w:szCs w:val="22"/>
              </w:rPr>
            </w:pPr>
            <w:r>
              <w:rPr>
                <w:rFonts w:asciiTheme="minorHAnsi" w:hAnsiTheme="minorHAnsi" w:cstheme="minorHAnsi"/>
                <w:color w:val="000000"/>
                <w:sz w:val="22"/>
                <w:szCs w:val="22"/>
              </w:rPr>
              <w:t>238</w:t>
            </w:r>
          </w:p>
        </w:tc>
        <w:tc>
          <w:tcPr>
            <w:tcW w:w="1424" w:type="dxa"/>
            <w:tcBorders>
              <w:top w:val="single" w:sz="4" w:space="0" w:color="auto"/>
              <w:left w:val="nil"/>
              <w:right w:val="single" w:sz="8" w:space="0" w:color="auto"/>
            </w:tcBorders>
            <w:shd w:val="clear" w:color="auto" w:fill="auto"/>
            <w:noWrap/>
            <w:vAlign w:val="center"/>
          </w:tcPr>
          <w:p w:rsidR="0093210C" w:rsidRPr="00002B63" w:rsidRDefault="0093210C" w:rsidP="00F617D6">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3"/>
        </w:trPr>
        <w:tc>
          <w:tcPr>
            <w:tcW w:w="3420" w:type="dxa"/>
            <w:vMerge/>
            <w:tcBorders>
              <w:left w:val="single" w:sz="8" w:space="0" w:color="auto"/>
              <w:right w:val="single" w:sz="4"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left w:val="single" w:sz="4" w:space="0" w:color="auto"/>
              <w:right w:val="single" w:sz="8" w:space="0" w:color="auto"/>
            </w:tcBorders>
            <w:shd w:val="clear" w:color="auto" w:fill="auto"/>
            <w:noWrap/>
            <w:vAlign w:val="center"/>
          </w:tcPr>
          <w:p w:rsidR="0093210C" w:rsidRPr="00002B63" w:rsidRDefault="0093210C" w:rsidP="00015C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Henniges Hranice, s.r.o.</w:t>
            </w:r>
          </w:p>
        </w:tc>
        <w:tc>
          <w:tcPr>
            <w:tcW w:w="4500" w:type="dxa"/>
            <w:tcBorders>
              <w:top w:val="nil"/>
              <w:left w:val="nil"/>
              <w:right w:val="single" w:sz="8" w:space="0" w:color="auto"/>
            </w:tcBorders>
            <w:shd w:val="clear" w:color="auto" w:fill="auto"/>
            <w:noWrap/>
            <w:vAlign w:val="center"/>
          </w:tcPr>
          <w:p w:rsidR="0093210C" w:rsidRPr="00002B63" w:rsidRDefault="0093210C" w:rsidP="00015C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pryžových a plastových výrobků</w:t>
            </w:r>
          </w:p>
        </w:tc>
        <w:tc>
          <w:tcPr>
            <w:tcW w:w="900" w:type="dxa"/>
            <w:tcBorders>
              <w:top w:val="nil"/>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509</w:t>
            </w:r>
          </w:p>
        </w:tc>
        <w:tc>
          <w:tcPr>
            <w:tcW w:w="900" w:type="dxa"/>
            <w:tcBorders>
              <w:top w:val="nil"/>
              <w:left w:val="nil"/>
              <w:right w:val="single" w:sz="8" w:space="0" w:color="auto"/>
            </w:tcBorders>
            <w:shd w:val="clear" w:color="auto" w:fill="auto"/>
            <w:noWrap/>
            <w:vAlign w:val="center"/>
          </w:tcPr>
          <w:p w:rsidR="0093210C" w:rsidRPr="00002B63" w:rsidRDefault="001E562A" w:rsidP="00015C7F">
            <w:pPr>
              <w:jc w:val="center"/>
              <w:rPr>
                <w:rFonts w:asciiTheme="minorHAnsi" w:hAnsiTheme="minorHAnsi" w:cstheme="minorHAnsi"/>
                <w:color w:val="000000"/>
                <w:sz w:val="22"/>
                <w:szCs w:val="22"/>
              </w:rPr>
            </w:pPr>
            <w:r>
              <w:rPr>
                <w:rFonts w:asciiTheme="minorHAnsi" w:hAnsiTheme="minorHAnsi" w:cstheme="minorHAnsi"/>
                <w:color w:val="000000"/>
                <w:sz w:val="22"/>
                <w:szCs w:val="22"/>
              </w:rPr>
              <w:t>646</w:t>
            </w:r>
          </w:p>
        </w:tc>
        <w:tc>
          <w:tcPr>
            <w:tcW w:w="1424" w:type="dxa"/>
            <w:tcBorders>
              <w:top w:val="nil"/>
              <w:left w:val="nil"/>
              <w:right w:val="single" w:sz="8" w:space="0" w:color="auto"/>
            </w:tcBorders>
            <w:shd w:val="clear" w:color="auto" w:fill="auto"/>
            <w:noWrap/>
            <w:vAlign w:val="center"/>
          </w:tcPr>
          <w:p w:rsidR="0093210C" w:rsidRPr="00002B63" w:rsidRDefault="0093210C" w:rsidP="00015C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11"/>
        </w:trPr>
        <w:tc>
          <w:tcPr>
            <w:tcW w:w="3420" w:type="dxa"/>
            <w:vMerge/>
            <w:tcBorders>
              <w:left w:val="single" w:sz="8" w:space="0" w:color="auto"/>
              <w:bottom w:val="single" w:sz="4" w:space="0" w:color="auto"/>
              <w:right w:val="single" w:sz="4"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left w:val="single" w:sz="4" w:space="0" w:color="auto"/>
              <w:right w:val="single" w:sz="8" w:space="0" w:color="auto"/>
            </w:tcBorders>
            <w:shd w:val="clear" w:color="auto" w:fill="auto"/>
            <w:noWrap/>
            <w:vAlign w:val="center"/>
          </w:tcPr>
          <w:p w:rsidR="0093210C" w:rsidRPr="00002B63" w:rsidRDefault="0093210C" w:rsidP="00F617D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Plastkon product s.r.o.</w:t>
            </w:r>
          </w:p>
        </w:tc>
        <w:tc>
          <w:tcPr>
            <w:tcW w:w="4500" w:type="dxa"/>
            <w:tcBorders>
              <w:top w:val="nil"/>
              <w:left w:val="nil"/>
              <w:right w:val="single" w:sz="8" w:space="0" w:color="auto"/>
            </w:tcBorders>
            <w:shd w:val="clear" w:color="auto" w:fill="auto"/>
            <w:noWrap/>
            <w:vAlign w:val="center"/>
          </w:tcPr>
          <w:p w:rsidR="0093210C" w:rsidRPr="00002B63" w:rsidRDefault="0093210C" w:rsidP="00F617D6">
            <w:pPr>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Výroba výrobků z plastů</w:t>
            </w:r>
          </w:p>
        </w:tc>
        <w:tc>
          <w:tcPr>
            <w:tcW w:w="900" w:type="dxa"/>
            <w:tcBorders>
              <w:top w:val="nil"/>
              <w:left w:val="nil"/>
              <w:right w:val="single" w:sz="8" w:space="0" w:color="auto"/>
            </w:tcBorders>
            <w:shd w:val="clear" w:color="auto" w:fill="auto"/>
            <w:noWrap/>
            <w:vAlign w:val="center"/>
          </w:tcPr>
          <w:p w:rsidR="0093210C"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194</w:t>
            </w:r>
          </w:p>
        </w:tc>
        <w:tc>
          <w:tcPr>
            <w:tcW w:w="900" w:type="dxa"/>
            <w:tcBorders>
              <w:top w:val="nil"/>
              <w:left w:val="nil"/>
              <w:right w:val="single" w:sz="8" w:space="0" w:color="auto"/>
            </w:tcBorders>
            <w:shd w:val="clear" w:color="auto" w:fill="auto"/>
            <w:noWrap/>
            <w:vAlign w:val="center"/>
          </w:tcPr>
          <w:p w:rsidR="0093210C" w:rsidRDefault="001E562A" w:rsidP="00F617D6">
            <w:pPr>
              <w:jc w:val="center"/>
              <w:rPr>
                <w:rFonts w:asciiTheme="minorHAnsi" w:hAnsiTheme="minorHAnsi" w:cstheme="minorHAnsi"/>
                <w:color w:val="000000"/>
                <w:sz w:val="22"/>
                <w:szCs w:val="22"/>
              </w:rPr>
            </w:pPr>
            <w:r>
              <w:rPr>
                <w:rFonts w:asciiTheme="minorHAnsi" w:hAnsiTheme="minorHAnsi" w:cstheme="minorHAnsi"/>
                <w:color w:val="000000"/>
                <w:sz w:val="22"/>
                <w:szCs w:val="22"/>
              </w:rPr>
              <w:t>211</w:t>
            </w:r>
          </w:p>
        </w:tc>
        <w:tc>
          <w:tcPr>
            <w:tcW w:w="1424" w:type="dxa"/>
            <w:tcBorders>
              <w:top w:val="nil"/>
              <w:left w:val="nil"/>
              <w:right w:val="single" w:sz="8" w:space="0" w:color="auto"/>
            </w:tcBorders>
            <w:shd w:val="clear" w:color="auto" w:fill="auto"/>
            <w:noWrap/>
            <w:vAlign w:val="center"/>
          </w:tcPr>
          <w:p w:rsidR="0093210C" w:rsidRPr="00002B63" w:rsidRDefault="0093210C" w:rsidP="00F617D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JE</w:t>
            </w:r>
          </w:p>
        </w:tc>
      </w:tr>
      <w:tr w:rsidR="0093210C" w:rsidRPr="00002B63" w:rsidTr="00A95882">
        <w:trPr>
          <w:trHeight w:val="311"/>
        </w:trPr>
        <w:tc>
          <w:tcPr>
            <w:tcW w:w="3420" w:type="dxa"/>
            <w:vMerge/>
            <w:tcBorders>
              <w:left w:val="single" w:sz="8" w:space="0" w:color="auto"/>
              <w:bottom w:val="single" w:sz="4" w:space="0" w:color="auto"/>
              <w:right w:val="single" w:sz="4"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left w:val="single" w:sz="4" w:space="0" w:color="auto"/>
              <w:bottom w:val="single" w:sz="4" w:space="0" w:color="auto"/>
              <w:right w:val="single" w:sz="8" w:space="0" w:color="auto"/>
            </w:tcBorders>
            <w:shd w:val="clear" w:color="auto" w:fill="auto"/>
            <w:noWrap/>
            <w:vAlign w:val="center"/>
          </w:tcPr>
          <w:p w:rsidR="0093210C" w:rsidRPr="00002B63" w:rsidRDefault="0093210C" w:rsidP="00F617D6">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Precheza a.s. Přerov  </w:t>
            </w:r>
          </w:p>
        </w:tc>
        <w:tc>
          <w:tcPr>
            <w:tcW w:w="4500" w:type="dxa"/>
            <w:tcBorders>
              <w:left w:val="nil"/>
              <w:bottom w:val="single" w:sz="4" w:space="0" w:color="auto"/>
              <w:right w:val="single" w:sz="8" w:space="0" w:color="auto"/>
            </w:tcBorders>
            <w:shd w:val="clear" w:color="auto" w:fill="auto"/>
            <w:noWrap/>
            <w:vAlign w:val="center"/>
          </w:tcPr>
          <w:p w:rsidR="0093210C" w:rsidRPr="00002B63" w:rsidRDefault="0093210C" w:rsidP="00F617D6">
            <w:pPr>
              <w:jc w:val="both"/>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barviv a pigmentů</w:t>
            </w:r>
          </w:p>
        </w:tc>
        <w:tc>
          <w:tcPr>
            <w:tcW w:w="900" w:type="dxa"/>
            <w:tcBorders>
              <w:left w:val="nil"/>
              <w:bottom w:val="single" w:sz="4"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622</w:t>
            </w:r>
          </w:p>
        </w:tc>
        <w:tc>
          <w:tcPr>
            <w:tcW w:w="900" w:type="dxa"/>
            <w:tcBorders>
              <w:left w:val="nil"/>
              <w:bottom w:val="single" w:sz="4" w:space="0" w:color="auto"/>
              <w:right w:val="single" w:sz="8" w:space="0" w:color="auto"/>
            </w:tcBorders>
            <w:shd w:val="clear" w:color="auto" w:fill="auto"/>
            <w:noWrap/>
            <w:vAlign w:val="center"/>
          </w:tcPr>
          <w:p w:rsidR="0093210C" w:rsidRPr="00002B63" w:rsidRDefault="001E562A" w:rsidP="00F617D6">
            <w:pPr>
              <w:jc w:val="center"/>
              <w:rPr>
                <w:rFonts w:asciiTheme="minorHAnsi" w:hAnsiTheme="minorHAnsi" w:cstheme="minorHAnsi"/>
                <w:color w:val="000000"/>
                <w:sz w:val="22"/>
                <w:szCs w:val="22"/>
              </w:rPr>
            </w:pPr>
            <w:r>
              <w:rPr>
                <w:rFonts w:asciiTheme="minorHAnsi" w:hAnsiTheme="minorHAnsi" w:cstheme="minorHAnsi"/>
                <w:color w:val="000000"/>
                <w:sz w:val="22"/>
                <w:szCs w:val="22"/>
              </w:rPr>
              <w:t>626</w:t>
            </w:r>
          </w:p>
        </w:tc>
        <w:tc>
          <w:tcPr>
            <w:tcW w:w="1424" w:type="dxa"/>
            <w:tcBorders>
              <w:left w:val="nil"/>
              <w:bottom w:val="single" w:sz="4" w:space="0" w:color="auto"/>
              <w:right w:val="single" w:sz="8" w:space="0" w:color="auto"/>
            </w:tcBorders>
            <w:shd w:val="clear" w:color="auto" w:fill="auto"/>
            <w:noWrap/>
            <w:vAlign w:val="center"/>
          </w:tcPr>
          <w:p w:rsidR="0093210C" w:rsidRPr="00002B63" w:rsidRDefault="0093210C" w:rsidP="00F617D6">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B15FC2" w:rsidRPr="00002B63" w:rsidTr="00A95882">
        <w:trPr>
          <w:trHeight w:val="170"/>
        </w:trPr>
        <w:tc>
          <w:tcPr>
            <w:tcW w:w="13156" w:type="dxa"/>
            <w:gridSpan w:val="4"/>
            <w:tcBorders>
              <w:top w:val="single" w:sz="4" w:space="0" w:color="auto"/>
              <w:left w:val="single" w:sz="8" w:space="0" w:color="FFFFFF" w:themeColor="background1"/>
              <w:bottom w:val="single" w:sz="8" w:space="0" w:color="auto"/>
              <w:right w:val="single" w:sz="8" w:space="0" w:color="FFFFFF" w:themeColor="background1"/>
            </w:tcBorders>
            <w:vAlign w:val="center"/>
          </w:tcPr>
          <w:p w:rsidR="00B15FC2" w:rsidRPr="00002B63" w:rsidRDefault="00B15FC2" w:rsidP="00F617D6">
            <w:pPr>
              <w:jc w:val="center"/>
              <w:rPr>
                <w:rFonts w:asciiTheme="minorHAnsi" w:hAnsiTheme="minorHAnsi" w:cstheme="minorHAnsi"/>
                <w:color w:val="000000"/>
              </w:rPr>
            </w:pPr>
          </w:p>
        </w:tc>
        <w:tc>
          <w:tcPr>
            <w:tcW w:w="900" w:type="dxa"/>
            <w:tcBorders>
              <w:top w:val="single" w:sz="4" w:space="0" w:color="auto"/>
              <w:left w:val="single" w:sz="8" w:space="0" w:color="FFFFFF" w:themeColor="background1"/>
              <w:bottom w:val="single" w:sz="8" w:space="0" w:color="auto"/>
              <w:right w:val="single" w:sz="8" w:space="0" w:color="FFFFFF" w:themeColor="background1"/>
            </w:tcBorders>
            <w:shd w:val="clear" w:color="auto" w:fill="auto"/>
            <w:noWrap/>
            <w:vAlign w:val="center"/>
          </w:tcPr>
          <w:p w:rsidR="00B15FC2" w:rsidRPr="00002B63" w:rsidRDefault="00B15FC2" w:rsidP="00F617D6">
            <w:pPr>
              <w:jc w:val="center"/>
              <w:rPr>
                <w:rFonts w:asciiTheme="minorHAnsi" w:hAnsiTheme="minorHAnsi" w:cstheme="minorHAnsi"/>
                <w:color w:val="000000"/>
                <w:sz w:val="16"/>
                <w:szCs w:val="16"/>
              </w:rPr>
            </w:pPr>
          </w:p>
        </w:tc>
        <w:tc>
          <w:tcPr>
            <w:tcW w:w="1424" w:type="dxa"/>
            <w:tcBorders>
              <w:top w:val="single" w:sz="4" w:space="0" w:color="auto"/>
              <w:left w:val="single" w:sz="8" w:space="0" w:color="FFFFFF" w:themeColor="background1"/>
              <w:bottom w:val="single" w:sz="8" w:space="0" w:color="auto"/>
              <w:right w:val="single" w:sz="8" w:space="0" w:color="FFFFFF" w:themeColor="background1"/>
            </w:tcBorders>
            <w:shd w:val="clear" w:color="auto" w:fill="auto"/>
            <w:noWrap/>
            <w:vAlign w:val="center"/>
          </w:tcPr>
          <w:p w:rsidR="00B15FC2" w:rsidRPr="00002B63" w:rsidRDefault="00B15FC2" w:rsidP="00F617D6">
            <w:pPr>
              <w:jc w:val="center"/>
              <w:rPr>
                <w:rFonts w:asciiTheme="minorHAnsi" w:hAnsiTheme="minorHAnsi" w:cstheme="minorHAnsi"/>
                <w:b/>
                <w:bCs/>
                <w:color w:val="000000"/>
                <w:sz w:val="16"/>
                <w:szCs w:val="16"/>
              </w:rPr>
            </w:pPr>
          </w:p>
        </w:tc>
      </w:tr>
      <w:tr w:rsidR="00B15FC2" w:rsidRPr="00002B63" w:rsidTr="00A95882">
        <w:trPr>
          <w:trHeight w:val="300"/>
        </w:trPr>
        <w:tc>
          <w:tcPr>
            <w:tcW w:w="3420" w:type="dxa"/>
            <w:vMerge w:val="restart"/>
            <w:tcBorders>
              <w:top w:val="single" w:sz="8" w:space="0" w:color="auto"/>
              <w:left w:val="single" w:sz="8" w:space="0" w:color="auto"/>
              <w:right w:val="single" w:sz="8" w:space="0" w:color="auto"/>
            </w:tcBorders>
            <w:shd w:val="clear" w:color="auto" w:fill="CCFFFF"/>
            <w:vAlign w:val="center"/>
          </w:tcPr>
          <w:p w:rsidR="00B15FC2" w:rsidRPr="00002B63" w:rsidRDefault="00B15FC2" w:rsidP="00061C31">
            <w:pPr>
              <w:jc w:val="center"/>
              <w:rPr>
                <w:rFonts w:asciiTheme="minorHAnsi" w:hAnsiTheme="minorHAnsi" w:cstheme="minorHAnsi"/>
                <w:b/>
                <w:bCs/>
                <w:color w:val="000000"/>
              </w:rPr>
            </w:pPr>
            <w:r w:rsidRPr="00002B63">
              <w:rPr>
                <w:rFonts w:asciiTheme="minorHAnsi" w:hAnsiTheme="minorHAnsi" w:cstheme="minorHAnsi"/>
                <w:b/>
                <w:bCs/>
                <w:color w:val="000000"/>
              </w:rPr>
              <w:lastRenderedPageBreak/>
              <w:t>Odvětví</w:t>
            </w:r>
          </w:p>
        </w:tc>
        <w:tc>
          <w:tcPr>
            <w:tcW w:w="4336" w:type="dxa"/>
            <w:vMerge w:val="restart"/>
            <w:tcBorders>
              <w:top w:val="single" w:sz="8" w:space="0" w:color="auto"/>
              <w:left w:val="nil"/>
              <w:right w:val="single" w:sz="8" w:space="0" w:color="auto"/>
            </w:tcBorders>
            <w:shd w:val="clear" w:color="auto" w:fill="CCFFFF"/>
            <w:noWrap/>
            <w:vAlign w:val="center"/>
          </w:tcPr>
          <w:p w:rsidR="00B15FC2" w:rsidRPr="00002B63" w:rsidRDefault="00B15FC2" w:rsidP="00061C31">
            <w:pPr>
              <w:jc w:val="center"/>
              <w:rPr>
                <w:rFonts w:asciiTheme="minorHAnsi" w:hAnsiTheme="minorHAnsi" w:cstheme="minorHAnsi"/>
                <w:b/>
                <w:bCs/>
                <w:color w:val="000000"/>
              </w:rPr>
            </w:pPr>
            <w:r w:rsidRPr="00002B63">
              <w:rPr>
                <w:rFonts w:asciiTheme="minorHAnsi" w:hAnsiTheme="minorHAnsi" w:cstheme="minorHAnsi"/>
                <w:b/>
                <w:bCs/>
                <w:color w:val="000000"/>
              </w:rPr>
              <w:t>Název zaměstnavatele</w:t>
            </w:r>
          </w:p>
        </w:tc>
        <w:tc>
          <w:tcPr>
            <w:tcW w:w="4500" w:type="dxa"/>
            <w:vMerge w:val="restart"/>
            <w:tcBorders>
              <w:top w:val="single" w:sz="8" w:space="0" w:color="auto"/>
              <w:left w:val="nil"/>
              <w:right w:val="single" w:sz="8" w:space="0" w:color="auto"/>
            </w:tcBorders>
            <w:shd w:val="clear" w:color="auto" w:fill="CCFFFF"/>
            <w:noWrap/>
            <w:vAlign w:val="center"/>
          </w:tcPr>
          <w:p w:rsidR="00B15FC2" w:rsidRPr="00002B63" w:rsidRDefault="00B15FC2" w:rsidP="00061C31">
            <w:pPr>
              <w:jc w:val="center"/>
              <w:rPr>
                <w:rFonts w:asciiTheme="minorHAnsi" w:hAnsiTheme="minorHAnsi" w:cstheme="minorHAnsi"/>
                <w:b/>
                <w:bCs/>
                <w:color w:val="000000"/>
              </w:rPr>
            </w:pPr>
            <w:r w:rsidRPr="00002B63">
              <w:rPr>
                <w:rFonts w:asciiTheme="minorHAnsi" w:hAnsiTheme="minorHAnsi" w:cstheme="minorHAnsi"/>
                <w:b/>
                <w:bCs/>
                <w:color w:val="000000"/>
              </w:rPr>
              <w:t>Předmět činnosti</w:t>
            </w:r>
          </w:p>
        </w:tc>
        <w:tc>
          <w:tcPr>
            <w:tcW w:w="1800" w:type="dxa"/>
            <w:gridSpan w:val="2"/>
            <w:tcBorders>
              <w:top w:val="single" w:sz="8" w:space="0" w:color="auto"/>
              <w:left w:val="nil"/>
              <w:right w:val="single" w:sz="8" w:space="0" w:color="auto"/>
            </w:tcBorders>
            <w:shd w:val="clear" w:color="auto" w:fill="CCFFFF"/>
            <w:noWrap/>
            <w:vAlign w:val="center"/>
          </w:tcPr>
          <w:p w:rsidR="00B15FC2" w:rsidRPr="00002B63" w:rsidRDefault="00B15FC2" w:rsidP="00061C31">
            <w:pPr>
              <w:jc w:val="center"/>
              <w:rPr>
                <w:rFonts w:asciiTheme="minorHAnsi" w:hAnsiTheme="minorHAnsi" w:cstheme="minorHAnsi"/>
                <w:b/>
                <w:bCs/>
                <w:color w:val="000000"/>
              </w:rPr>
            </w:pPr>
            <w:r w:rsidRPr="00002B63">
              <w:rPr>
                <w:rFonts w:asciiTheme="minorHAnsi" w:hAnsiTheme="minorHAnsi" w:cstheme="minorHAnsi"/>
                <w:b/>
                <w:bCs/>
                <w:color w:val="000000"/>
              </w:rPr>
              <w:t>Stav  zaměstnanosti</w:t>
            </w:r>
          </w:p>
        </w:tc>
        <w:tc>
          <w:tcPr>
            <w:tcW w:w="1424" w:type="dxa"/>
            <w:vMerge w:val="restart"/>
            <w:tcBorders>
              <w:top w:val="single" w:sz="8" w:space="0" w:color="auto"/>
              <w:left w:val="nil"/>
              <w:right w:val="single" w:sz="8" w:space="0" w:color="auto"/>
            </w:tcBorders>
            <w:shd w:val="clear" w:color="auto" w:fill="CCFFFF"/>
            <w:noWrap/>
            <w:vAlign w:val="center"/>
          </w:tcPr>
          <w:p w:rsidR="00B15FC2" w:rsidRPr="00002B63" w:rsidRDefault="00B15FC2"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rPr>
              <w:t>Okres</w:t>
            </w:r>
          </w:p>
        </w:tc>
      </w:tr>
      <w:tr w:rsidR="00B15FC2" w:rsidRPr="00002B63" w:rsidTr="00A95882">
        <w:trPr>
          <w:trHeight w:val="300"/>
        </w:trPr>
        <w:tc>
          <w:tcPr>
            <w:tcW w:w="3420" w:type="dxa"/>
            <w:vMerge/>
            <w:tcBorders>
              <w:left w:val="single" w:sz="8" w:space="0" w:color="auto"/>
              <w:bottom w:val="single" w:sz="8" w:space="0" w:color="000000"/>
              <w:right w:val="single" w:sz="8" w:space="0" w:color="auto"/>
            </w:tcBorders>
            <w:shd w:val="clear" w:color="auto" w:fill="auto"/>
            <w:vAlign w:val="center"/>
          </w:tcPr>
          <w:p w:rsidR="00B15FC2" w:rsidRPr="00002B63" w:rsidRDefault="00B15FC2" w:rsidP="00061C31">
            <w:pPr>
              <w:jc w:val="center"/>
              <w:rPr>
                <w:rFonts w:asciiTheme="minorHAnsi" w:hAnsiTheme="minorHAnsi" w:cstheme="minorHAnsi"/>
                <w:b/>
                <w:bCs/>
                <w:color w:val="000000"/>
                <w:sz w:val="22"/>
                <w:szCs w:val="22"/>
              </w:rPr>
            </w:pPr>
          </w:p>
        </w:tc>
        <w:tc>
          <w:tcPr>
            <w:tcW w:w="4336" w:type="dxa"/>
            <w:vMerge/>
            <w:tcBorders>
              <w:left w:val="nil"/>
              <w:bottom w:val="single" w:sz="4" w:space="0" w:color="auto"/>
              <w:right w:val="single" w:sz="8" w:space="0" w:color="auto"/>
            </w:tcBorders>
            <w:shd w:val="clear" w:color="auto" w:fill="auto"/>
            <w:noWrap/>
            <w:vAlign w:val="center"/>
          </w:tcPr>
          <w:p w:rsidR="00B15FC2" w:rsidRPr="00002B63" w:rsidRDefault="00B15FC2" w:rsidP="00061C31">
            <w:pPr>
              <w:rPr>
                <w:rFonts w:asciiTheme="minorHAnsi" w:hAnsiTheme="minorHAnsi" w:cstheme="minorHAnsi"/>
                <w:color w:val="000000"/>
                <w:sz w:val="22"/>
                <w:szCs w:val="22"/>
              </w:rPr>
            </w:pPr>
          </w:p>
        </w:tc>
        <w:tc>
          <w:tcPr>
            <w:tcW w:w="4500" w:type="dxa"/>
            <w:vMerge/>
            <w:tcBorders>
              <w:left w:val="nil"/>
              <w:bottom w:val="single" w:sz="4" w:space="0" w:color="auto"/>
              <w:right w:val="single" w:sz="8" w:space="0" w:color="auto"/>
            </w:tcBorders>
            <w:shd w:val="clear" w:color="auto" w:fill="auto"/>
            <w:noWrap/>
            <w:vAlign w:val="center"/>
          </w:tcPr>
          <w:p w:rsidR="00B15FC2" w:rsidRPr="00002B63" w:rsidRDefault="00B15FC2" w:rsidP="00061C31">
            <w:pPr>
              <w:jc w:val="both"/>
              <w:rPr>
                <w:rFonts w:asciiTheme="minorHAnsi" w:hAnsiTheme="minorHAnsi" w:cstheme="minorHAnsi"/>
                <w:i/>
                <w:iCs/>
                <w:color w:val="000000"/>
                <w:sz w:val="22"/>
                <w:szCs w:val="22"/>
              </w:rPr>
            </w:pPr>
          </w:p>
        </w:tc>
        <w:tc>
          <w:tcPr>
            <w:tcW w:w="900" w:type="dxa"/>
            <w:tcBorders>
              <w:top w:val="single" w:sz="4" w:space="0" w:color="auto"/>
              <w:left w:val="nil"/>
              <w:bottom w:val="single" w:sz="4" w:space="0" w:color="auto"/>
              <w:right w:val="single" w:sz="8" w:space="0" w:color="auto"/>
            </w:tcBorders>
            <w:shd w:val="clear" w:color="auto" w:fill="CCFFFF"/>
            <w:noWrap/>
            <w:vAlign w:val="center"/>
          </w:tcPr>
          <w:p w:rsidR="00B15FC2" w:rsidRPr="00002B63" w:rsidRDefault="00B15FC2" w:rsidP="00F45638">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3</w:t>
            </w:r>
          </w:p>
        </w:tc>
        <w:tc>
          <w:tcPr>
            <w:tcW w:w="900" w:type="dxa"/>
            <w:tcBorders>
              <w:top w:val="single" w:sz="4" w:space="0" w:color="auto"/>
              <w:left w:val="nil"/>
              <w:bottom w:val="single" w:sz="4" w:space="0" w:color="auto"/>
              <w:right w:val="single" w:sz="4" w:space="0" w:color="auto"/>
            </w:tcBorders>
            <w:shd w:val="clear" w:color="auto" w:fill="CCFFFF"/>
            <w:noWrap/>
            <w:vAlign w:val="center"/>
          </w:tcPr>
          <w:p w:rsidR="00B15FC2" w:rsidRPr="00002B63" w:rsidRDefault="00B15FC2" w:rsidP="00F45638">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4</w:t>
            </w:r>
          </w:p>
        </w:tc>
        <w:tc>
          <w:tcPr>
            <w:tcW w:w="1424" w:type="dxa"/>
            <w:vMerge/>
            <w:tcBorders>
              <w:left w:val="single" w:sz="4" w:space="0" w:color="auto"/>
              <w:bottom w:val="single" w:sz="4" w:space="0" w:color="auto"/>
              <w:right w:val="single" w:sz="8" w:space="0" w:color="auto"/>
            </w:tcBorders>
            <w:shd w:val="clear" w:color="auto" w:fill="auto"/>
            <w:noWrap/>
            <w:vAlign w:val="center"/>
          </w:tcPr>
          <w:p w:rsidR="00B15FC2" w:rsidRPr="00002B63" w:rsidRDefault="00B15FC2" w:rsidP="00061C31">
            <w:pPr>
              <w:jc w:val="center"/>
              <w:rPr>
                <w:rFonts w:asciiTheme="minorHAnsi" w:hAnsiTheme="minorHAnsi" w:cstheme="minorHAnsi"/>
                <w:b/>
                <w:bCs/>
                <w:color w:val="000000"/>
                <w:sz w:val="22"/>
                <w:szCs w:val="22"/>
              </w:rPr>
            </w:pPr>
          </w:p>
        </w:tc>
      </w:tr>
      <w:tr w:rsidR="0093210C" w:rsidRPr="00002B63" w:rsidTr="00A95882">
        <w:trPr>
          <w:trHeight w:val="300"/>
        </w:trPr>
        <w:tc>
          <w:tcPr>
            <w:tcW w:w="3420" w:type="dxa"/>
            <w:vMerge w:val="restart"/>
            <w:tcBorders>
              <w:top w:val="nil"/>
              <w:left w:val="single" w:sz="8" w:space="0" w:color="auto"/>
              <w:right w:val="single" w:sz="8" w:space="0" w:color="auto"/>
            </w:tcBorders>
            <w:shd w:val="clear" w:color="auto" w:fill="auto"/>
            <w:vAlign w:val="center"/>
          </w:tcPr>
          <w:p w:rsidR="0093210C" w:rsidRPr="00002B63" w:rsidRDefault="0093210C" w:rsidP="009A726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Výroba stavebních hmot</w:t>
            </w: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Cement Hranice, akciová společnost</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cementu</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168</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177</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CeramTec Czech Republic,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Pr>
                <w:rFonts w:asciiTheme="minorHAnsi" w:hAnsiTheme="minorHAnsi" w:cstheme="minorHAnsi"/>
                <w:i/>
                <w:iCs/>
                <w:color w:val="000000"/>
                <w:sz w:val="22"/>
                <w:szCs w:val="22"/>
              </w:rPr>
              <w:t>výroba a vývoj technické keramiky</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313</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5F7F89">
            <w:pPr>
              <w:jc w:val="center"/>
              <w:rPr>
                <w:rFonts w:asciiTheme="minorHAnsi" w:hAnsiTheme="minorHAnsi" w:cstheme="minorHAnsi"/>
                <w:color w:val="000000"/>
                <w:sz w:val="22"/>
                <w:szCs w:val="22"/>
              </w:rPr>
            </w:pPr>
            <w:r>
              <w:rPr>
                <w:rFonts w:asciiTheme="minorHAnsi" w:hAnsiTheme="minorHAnsi" w:cstheme="minorHAnsi"/>
                <w:color w:val="000000"/>
                <w:sz w:val="22"/>
                <w:szCs w:val="22"/>
              </w:rPr>
              <w:t>294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9A7262" w:rsidRDefault="0093210C" w:rsidP="009A7262">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w:t>
            </w:r>
            <w:r w:rsidRPr="009A7262">
              <w:rPr>
                <w:rFonts w:asciiTheme="minorHAnsi" w:hAnsiTheme="minorHAnsi" w:cstheme="minorHAnsi"/>
                <w:color w:val="000000"/>
                <w:sz w:val="22"/>
                <w:szCs w:val="22"/>
              </w:rPr>
              <w:t>TONDACH Česká republika s.r.o. (záv. Hranice)</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9A726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cihel a pálené krytiny</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138</w:t>
            </w:r>
          </w:p>
        </w:tc>
        <w:tc>
          <w:tcPr>
            <w:tcW w:w="900" w:type="dxa"/>
            <w:tcBorders>
              <w:top w:val="nil"/>
              <w:left w:val="nil"/>
              <w:bottom w:val="nil"/>
              <w:right w:val="single" w:sz="8" w:space="0" w:color="auto"/>
            </w:tcBorders>
            <w:shd w:val="clear" w:color="auto" w:fill="auto"/>
            <w:noWrap/>
            <w:vAlign w:val="center"/>
          </w:tcPr>
          <w:p w:rsidR="0093210C" w:rsidRPr="00002B63" w:rsidRDefault="001E562A" w:rsidP="009A7262">
            <w:pPr>
              <w:jc w:val="center"/>
              <w:rPr>
                <w:rFonts w:asciiTheme="minorHAnsi" w:hAnsiTheme="minorHAnsi" w:cstheme="minorHAnsi"/>
                <w:color w:val="000000"/>
                <w:sz w:val="22"/>
                <w:szCs w:val="22"/>
              </w:rPr>
            </w:pPr>
            <w:r>
              <w:rPr>
                <w:rFonts w:asciiTheme="minorHAnsi" w:hAnsiTheme="minorHAnsi" w:cstheme="minorHAnsi"/>
                <w:color w:val="000000"/>
                <w:sz w:val="22"/>
                <w:szCs w:val="22"/>
              </w:rPr>
              <w:t>138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9A726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15"/>
        </w:trPr>
        <w:tc>
          <w:tcPr>
            <w:tcW w:w="3420" w:type="dxa"/>
            <w:vMerge/>
            <w:tcBorders>
              <w:left w:val="single" w:sz="8" w:space="0" w:color="auto"/>
              <w:bottom w:val="nil"/>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TOPOS PREFA Tovačov a.s.</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stavebních prvků z betonu</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139</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1E562A" w:rsidP="005F7F89">
            <w:pPr>
              <w:jc w:val="center"/>
              <w:rPr>
                <w:rFonts w:asciiTheme="minorHAnsi" w:hAnsiTheme="minorHAnsi" w:cstheme="minorHAnsi"/>
                <w:color w:val="000000"/>
                <w:sz w:val="22"/>
                <w:szCs w:val="22"/>
              </w:rPr>
            </w:pPr>
            <w:r>
              <w:rPr>
                <w:rFonts w:asciiTheme="minorHAnsi" w:hAnsiTheme="minorHAnsi" w:cstheme="minorHAnsi"/>
                <w:color w:val="000000"/>
                <w:sz w:val="22"/>
                <w:szCs w:val="22"/>
              </w:rPr>
              <w:t>139</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A07601" w:rsidRPr="00002B63" w:rsidTr="00A95882">
        <w:trPr>
          <w:trHeight w:val="300"/>
        </w:trPr>
        <w:tc>
          <w:tcPr>
            <w:tcW w:w="3420" w:type="dxa"/>
            <w:vMerge w:val="restart"/>
            <w:tcBorders>
              <w:top w:val="single" w:sz="8" w:space="0" w:color="auto"/>
              <w:left w:val="single" w:sz="8" w:space="0" w:color="auto"/>
              <w:right w:val="single" w:sz="8" w:space="0" w:color="auto"/>
            </w:tcBorders>
            <w:shd w:val="clear" w:color="auto" w:fill="auto"/>
            <w:vAlign w:val="center"/>
          </w:tcPr>
          <w:p w:rsidR="00A07601" w:rsidRPr="00002B63" w:rsidRDefault="00A07601"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Hutnictví a strojírenský průmysl</w:t>
            </w: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AŽD Praha, s.r.o., závody Olomouc</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zabezpečovacího zařízení </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464</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468</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240A48">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Česko – slezská výrobní a.s.</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kontejnerů, mobilních buněk a zařízení</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297</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295</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240A48">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DT výhybkárna a strojírna, s. 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a montáž ocelových konstrukcí mostů </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387</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426</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240A48">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A07601" w:rsidRPr="00002B63" w:rsidTr="00A95882">
        <w:trPr>
          <w:trHeight w:val="315"/>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0378A">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EPCOS s.r.o.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0378A">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měkkých magnetických  feritů </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797</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0378A">
            <w:pPr>
              <w:jc w:val="center"/>
              <w:rPr>
                <w:rFonts w:asciiTheme="minorHAnsi" w:hAnsiTheme="minorHAnsi" w:cstheme="minorHAnsi"/>
                <w:color w:val="000000"/>
                <w:sz w:val="22"/>
                <w:szCs w:val="22"/>
              </w:rPr>
            </w:pPr>
            <w:r>
              <w:rPr>
                <w:rFonts w:asciiTheme="minorHAnsi" w:hAnsiTheme="minorHAnsi" w:cstheme="minorHAnsi"/>
                <w:color w:val="000000"/>
                <w:sz w:val="22"/>
                <w:szCs w:val="22"/>
              </w:rPr>
              <w:t>793</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0378A">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0378A">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Hanácké železárny a pérovny, a.s.</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0378A">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pružin, pér a stabilizátorů</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260</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0378A">
            <w:pPr>
              <w:jc w:val="center"/>
              <w:rPr>
                <w:rFonts w:asciiTheme="minorHAnsi" w:hAnsiTheme="minorHAnsi" w:cstheme="minorHAnsi"/>
                <w:color w:val="000000"/>
                <w:sz w:val="22"/>
                <w:szCs w:val="22"/>
              </w:rPr>
            </w:pPr>
            <w:r>
              <w:rPr>
                <w:rFonts w:asciiTheme="minorHAnsi" w:hAnsiTheme="minorHAnsi" w:cstheme="minorHAnsi"/>
                <w:color w:val="000000"/>
                <w:sz w:val="22"/>
                <w:szCs w:val="22"/>
              </w:rPr>
              <w:t>247</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0378A">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HDO, spol. s 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broušení a leštění zinkových odlitků</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393</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386</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240A48">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HONEYWELL AEROSPACE, s.r.o.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součástek do leteckých motorů</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1 210</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1 313</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240A48">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9D4FA3" w:rsidRDefault="00A07601" w:rsidP="00061C31">
            <w:pPr>
              <w:rPr>
                <w:rFonts w:asciiTheme="minorHAnsi" w:hAnsiTheme="minorHAnsi" w:cstheme="minorHAnsi"/>
                <w:color w:val="000000"/>
                <w:sz w:val="22"/>
                <w:szCs w:val="22"/>
              </w:rPr>
            </w:pPr>
            <w:r w:rsidRPr="009D4FA3">
              <w:rPr>
                <w:rFonts w:asciiTheme="minorHAnsi" w:hAnsiTheme="minorHAnsi" w:cstheme="minorHAnsi"/>
                <w:color w:val="000000"/>
                <w:sz w:val="22"/>
                <w:szCs w:val="22"/>
              </w:rPr>
              <w:t xml:space="preserve"> John Crane Sigma a.s.</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061C31">
            <w:pPr>
              <w:rPr>
                <w:rFonts w:asciiTheme="minorHAnsi" w:hAnsiTheme="minorHAnsi" w:cstheme="minorHAnsi"/>
                <w:i/>
                <w:iCs/>
                <w:color w:val="000000"/>
                <w:sz w:val="22"/>
                <w:szCs w:val="22"/>
              </w:rPr>
            </w:pPr>
            <w:r>
              <w:rPr>
                <w:rFonts w:asciiTheme="minorHAnsi" w:hAnsiTheme="minorHAnsi" w:cstheme="minorHAnsi"/>
                <w:i/>
                <w:iCs/>
                <w:color w:val="000000"/>
                <w:sz w:val="22"/>
                <w:szCs w:val="22"/>
              </w:rPr>
              <w:t>výroba a montáž mechanických ucpávek</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437</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473</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240A48">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OC</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9D4FA3" w:rsidRDefault="00A07601" w:rsidP="009A7262">
            <w:pPr>
              <w:rPr>
                <w:rFonts w:asciiTheme="minorHAnsi" w:hAnsiTheme="minorHAnsi" w:cstheme="minorHAnsi"/>
                <w:color w:val="000000"/>
                <w:sz w:val="22"/>
                <w:szCs w:val="22"/>
              </w:rPr>
            </w:pPr>
            <w:r w:rsidRPr="009D4FA3">
              <w:rPr>
                <w:rFonts w:asciiTheme="minorHAnsi" w:hAnsiTheme="minorHAnsi" w:cstheme="minorHAnsi"/>
                <w:color w:val="000000"/>
                <w:sz w:val="22"/>
                <w:szCs w:val="22"/>
              </w:rPr>
              <w:t xml:space="preserve"> </w:t>
            </w:r>
            <w:r w:rsidRPr="009D4FA3">
              <w:rPr>
                <w:rStyle w:val="preformatted"/>
                <w:rFonts w:asciiTheme="minorHAnsi" w:hAnsiTheme="minorHAnsi" w:cstheme="minorHAnsi"/>
                <w:sz w:val="22"/>
                <w:szCs w:val="22"/>
              </w:rPr>
              <w:t>KLEIN automotive s.r.o.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9A726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dílů pro automobilový průmysl</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563</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9A7262">
            <w:pPr>
              <w:jc w:val="center"/>
              <w:rPr>
                <w:rFonts w:asciiTheme="minorHAnsi" w:hAnsiTheme="minorHAnsi" w:cstheme="minorHAnsi"/>
                <w:color w:val="000000"/>
                <w:sz w:val="22"/>
                <w:szCs w:val="22"/>
              </w:rPr>
            </w:pPr>
            <w:r>
              <w:rPr>
                <w:rFonts w:asciiTheme="minorHAnsi" w:hAnsiTheme="minorHAnsi" w:cstheme="minorHAnsi"/>
                <w:color w:val="000000"/>
                <w:sz w:val="22"/>
                <w:szCs w:val="22"/>
              </w:rPr>
              <w:t>614</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9A726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9D4FA3" w:rsidRDefault="00A07601" w:rsidP="009A7262">
            <w:pPr>
              <w:rPr>
                <w:rFonts w:asciiTheme="minorHAnsi" w:hAnsiTheme="minorHAnsi" w:cstheme="minorHAnsi"/>
                <w:color w:val="000000"/>
                <w:sz w:val="22"/>
                <w:szCs w:val="22"/>
              </w:rPr>
            </w:pPr>
            <w:r w:rsidRPr="009D4FA3">
              <w:rPr>
                <w:rFonts w:asciiTheme="minorHAnsi" w:hAnsiTheme="minorHAnsi" w:cstheme="minorHAnsi"/>
                <w:color w:val="000000"/>
                <w:sz w:val="22"/>
                <w:szCs w:val="22"/>
              </w:rPr>
              <w:t xml:space="preserve"> KOYO Bearings ČR s.r.o.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9A7262">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ložisek</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372</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9A7262">
            <w:pPr>
              <w:jc w:val="center"/>
              <w:rPr>
                <w:rFonts w:asciiTheme="minorHAnsi" w:hAnsiTheme="minorHAnsi" w:cstheme="minorHAnsi"/>
                <w:color w:val="000000"/>
                <w:sz w:val="22"/>
                <w:szCs w:val="22"/>
              </w:rPr>
            </w:pPr>
            <w:r>
              <w:rPr>
                <w:rFonts w:asciiTheme="minorHAnsi" w:hAnsiTheme="minorHAnsi" w:cstheme="minorHAnsi"/>
                <w:color w:val="000000"/>
                <w:sz w:val="22"/>
                <w:szCs w:val="22"/>
              </w:rPr>
              <w:t>387</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9A7262">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A07601" w:rsidRPr="00002B63" w:rsidTr="00A95882">
        <w:trPr>
          <w:trHeight w:val="315"/>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MIELE technika s.r.o., závod Uničov</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praček a myček</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1 085</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1 044</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Montáže Přerov a.s. </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kovových konstrukcí a prefabrikátů</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226</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228</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MORA MORAVIA, a.s. </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varných a topných spotřebičů </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623</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604</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MUBEA </w:t>
            </w:r>
            <w:r>
              <w:rPr>
                <w:rFonts w:asciiTheme="minorHAnsi" w:hAnsiTheme="minorHAnsi" w:cstheme="minorHAnsi"/>
                <w:color w:val="000000"/>
                <w:sz w:val="22"/>
                <w:szCs w:val="22"/>
              </w:rPr>
              <w:t>(celý koncern)</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kovářství, zámečnictví, prodej</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831</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939</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Pars nova a.s.</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opravy dopravních prostředků</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778</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731</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Pramet Tools, s.r.o.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slinutých karbidů a nástrojů </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624</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616</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Preciosa, a.s.</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zařízení na výrobu bižuterie</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245</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225</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PSP Engineeering a.s., PSP Machinery s.r.o.</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strojů a zařízení</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430</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459</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Řetězárna a.s.</w:t>
            </w:r>
          </w:p>
        </w:tc>
        <w:tc>
          <w:tcPr>
            <w:tcW w:w="4500" w:type="dxa"/>
            <w:tcBorders>
              <w:top w:val="nil"/>
              <w:left w:val="nil"/>
              <w:bottom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řetězů, výrobků z drátů, obrábění</w:t>
            </w:r>
          </w:p>
        </w:tc>
        <w:tc>
          <w:tcPr>
            <w:tcW w:w="900"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245</w:t>
            </w:r>
          </w:p>
        </w:tc>
        <w:tc>
          <w:tcPr>
            <w:tcW w:w="900" w:type="dxa"/>
            <w:tcBorders>
              <w:top w:val="nil"/>
              <w:left w:val="nil"/>
              <w:bottom w:val="nil"/>
              <w:right w:val="single" w:sz="8" w:space="0" w:color="auto"/>
            </w:tcBorders>
            <w:shd w:val="clear" w:color="auto" w:fill="auto"/>
            <w:noWrap/>
            <w:vAlign w:val="center"/>
          </w:tcPr>
          <w:p w:rsidR="00A07601" w:rsidRPr="00002B63" w:rsidRDefault="000F7A94"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245</w:t>
            </w:r>
          </w:p>
        </w:tc>
        <w:tc>
          <w:tcPr>
            <w:tcW w:w="1424" w:type="dxa"/>
            <w:tcBorders>
              <w:top w:val="nil"/>
              <w:left w:val="nil"/>
              <w:bottom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Sigma group, a.s.</w:t>
            </w:r>
          </w:p>
        </w:tc>
        <w:tc>
          <w:tcPr>
            <w:tcW w:w="4500"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čerpadel a čerpacích zařízení </w:t>
            </w:r>
          </w:p>
        </w:tc>
        <w:tc>
          <w:tcPr>
            <w:tcW w:w="900"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437</w:t>
            </w:r>
          </w:p>
        </w:tc>
        <w:tc>
          <w:tcPr>
            <w:tcW w:w="900" w:type="dxa"/>
            <w:tcBorders>
              <w:top w:val="nil"/>
              <w:left w:val="nil"/>
              <w:right w:val="single" w:sz="8" w:space="0" w:color="auto"/>
            </w:tcBorders>
            <w:shd w:val="clear" w:color="auto" w:fill="auto"/>
            <w:noWrap/>
            <w:vAlign w:val="center"/>
          </w:tcPr>
          <w:p w:rsidR="00A07601" w:rsidRPr="00002B63" w:rsidRDefault="000F7A94"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423</w:t>
            </w:r>
          </w:p>
        </w:tc>
        <w:tc>
          <w:tcPr>
            <w:tcW w:w="1424"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SIGMA PUMPY HRANICE, s.r.o.</w:t>
            </w:r>
          </w:p>
        </w:tc>
        <w:tc>
          <w:tcPr>
            <w:tcW w:w="4500"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čerpadel a kompresorů</w:t>
            </w:r>
          </w:p>
        </w:tc>
        <w:tc>
          <w:tcPr>
            <w:tcW w:w="900"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289</w:t>
            </w:r>
          </w:p>
        </w:tc>
        <w:tc>
          <w:tcPr>
            <w:tcW w:w="900" w:type="dxa"/>
            <w:tcBorders>
              <w:top w:val="nil"/>
              <w:left w:val="nil"/>
              <w:right w:val="single" w:sz="8" w:space="0" w:color="auto"/>
            </w:tcBorders>
            <w:shd w:val="clear" w:color="auto" w:fill="auto"/>
            <w:noWrap/>
            <w:vAlign w:val="center"/>
          </w:tcPr>
          <w:p w:rsidR="00A07601" w:rsidRPr="00002B63" w:rsidRDefault="000F7A94"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278</w:t>
            </w:r>
          </w:p>
        </w:tc>
        <w:tc>
          <w:tcPr>
            <w:tcW w:w="1424"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Slévárna  ANAH Prostějov, s r.o. </w:t>
            </w:r>
          </w:p>
        </w:tc>
        <w:tc>
          <w:tcPr>
            <w:tcW w:w="4500"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kovoobrábění, slévárenství</w:t>
            </w:r>
          </w:p>
        </w:tc>
        <w:tc>
          <w:tcPr>
            <w:tcW w:w="900"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296</w:t>
            </w:r>
          </w:p>
        </w:tc>
        <w:tc>
          <w:tcPr>
            <w:tcW w:w="900" w:type="dxa"/>
            <w:tcBorders>
              <w:top w:val="nil"/>
              <w:left w:val="nil"/>
              <w:right w:val="single" w:sz="8" w:space="0" w:color="auto"/>
            </w:tcBorders>
            <w:shd w:val="clear" w:color="auto" w:fill="auto"/>
            <w:noWrap/>
            <w:vAlign w:val="center"/>
          </w:tcPr>
          <w:p w:rsidR="00A07601" w:rsidRPr="00002B63" w:rsidRDefault="000F7A94"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295</w:t>
            </w:r>
          </w:p>
        </w:tc>
        <w:tc>
          <w:tcPr>
            <w:tcW w:w="1424"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A07601"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Slovácké strojírny, a.s. (závod Zábřeh)</w:t>
            </w:r>
          </w:p>
        </w:tc>
        <w:tc>
          <w:tcPr>
            <w:tcW w:w="4500" w:type="dxa"/>
            <w:tcBorders>
              <w:top w:val="nil"/>
              <w:left w:val="nil"/>
              <w:right w:val="single" w:sz="8" w:space="0" w:color="auto"/>
            </w:tcBorders>
            <w:shd w:val="clear" w:color="auto" w:fill="auto"/>
            <w:noWrap/>
            <w:vAlign w:val="center"/>
          </w:tcPr>
          <w:p w:rsidR="00A07601" w:rsidRPr="00002B63" w:rsidRDefault="00A07601" w:rsidP="00752857">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slévárenství železných  i neželezných kovů</w:t>
            </w:r>
          </w:p>
        </w:tc>
        <w:tc>
          <w:tcPr>
            <w:tcW w:w="900" w:type="dxa"/>
            <w:tcBorders>
              <w:top w:val="nil"/>
              <w:left w:val="nil"/>
              <w:right w:val="single" w:sz="8" w:space="0" w:color="auto"/>
            </w:tcBorders>
            <w:shd w:val="clear" w:color="auto" w:fill="auto"/>
            <w:noWrap/>
            <w:vAlign w:val="center"/>
          </w:tcPr>
          <w:p w:rsidR="00A07601" w:rsidRPr="00002B63" w:rsidRDefault="000F7A94"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505</w:t>
            </w:r>
          </w:p>
        </w:tc>
        <w:tc>
          <w:tcPr>
            <w:tcW w:w="900" w:type="dxa"/>
            <w:tcBorders>
              <w:top w:val="nil"/>
              <w:left w:val="nil"/>
              <w:right w:val="single" w:sz="8" w:space="0" w:color="auto"/>
            </w:tcBorders>
            <w:shd w:val="clear" w:color="auto" w:fill="auto"/>
            <w:noWrap/>
            <w:vAlign w:val="center"/>
          </w:tcPr>
          <w:p w:rsidR="00A07601" w:rsidRPr="00002B63" w:rsidRDefault="000F7A94" w:rsidP="00752857">
            <w:pPr>
              <w:jc w:val="center"/>
              <w:rPr>
                <w:rFonts w:asciiTheme="minorHAnsi" w:hAnsiTheme="minorHAnsi" w:cstheme="minorHAnsi"/>
                <w:color w:val="000000"/>
                <w:sz w:val="22"/>
                <w:szCs w:val="22"/>
              </w:rPr>
            </w:pPr>
            <w:r>
              <w:rPr>
                <w:rFonts w:asciiTheme="minorHAnsi" w:hAnsiTheme="minorHAnsi" w:cstheme="minorHAnsi"/>
                <w:color w:val="000000"/>
                <w:sz w:val="22"/>
                <w:szCs w:val="22"/>
              </w:rPr>
              <w:t>526</w:t>
            </w:r>
          </w:p>
        </w:tc>
        <w:tc>
          <w:tcPr>
            <w:tcW w:w="1424" w:type="dxa"/>
            <w:tcBorders>
              <w:top w:val="nil"/>
              <w:left w:val="nil"/>
              <w:right w:val="single" w:sz="8" w:space="0" w:color="auto"/>
            </w:tcBorders>
            <w:shd w:val="clear" w:color="auto" w:fill="auto"/>
            <w:noWrap/>
            <w:vAlign w:val="center"/>
          </w:tcPr>
          <w:p w:rsidR="00A07601" w:rsidRPr="00002B63" w:rsidRDefault="00A07601" w:rsidP="0075285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A07601" w:rsidRPr="00002B63" w:rsidTr="00A95882">
        <w:trPr>
          <w:trHeight w:val="300"/>
        </w:trPr>
        <w:tc>
          <w:tcPr>
            <w:tcW w:w="3420" w:type="dxa"/>
            <w:vMerge/>
            <w:tcBorders>
              <w:left w:val="single" w:sz="8" w:space="0" w:color="auto"/>
              <w:bottom w:val="single" w:sz="4" w:space="0" w:color="auto"/>
              <w:right w:val="single" w:sz="8" w:space="0" w:color="auto"/>
            </w:tcBorders>
            <w:shd w:val="clear" w:color="auto" w:fill="auto"/>
            <w:vAlign w:val="center"/>
          </w:tcPr>
          <w:p w:rsidR="00A07601" w:rsidRPr="00002B63" w:rsidRDefault="00A07601" w:rsidP="00061C31">
            <w:pPr>
              <w:rPr>
                <w:rFonts w:asciiTheme="minorHAnsi" w:hAnsiTheme="minorHAnsi" w:cstheme="minorHAnsi"/>
                <w:b/>
                <w:bCs/>
                <w:color w:val="000000"/>
                <w:sz w:val="22"/>
                <w:szCs w:val="22"/>
              </w:rPr>
            </w:pPr>
          </w:p>
        </w:tc>
        <w:tc>
          <w:tcPr>
            <w:tcW w:w="4336" w:type="dxa"/>
            <w:tcBorders>
              <w:top w:val="nil"/>
              <w:left w:val="nil"/>
              <w:bottom w:val="single" w:sz="4" w:space="0" w:color="auto"/>
              <w:right w:val="single" w:sz="8" w:space="0" w:color="auto"/>
            </w:tcBorders>
            <w:shd w:val="clear" w:color="auto" w:fill="auto"/>
            <w:noWrap/>
            <w:vAlign w:val="center"/>
          </w:tcPr>
          <w:p w:rsidR="00A07601" w:rsidRPr="00002B63" w:rsidRDefault="00A07601" w:rsidP="0012457F">
            <w:pPr>
              <w:rPr>
                <w:rFonts w:asciiTheme="minorHAnsi" w:hAnsiTheme="minorHAnsi" w:cstheme="minorHAnsi"/>
                <w:color w:val="000000"/>
                <w:sz w:val="22"/>
                <w:szCs w:val="22"/>
              </w:rPr>
            </w:pPr>
          </w:p>
        </w:tc>
        <w:tc>
          <w:tcPr>
            <w:tcW w:w="4500" w:type="dxa"/>
            <w:tcBorders>
              <w:top w:val="nil"/>
              <w:left w:val="nil"/>
              <w:bottom w:val="single" w:sz="4" w:space="0" w:color="auto"/>
              <w:right w:val="single" w:sz="8" w:space="0" w:color="auto"/>
            </w:tcBorders>
            <w:shd w:val="clear" w:color="auto" w:fill="auto"/>
            <w:noWrap/>
            <w:vAlign w:val="center"/>
          </w:tcPr>
          <w:p w:rsidR="00A07601" w:rsidRPr="00002B63" w:rsidRDefault="00A07601" w:rsidP="0012457F">
            <w:pPr>
              <w:rPr>
                <w:rFonts w:asciiTheme="minorHAnsi" w:hAnsiTheme="minorHAnsi" w:cstheme="minorHAnsi"/>
                <w:i/>
                <w:iCs/>
                <w:color w:val="000000"/>
                <w:sz w:val="22"/>
                <w:szCs w:val="22"/>
              </w:rPr>
            </w:pPr>
          </w:p>
        </w:tc>
        <w:tc>
          <w:tcPr>
            <w:tcW w:w="900" w:type="dxa"/>
            <w:tcBorders>
              <w:top w:val="nil"/>
              <w:left w:val="nil"/>
              <w:bottom w:val="single" w:sz="4" w:space="0" w:color="auto"/>
              <w:right w:val="single" w:sz="8" w:space="0" w:color="auto"/>
            </w:tcBorders>
            <w:shd w:val="clear" w:color="auto" w:fill="auto"/>
            <w:noWrap/>
            <w:vAlign w:val="center"/>
          </w:tcPr>
          <w:p w:rsidR="00A07601" w:rsidRPr="00002B63" w:rsidRDefault="00A07601" w:rsidP="00254F66">
            <w:pPr>
              <w:jc w:val="center"/>
              <w:rPr>
                <w:rFonts w:asciiTheme="minorHAnsi" w:hAnsiTheme="minorHAnsi" w:cstheme="minorHAnsi"/>
                <w:color w:val="000000"/>
                <w:sz w:val="22"/>
                <w:szCs w:val="22"/>
              </w:rPr>
            </w:pPr>
          </w:p>
        </w:tc>
        <w:tc>
          <w:tcPr>
            <w:tcW w:w="900" w:type="dxa"/>
            <w:tcBorders>
              <w:top w:val="nil"/>
              <w:left w:val="nil"/>
              <w:bottom w:val="single" w:sz="4" w:space="0" w:color="auto"/>
              <w:right w:val="single" w:sz="8" w:space="0" w:color="auto"/>
            </w:tcBorders>
            <w:shd w:val="clear" w:color="auto" w:fill="auto"/>
            <w:noWrap/>
            <w:vAlign w:val="center"/>
          </w:tcPr>
          <w:p w:rsidR="00A07601" w:rsidRPr="00002B63" w:rsidRDefault="00A07601" w:rsidP="0012457F">
            <w:pPr>
              <w:jc w:val="center"/>
              <w:rPr>
                <w:rFonts w:asciiTheme="minorHAnsi" w:hAnsiTheme="minorHAnsi" w:cstheme="minorHAnsi"/>
                <w:color w:val="000000"/>
                <w:sz w:val="22"/>
                <w:szCs w:val="22"/>
              </w:rPr>
            </w:pPr>
          </w:p>
        </w:tc>
        <w:tc>
          <w:tcPr>
            <w:tcW w:w="1424" w:type="dxa"/>
            <w:tcBorders>
              <w:top w:val="nil"/>
              <w:left w:val="nil"/>
              <w:bottom w:val="single" w:sz="4" w:space="0" w:color="auto"/>
              <w:right w:val="single" w:sz="8" w:space="0" w:color="auto"/>
            </w:tcBorders>
            <w:shd w:val="clear" w:color="auto" w:fill="auto"/>
            <w:noWrap/>
            <w:vAlign w:val="center"/>
          </w:tcPr>
          <w:p w:rsidR="00A07601" w:rsidRPr="00002B63" w:rsidRDefault="00A07601" w:rsidP="0012457F">
            <w:pPr>
              <w:jc w:val="center"/>
              <w:rPr>
                <w:rFonts w:asciiTheme="minorHAnsi" w:hAnsiTheme="minorHAnsi" w:cstheme="minorHAnsi"/>
                <w:b/>
                <w:bCs/>
                <w:color w:val="000000"/>
                <w:sz w:val="22"/>
                <w:szCs w:val="22"/>
              </w:rPr>
            </w:pPr>
          </w:p>
        </w:tc>
      </w:tr>
      <w:tr w:rsidR="009A7262" w:rsidRPr="00002B63" w:rsidTr="00BF330D">
        <w:trPr>
          <w:trHeight w:val="300"/>
        </w:trPr>
        <w:tc>
          <w:tcPr>
            <w:tcW w:w="3420" w:type="dxa"/>
            <w:vMerge w:val="restart"/>
            <w:tcBorders>
              <w:top w:val="single" w:sz="4" w:space="0" w:color="auto"/>
              <w:left w:val="single" w:sz="8" w:space="0" w:color="auto"/>
              <w:right w:val="single" w:sz="8" w:space="0" w:color="auto"/>
            </w:tcBorders>
            <w:shd w:val="clear" w:color="auto" w:fill="CCFFFF"/>
            <w:vAlign w:val="center"/>
          </w:tcPr>
          <w:p w:rsidR="009A7262" w:rsidRPr="00002B63" w:rsidRDefault="009A7262" w:rsidP="00AB1F6A">
            <w:pPr>
              <w:jc w:val="center"/>
              <w:rPr>
                <w:rFonts w:asciiTheme="minorHAnsi" w:hAnsiTheme="minorHAnsi" w:cstheme="minorHAnsi"/>
                <w:b/>
                <w:bCs/>
                <w:color w:val="000000"/>
              </w:rPr>
            </w:pPr>
            <w:r w:rsidRPr="00002B63">
              <w:rPr>
                <w:rFonts w:asciiTheme="minorHAnsi" w:hAnsiTheme="minorHAnsi" w:cstheme="minorHAnsi"/>
                <w:b/>
                <w:bCs/>
                <w:color w:val="000000"/>
              </w:rPr>
              <w:lastRenderedPageBreak/>
              <w:t>Odvětví</w:t>
            </w:r>
          </w:p>
        </w:tc>
        <w:tc>
          <w:tcPr>
            <w:tcW w:w="4336" w:type="dxa"/>
            <w:vMerge w:val="restart"/>
            <w:tcBorders>
              <w:top w:val="single" w:sz="4" w:space="0" w:color="auto"/>
              <w:left w:val="nil"/>
              <w:right w:val="single" w:sz="8" w:space="0" w:color="auto"/>
            </w:tcBorders>
            <w:shd w:val="clear" w:color="auto" w:fill="CCFFFF"/>
            <w:noWrap/>
            <w:vAlign w:val="center"/>
          </w:tcPr>
          <w:p w:rsidR="009A7262" w:rsidRPr="00002B63" w:rsidRDefault="009A7262" w:rsidP="00AB1F6A">
            <w:pPr>
              <w:jc w:val="center"/>
              <w:rPr>
                <w:rFonts w:asciiTheme="minorHAnsi" w:hAnsiTheme="minorHAnsi" w:cstheme="minorHAnsi"/>
                <w:b/>
                <w:bCs/>
                <w:color w:val="000000"/>
              </w:rPr>
            </w:pPr>
            <w:r w:rsidRPr="00002B63">
              <w:rPr>
                <w:rFonts w:asciiTheme="minorHAnsi" w:hAnsiTheme="minorHAnsi" w:cstheme="minorHAnsi"/>
                <w:b/>
                <w:bCs/>
                <w:color w:val="000000"/>
              </w:rPr>
              <w:t>Název zaměstnavatele</w:t>
            </w:r>
          </w:p>
        </w:tc>
        <w:tc>
          <w:tcPr>
            <w:tcW w:w="4500" w:type="dxa"/>
            <w:vMerge w:val="restart"/>
            <w:tcBorders>
              <w:top w:val="single" w:sz="4" w:space="0" w:color="auto"/>
              <w:left w:val="nil"/>
              <w:right w:val="single" w:sz="8" w:space="0" w:color="auto"/>
            </w:tcBorders>
            <w:shd w:val="clear" w:color="auto" w:fill="CCFFFF"/>
            <w:noWrap/>
            <w:vAlign w:val="center"/>
          </w:tcPr>
          <w:p w:rsidR="009A7262" w:rsidRPr="00002B63" w:rsidRDefault="009A7262" w:rsidP="00AB1F6A">
            <w:pPr>
              <w:jc w:val="center"/>
              <w:rPr>
                <w:rFonts w:asciiTheme="minorHAnsi" w:hAnsiTheme="minorHAnsi" w:cstheme="minorHAnsi"/>
                <w:b/>
                <w:bCs/>
                <w:color w:val="000000"/>
              </w:rPr>
            </w:pPr>
            <w:r w:rsidRPr="00002B63">
              <w:rPr>
                <w:rFonts w:asciiTheme="minorHAnsi" w:hAnsiTheme="minorHAnsi" w:cstheme="minorHAnsi"/>
                <w:b/>
                <w:bCs/>
                <w:color w:val="000000"/>
              </w:rPr>
              <w:t>Předmět činnosti</w:t>
            </w:r>
          </w:p>
        </w:tc>
        <w:tc>
          <w:tcPr>
            <w:tcW w:w="1800" w:type="dxa"/>
            <w:gridSpan w:val="2"/>
            <w:tcBorders>
              <w:top w:val="single" w:sz="4" w:space="0" w:color="auto"/>
              <w:left w:val="nil"/>
              <w:bottom w:val="single" w:sz="4" w:space="0" w:color="auto"/>
              <w:right w:val="single" w:sz="8" w:space="0" w:color="auto"/>
            </w:tcBorders>
            <w:shd w:val="clear" w:color="auto" w:fill="CCFFFF"/>
            <w:noWrap/>
            <w:vAlign w:val="center"/>
          </w:tcPr>
          <w:p w:rsidR="009A7262" w:rsidRPr="00002B63" w:rsidRDefault="009A7262" w:rsidP="00AB1F6A">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rPr>
              <w:t>Stav  zaměstnanosti</w:t>
            </w:r>
          </w:p>
        </w:tc>
        <w:tc>
          <w:tcPr>
            <w:tcW w:w="1424" w:type="dxa"/>
            <w:vMerge w:val="restart"/>
            <w:tcBorders>
              <w:top w:val="single" w:sz="4" w:space="0" w:color="auto"/>
              <w:left w:val="nil"/>
              <w:right w:val="single" w:sz="8" w:space="0" w:color="auto"/>
            </w:tcBorders>
            <w:shd w:val="clear" w:color="auto" w:fill="CCFFFF"/>
            <w:noWrap/>
            <w:vAlign w:val="center"/>
          </w:tcPr>
          <w:p w:rsidR="009A7262" w:rsidRPr="00002B63" w:rsidRDefault="009A7262" w:rsidP="004936BD">
            <w:pPr>
              <w:jc w:val="center"/>
              <w:rPr>
                <w:rFonts w:asciiTheme="minorHAnsi" w:hAnsiTheme="minorHAnsi" w:cstheme="minorHAnsi"/>
                <w:b/>
                <w:bCs/>
                <w:color w:val="000000"/>
              </w:rPr>
            </w:pPr>
            <w:r w:rsidRPr="00002B63">
              <w:rPr>
                <w:rFonts w:asciiTheme="minorHAnsi" w:hAnsiTheme="minorHAnsi" w:cstheme="minorHAnsi"/>
                <w:b/>
                <w:bCs/>
                <w:color w:val="000000"/>
              </w:rPr>
              <w:t>Okres</w:t>
            </w:r>
          </w:p>
        </w:tc>
      </w:tr>
      <w:tr w:rsidR="009A7262" w:rsidRPr="00002B63" w:rsidTr="00BF330D">
        <w:trPr>
          <w:trHeight w:val="300"/>
        </w:trPr>
        <w:tc>
          <w:tcPr>
            <w:tcW w:w="3420" w:type="dxa"/>
            <w:vMerge/>
            <w:tcBorders>
              <w:left w:val="single" w:sz="8" w:space="0" w:color="auto"/>
              <w:bottom w:val="single" w:sz="4" w:space="0" w:color="auto"/>
              <w:right w:val="single" w:sz="8" w:space="0" w:color="auto"/>
            </w:tcBorders>
            <w:shd w:val="clear" w:color="auto" w:fill="auto"/>
            <w:vAlign w:val="center"/>
          </w:tcPr>
          <w:p w:rsidR="009A7262" w:rsidRPr="00002B63" w:rsidRDefault="009A7262" w:rsidP="00061C31">
            <w:pPr>
              <w:rPr>
                <w:rFonts w:asciiTheme="minorHAnsi" w:hAnsiTheme="minorHAnsi" w:cstheme="minorHAnsi"/>
                <w:b/>
                <w:bCs/>
                <w:color w:val="000000"/>
                <w:sz w:val="22"/>
                <w:szCs w:val="22"/>
              </w:rPr>
            </w:pPr>
          </w:p>
        </w:tc>
        <w:tc>
          <w:tcPr>
            <w:tcW w:w="4336" w:type="dxa"/>
            <w:vMerge/>
            <w:tcBorders>
              <w:left w:val="nil"/>
              <w:bottom w:val="single" w:sz="4" w:space="0" w:color="auto"/>
              <w:right w:val="single" w:sz="8" w:space="0" w:color="auto"/>
            </w:tcBorders>
            <w:shd w:val="clear" w:color="auto" w:fill="auto"/>
            <w:noWrap/>
            <w:vAlign w:val="center"/>
          </w:tcPr>
          <w:p w:rsidR="009A7262" w:rsidRPr="00002B63" w:rsidRDefault="009A7262" w:rsidP="00061C31">
            <w:pPr>
              <w:rPr>
                <w:rFonts w:asciiTheme="minorHAnsi" w:hAnsiTheme="minorHAnsi" w:cstheme="minorHAnsi"/>
                <w:color w:val="000000"/>
                <w:sz w:val="22"/>
                <w:szCs w:val="22"/>
              </w:rPr>
            </w:pPr>
          </w:p>
        </w:tc>
        <w:tc>
          <w:tcPr>
            <w:tcW w:w="4500" w:type="dxa"/>
            <w:vMerge/>
            <w:tcBorders>
              <w:left w:val="nil"/>
              <w:bottom w:val="single" w:sz="4" w:space="0" w:color="auto"/>
              <w:right w:val="single" w:sz="8" w:space="0" w:color="auto"/>
            </w:tcBorders>
            <w:shd w:val="clear" w:color="auto" w:fill="auto"/>
            <w:noWrap/>
            <w:vAlign w:val="center"/>
          </w:tcPr>
          <w:p w:rsidR="009A7262" w:rsidRPr="00002B63" w:rsidRDefault="009A7262" w:rsidP="00061C31">
            <w:pPr>
              <w:rPr>
                <w:rFonts w:asciiTheme="minorHAnsi" w:hAnsiTheme="minorHAnsi" w:cstheme="minorHAnsi"/>
                <w:i/>
                <w:iCs/>
                <w:color w:val="000000"/>
                <w:sz w:val="22"/>
                <w:szCs w:val="22"/>
              </w:rPr>
            </w:pPr>
          </w:p>
        </w:tc>
        <w:tc>
          <w:tcPr>
            <w:tcW w:w="900" w:type="dxa"/>
            <w:tcBorders>
              <w:top w:val="single" w:sz="4" w:space="0" w:color="auto"/>
              <w:left w:val="nil"/>
              <w:bottom w:val="single" w:sz="4" w:space="0" w:color="auto"/>
              <w:right w:val="single" w:sz="8" w:space="0" w:color="auto"/>
            </w:tcBorders>
            <w:shd w:val="clear" w:color="auto" w:fill="CCFFFF"/>
            <w:noWrap/>
            <w:vAlign w:val="center"/>
          </w:tcPr>
          <w:p w:rsidR="009A7262" w:rsidRPr="00002B63" w:rsidRDefault="009A7262" w:rsidP="00AB1F6A">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3</w:t>
            </w:r>
          </w:p>
        </w:tc>
        <w:tc>
          <w:tcPr>
            <w:tcW w:w="900" w:type="dxa"/>
            <w:tcBorders>
              <w:top w:val="single" w:sz="4" w:space="0" w:color="auto"/>
              <w:left w:val="nil"/>
              <w:bottom w:val="single" w:sz="4" w:space="0" w:color="auto"/>
              <w:right w:val="single" w:sz="8" w:space="0" w:color="auto"/>
            </w:tcBorders>
            <w:shd w:val="clear" w:color="auto" w:fill="CCFFFF"/>
            <w:noWrap/>
            <w:vAlign w:val="center"/>
          </w:tcPr>
          <w:p w:rsidR="009A7262" w:rsidRPr="00002B63" w:rsidRDefault="009A7262" w:rsidP="00AB1F6A">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4</w:t>
            </w:r>
          </w:p>
        </w:tc>
        <w:tc>
          <w:tcPr>
            <w:tcW w:w="1424" w:type="dxa"/>
            <w:vMerge/>
            <w:tcBorders>
              <w:left w:val="nil"/>
              <w:bottom w:val="single" w:sz="4" w:space="0" w:color="auto"/>
              <w:right w:val="single" w:sz="8" w:space="0" w:color="auto"/>
            </w:tcBorders>
            <w:shd w:val="clear" w:color="auto" w:fill="auto"/>
            <w:noWrap/>
            <w:vAlign w:val="center"/>
          </w:tcPr>
          <w:p w:rsidR="009A7262" w:rsidRPr="00002B63" w:rsidRDefault="009A7262" w:rsidP="004936BD">
            <w:pPr>
              <w:jc w:val="center"/>
              <w:rPr>
                <w:rFonts w:asciiTheme="minorHAnsi" w:hAnsiTheme="minorHAnsi" w:cstheme="minorHAnsi"/>
                <w:b/>
                <w:bCs/>
                <w:color w:val="000000"/>
                <w:sz w:val="22"/>
                <w:szCs w:val="22"/>
              </w:rPr>
            </w:pPr>
          </w:p>
        </w:tc>
      </w:tr>
      <w:tr w:rsidR="0093210C" w:rsidRPr="00002B63" w:rsidTr="00A95882">
        <w:trPr>
          <w:trHeight w:val="300"/>
        </w:trPr>
        <w:tc>
          <w:tcPr>
            <w:tcW w:w="3420" w:type="dxa"/>
            <w:vMerge w:val="restart"/>
            <w:tcBorders>
              <w:top w:val="single" w:sz="4" w:space="0" w:color="auto"/>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Hutnictví a strojírenský průmysl</w:t>
            </w:r>
          </w:p>
        </w:tc>
        <w:tc>
          <w:tcPr>
            <w:tcW w:w="4336" w:type="dxa"/>
            <w:tcBorders>
              <w:top w:val="single" w:sz="4" w:space="0" w:color="auto"/>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SSI Schäfer s.r.o.</w:t>
            </w:r>
          </w:p>
        </w:tc>
        <w:tc>
          <w:tcPr>
            <w:tcW w:w="4500" w:type="dxa"/>
            <w:tcBorders>
              <w:top w:val="single" w:sz="4" w:space="0" w:color="auto"/>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kovových výrobků, kovoobrábění </w:t>
            </w:r>
          </w:p>
        </w:tc>
        <w:tc>
          <w:tcPr>
            <w:tcW w:w="900" w:type="dxa"/>
            <w:tcBorders>
              <w:top w:val="single" w:sz="4" w:space="0" w:color="auto"/>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1 162</w:t>
            </w:r>
          </w:p>
        </w:tc>
        <w:tc>
          <w:tcPr>
            <w:tcW w:w="900" w:type="dxa"/>
            <w:tcBorders>
              <w:top w:val="single" w:sz="4" w:space="0" w:color="auto"/>
              <w:left w:val="nil"/>
              <w:bottom w:val="nil"/>
              <w:right w:val="single" w:sz="8" w:space="0" w:color="auto"/>
            </w:tcBorders>
            <w:shd w:val="clear" w:color="auto" w:fill="auto"/>
            <w:noWrap/>
            <w:vAlign w:val="center"/>
          </w:tcPr>
          <w:p w:rsidR="0093210C" w:rsidRPr="00002B63" w:rsidRDefault="000F7A94" w:rsidP="0012457F">
            <w:pPr>
              <w:jc w:val="center"/>
              <w:rPr>
                <w:rFonts w:asciiTheme="minorHAnsi" w:hAnsiTheme="minorHAnsi" w:cstheme="minorHAnsi"/>
                <w:color w:val="000000"/>
                <w:sz w:val="22"/>
                <w:szCs w:val="22"/>
              </w:rPr>
            </w:pPr>
            <w:r>
              <w:rPr>
                <w:rFonts w:asciiTheme="minorHAnsi" w:hAnsiTheme="minorHAnsi" w:cstheme="minorHAnsi"/>
                <w:color w:val="000000"/>
                <w:sz w:val="22"/>
                <w:szCs w:val="22"/>
              </w:rPr>
              <w:t>1 292</w:t>
            </w:r>
          </w:p>
        </w:tc>
        <w:tc>
          <w:tcPr>
            <w:tcW w:w="1424" w:type="dxa"/>
            <w:tcBorders>
              <w:top w:val="single" w:sz="4" w:space="0" w:color="auto"/>
              <w:left w:val="nil"/>
              <w:bottom w:val="nil"/>
              <w:right w:val="single" w:sz="8" w:space="0" w:color="auto"/>
            </w:tcBorders>
            <w:shd w:val="clear" w:color="auto" w:fill="auto"/>
            <w:noWrap/>
            <w:vAlign w:val="center"/>
          </w:tcPr>
          <w:p w:rsidR="0093210C" w:rsidRPr="00002B63" w:rsidRDefault="0093210C" w:rsidP="001245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TOUAX s.r.o. </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a stavba domků a mobilních buněk</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240</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5F7F89">
            <w:pPr>
              <w:jc w:val="center"/>
              <w:rPr>
                <w:rFonts w:asciiTheme="minorHAnsi" w:hAnsiTheme="minorHAnsi" w:cstheme="minorHAnsi"/>
                <w:sz w:val="22"/>
                <w:szCs w:val="22"/>
              </w:rPr>
            </w:pPr>
            <w:r>
              <w:rPr>
                <w:rFonts w:asciiTheme="minorHAnsi" w:hAnsiTheme="minorHAnsi" w:cstheme="minorHAnsi"/>
                <w:sz w:val="22"/>
                <w:szCs w:val="22"/>
              </w:rPr>
              <w:t>221</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2A8C">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UNEX Slévárna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2A8C">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slévání kovů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306</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5F2A8C">
            <w:pPr>
              <w:jc w:val="center"/>
              <w:rPr>
                <w:rFonts w:asciiTheme="minorHAnsi" w:hAnsiTheme="minorHAnsi" w:cstheme="minorHAnsi"/>
                <w:color w:val="000000"/>
                <w:sz w:val="22"/>
                <w:szCs w:val="22"/>
              </w:rPr>
            </w:pPr>
            <w:r>
              <w:rPr>
                <w:rFonts w:asciiTheme="minorHAnsi" w:hAnsiTheme="minorHAnsi" w:cstheme="minorHAnsi"/>
                <w:color w:val="000000"/>
                <w:sz w:val="22"/>
                <w:szCs w:val="22"/>
              </w:rPr>
              <w:t>297</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2A8C">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2A8C">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UNEX </w:t>
            </w:r>
            <w:r w:rsidR="00FD72F6">
              <w:rPr>
                <w:rFonts w:asciiTheme="minorHAnsi" w:hAnsiTheme="minorHAnsi" w:cstheme="minorHAnsi"/>
                <w:color w:val="000000"/>
                <w:sz w:val="22"/>
                <w:szCs w:val="22"/>
              </w:rPr>
              <w:t>Uničov,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2A8C">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těžební techniky pro povrchové doly </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1 277</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5F2A8C">
            <w:pPr>
              <w:jc w:val="center"/>
              <w:rPr>
                <w:rFonts w:asciiTheme="minorHAnsi" w:hAnsiTheme="minorHAnsi" w:cstheme="minorHAnsi"/>
                <w:sz w:val="22"/>
                <w:szCs w:val="22"/>
              </w:rPr>
            </w:pPr>
            <w:r>
              <w:rPr>
                <w:rFonts w:asciiTheme="minorHAnsi" w:hAnsiTheme="minorHAnsi" w:cstheme="minorHAnsi"/>
                <w:sz w:val="22"/>
                <w:szCs w:val="22"/>
              </w:rPr>
              <w:t>1 284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2A8C">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AF1FAB">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VÍTKOVICE POWER ENGINEERING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AF1FAB">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stavebních konstrukcí a kotlů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230</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AF1FAB">
            <w:pPr>
              <w:jc w:val="center"/>
              <w:rPr>
                <w:rFonts w:asciiTheme="minorHAnsi" w:hAnsiTheme="minorHAnsi" w:cstheme="minorHAnsi"/>
                <w:color w:val="000000"/>
                <w:sz w:val="22"/>
                <w:szCs w:val="22"/>
              </w:rPr>
            </w:pPr>
            <w:r>
              <w:rPr>
                <w:rFonts w:asciiTheme="minorHAnsi" w:hAnsiTheme="minorHAnsi" w:cstheme="minorHAnsi"/>
                <w:color w:val="000000"/>
                <w:sz w:val="22"/>
                <w:szCs w:val="22"/>
              </w:rPr>
              <w:t>208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AF1FAB">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93210C" w:rsidRPr="00002B63" w:rsidTr="00A95882">
        <w:trPr>
          <w:trHeight w:val="315"/>
        </w:trPr>
        <w:tc>
          <w:tcPr>
            <w:tcW w:w="3420" w:type="dxa"/>
            <w:vMerge/>
            <w:tcBorders>
              <w:left w:val="single" w:sz="8" w:space="0" w:color="auto"/>
              <w:bottom w:val="nil"/>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2A8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ZKL Hanušovice,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2A8C">
            <w:pPr>
              <w:rPr>
                <w:rFonts w:asciiTheme="minorHAnsi" w:hAnsiTheme="minorHAnsi" w:cstheme="minorHAnsi"/>
                <w:i/>
                <w:iCs/>
                <w:color w:val="000000"/>
                <w:sz w:val="22"/>
                <w:szCs w:val="22"/>
              </w:rPr>
            </w:pPr>
            <w:r>
              <w:rPr>
                <w:rFonts w:asciiTheme="minorHAnsi" w:hAnsiTheme="minorHAnsi" w:cstheme="minorHAnsi"/>
                <w:i/>
                <w:iCs/>
                <w:color w:val="000000"/>
                <w:sz w:val="22"/>
                <w:szCs w:val="22"/>
              </w:rPr>
              <w:t>výroba ložisek a automobilových dílů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323</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5F2A8C">
            <w:pPr>
              <w:jc w:val="center"/>
              <w:rPr>
                <w:rFonts w:asciiTheme="minorHAnsi" w:hAnsiTheme="minorHAnsi" w:cstheme="minorHAnsi"/>
                <w:color w:val="000000"/>
                <w:sz w:val="22"/>
                <w:szCs w:val="22"/>
              </w:rPr>
            </w:pPr>
            <w:r>
              <w:rPr>
                <w:rFonts w:asciiTheme="minorHAnsi" w:hAnsiTheme="minorHAnsi" w:cstheme="minorHAnsi"/>
                <w:color w:val="000000"/>
                <w:sz w:val="22"/>
                <w:szCs w:val="22"/>
              </w:rPr>
              <w:t>415</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2A8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w:t>
            </w:r>
          </w:p>
        </w:tc>
      </w:tr>
      <w:tr w:rsidR="0093210C" w:rsidRPr="00002B63" w:rsidTr="00A95882">
        <w:trPr>
          <w:trHeight w:val="300"/>
        </w:trPr>
        <w:tc>
          <w:tcPr>
            <w:tcW w:w="3420" w:type="dxa"/>
            <w:vMerge w:val="restart"/>
            <w:tcBorders>
              <w:top w:val="single" w:sz="8" w:space="0" w:color="auto"/>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w:t>
            </w:r>
          </w:p>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w:t>
            </w:r>
          </w:p>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w:t>
            </w:r>
          </w:p>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w:t>
            </w:r>
          </w:p>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Elektrotechnický a optický průmysl</w:t>
            </w:r>
          </w:p>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w:t>
            </w:r>
          </w:p>
          <w:p w:rsidR="0093210C" w:rsidRPr="00002B63" w:rsidRDefault="0093210C" w:rsidP="00061C31">
            <w:pPr>
              <w:rPr>
                <w:rFonts w:asciiTheme="minorHAnsi" w:hAnsiTheme="minorHAnsi" w:cstheme="minorHAnsi"/>
                <w:sz w:val="20"/>
                <w:szCs w:val="20"/>
              </w:rPr>
            </w:pPr>
            <w:r w:rsidRPr="00002B63">
              <w:rPr>
                <w:rFonts w:asciiTheme="minorHAnsi" w:hAnsiTheme="minorHAnsi" w:cstheme="minorHAnsi"/>
                <w:sz w:val="20"/>
                <w:szCs w:val="20"/>
              </w:rPr>
              <w:t> </w:t>
            </w:r>
          </w:p>
          <w:p w:rsidR="0093210C" w:rsidRPr="00002B63" w:rsidRDefault="0093210C" w:rsidP="00061C31">
            <w:pPr>
              <w:rPr>
                <w:rFonts w:asciiTheme="minorHAnsi" w:hAnsiTheme="minorHAnsi" w:cstheme="minorHAnsi"/>
                <w:sz w:val="20"/>
                <w:szCs w:val="20"/>
              </w:rPr>
            </w:pPr>
            <w:r w:rsidRPr="00002B63">
              <w:rPr>
                <w:rFonts w:asciiTheme="minorHAnsi" w:hAnsiTheme="minorHAnsi" w:cstheme="minorHAnsi"/>
                <w:sz w:val="20"/>
                <w:szCs w:val="20"/>
              </w:rPr>
              <w:t> </w:t>
            </w:r>
          </w:p>
          <w:p w:rsidR="0093210C" w:rsidRPr="00002B63" w:rsidRDefault="0093210C" w:rsidP="00061C31">
            <w:pPr>
              <w:rPr>
                <w:rFonts w:asciiTheme="minorHAnsi" w:hAnsiTheme="minorHAnsi" w:cstheme="minorHAnsi"/>
                <w:b/>
                <w:bCs/>
                <w:color w:val="000000"/>
                <w:sz w:val="22"/>
                <w:szCs w:val="22"/>
              </w:rPr>
            </w:pPr>
            <w:r w:rsidRPr="00002B63">
              <w:rPr>
                <w:rFonts w:asciiTheme="minorHAnsi" w:hAnsiTheme="minorHAnsi" w:cstheme="minorHAnsi"/>
                <w:sz w:val="20"/>
                <w:szCs w:val="20"/>
              </w:rPr>
              <w:t> </w:t>
            </w:r>
          </w:p>
        </w:tc>
        <w:tc>
          <w:tcPr>
            <w:tcW w:w="4336" w:type="dxa"/>
            <w:tcBorders>
              <w:top w:val="single" w:sz="8" w:space="0" w:color="auto"/>
              <w:left w:val="nil"/>
              <w:bottom w:val="nil"/>
              <w:right w:val="single" w:sz="8" w:space="0" w:color="auto"/>
            </w:tcBorders>
            <w:shd w:val="clear" w:color="auto" w:fill="auto"/>
            <w:noWrap/>
            <w:vAlign w:val="center"/>
          </w:tcPr>
          <w:p w:rsidR="0093210C" w:rsidRPr="00002B63" w:rsidRDefault="0093210C" w:rsidP="001D5108">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E-TECHNIK a.s. </w:t>
            </w:r>
          </w:p>
        </w:tc>
        <w:tc>
          <w:tcPr>
            <w:tcW w:w="4500" w:type="dxa"/>
            <w:tcBorders>
              <w:top w:val="single" w:sz="8" w:space="0" w:color="auto"/>
              <w:left w:val="nil"/>
              <w:bottom w:val="nil"/>
              <w:right w:val="single" w:sz="8" w:space="0" w:color="auto"/>
            </w:tcBorders>
            <w:shd w:val="clear" w:color="auto" w:fill="auto"/>
            <w:noWrap/>
            <w:vAlign w:val="center"/>
          </w:tcPr>
          <w:p w:rsidR="0093210C" w:rsidRPr="00002B63" w:rsidRDefault="0093210C" w:rsidP="001D5108">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elektrospotřebičů pro domácnost</w:t>
            </w:r>
          </w:p>
        </w:tc>
        <w:tc>
          <w:tcPr>
            <w:tcW w:w="900" w:type="dxa"/>
            <w:tcBorders>
              <w:top w:val="single" w:sz="8" w:space="0" w:color="auto"/>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143</w:t>
            </w:r>
          </w:p>
        </w:tc>
        <w:tc>
          <w:tcPr>
            <w:tcW w:w="900" w:type="dxa"/>
            <w:tcBorders>
              <w:top w:val="single" w:sz="8" w:space="0" w:color="auto"/>
              <w:left w:val="nil"/>
              <w:bottom w:val="nil"/>
              <w:right w:val="single" w:sz="8" w:space="0" w:color="auto"/>
            </w:tcBorders>
            <w:shd w:val="clear" w:color="auto" w:fill="auto"/>
            <w:noWrap/>
            <w:vAlign w:val="center"/>
          </w:tcPr>
          <w:p w:rsidR="0093210C" w:rsidRPr="00002B63" w:rsidRDefault="000F7A94" w:rsidP="001D5108">
            <w:pPr>
              <w:jc w:val="center"/>
              <w:rPr>
                <w:rFonts w:asciiTheme="minorHAnsi" w:hAnsiTheme="minorHAnsi" w:cstheme="minorHAnsi"/>
                <w:color w:val="000000"/>
                <w:sz w:val="22"/>
                <w:szCs w:val="22"/>
              </w:rPr>
            </w:pPr>
            <w:r>
              <w:rPr>
                <w:rFonts w:asciiTheme="minorHAnsi" w:hAnsiTheme="minorHAnsi" w:cstheme="minorHAnsi"/>
                <w:color w:val="000000"/>
                <w:sz w:val="22"/>
                <w:szCs w:val="22"/>
              </w:rPr>
              <w:t>122</w:t>
            </w:r>
          </w:p>
        </w:tc>
        <w:tc>
          <w:tcPr>
            <w:tcW w:w="1424" w:type="dxa"/>
            <w:tcBorders>
              <w:top w:val="single" w:sz="8" w:space="0" w:color="auto"/>
              <w:left w:val="nil"/>
              <w:bottom w:val="nil"/>
              <w:right w:val="single" w:sz="8" w:space="0" w:color="auto"/>
            </w:tcBorders>
            <w:shd w:val="clear" w:color="auto" w:fill="auto"/>
            <w:noWrap/>
            <w:vAlign w:val="center"/>
          </w:tcPr>
          <w:p w:rsidR="0093210C" w:rsidRPr="00002B63" w:rsidRDefault="0093210C" w:rsidP="001D5108">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FENIX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rozvaděčů NN, baterií, kabelů a vodičů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91</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87</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HELLA AUTOTECHNIK,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světelné techniky pro automobily</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424</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HELLA AUTOTECHNIK NOVA,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výroba světelné techniky pro automobily </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1 017</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1 659</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FD72F6" w:rsidP="00061C3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Robertshaw</w:t>
            </w:r>
            <w:r w:rsidR="0093210C" w:rsidRPr="00002B63">
              <w:rPr>
                <w:rFonts w:asciiTheme="minorHAnsi" w:hAnsiTheme="minorHAnsi" w:cstheme="minorHAnsi"/>
                <w:color w:val="000000"/>
                <w:sz w:val="22"/>
                <w:szCs w:val="22"/>
              </w:rPr>
              <w:t xml:space="preserve">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elektrických strojů a přístrojů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291</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303</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Meopta – optika, spol. s 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sz w:val="22"/>
                <w:szCs w:val="22"/>
              </w:rPr>
            </w:pPr>
            <w:r w:rsidRPr="00002B63">
              <w:rPr>
                <w:rFonts w:asciiTheme="minorHAnsi" w:hAnsiTheme="minorHAnsi" w:cstheme="minorHAnsi"/>
                <w:i/>
                <w:iCs/>
                <w:sz w:val="22"/>
                <w:szCs w:val="22"/>
              </w:rPr>
              <w:t>výroba volné optiky a optických zařízení</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2 257</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2 262</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sz w:val="20"/>
                <w:szCs w:val="20"/>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MICOS spol. s 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telekom. a kancelářská technika, kabeláže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106</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sz w:val="22"/>
                <w:szCs w:val="22"/>
              </w:rPr>
            </w:pPr>
            <w:r>
              <w:rPr>
                <w:rFonts w:asciiTheme="minorHAnsi" w:hAnsiTheme="minorHAnsi" w:cstheme="minorHAnsi"/>
                <w:sz w:val="22"/>
                <w:szCs w:val="22"/>
              </w:rPr>
              <w:t>98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sz w:val="20"/>
                <w:szCs w:val="20"/>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 L. S. Holice, spol. s r.o. </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a servis elektrických strojů a přístrojů</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759</w:t>
            </w:r>
          </w:p>
        </w:tc>
        <w:tc>
          <w:tcPr>
            <w:tcW w:w="900" w:type="dxa"/>
            <w:tcBorders>
              <w:top w:val="nil"/>
              <w:left w:val="nil"/>
              <w:bottom w:val="nil"/>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sz w:val="22"/>
                <w:szCs w:val="22"/>
              </w:rPr>
            </w:pPr>
            <w:r>
              <w:rPr>
                <w:rFonts w:asciiTheme="minorHAnsi" w:hAnsiTheme="minorHAnsi" w:cstheme="minorHAnsi"/>
                <w:sz w:val="22"/>
                <w:szCs w:val="22"/>
              </w:rPr>
              <w:t>660</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5"/>
        </w:trPr>
        <w:tc>
          <w:tcPr>
            <w:tcW w:w="3420" w:type="dxa"/>
            <w:vMerge/>
            <w:tcBorders>
              <w:left w:val="single" w:sz="8" w:space="0" w:color="auto"/>
              <w:bottom w:val="nil"/>
              <w:right w:val="single" w:sz="8" w:space="0" w:color="auto"/>
            </w:tcBorders>
            <w:shd w:val="clear" w:color="auto" w:fill="auto"/>
            <w:vAlign w:val="center"/>
          </w:tcPr>
          <w:p w:rsidR="0093210C" w:rsidRPr="00002B63" w:rsidRDefault="0093210C" w:rsidP="00061C31">
            <w:pPr>
              <w:rPr>
                <w:rFonts w:asciiTheme="minorHAnsi" w:hAnsiTheme="minorHAnsi" w:cstheme="minorHAnsi"/>
                <w:sz w:val="20"/>
                <w:szCs w:val="20"/>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Siemens, s.r.o.</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instalace a opravy el. strojů a přístrojů</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1 733</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0F7A94" w:rsidP="00061C31">
            <w:pPr>
              <w:jc w:val="center"/>
              <w:rPr>
                <w:rFonts w:asciiTheme="minorHAnsi" w:hAnsiTheme="minorHAnsi" w:cstheme="minorHAnsi"/>
                <w:sz w:val="22"/>
                <w:szCs w:val="22"/>
              </w:rPr>
            </w:pPr>
            <w:r>
              <w:rPr>
                <w:rFonts w:asciiTheme="minorHAnsi" w:hAnsiTheme="minorHAnsi" w:cstheme="minorHAnsi"/>
                <w:sz w:val="22"/>
                <w:szCs w:val="22"/>
              </w:rPr>
              <w:t>1 737</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Ostatní průmysl</w:t>
            </w: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A77394">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Gambro Czech Republic s.r.o.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montáž a balení krevních hadiček</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754</w:t>
            </w:r>
          </w:p>
        </w:tc>
        <w:tc>
          <w:tcPr>
            <w:tcW w:w="900" w:type="dxa"/>
            <w:tcBorders>
              <w:top w:val="nil"/>
              <w:left w:val="nil"/>
              <w:bottom w:val="nil"/>
              <w:right w:val="single" w:sz="8" w:space="0" w:color="auto"/>
            </w:tcBorders>
            <w:shd w:val="clear" w:color="auto" w:fill="auto"/>
            <w:noWrap/>
            <w:vAlign w:val="center"/>
          </w:tcPr>
          <w:p w:rsidR="0093210C" w:rsidRPr="00002B63" w:rsidRDefault="00BB12DE"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672</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top w:val="single" w:sz="8" w:space="0" w:color="auto"/>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GRANITOL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obalových folií z plastu</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328</w:t>
            </w:r>
          </w:p>
        </w:tc>
        <w:tc>
          <w:tcPr>
            <w:tcW w:w="900" w:type="dxa"/>
            <w:tcBorders>
              <w:top w:val="nil"/>
              <w:left w:val="nil"/>
              <w:bottom w:val="nil"/>
              <w:right w:val="single" w:sz="8" w:space="0" w:color="auto"/>
            </w:tcBorders>
            <w:shd w:val="clear" w:color="auto" w:fill="auto"/>
            <w:noWrap/>
            <w:vAlign w:val="center"/>
          </w:tcPr>
          <w:p w:rsidR="0093210C" w:rsidRPr="00002B63" w:rsidRDefault="00BB12DE" w:rsidP="00061C31">
            <w:pPr>
              <w:jc w:val="center"/>
              <w:rPr>
                <w:rFonts w:asciiTheme="minorHAnsi" w:hAnsiTheme="minorHAnsi" w:cstheme="minorHAnsi"/>
                <w:sz w:val="22"/>
                <w:szCs w:val="22"/>
              </w:rPr>
            </w:pPr>
            <w:r>
              <w:rPr>
                <w:rFonts w:asciiTheme="minorHAnsi" w:hAnsiTheme="minorHAnsi" w:cstheme="minorHAnsi"/>
                <w:sz w:val="22"/>
                <w:szCs w:val="22"/>
              </w:rPr>
              <w:t>335</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5"/>
        </w:trPr>
        <w:tc>
          <w:tcPr>
            <w:tcW w:w="3420" w:type="dxa"/>
            <w:vMerge/>
            <w:tcBorders>
              <w:top w:val="single" w:sz="8" w:space="0" w:color="auto"/>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93210C" w:rsidRPr="00002B63" w:rsidRDefault="0093210C" w:rsidP="002907A3">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HTM SPORT s.r.o.</w:t>
            </w:r>
          </w:p>
        </w:tc>
        <w:tc>
          <w:tcPr>
            <w:tcW w:w="4500" w:type="dxa"/>
            <w:tcBorders>
              <w:top w:val="nil"/>
              <w:left w:val="nil"/>
              <w:right w:val="single" w:sz="8" w:space="0" w:color="auto"/>
            </w:tcBorders>
            <w:shd w:val="clear" w:color="auto" w:fill="auto"/>
            <w:noWrap/>
            <w:vAlign w:val="center"/>
          </w:tcPr>
          <w:p w:rsidR="0093210C" w:rsidRPr="00002B63" w:rsidRDefault="0093210C" w:rsidP="002907A3">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sportovních potřeb</w:t>
            </w:r>
          </w:p>
        </w:tc>
        <w:tc>
          <w:tcPr>
            <w:tcW w:w="900" w:type="dxa"/>
            <w:tcBorders>
              <w:top w:val="nil"/>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207</w:t>
            </w:r>
          </w:p>
        </w:tc>
        <w:tc>
          <w:tcPr>
            <w:tcW w:w="900" w:type="dxa"/>
            <w:tcBorders>
              <w:top w:val="nil"/>
              <w:left w:val="nil"/>
              <w:right w:val="single" w:sz="8" w:space="0" w:color="auto"/>
            </w:tcBorders>
            <w:shd w:val="clear" w:color="auto" w:fill="auto"/>
            <w:noWrap/>
            <w:vAlign w:val="center"/>
          </w:tcPr>
          <w:p w:rsidR="0093210C" w:rsidRPr="00002B63" w:rsidRDefault="007B5E07" w:rsidP="002907A3">
            <w:pPr>
              <w:jc w:val="center"/>
              <w:rPr>
                <w:rFonts w:asciiTheme="minorHAnsi" w:hAnsiTheme="minorHAnsi" w:cstheme="minorHAnsi"/>
                <w:color w:val="000000"/>
                <w:sz w:val="22"/>
                <w:szCs w:val="22"/>
              </w:rPr>
            </w:pPr>
            <w:r>
              <w:rPr>
                <w:rFonts w:asciiTheme="minorHAnsi" w:hAnsiTheme="minorHAnsi" w:cstheme="minorHAnsi"/>
                <w:color w:val="000000"/>
                <w:sz w:val="22"/>
                <w:szCs w:val="22"/>
              </w:rPr>
              <w:t>246</w:t>
            </w:r>
          </w:p>
        </w:tc>
        <w:tc>
          <w:tcPr>
            <w:tcW w:w="1424" w:type="dxa"/>
            <w:tcBorders>
              <w:top w:val="nil"/>
              <w:left w:val="nil"/>
              <w:right w:val="single" w:sz="8" w:space="0" w:color="auto"/>
            </w:tcBorders>
            <w:shd w:val="clear" w:color="auto" w:fill="auto"/>
            <w:noWrap/>
            <w:vAlign w:val="center"/>
          </w:tcPr>
          <w:p w:rsidR="0093210C" w:rsidRPr="00002B63" w:rsidRDefault="0093210C" w:rsidP="002907A3">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5"/>
        </w:trPr>
        <w:tc>
          <w:tcPr>
            <w:tcW w:w="3420" w:type="dxa"/>
            <w:vMerge/>
            <w:tcBorders>
              <w:top w:val="single" w:sz="8" w:space="0" w:color="auto"/>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Kimberly-Clark, s.r.o.</w:t>
            </w:r>
          </w:p>
        </w:tc>
        <w:tc>
          <w:tcPr>
            <w:tcW w:w="4500" w:type="dxa"/>
            <w:tcBorders>
              <w:top w:val="nil"/>
              <w:left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dámských hygienických vložek</w:t>
            </w:r>
          </w:p>
        </w:tc>
        <w:tc>
          <w:tcPr>
            <w:tcW w:w="900" w:type="dxa"/>
            <w:tcBorders>
              <w:top w:val="nil"/>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296</w:t>
            </w:r>
          </w:p>
        </w:tc>
        <w:tc>
          <w:tcPr>
            <w:tcW w:w="900" w:type="dxa"/>
            <w:tcBorders>
              <w:top w:val="nil"/>
              <w:left w:val="nil"/>
              <w:right w:val="single" w:sz="8" w:space="0" w:color="auto"/>
            </w:tcBorders>
            <w:shd w:val="clear" w:color="auto" w:fill="auto"/>
            <w:noWrap/>
            <w:vAlign w:val="center"/>
          </w:tcPr>
          <w:p w:rsidR="0093210C" w:rsidRPr="00002B63" w:rsidRDefault="0093659C" w:rsidP="00061C31">
            <w:pPr>
              <w:jc w:val="center"/>
              <w:rPr>
                <w:rFonts w:asciiTheme="minorHAnsi" w:hAnsiTheme="minorHAnsi" w:cstheme="minorHAnsi"/>
                <w:sz w:val="22"/>
                <w:szCs w:val="22"/>
              </w:rPr>
            </w:pPr>
            <w:r>
              <w:rPr>
                <w:rFonts w:asciiTheme="minorHAnsi" w:hAnsiTheme="minorHAnsi" w:cstheme="minorHAnsi"/>
                <w:sz w:val="22"/>
                <w:szCs w:val="22"/>
              </w:rPr>
              <w:t>305</w:t>
            </w:r>
          </w:p>
        </w:tc>
        <w:tc>
          <w:tcPr>
            <w:tcW w:w="1424" w:type="dxa"/>
            <w:tcBorders>
              <w:top w:val="nil"/>
              <w:left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5"/>
        </w:trPr>
        <w:tc>
          <w:tcPr>
            <w:tcW w:w="3420" w:type="dxa"/>
            <w:vMerge/>
            <w:tcBorders>
              <w:top w:val="single" w:sz="8" w:space="0" w:color="auto"/>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Mürdter Dvořák, lisovna, s.r.o.</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výroba technických plastových dílů</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284</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659C" w:rsidP="00061C31">
            <w:pPr>
              <w:jc w:val="center"/>
              <w:rPr>
                <w:rFonts w:asciiTheme="minorHAnsi" w:hAnsiTheme="minorHAnsi" w:cstheme="minorHAnsi"/>
                <w:sz w:val="22"/>
                <w:szCs w:val="22"/>
              </w:rPr>
            </w:pPr>
            <w:r>
              <w:rPr>
                <w:rFonts w:asciiTheme="minorHAnsi" w:hAnsiTheme="minorHAnsi" w:cstheme="minorHAnsi"/>
                <w:sz w:val="22"/>
                <w:szCs w:val="22"/>
              </w:rPr>
              <w:t>286</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00"/>
        </w:trPr>
        <w:tc>
          <w:tcPr>
            <w:tcW w:w="3420" w:type="dxa"/>
            <w:vMerge w:val="restart"/>
            <w:tcBorders>
              <w:top w:val="nil"/>
              <w:left w:val="single" w:sz="8" w:space="0" w:color="auto"/>
              <w:bottom w:val="single" w:sz="8" w:space="0" w:color="000000"/>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Stavebnictví</w:t>
            </w: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GEMO Olomouc, spol. s 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výstavba objektů na klíč, rekonstrukce</w:t>
            </w:r>
          </w:p>
        </w:tc>
        <w:tc>
          <w:tcPr>
            <w:tcW w:w="900" w:type="dxa"/>
            <w:tcBorders>
              <w:top w:val="nil"/>
              <w:left w:val="nil"/>
              <w:bottom w:val="nil"/>
              <w:right w:val="nil"/>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483</w:t>
            </w:r>
          </w:p>
        </w:tc>
        <w:tc>
          <w:tcPr>
            <w:tcW w:w="900" w:type="dxa"/>
            <w:tcBorders>
              <w:top w:val="nil"/>
              <w:left w:val="single" w:sz="4" w:space="0" w:color="auto"/>
              <w:bottom w:val="nil"/>
              <w:right w:val="single" w:sz="4" w:space="0" w:color="auto"/>
            </w:tcBorders>
            <w:shd w:val="clear" w:color="auto" w:fill="auto"/>
            <w:noWrap/>
            <w:vAlign w:val="center"/>
          </w:tcPr>
          <w:p w:rsidR="0093210C" w:rsidRPr="00002B63" w:rsidRDefault="0093659C"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480</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top w:val="nil"/>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Fortex AGS,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stavební činnost včetně oprav a údržby</w:t>
            </w:r>
          </w:p>
        </w:tc>
        <w:tc>
          <w:tcPr>
            <w:tcW w:w="900" w:type="dxa"/>
            <w:tcBorders>
              <w:top w:val="nil"/>
              <w:left w:val="nil"/>
              <w:bottom w:val="nil"/>
              <w:right w:val="nil"/>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221</w:t>
            </w:r>
          </w:p>
        </w:tc>
        <w:tc>
          <w:tcPr>
            <w:tcW w:w="900" w:type="dxa"/>
            <w:tcBorders>
              <w:top w:val="nil"/>
              <w:left w:val="single" w:sz="4" w:space="0" w:color="auto"/>
              <w:bottom w:val="nil"/>
              <w:right w:val="single" w:sz="4" w:space="0" w:color="auto"/>
            </w:tcBorders>
            <w:shd w:val="clear" w:color="auto" w:fill="auto"/>
            <w:noWrap/>
            <w:vAlign w:val="center"/>
          </w:tcPr>
          <w:p w:rsidR="0093210C" w:rsidRPr="00002B63" w:rsidRDefault="0093659C"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248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tcBorders>
              <w:top w:val="nil"/>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Skanska, a.s.</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výstavba silnic, dálnic, mostů, železnic </w:t>
            </w:r>
          </w:p>
        </w:tc>
        <w:tc>
          <w:tcPr>
            <w:tcW w:w="900" w:type="dxa"/>
            <w:tcBorders>
              <w:top w:val="nil"/>
              <w:left w:val="nil"/>
              <w:bottom w:val="single" w:sz="8" w:space="0" w:color="auto"/>
              <w:right w:val="nil"/>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382</w:t>
            </w:r>
          </w:p>
        </w:tc>
        <w:tc>
          <w:tcPr>
            <w:tcW w:w="900" w:type="dxa"/>
            <w:tcBorders>
              <w:top w:val="nil"/>
              <w:left w:val="single" w:sz="4" w:space="0" w:color="auto"/>
              <w:bottom w:val="single" w:sz="8" w:space="0" w:color="auto"/>
              <w:right w:val="single" w:sz="4" w:space="0" w:color="auto"/>
            </w:tcBorders>
            <w:shd w:val="clear" w:color="auto" w:fill="auto"/>
            <w:noWrap/>
            <w:vAlign w:val="center"/>
          </w:tcPr>
          <w:p w:rsidR="0093210C" w:rsidRPr="00002B63" w:rsidRDefault="0093659C"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360</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w:t>
            </w:r>
          </w:p>
        </w:tc>
      </w:tr>
      <w:tr w:rsidR="0093210C" w:rsidRPr="00002B63" w:rsidTr="00A95882">
        <w:trPr>
          <w:trHeight w:val="300"/>
        </w:trPr>
        <w:tc>
          <w:tcPr>
            <w:tcW w:w="3420" w:type="dxa"/>
            <w:vMerge w:val="restart"/>
            <w:tcBorders>
              <w:top w:val="nil"/>
              <w:left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 xml:space="preserve">Obchod </w:t>
            </w:r>
          </w:p>
        </w:tc>
        <w:tc>
          <w:tcPr>
            <w:tcW w:w="4336" w:type="dxa"/>
            <w:tcBorders>
              <w:top w:val="nil"/>
              <w:left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Ahold Czech Republic, a.s.</w:t>
            </w:r>
          </w:p>
        </w:tc>
        <w:tc>
          <w:tcPr>
            <w:tcW w:w="4500" w:type="dxa"/>
            <w:tcBorders>
              <w:top w:val="nil"/>
              <w:left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maloobchodní a velkoobchodní prodej</w:t>
            </w:r>
          </w:p>
        </w:tc>
        <w:tc>
          <w:tcPr>
            <w:tcW w:w="900" w:type="dxa"/>
            <w:tcBorders>
              <w:top w:val="nil"/>
              <w:left w:val="nil"/>
              <w:right w:val="single" w:sz="8" w:space="0" w:color="auto"/>
            </w:tcBorders>
            <w:shd w:val="clear" w:color="auto" w:fill="auto"/>
            <w:noWrap/>
            <w:vAlign w:val="center"/>
          </w:tcPr>
          <w:p w:rsidR="0093210C" w:rsidRPr="00002B63" w:rsidRDefault="00583E2A"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1 19</w:t>
            </w:r>
            <w:r w:rsidR="0093659C">
              <w:rPr>
                <w:rFonts w:asciiTheme="minorHAnsi" w:hAnsiTheme="minorHAnsi" w:cstheme="minorHAnsi"/>
                <w:color w:val="000000"/>
                <w:sz w:val="22"/>
                <w:szCs w:val="22"/>
              </w:rPr>
              <w:t>0</w:t>
            </w:r>
          </w:p>
        </w:tc>
        <w:tc>
          <w:tcPr>
            <w:tcW w:w="900" w:type="dxa"/>
            <w:tcBorders>
              <w:top w:val="nil"/>
              <w:left w:val="nil"/>
              <w:right w:val="single" w:sz="8" w:space="0" w:color="auto"/>
            </w:tcBorders>
            <w:shd w:val="clear" w:color="auto" w:fill="auto"/>
            <w:noWrap/>
            <w:vAlign w:val="center"/>
          </w:tcPr>
          <w:p w:rsidR="0093210C" w:rsidRPr="00002B63" w:rsidRDefault="0093659C"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1 220</w:t>
            </w:r>
          </w:p>
        </w:tc>
        <w:tc>
          <w:tcPr>
            <w:tcW w:w="1424" w:type="dxa"/>
            <w:tcBorders>
              <w:top w:val="nil"/>
              <w:left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Globus ČR, k.s.</w:t>
            </w:r>
          </w:p>
        </w:tc>
        <w:tc>
          <w:tcPr>
            <w:tcW w:w="4500" w:type="dxa"/>
            <w:tcBorders>
              <w:top w:val="nil"/>
              <w:left w:val="nil"/>
              <w:right w:val="single" w:sz="4"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maloobchodní prodej</w:t>
            </w:r>
          </w:p>
        </w:tc>
        <w:tc>
          <w:tcPr>
            <w:tcW w:w="900" w:type="dxa"/>
            <w:tcBorders>
              <w:top w:val="nil"/>
              <w:left w:val="single" w:sz="4"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369</w:t>
            </w:r>
          </w:p>
        </w:tc>
        <w:tc>
          <w:tcPr>
            <w:tcW w:w="900" w:type="dxa"/>
            <w:tcBorders>
              <w:top w:val="nil"/>
              <w:left w:val="nil"/>
              <w:right w:val="single" w:sz="8" w:space="0" w:color="auto"/>
            </w:tcBorders>
            <w:shd w:val="clear" w:color="auto" w:fill="auto"/>
            <w:noWrap/>
            <w:vAlign w:val="center"/>
          </w:tcPr>
          <w:p w:rsidR="0093210C" w:rsidRPr="00002B63" w:rsidRDefault="0093659C"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361</w:t>
            </w:r>
          </w:p>
        </w:tc>
        <w:tc>
          <w:tcPr>
            <w:tcW w:w="1424" w:type="dxa"/>
            <w:tcBorders>
              <w:top w:val="nil"/>
              <w:left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JEDNOTA spotřební družstvo Zábřeh</w:t>
            </w:r>
          </w:p>
        </w:tc>
        <w:tc>
          <w:tcPr>
            <w:tcW w:w="4500" w:type="dxa"/>
            <w:tcBorders>
              <w:top w:val="nil"/>
              <w:left w:val="nil"/>
              <w:right w:val="single" w:sz="4"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maloobchodní prodej</w:t>
            </w:r>
          </w:p>
        </w:tc>
        <w:tc>
          <w:tcPr>
            <w:tcW w:w="900" w:type="dxa"/>
            <w:tcBorders>
              <w:top w:val="nil"/>
              <w:left w:val="single" w:sz="4" w:space="0" w:color="auto"/>
              <w:right w:val="single" w:sz="8" w:space="0" w:color="auto"/>
            </w:tcBorders>
            <w:shd w:val="clear" w:color="auto" w:fill="auto"/>
            <w:noWrap/>
            <w:vAlign w:val="center"/>
          </w:tcPr>
          <w:p w:rsidR="0093210C"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412</w:t>
            </w:r>
          </w:p>
        </w:tc>
        <w:tc>
          <w:tcPr>
            <w:tcW w:w="900" w:type="dxa"/>
            <w:tcBorders>
              <w:top w:val="nil"/>
              <w:left w:val="nil"/>
              <w:right w:val="single" w:sz="8" w:space="0" w:color="auto"/>
            </w:tcBorders>
            <w:shd w:val="clear" w:color="auto" w:fill="auto"/>
            <w:noWrap/>
            <w:vAlign w:val="center"/>
          </w:tcPr>
          <w:p w:rsidR="0093210C" w:rsidRDefault="0093659C" w:rsidP="00061C31">
            <w:pPr>
              <w:jc w:val="center"/>
              <w:rPr>
                <w:rFonts w:asciiTheme="minorHAnsi" w:hAnsiTheme="minorHAnsi" w:cstheme="minorHAnsi"/>
                <w:color w:val="000000"/>
                <w:sz w:val="22"/>
                <w:szCs w:val="22"/>
              </w:rPr>
            </w:pPr>
            <w:r>
              <w:rPr>
                <w:rFonts w:asciiTheme="minorHAnsi" w:hAnsiTheme="minorHAnsi" w:cstheme="minorHAnsi"/>
                <w:color w:val="000000"/>
                <w:sz w:val="22"/>
                <w:szCs w:val="22"/>
              </w:rPr>
              <w:t>419</w:t>
            </w:r>
          </w:p>
        </w:tc>
        <w:tc>
          <w:tcPr>
            <w:tcW w:w="1424" w:type="dxa"/>
            <w:tcBorders>
              <w:top w:val="nil"/>
              <w:left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kraj</w:t>
            </w:r>
          </w:p>
        </w:tc>
      </w:tr>
      <w:tr w:rsidR="0093210C" w:rsidRPr="00002B63" w:rsidTr="00BF330D">
        <w:trPr>
          <w:trHeight w:val="300"/>
        </w:trPr>
        <w:tc>
          <w:tcPr>
            <w:tcW w:w="3420" w:type="dxa"/>
            <w:vMerge/>
            <w:tcBorders>
              <w:left w:val="single" w:sz="8" w:space="0" w:color="auto"/>
              <w:bottom w:val="single" w:sz="4" w:space="0" w:color="auto"/>
              <w:right w:val="single" w:sz="8" w:space="0" w:color="auto"/>
            </w:tcBorders>
            <w:shd w:val="clear" w:color="auto" w:fill="auto"/>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4" w:space="0" w:color="auto"/>
              <w:right w:val="single" w:sz="8" w:space="0" w:color="auto"/>
            </w:tcBorders>
            <w:shd w:val="clear" w:color="auto" w:fill="auto"/>
            <w:noWrap/>
            <w:vAlign w:val="center"/>
          </w:tcPr>
          <w:p w:rsidR="0093210C" w:rsidRPr="00002B63" w:rsidRDefault="0093210C" w:rsidP="00160EA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Tesco Stores ČR a.s.</w:t>
            </w:r>
          </w:p>
        </w:tc>
        <w:tc>
          <w:tcPr>
            <w:tcW w:w="4500" w:type="dxa"/>
            <w:tcBorders>
              <w:top w:val="nil"/>
              <w:left w:val="nil"/>
              <w:bottom w:val="single" w:sz="4" w:space="0" w:color="auto"/>
              <w:right w:val="single" w:sz="4" w:space="0" w:color="auto"/>
            </w:tcBorders>
            <w:shd w:val="clear" w:color="auto" w:fill="auto"/>
            <w:noWrap/>
            <w:vAlign w:val="center"/>
          </w:tcPr>
          <w:p w:rsidR="0093210C" w:rsidRPr="00002B63" w:rsidRDefault="0093210C" w:rsidP="00160EA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maloobchodní prodej</w:t>
            </w:r>
          </w:p>
        </w:tc>
        <w:tc>
          <w:tcPr>
            <w:tcW w:w="900" w:type="dxa"/>
            <w:tcBorders>
              <w:top w:val="nil"/>
              <w:left w:val="single" w:sz="4" w:space="0" w:color="auto"/>
              <w:bottom w:val="single" w:sz="4"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399</w:t>
            </w:r>
          </w:p>
        </w:tc>
        <w:tc>
          <w:tcPr>
            <w:tcW w:w="900" w:type="dxa"/>
            <w:tcBorders>
              <w:top w:val="nil"/>
              <w:left w:val="nil"/>
              <w:bottom w:val="single" w:sz="4" w:space="0" w:color="auto"/>
              <w:right w:val="single" w:sz="8" w:space="0" w:color="auto"/>
            </w:tcBorders>
            <w:shd w:val="clear" w:color="auto" w:fill="auto"/>
            <w:noWrap/>
            <w:vAlign w:val="center"/>
          </w:tcPr>
          <w:p w:rsidR="0093210C" w:rsidRPr="00002B63" w:rsidRDefault="0093659C" w:rsidP="00160EA1">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385</w:t>
            </w:r>
          </w:p>
        </w:tc>
        <w:tc>
          <w:tcPr>
            <w:tcW w:w="1424" w:type="dxa"/>
            <w:tcBorders>
              <w:top w:val="nil"/>
              <w:left w:val="nil"/>
              <w:bottom w:val="single" w:sz="4" w:space="0" w:color="auto"/>
              <w:right w:val="single" w:sz="8" w:space="0" w:color="auto"/>
            </w:tcBorders>
            <w:shd w:val="clear" w:color="auto" w:fill="auto"/>
            <w:noWrap/>
            <w:vAlign w:val="center"/>
          </w:tcPr>
          <w:p w:rsidR="0093210C" w:rsidRPr="00002B63" w:rsidRDefault="0093210C" w:rsidP="00160EA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 PV, OC</w:t>
            </w:r>
          </w:p>
        </w:tc>
      </w:tr>
      <w:tr w:rsidR="00A95882" w:rsidRPr="00002B63" w:rsidTr="00BF330D">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A95882" w:rsidRPr="00002B63" w:rsidRDefault="00A95882" w:rsidP="00BF330D">
            <w:pPr>
              <w:jc w:val="center"/>
              <w:rPr>
                <w:rFonts w:asciiTheme="minorHAnsi" w:hAnsiTheme="minorHAnsi" w:cstheme="minorHAnsi"/>
                <w:b/>
                <w:bCs/>
                <w:color w:val="000000"/>
              </w:rPr>
            </w:pPr>
            <w:r w:rsidRPr="00002B63">
              <w:rPr>
                <w:rFonts w:asciiTheme="minorHAnsi" w:hAnsiTheme="minorHAnsi" w:cstheme="minorHAnsi"/>
                <w:b/>
                <w:bCs/>
                <w:color w:val="000000"/>
              </w:rPr>
              <w:lastRenderedPageBreak/>
              <w:t>Odvětví</w:t>
            </w:r>
          </w:p>
        </w:tc>
        <w:tc>
          <w:tcPr>
            <w:tcW w:w="4336" w:type="dxa"/>
            <w:vMerge w:val="restart"/>
            <w:tcBorders>
              <w:top w:val="single" w:sz="4" w:space="0" w:color="auto"/>
              <w:left w:val="single" w:sz="4" w:space="0" w:color="auto"/>
              <w:right w:val="single" w:sz="8" w:space="0" w:color="auto"/>
            </w:tcBorders>
            <w:shd w:val="clear" w:color="auto" w:fill="CCFFFF"/>
            <w:noWrap/>
            <w:vAlign w:val="center"/>
          </w:tcPr>
          <w:p w:rsidR="00A95882" w:rsidRPr="00002B63" w:rsidRDefault="00A95882" w:rsidP="00BF330D">
            <w:pPr>
              <w:jc w:val="center"/>
              <w:rPr>
                <w:rFonts w:asciiTheme="minorHAnsi" w:hAnsiTheme="minorHAnsi" w:cstheme="minorHAnsi"/>
                <w:b/>
                <w:bCs/>
                <w:color w:val="000000"/>
              </w:rPr>
            </w:pPr>
            <w:r w:rsidRPr="00002B63">
              <w:rPr>
                <w:rFonts w:asciiTheme="minorHAnsi" w:hAnsiTheme="minorHAnsi" w:cstheme="minorHAnsi"/>
                <w:b/>
                <w:bCs/>
                <w:color w:val="000000"/>
              </w:rPr>
              <w:t>Název zaměstnavatele</w:t>
            </w:r>
          </w:p>
          <w:p w:rsidR="00A95882" w:rsidRPr="00002B63" w:rsidRDefault="00A95882" w:rsidP="00BF330D">
            <w:pPr>
              <w:rPr>
                <w:rFonts w:asciiTheme="minorHAnsi" w:hAnsiTheme="minorHAnsi" w:cstheme="minorHAnsi"/>
                <w:color w:val="000000"/>
                <w:sz w:val="22"/>
                <w:szCs w:val="22"/>
              </w:rPr>
            </w:pPr>
          </w:p>
          <w:p w:rsidR="00A95882" w:rsidRPr="00002B63" w:rsidRDefault="00A95882" w:rsidP="00BF330D">
            <w:pPr>
              <w:jc w:val="center"/>
              <w:rPr>
                <w:rFonts w:asciiTheme="minorHAnsi" w:hAnsiTheme="minorHAnsi" w:cstheme="minorHAnsi"/>
                <w:b/>
                <w:bCs/>
                <w:color w:val="000000"/>
              </w:rPr>
            </w:pPr>
          </w:p>
        </w:tc>
        <w:tc>
          <w:tcPr>
            <w:tcW w:w="4500" w:type="dxa"/>
            <w:vMerge w:val="restart"/>
            <w:tcBorders>
              <w:top w:val="single" w:sz="4" w:space="0" w:color="auto"/>
              <w:left w:val="nil"/>
              <w:right w:val="single" w:sz="8" w:space="0" w:color="auto"/>
            </w:tcBorders>
            <w:shd w:val="clear" w:color="auto" w:fill="CCFFFF"/>
            <w:noWrap/>
            <w:vAlign w:val="center"/>
          </w:tcPr>
          <w:p w:rsidR="00A95882" w:rsidRPr="00002B63" w:rsidRDefault="00A95882" w:rsidP="00BF330D">
            <w:pPr>
              <w:jc w:val="center"/>
              <w:rPr>
                <w:rFonts w:asciiTheme="minorHAnsi" w:hAnsiTheme="minorHAnsi" w:cstheme="minorHAnsi"/>
                <w:b/>
                <w:bCs/>
                <w:color w:val="000000"/>
              </w:rPr>
            </w:pPr>
            <w:r w:rsidRPr="00002B63">
              <w:rPr>
                <w:rFonts w:asciiTheme="minorHAnsi" w:hAnsiTheme="minorHAnsi" w:cstheme="minorHAnsi"/>
                <w:b/>
                <w:bCs/>
                <w:color w:val="000000"/>
              </w:rPr>
              <w:t>Předmět činnosti</w:t>
            </w:r>
          </w:p>
          <w:p w:rsidR="00A95882" w:rsidRPr="00002B63" w:rsidRDefault="00A95882" w:rsidP="00BF330D">
            <w:pPr>
              <w:rPr>
                <w:rFonts w:asciiTheme="minorHAnsi" w:hAnsiTheme="minorHAnsi" w:cstheme="minorHAnsi"/>
                <w:i/>
                <w:iCs/>
                <w:color w:val="000000"/>
                <w:sz w:val="22"/>
                <w:szCs w:val="22"/>
              </w:rPr>
            </w:pPr>
          </w:p>
          <w:p w:rsidR="00A95882" w:rsidRPr="00002B63" w:rsidRDefault="00A95882" w:rsidP="00BF330D">
            <w:pPr>
              <w:jc w:val="center"/>
              <w:rPr>
                <w:rFonts w:asciiTheme="minorHAnsi" w:hAnsiTheme="minorHAnsi" w:cstheme="minorHAnsi"/>
                <w:b/>
                <w:bCs/>
                <w:color w:val="000000"/>
              </w:rPr>
            </w:pPr>
          </w:p>
        </w:tc>
        <w:tc>
          <w:tcPr>
            <w:tcW w:w="1800" w:type="dxa"/>
            <w:gridSpan w:val="2"/>
            <w:tcBorders>
              <w:top w:val="single" w:sz="4" w:space="0" w:color="auto"/>
              <w:left w:val="nil"/>
              <w:right w:val="single" w:sz="4" w:space="0" w:color="auto"/>
            </w:tcBorders>
            <w:shd w:val="clear" w:color="auto" w:fill="CCFFFF"/>
            <w:noWrap/>
            <w:vAlign w:val="center"/>
          </w:tcPr>
          <w:p w:rsidR="00A95882" w:rsidRPr="00002B63" w:rsidRDefault="00A95882" w:rsidP="00BF330D">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rPr>
              <w:t>Stav  zaměstnanosti</w:t>
            </w:r>
          </w:p>
        </w:tc>
        <w:tc>
          <w:tcPr>
            <w:tcW w:w="1424" w:type="dxa"/>
            <w:vMerge w:val="restart"/>
            <w:tcBorders>
              <w:top w:val="single" w:sz="4" w:space="0" w:color="auto"/>
              <w:left w:val="single" w:sz="4" w:space="0" w:color="auto"/>
              <w:right w:val="single" w:sz="8" w:space="0" w:color="auto"/>
            </w:tcBorders>
            <w:shd w:val="clear" w:color="auto" w:fill="CCFFFF"/>
            <w:noWrap/>
            <w:vAlign w:val="center"/>
          </w:tcPr>
          <w:p w:rsidR="00A95882" w:rsidRPr="00002B63" w:rsidRDefault="00A95882" w:rsidP="00BF330D">
            <w:pPr>
              <w:jc w:val="center"/>
              <w:rPr>
                <w:rFonts w:asciiTheme="minorHAnsi" w:hAnsiTheme="minorHAnsi" w:cstheme="minorHAnsi"/>
                <w:b/>
                <w:bCs/>
                <w:color w:val="000000"/>
                <w:sz w:val="22"/>
                <w:szCs w:val="22"/>
              </w:rPr>
            </w:pPr>
            <w:r>
              <w:rPr>
                <w:rFonts w:asciiTheme="minorHAnsi" w:hAnsiTheme="minorHAnsi" w:cstheme="minorHAnsi"/>
                <w:b/>
                <w:bCs/>
                <w:color w:val="000000"/>
              </w:rPr>
              <w:t>Okres</w:t>
            </w:r>
          </w:p>
        </w:tc>
      </w:tr>
      <w:tr w:rsidR="00A95882" w:rsidRPr="00002B63" w:rsidTr="00BF330D">
        <w:trPr>
          <w:trHeight w:val="300"/>
        </w:trPr>
        <w:tc>
          <w:tcPr>
            <w:tcW w:w="3420" w:type="dxa"/>
            <w:vMerge/>
            <w:tcBorders>
              <w:top w:val="single" w:sz="4" w:space="0" w:color="auto"/>
              <w:left w:val="single" w:sz="4" w:space="0" w:color="auto"/>
              <w:bottom w:val="single" w:sz="4" w:space="0" w:color="auto"/>
              <w:right w:val="single" w:sz="4" w:space="0" w:color="auto"/>
            </w:tcBorders>
            <w:shd w:val="clear" w:color="auto" w:fill="00FFFF"/>
            <w:vAlign w:val="center"/>
          </w:tcPr>
          <w:p w:rsidR="00A95882" w:rsidRPr="00002B63" w:rsidRDefault="00A95882" w:rsidP="005A6AA7">
            <w:pPr>
              <w:jc w:val="center"/>
              <w:rPr>
                <w:rFonts w:asciiTheme="minorHAnsi" w:hAnsiTheme="minorHAnsi" w:cstheme="minorHAnsi"/>
                <w:b/>
                <w:bCs/>
                <w:color w:val="000000"/>
                <w:sz w:val="22"/>
                <w:szCs w:val="22"/>
              </w:rPr>
            </w:pPr>
          </w:p>
        </w:tc>
        <w:tc>
          <w:tcPr>
            <w:tcW w:w="4336" w:type="dxa"/>
            <w:vMerge/>
            <w:tcBorders>
              <w:left w:val="single" w:sz="4" w:space="0" w:color="auto"/>
              <w:right w:val="single" w:sz="8" w:space="0" w:color="auto"/>
            </w:tcBorders>
            <w:shd w:val="clear" w:color="auto" w:fill="00FFFF"/>
            <w:noWrap/>
            <w:vAlign w:val="center"/>
          </w:tcPr>
          <w:p w:rsidR="00A95882" w:rsidRPr="00002B63" w:rsidRDefault="00A95882" w:rsidP="00160EA1">
            <w:pPr>
              <w:rPr>
                <w:rFonts w:asciiTheme="minorHAnsi" w:hAnsiTheme="minorHAnsi" w:cstheme="minorHAnsi"/>
                <w:color w:val="000000"/>
                <w:sz w:val="22"/>
                <w:szCs w:val="22"/>
              </w:rPr>
            </w:pPr>
          </w:p>
        </w:tc>
        <w:tc>
          <w:tcPr>
            <w:tcW w:w="4500" w:type="dxa"/>
            <w:vMerge/>
            <w:tcBorders>
              <w:left w:val="nil"/>
              <w:right w:val="single" w:sz="8" w:space="0" w:color="auto"/>
            </w:tcBorders>
            <w:shd w:val="clear" w:color="auto" w:fill="00FFFF"/>
            <w:noWrap/>
            <w:vAlign w:val="center"/>
          </w:tcPr>
          <w:p w:rsidR="00A95882" w:rsidRPr="00002B63" w:rsidRDefault="00A95882" w:rsidP="00160EA1">
            <w:pPr>
              <w:rPr>
                <w:rFonts w:asciiTheme="minorHAnsi" w:hAnsiTheme="minorHAnsi" w:cstheme="minorHAnsi"/>
                <w:i/>
                <w:iCs/>
                <w:color w:val="000000"/>
                <w:sz w:val="22"/>
                <w:szCs w:val="22"/>
              </w:rPr>
            </w:pPr>
          </w:p>
        </w:tc>
        <w:tc>
          <w:tcPr>
            <w:tcW w:w="900" w:type="dxa"/>
            <w:tcBorders>
              <w:top w:val="single" w:sz="4" w:space="0" w:color="auto"/>
              <w:left w:val="nil"/>
              <w:right w:val="single" w:sz="8" w:space="0" w:color="auto"/>
            </w:tcBorders>
            <w:shd w:val="clear" w:color="auto" w:fill="CCFFFF"/>
            <w:noWrap/>
            <w:vAlign w:val="center"/>
          </w:tcPr>
          <w:p w:rsidR="00A95882" w:rsidRPr="00002B63" w:rsidRDefault="00A95882" w:rsidP="00BF330D">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3</w:t>
            </w:r>
          </w:p>
        </w:tc>
        <w:tc>
          <w:tcPr>
            <w:tcW w:w="900" w:type="dxa"/>
            <w:tcBorders>
              <w:top w:val="single" w:sz="4" w:space="0" w:color="auto"/>
              <w:left w:val="nil"/>
              <w:right w:val="single" w:sz="4" w:space="0" w:color="auto"/>
            </w:tcBorders>
            <w:shd w:val="clear" w:color="auto" w:fill="CCFFFF"/>
            <w:noWrap/>
            <w:vAlign w:val="center"/>
          </w:tcPr>
          <w:p w:rsidR="00A95882" w:rsidRPr="00002B63" w:rsidRDefault="00A95882" w:rsidP="0093210C">
            <w:pPr>
              <w:jc w:val="center"/>
              <w:rPr>
                <w:rFonts w:asciiTheme="minorHAnsi" w:hAnsiTheme="minorHAnsi" w:cstheme="minorHAnsi"/>
                <w:b/>
                <w:bCs/>
                <w:color w:val="000000"/>
                <w:sz w:val="20"/>
                <w:szCs w:val="20"/>
              </w:rPr>
            </w:pPr>
            <w:r w:rsidRPr="00002B63">
              <w:rPr>
                <w:rFonts w:asciiTheme="minorHAnsi" w:hAnsiTheme="minorHAnsi" w:cstheme="minorHAnsi"/>
                <w:b/>
                <w:bCs/>
                <w:color w:val="000000"/>
                <w:sz w:val="20"/>
                <w:szCs w:val="20"/>
              </w:rPr>
              <w:t>k 31. 12. 201</w:t>
            </w:r>
            <w:r w:rsidR="0093210C">
              <w:rPr>
                <w:rFonts w:asciiTheme="minorHAnsi" w:hAnsiTheme="minorHAnsi" w:cstheme="minorHAnsi"/>
                <w:b/>
                <w:bCs/>
                <w:color w:val="000000"/>
                <w:sz w:val="20"/>
                <w:szCs w:val="20"/>
              </w:rPr>
              <w:t>4</w:t>
            </w:r>
          </w:p>
        </w:tc>
        <w:tc>
          <w:tcPr>
            <w:tcW w:w="1424" w:type="dxa"/>
            <w:vMerge/>
            <w:tcBorders>
              <w:left w:val="single" w:sz="4" w:space="0" w:color="auto"/>
              <w:right w:val="single" w:sz="8" w:space="0" w:color="auto"/>
            </w:tcBorders>
            <w:shd w:val="clear" w:color="auto" w:fill="00FFFF"/>
            <w:noWrap/>
            <w:vAlign w:val="center"/>
          </w:tcPr>
          <w:p w:rsidR="00A95882" w:rsidRPr="00002B63" w:rsidRDefault="00A95882" w:rsidP="00160EA1">
            <w:pPr>
              <w:jc w:val="center"/>
              <w:rPr>
                <w:rFonts w:asciiTheme="minorHAnsi" w:hAnsiTheme="minorHAnsi" w:cstheme="minorHAnsi"/>
                <w:b/>
                <w:bCs/>
                <w:color w:val="000000"/>
                <w:sz w:val="22"/>
                <w:szCs w:val="22"/>
              </w:rPr>
            </w:pPr>
          </w:p>
        </w:tc>
      </w:tr>
      <w:tr w:rsidR="0093210C" w:rsidRPr="00002B63" w:rsidTr="00A95882">
        <w:trPr>
          <w:trHeight w:val="300"/>
        </w:trPr>
        <w:tc>
          <w:tcPr>
            <w:tcW w:w="3420" w:type="dxa"/>
            <w:vMerge w:val="restart"/>
            <w:tcBorders>
              <w:left w:val="single" w:sz="8" w:space="0" w:color="auto"/>
              <w:right w:val="single" w:sz="8" w:space="0" w:color="auto"/>
            </w:tcBorders>
            <w:shd w:val="clear" w:color="auto" w:fill="auto"/>
            <w:vAlign w:val="center"/>
          </w:tcPr>
          <w:p w:rsidR="0093210C" w:rsidRPr="00002B63" w:rsidRDefault="0093210C" w:rsidP="005A6AA7">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Služby</w:t>
            </w:r>
          </w:p>
        </w:tc>
        <w:tc>
          <w:tcPr>
            <w:tcW w:w="4336" w:type="dxa"/>
            <w:tcBorders>
              <w:top w:val="single" w:sz="4" w:space="0" w:color="auto"/>
              <w:left w:val="nil"/>
              <w:right w:val="single" w:sz="8" w:space="0" w:color="auto"/>
            </w:tcBorders>
            <w:shd w:val="clear" w:color="auto" w:fill="auto"/>
            <w:noWrap/>
            <w:vAlign w:val="center"/>
          </w:tcPr>
          <w:p w:rsidR="0093210C" w:rsidRPr="00002B63" w:rsidRDefault="0093210C" w:rsidP="00160EA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Bartoň a Partner s.r.o.</w:t>
            </w:r>
          </w:p>
        </w:tc>
        <w:tc>
          <w:tcPr>
            <w:tcW w:w="4500" w:type="dxa"/>
            <w:tcBorders>
              <w:top w:val="single" w:sz="4" w:space="0" w:color="auto"/>
              <w:left w:val="nil"/>
              <w:right w:val="single" w:sz="8" w:space="0" w:color="auto"/>
            </w:tcBorders>
            <w:shd w:val="clear" w:color="auto" w:fill="auto"/>
            <w:noWrap/>
            <w:vAlign w:val="center"/>
          </w:tcPr>
          <w:p w:rsidR="0093210C" w:rsidRPr="00002B63" w:rsidRDefault="0093210C" w:rsidP="00160EA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komplexní správa nemovitostí</w:t>
            </w:r>
          </w:p>
        </w:tc>
        <w:tc>
          <w:tcPr>
            <w:tcW w:w="900" w:type="dxa"/>
            <w:tcBorders>
              <w:top w:val="single" w:sz="4" w:space="0" w:color="auto"/>
              <w:left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1 272</w:t>
            </w:r>
          </w:p>
        </w:tc>
        <w:tc>
          <w:tcPr>
            <w:tcW w:w="900" w:type="dxa"/>
            <w:tcBorders>
              <w:top w:val="single" w:sz="4" w:space="0" w:color="auto"/>
              <w:left w:val="nil"/>
              <w:right w:val="single" w:sz="4" w:space="0" w:color="auto"/>
            </w:tcBorders>
            <w:shd w:val="clear" w:color="auto" w:fill="auto"/>
            <w:noWrap/>
            <w:vAlign w:val="center"/>
          </w:tcPr>
          <w:p w:rsidR="0093210C" w:rsidRPr="00002B63" w:rsidRDefault="0093659C" w:rsidP="00BF330D">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1 285</w:t>
            </w:r>
          </w:p>
        </w:tc>
        <w:tc>
          <w:tcPr>
            <w:tcW w:w="1424" w:type="dxa"/>
            <w:tcBorders>
              <w:top w:val="single" w:sz="4" w:space="0" w:color="auto"/>
              <w:left w:val="single" w:sz="4" w:space="0" w:color="auto"/>
              <w:right w:val="single" w:sz="8" w:space="0" w:color="auto"/>
            </w:tcBorders>
            <w:shd w:val="clear" w:color="auto" w:fill="auto"/>
            <w:noWrap/>
            <w:vAlign w:val="center"/>
          </w:tcPr>
          <w:p w:rsidR="0093210C" w:rsidRPr="00002B63" w:rsidRDefault="0093210C" w:rsidP="00160EA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w:t>
            </w:r>
          </w:p>
        </w:tc>
      </w:tr>
      <w:tr w:rsidR="0093210C" w:rsidRPr="00002B63" w:rsidTr="00A95882">
        <w:trPr>
          <w:trHeight w:val="300"/>
        </w:trPr>
        <w:tc>
          <w:tcPr>
            <w:tcW w:w="3420" w:type="dxa"/>
            <w:vMerge/>
            <w:tcBorders>
              <w:left w:val="single" w:sz="8" w:space="0" w:color="auto"/>
              <w:bottom w:val="single" w:sz="4" w:space="0" w:color="auto"/>
              <w:right w:val="single" w:sz="8" w:space="0" w:color="auto"/>
            </w:tcBorders>
            <w:shd w:val="clear" w:color="auto" w:fill="auto"/>
            <w:vAlign w:val="center"/>
          </w:tcPr>
          <w:p w:rsidR="0093210C" w:rsidRPr="00002B63" w:rsidRDefault="0093210C" w:rsidP="005A6AA7">
            <w:pPr>
              <w:jc w:val="center"/>
              <w:rPr>
                <w:rFonts w:asciiTheme="minorHAnsi" w:hAnsiTheme="minorHAnsi" w:cstheme="minorHAnsi"/>
                <w:b/>
                <w:bCs/>
                <w:color w:val="000000"/>
                <w:sz w:val="22"/>
                <w:szCs w:val="22"/>
              </w:rPr>
            </w:pPr>
          </w:p>
        </w:tc>
        <w:tc>
          <w:tcPr>
            <w:tcW w:w="4336" w:type="dxa"/>
            <w:tcBorders>
              <w:top w:val="nil"/>
              <w:left w:val="nil"/>
              <w:bottom w:val="single" w:sz="4" w:space="0" w:color="auto"/>
              <w:right w:val="single" w:sz="8" w:space="0" w:color="auto"/>
            </w:tcBorders>
            <w:shd w:val="clear" w:color="auto" w:fill="auto"/>
            <w:noWrap/>
            <w:vAlign w:val="center"/>
          </w:tcPr>
          <w:p w:rsidR="0093210C" w:rsidRPr="00002B63" w:rsidRDefault="0093210C" w:rsidP="00160EA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FORCORP GROUP spol. s r.o.</w:t>
            </w:r>
          </w:p>
        </w:tc>
        <w:tc>
          <w:tcPr>
            <w:tcW w:w="4500" w:type="dxa"/>
            <w:tcBorders>
              <w:top w:val="nil"/>
              <w:left w:val="nil"/>
              <w:bottom w:val="single" w:sz="4" w:space="0" w:color="auto"/>
              <w:right w:val="single" w:sz="8" w:space="0" w:color="auto"/>
            </w:tcBorders>
            <w:shd w:val="clear" w:color="auto" w:fill="auto"/>
            <w:noWrap/>
            <w:vAlign w:val="center"/>
          </w:tcPr>
          <w:p w:rsidR="0093210C" w:rsidRPr="00002B63" w:rsidRDefault="0093210C" w:rsidP="00160EA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ostraha majetku, úklidové služby</w:t>
            </w:r>
          </w:p>
        </w:tc>
        <w:tc>
          <w:tcPr>
            <w:tcW w:w="900" w:type="dxa"/>
            <w:tcBorders>
              <w:top w:val="nil"/>
              <w:left w:val="nil"/>
              <w:bottom w:val="single" w:sz="4"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1 116</w:t>
            </w:r>
          </w:p>
        </w:tc>
        <w:tc>
          <w:tcPr>
            <w:tcW w:w="900" w:type="dxa"/>
            <w:tcBorders>
              <w:top w:val="nil"/>
              <w:left w:val="nil"/>
              <w:bottom w:val="single" w:sz="4" w:space="0" w:color="auto"/>
              <w:right w:val="single" w:sz="4" w:space="0" w:color="auto"/>
            </w:tcBorders>
            <w:shd w:val="clear" w:color="auto" w:fill="auto"/>
            <w:noWrap/>
            <w:vAlign w:val="center"/>
          </w:tcPr>
          <w:p w:rsidR="0093210C" w:rsidRPr="00002B63" w:rsidRDefault="0093659C" w:rsidP="00BF330D">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1 165</w:t>
            </w:r>
          </w:p>
        </w:tc>
        <w:tc>
          <w:tcPr>
            <w:tcW w:w="1424" w:type="dxa"/>
            <w:tcBorders>
              <w:top w:val="nil"/>
              <w:left w:val="single" w:sz="4" w:space="0" w:color="auto"/>
              <w:bottom w:val="single" w:sz="4" w:space="0" w:color="auto"/>
              <w:right w:val="single" w:sz="8" w:space="0" w:color="auto"/>
            </w:tcBorders>
            <w:shd w:val="clear" w:color="auto" w:fill="auto"/>
            <w:noWrap/>
            <w:vAlign w:val="center"/>
          </w:tcPr>
          <w:p w:rsidR="0093210C" w:rsidRPr="00002B63" w:rsidRDefault="0093210C" w:rsidP="00160EA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w:t>
            </w:r>
          </w:p>
        </w:tc>
      </w:tr>
      <w:tr w:rsidR="0093210C" w:rsidRPr="00002B63" w:rsidTr="00A95882">
        <w:trPr>
          <w:trHeight w:val="315"/>
        </w:trPr>
        <w:tc>
          <w:tcPr>
            <w:tcW w:w="3420" w:type="dxa"/>
            <w:vMerge w:val="restart"/>
            <w:tcBorders>
              <w:top w:val="single" w:sz="4" w:space="0" w:color="auto"/>
              <w:left w:val="single" w:sz="8" w:space="0" w:color="auto"/>
              <w:right w:val="single" w:sz="8" w:space="0" w:color="auto"/>
            </w:tcBorders>
            <w:shd w:val="clear" w:color="auto" w:fill="auto"/>
            <w:vAlign w:val="center"/>
          </w:tcPr>
          <w:p w:rsidR="0093210C" w:rsidRPr="00002B63" w:rsidRDefault="0093210C" w:rsidP="00635D45">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Doprava a skladování</w:t>
            </w:r>
          </w:p>
        </w:tc>
        <w:tc>
          <w:tcPr>
            <w:tcW w:w="4336" w:type="dxa"/>
            <w:tcBorders>
              <w:top w:val="single" w:sz="4" w:space="0" w:color="auto"/>
              <w:left w:val="nil"/>
              <w:bottom w:val="nil"/>
              <w:right w:val="single" w:sz="8" w:space="0" w:color="auto"/>
            </w:tcBorders>
            <w:shd w:val="clear" w:color="auto" w:fill="auto"/>
            <w:noWrap/>
            <w:vAlign w:val="center"/>
          </w:tcPr>
          <w:p w:rsidR="0093210C" w:rsidRPr="00002B63" w:rsidRDefault="0093210C" w:rsidP="00BF330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ARRIVA MORAVA</w:t>
            </w:r>
            <w:r w:rsidRPr="00002B63">
              <w:rPr>
                <w:rFonts w:asciiTheme="minorHAnsi" w:hAnsiTheme="minorHAnsi" w:cstheme="minorHAnsi"/>
                <w:color w:val="000000"/>
                <w:sz w:val="22"/>
                <w:szCs w:val="22"/>
              </w:rPr>
              <w:t xml:space="preserve"> a.s.</w:t>
            </w:r>
          </w:p>
        </w:tc>
        <w:tc>
          <w:tcPr>
            <w:tcW w:w="4500" w:type="dxa"/>
            <w:tcBorders>
              <w:top w:val="single" w:sz="4" w:space="0" w:color="auto"/>
              <w:left w:val="nil"/>
              <w:bottom w:val="nil"/>
              <w:right w:val="single" w:sz="8" w:space="0" w:color="auto"/>
            </w:tcBorders>
            <w:shd w:val="clear" w:color="auto" w:fill="auto"/>
            <w:noWrap/>
            <w:vAlign w:val="center"/>
          </w:tcPr>
          <w:p w:rsidR="0093210C" w:rsidRPr="00002B63" w:rsidRDefault="0093210C" w:rsidP="00BF330D">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hromadná doprava osob</w:t>
            </w:r>
          </w:p>
        </w:tc>
        <w:tc>
          <w:tcPr>
            <w:tcW w:w="900" w:type="dxa"/>
            <w:tcBorders>
              <w:top w:val="single" w:sz="4" w:space="0" w:color="auto"/>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573</w:t>
            </w:r>
          </w:p>
        </w:tc>
        <w:tc>
          <w:tcPr>
            <w:tcW w:w="900" w:type="dxa"/>
            <w:tcBorders>
              <w:top w:val="single" w:sz="4" w:space="0" w:color="auto"/>
              <w:left w:val="nil"/>
              <w:bottom w:val="nil"/>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577</w:t>
            </w:r>
          </w:p>
        </w:tc>
        <w:tc>
          <w:tcPr>
            <w:tcW w:w="1424" w:type="dxa"/>
            <w:tcBorders>
              <w:top w:val="single" w:sz="4" w:space="0" w:color="auto"/>
              <w:left w:val="nil"/>
              <w:bottom w:val="nil"/>
              <w:right w:val="single" w:sz="8" w:space="0" w:color="auto"/>
            </w:tcBorders>
            <w:shd w:val="clear" w:color="auto" w:fill="auto"/>
            <w:noWrap/>
            <w:vAlign w:val="center"/>
          </w:tcPr>
          <w:p w:rsidR="0093210C" w:rsidRPr="00002B63" w:rsidRDefault="0093210C" w:rsidP="00BF330D">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 bez PV</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BF330D">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ČSAD LOGISTIK Ostrava,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BF330D">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pozemní přeprava nákladů a zásilek</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225</w:t>
            </w:r>
          </w:p>
        </w:tc>
        <w:tc>
          <w:tcPr>
            <w:tcW w:w="900" w:type="dxa"/>
            <w:tcBorders>
              <w:top w:val="nil"/>
              <w:left w:val="nil"/>
              <w:bottom w:val="nil"/>
              <w:right w:val="single" w:sz="8" w:space="0" w:color="auto"/>
            </w:tcBorders>
            <w:shd w:val="clear" w:color="auto" w:fill="auto"/>
            <w:noWrap/>
            <w:vAlign w:val="center"/>
          </w:tcPr>
          <w:p w:rsidR="0093210C" w:rsidRPr="00002B63" w:rsidRDefault="0042321B" w:rsidP="00BF330D">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211</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BF330D">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kraj bez PV</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Dopravní podnik Olomouc,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provozování městské hromadné dopravy</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425</w:t>
            </w:r>
          </w:p>
        </w:tc>
        <w:tc>
          <w:tcPr>
            <w:tcW w:w="900" w:type="dxa"/>
            <w:tcBorders>
              <w:top w:val="nil"/>
              <w:left w:val="nil"/>
              <w:bottom w:val="nil"/>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424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FTL – First Transport Lines,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silniční motorová doprava, nákladní i osobní</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290</w:t>
            </w:r>
          </w:p>
        </w:tc>
        <w:tc>
          <w:tcPr>
            <w:tcW w:w="900" w:type="dxa"/>
            <w:tcBorders>
              <w:top w:val="nil"/>
              <w:left w:val="nil"/>
              <w:bottom w:val="nil"/>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266</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00"/>
        </w:trPr>
        <w:tc>
          <w:tcPr>
            <w:tcW w:w="3420" w:type="dxa"/>
            <w:vMerge/>
            <w:tcBorders>
              <w:left w:val="single" w:sz="8" w:space="0" w:color="auto"/>
              <w:bottom w:val="single" w:sz="8" w:space="0" w:color="000000"/>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BF330D">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HOPI s.r.o.</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BF330D">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provoz velkoskladů, zejména s potravinami</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427</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402</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BF330D">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15"/>
        </w:trPr>
        <w:tc>
          <w:tcPr>
            <w:tcW w:w="3420" w:type="dxa"/>
            <w:tcBorders>
              <w:top w:val="nil"/>
              <w:left w:val="single" w:sz="8" w:space="0" w:color="auto"/>
              <w:bottom w:val="single" w:sz="8" w:space="0" w:color="auto"/>
              <w:right w:val="single" w:sz="8" w:space="0" w:color="auto"/>
            </w:tcBorders>
            <w:vAlign w:val="center"/>
          </w:tcPr>
          <w:p w:rsidR="0093210C" w:rsidRPr="00002B63" w:rsidRDefault="0093210C" w:rsidP="00635D45">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Školství</w:t>
            </w: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Univerzita Palackého</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vysoké školství</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3 823</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3 786</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5F7F89">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15"/>
        </w:trPr>
        <w:tc>
          <w:tcPr>
            <w:tcW w:w="342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Zdravotnictví</w:t>
            </w:r>
          </w:p>
          <w:p w:rsidR="0093210C" w:rsidRPr="00002B63" w:rsidRDefault="0093210C" w:rsidP="00635D45">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Fakultní nemocnice Olomouc</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 xml:space="preserve">zdravotní péče </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3 662</w:t>
            </w:r>
          </w:p>
        </w:tc>
        <w:tc>
          <w:tcPr>
            <w:tcW w:w="900" w:type="dxa"/>
            <w:tcBorders>
              <w:top w:val="nil"/>
              <w:left w:val="nil"/>
              <w:bottom w:val="nil"/>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3 792</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OC</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jc w:val="cente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Jesenická nemocnice spol. s r.o.</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061C31">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zdravotní péče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261</w:t>
            </w:r>
          </w:p>
        </w:tc>
        <w:tc>
          <w:tcPr>
            <w:tcW w:w="900" w:type="dxa"/>
            <w:tcBorders>
              <w:top w:val="nil"/>
              <w:left w:val="nil"/>
              <w:bottom w:val="nil"/>
              <w:right w:val="single" w:sz="8" w:space="0" w:color="auto"/>
            </w:tcBorders>
            <w:shd w:val="clear" w:color="auto" w:fill="auto"/>
            <w:noWrap/>
            <w:vAlign w:val="center"/>
          </w:tcPr>
          <w:p w:rsidR="0093210C" w:rsidRPr="00002B63" w:rsidRDefault="0093659C"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274</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061C31">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Nemocnice Hranice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zdravotní péče</w:t>
            </w:r>
          </w:p>
        </w:tc>
        <w:tc>
          <w:tcPr>
            <w:tcW w:w="900" w:type="dxa"/>
            <w:tcBorders>
              <w:top w:val="nil"/>
              <w:left w:val="nil"/>
              <w:bottom w:val="nil"/>
              <w:right w:val="single" w:sz="8" w:space="0" w:color="auto"/>
            </w:tcBorders>
            <w:shd w:val="clear" w:color="auto" w:fill="auto"/>
            <w:noWrap/>
            <w:vAlign w:val="center"/>
          </w:tcPr>
          <w:p w:rsidR="0093210C" w:rsidRPr="00002B63" w:rsidRDefault="001C3638" w:rsidP="00254F66">
            <w:pPr>
              <w:jc w:val="center"/>
              <w:rPr>
                <w:rFonts w:asciiTheme="minorHAnsi" w:hAnsiTheme="minorHAnsi" w:cstheme="minorHAnsi"/>
                <w:sz w:val="22"/>
                <w:szCs w:val="22"/>
              </w:rPr>
            </w:pPr>
            <w:r>
              <w:rPr>
                <w:rFonts w:asciiTheme="minorHAnsi" w:hAnsiTheme="minorHAnsi" w:cstheme="minorHAnsi"/>
                <w:sz w:val="22"/>
                <w:szCs w:val="22"/>
              </w:rPr>
              <w:t>42</w:t>
            </w:r>
            <w:r w:rsidR="0093210C">
              <w:rPr>
                <w:rFonts w:asciiTheme="minorHAnsi" w:hAnsiTheme="minorHAnsi" w:cstheme="minorHAnsi"/>
                <w:sz w:val="22"/>
                <w:szCs w:val="22"/>
              </w:rPr>
              <w:t>2</w:t>
            </w:r>
          </w:p>
        </w:tc>
        <w:tc>
          <w:tcPr>
            <w:tcW w:w="900" w:type="dxa"/>
            <w:tcBorders>
              <w:top w:val="nil"/>
              <w:left w:val="nil"/>
              <w:bottom w:val="nil"/>
              <w:right w:val="single" w:sz="8" w:space="0" w:color="auto"/>
            </w:tcBorders>
            <w:shd w:val="clear" w:color="auto" w:fill="auto"/>
            <w:noWrap/>
            <w:vAlign w:val="center"/>
          </w:tcPr>
          <w:p w:rsidR="0093210C" w:rsidRPr="00002B63" w:rsidRDefault="001C3638" w:rsidP="00BF330D">
            <w:pPr>
              <w:jc w:val="center"/>
              <w:rPr>
                <w:rFonts w:asciiTheme="minorHAnsi" w:hAnsiTheme="minorHAnsi" w:cstheme="minorHAnsi"/>
                <w:sz w:val="22"/>
                <w:szCs w:val="22"/>
              </w:rPr>
            </w:pPr>
            <w:r>
              <w:rPr>
                <w:rFonts w:asciiTheme="minorHAnsi" w:hAnsiTheme="minorHAnsi" w:cstheme="minorHAnsi"/>
                <w:sz w:val="22"/>
                <w:szCs w:val="22"/>
              </w:rPr>
              <w:t>398</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1245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Priessnitzovy léčebné lázně a.s.  </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ústavní a ambulantní lázeňská péče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201</w:t>
            </w:r>
          </w:p>
        </w:tc>
        <w:tc>
          <w:tcPr>
            <w:tcW w:w="900" w:type="dxa"/>
            <w:tcBorders>
              <w:top w:val="nil"/>
              <w:left w:val="nil"/>
              <w:bottom w:val="nil"/>
              <w:right w:val="single" w:sz="8" w:space="0" w:color="auto"/>
            </w:tcBorders>
            <w:shd w:val="clear" w:color="auto" w:fill="auto"/>
            <w:noWrap/>
            <w:vAlign w:val="center"/>
          </w:tcPr>
          <w:p w:rsidR="0093210C" w:rsidRPr="00002B63" w:rsidRDefault="001C3638"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239</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1245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JE</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Středomor. nemocniční a.s., Nemocnice PR </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zdravotní péče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693</w:t>
            </w:r>
          </w:p>
        </w:tc>
        <w:tc>
          <w:tcPr>
            <w:tcW w:w="900" w:type="dxa"/>
            <w:tcBorders>
              <w:top w:val="nil"/>
              <w:left w:val="nil"/>
              <w:bottom w:val="nil"/>
              <w:right w:val="single" w:sz="8" w:space="0" w:color="auto"/>
            </w:tcBorders>
            <w:shd w:val="clear" w:color="auto" w:fill="auto"/>
            <w:noWrap/>
            <w:vAlign w:val="center"/>
          </w:tcPr>
          <w:p w:rsidR="0093210C" w:rsidRPr="00002B63" w:rsidRDefault="001C3638" w:rsidP="00BF330D">
            <w:pPr>
              <w:jc w:val="center"/>
              <w:rPr>
                <w:rFonts w:asciiTheme="minorHAnsi" w:hAnsiTheme="minorHAnsi" w:cstheme="minorHAnsi"/>
                <w:sz w:val="22"/>
                <w:szCs w:val="22"/>
              </w:rPr>
            </w:pPr>
            <w:r>
              <w:rPr>
                <w:rFonts w:asciiTheme="minorHAnsi" w:hAnsiTheme="minorHAnsi" w:cstheme="minorHAnsi"/>
                <w:sz w:val="22"/>
                <w:szCs w:val="22"/>
              </w:rPr>
              <w:t>682</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1245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PR</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Středomor. nemocniční a.s., Nemocnice PV</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1245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zdravotní péče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color w:val="000000"/>
                <w:sz w:val="22"/>
                <w:szCs w:val="22"/>
              </w:rPr>
            </w:pPr>
            <w:r>
              <w:rPr>
                <w:rFonts w:asciiTheme="minorHAnsi" w:hAnsiTheme="minorHAnsi" w:cstheme="minorHAnsi"/>
                <w:color w:val="000000"/>
                <w:sz w:val="22"/>
                <w:szCs w:val="22"/>
              </w:rPr>
              <w:t>915</w:t>
            </w:r>
          </w:p>
        </w:tc>
        <w:tc>
          <w:tcPr>
            <w:tcW w:w="900" w:type="dxa"/>
            <w:tcBorders>
              <w:top w:val="nil"/>
              <w:left w:val="nil"/>
              <w:bottom w:val="nil"/>
              <w:right w:val="single" w:sz="8" w:space="0" w:color="auto"/>
            </w:tcBorders>
            <w:shd w:val="clear" w:color="auto" w:fill="auto"/>
            <w:noWrap/>
            <w:vAlign w:val="center"/>
          </w:tcPr>
          <w:p w:rsidR="0093210C" w:rsidRPr="00002B63" w:rsidRDefault="001C3638" w:rsidP="00BF330D">
            <w:pPr>
              <w:jc w:val="center"/>
              <w:rPr>
                <w:rFonts w:asciiTheme="minorHAnsi" w:hAnsiTheme="minorHAnsi" w:cstheme="minorHAnsi"/>
                <w:color w:val="000000"/>
                <w:sz w:val="22"/>
                <w:szCs w:val="22"/>
              </w:rPr>
            </w:pPr>
            <w:r>
              <w:rPr>
                <w:rFonts w:asciiTheme="minorHAnsi" w:hAnsiTheme="minorHAnsi" w:cstheme="minorHAnsi"/>
                <w:color w:val="000000"/>
                <w:sz w:val="22"/>
                <w:szCs w:val="22"/>
              </w:rPr>
              <w:t>912</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12457F">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PV</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nil"/>
              <w:right w:val="single" w:sz="8" w:space="0" w:color="auto"/>
            </w:tcBorders>
            <w:shd w:val="clear" w:color="auto" w:fill="auto"/>
            <w:noWrap/>
            <w:vAlign w:val="center"/>
          </w:tcPr>
          <w:p w:rsidR="0093210C" w:rsidRPr="00002B63" w:rsidRDefault="0093210C" w:rsidP="008A5B4A">
            <w:pPr>
              <w:rPr>
                <w:rFonts w:asciiTheme="minorHAnsi" w:hAnsiTheme="minorHAnsi" w:cstheme="minorHAnsi"/>
                <w:color w:val="000000"/>
                <w:sz w:val="22"/>
                <w:szCs w:val="22"/>
              </w:rPr>
            </w:pPr>
            <w:r w:rsidRPr="00002B63">
              <w:rPr>
                <w:rFonts w:asciiTheme="minorHAnsi" w:hAnsiTheme="minorHAnsi" w:cstheme="minorHAnsi"/>
                <w:color w:val="000000"/>
                <w:sz w:val="22"/>
                <w:szCs w:val="22"/>
              </w:rPr>
              <w:t xml:space="preserve"> Šumperská nemocnice a.s.</w:t>
            </w:r>
          </w:p>
        </w:tc>
        <w:tc>
          <w:tcPr>
            <w:tcW w:w="4500" w:type="dxa"/>
            <w:tcBorders>
              <w:top w:val="nil"/>
              <w:left w:val="nil"/>
              <w:bottom w:val="nil"/>
              <w:right w:val="single" w:sz="8" w:space="0" w:color="auto"/>
            </w:tcBorders>
            <w:shd w:val="clear" w:color="auto" w:fill="auto"/>
            <w:noWrap/>
            <w:vAlign w:val="center"/>
          </w:tcPr>
          <w:p w:rsidR="0093210C" w:rsidRPr="00002B63" w:rsidRDefault="0093210C" w:rsidP="008A5B4A">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zdravotní péče</w:t>
            </w:r>
          </w:p>
        </w:tc>
        <w:tc>
          <w:tcPr>
            <w:tcW w:w="900" w:type="dxa"/>
            <w:tcBorders>
              <w:top w:val="nil"/>
              <w:left w:val="nil"/>
              <w:bottom w:val="nil"/>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812</w:t>
            </w:r>
          </w:p>
        </w:tc>
        <w:tc>
          <w:tcPr>
            <w:tcW w:w="900" w:type="dxa"/>
            <w:tcBorders>
              <w:top w:val="nil"/>
              <w:left w:val="nil"/>
              <w:bottom w:val="nil"/>
              <w:right w:val="single" w:sz="8" w:space="0" w:color="auto"/>
            </w:tcBorders>
            <w:shd w:val="clear" w:color="auto" w:fill="auto"/>
            <w:noWrap/>
            <w:vAlign w:val="center"/>
          </w:tcPr>
          <w:p w:rsidR="0093210C" w:rsidRPr="00002B63" w:rsidRDefault="001C3638" w:rsidP="008A5B4A">
            <w:pPr>
              <w:jc w:val="center"/>
              <w:rPr>
                <w:rFonts w:asciiTheme="minorHAnsi" w:hAnsiTheme="minorHAnsi" w:cstheme="minorHAnsi"/>
                <w:sz w:val="22"/>
                <w:szCs w:val="22"/>
              </w:rPr>
            </w:pPr>
            <w:r>
              <w:rPr>
                <w:rFonts w:asciiTheme="minorHAnsi" w:hAnsiTheme="minorHAnsi" w:cstheme="minorHAnsi"/>
                <w:sz w:val="22"/>
                <w:szCs w:val="22"/>
              </w:rPr>
              <w:t>833</w:t>
            </w:r>
          </w:p>
        </w:tc>
        <w:tc>
          <w:tcPr>
            <w:tcW w:w="1424" w:type="dxa"/>
            <w:tcBorders>
              <w:top w:val="nil"/>
              <w:left w:val="nil"/>
              <w:bottom w:val="nil"/>
              <w:right w:val="single" w:sz="8" w:space="0" w:color="auto"/>
            </w:tcBorders>
            <w:shd w:val="clear" w:color="auto" w:fill="auto"/>
            <w:noWrap/>
            <w:vAlign w:val="center"/>
          </w:tcPr>
          <w:p w:rsidR="0093210C" w:rsidRPr="00002B63" w:rsidRDefault="0093210C" w:rsidP="008A5B4A">
            <w:pPr>
              <w:jc w:val="center"/>
              <w:rPr>
                <w:rFonts w:asciiTheme="minorHAnsi" w:hAnsiTheme="minorHAnsi" w:cstheme="minorHAnsi"/>
                <w:b/>
                <w:bCs/>
                <w:color w:val="000000"/>
                <w:sz w:val="22"/>
                <w:szCs w:val="22"/>
              </w:rPr>
            </w:pPr>
            <w:r w:rsidRPr="00002B63">
              <w:rPr>
                <w:rFonts w:asciiTheme="minorHAnsi" w:hAnsiTheme="minorHAnsi" w:cstheme="minorHAnsi"/>
                <w:b/>
                <w:bCs/>
                <w:color w:val="000000"/>
                <w:sz w:val="22"/>
                <w:szCs w:val="22"/>
              </w:rPr>
              <w:t>SU</w:t>
            </w:r>
          </w:p>
        </w:tc>
      </w:tr>
      <w:tr w:rsidR="0093210C" w:rsidRPr="00002B63" w:rsidTr="00A95882">
        <w:trPr>
          <w:trHeight w:val="300"/>
        </w:trPr>
        <w:tc>
          <w:tcPr>
            <w:tcW w:w="3420" w:type="dxa"/>
            <w:vMerge/>
            <w:tcBorders>
              <w:left w:val="single" w:sz="8" w:space="0" w:color="auto"/>
              <w:bottom w:val="single" w:sz="8" w:space="0" w:color="auto"/>
              <w:right w:val="single" w:sz="8" w:space="0" w:color="auto"/>
            </w:tcBorders>
            <w:vAlign w:val="center"/>
          </w:tcPr>
          <w:p w:rsidR="0093210C" w:rsidRPr="00002B63" w:rsidRDefault="0093210C" w:rsidP="00061C31">
            <w:pPr>
              <w:rPr>
                <w:rFonts w:asciiTheme="minorHAnsi" w:hAnsiTheme="minorHAnsi" w:cstheme="minorHAnsi"/>
                <w:b/>
                <w:bCs/>
                <w:color w:val="000000"/>
                <w:sz w:val="22"/>
                <w:szCs w:val="22"/>
              </w:rPr>
            </w:pPr>
          </w:p>
        </w:tc>
        <w:tc>
          <w:tcPr>
            <w:tcW w:w="4336" w:type="dxa"/>
            <w:tcBorders>
              <w:top w:val="nil"/>
              <w:left w:val="nil"/>
              <w:bottom w:val="single" w:sz="8" w:space="0" w:color="auto"/>
              <w:right w:val="single" w:sz="8" w:space="0" w:color="auto"/>
            </w:tcBorders>
            <w:shd w:val="clear" w:color="auto" w:fill="auto"/>
            <w:noWrap/>
            <w:vAlign w:val="center"/>
          </w:tcPr>
          <w:p w:rsidR="0093210C" w:rsidRPr="00002B63" w:rsidRDefault="0093210C" w:rsidP="0012457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Vojen</w:t>
            </w:r>
            <w:r w:rsidR="001C3638">
              <w:rPr>
                <w:rFonts w:asciiTheme="minorHAnsi" w:hAnsiTheme="minorHAnsi" w:cstheme="minorHAnsi"/>
                <w:color w:val="000000"/>
                <w:sz w:val="22"/>
                <w:szCs w:val="22"/>
              </w:rPr>
              <w:t>ská nemocnice Olomouc</w:t>
            </w:r>
          </w:p>
        </w:tc>
        <w:tc>
          <w:tcPr>
            <w:tcW w:w="45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12457F">
            <w:pPr>
              <w:rPr>
                <w:rFonts w:asciiTheme="minorHAnsi" w:hAnsiTheme="minorHAnsi" w:cstheme="minorHAnsi"/>
                <w:i/>
                <w:iCs/>
                <w:color w:val="000000"/>
                <w:sz w:val="22"/>
                <w:szCs w:val="22"/>
              </w:rPr>
            </w:pPr>
            <w:r w:rsidRPr="00002B63">
              <w:rPr>
                <w:rFonts w:asciiTheme="minorHAnsi" w:hAnsiTheme="minorHAnsi" w:cstheme="minorHAnsi"/>
                <w:i/>
                <w:iCs/>
                <w:color w:val="000000"/>
                <w:sz w:val="22"/>
                <w:szCs w:val="22"/>
              </w:rPr>
              <w:t>zdravotní péče</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93210C" w:rsidP="00254F66">
            <w:pPr>
              <w:jc w:val="center"/>
              <w:rPr>
                <w:rFonts w:asciiTheme="minorHAnsi" w:hAnsiTheme="minorHAnsi" w:cstheme="minorHAnsi"/>
                <w:sz w:val="22"/>
                <w:szCs w:val="22"/>
              </w:rPr>
            </w:pPr>
            <w:r>
              <w:rPr>
                <w:rFonts w:asciiTheme="minorHAnsi" w:hAnsiTheme="minorHAnsi" w:cstheme="minorHAnsi"/>
                <w:sz w:val="22"/>
                <w:szCs w:val="22"/>
              </w:rPr>
              <w:t>494</w:t>
            </w:r>
          </w:p>
        </w:tc>
        <w:tc>
          <w:tcPr>
            <w:tcW w:w="900" w:type="dxa"/>
            <w:tcBorders>
              <w:top w:val="nil"/>
              <w:left w:val="nil"/>
              <w:bottom w:val="single" w:sz="8" w:space="0" w:color="auto"/>
              <w:right w:val="single" w:sz="8" w:space="0" w:color="auto"/>
            </w:tcBorders>
            <w:shd w:val="clear" w:color="auto" w:fill="auto"/>
            <w:noWrap/>
            <w:vAlign w:val="center"/>
          </w:tcPr>
          <w:p w:rsidR="0093210C" w:rsidRPr="00002B63" w:rsidRDefault="001C3638" w:rsidP="00BF330D">
            <w:pPr>
              <w:jc w:val="center"/>
              <w:rPr>
                <w:rFonts w:asciiTheme="minorHAnsi" w:hAnsiTheme="minorHAnsi" w:cstheme="minorHAnsi"/>
                <w:sz w:val="22"/>
                <w:szCs w:val="22"/>
              </w:rPr>
            </w:pPr>
            <w:r>
              <w:rPr>
                <w:rFonts w:asciiTheme="minorHAnsi" w:hAnsiTheme="minorHAnsi" w:cstheme="minorHAnsi"/>
                <w:sz w:val="22"/>
                <w:szCs w:val="22"/>
              </w:rPr>
              <w:t>498</w:t>
            </w:r>
          </w:p>
        </w:tc>
        <w:tc>
          <w:tcPr>
            <w:tcW w:w="1424" w:type="dxa"/>
            <w:tcBorders>
              <w:top w:val="nil"/>
              <w:left w:val="nil"/>
              <w:bottom w:val="single" w:sz="8" w:space="0" w:color="auto"/>
              <w:right w:val="single" w:sz="8" w:space="0" w:color="auto"/>
            </w:tcBorders>
            <w:shd w:val="clear" w:color="auto" w:fill="auto"/>
            <w:noWrap/>
            <w:vAlign w:val="center"/>
          </w:tcPr>
          <w:p w:rsidR="0093210C" w:rsidRPr="00002B63" w:rsidRDefault="0093210C" w:rsidP="0012457F">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OC</w:t>
            </w:r>
          </w:p>
        </w:tc>
      </w:tr>
    </w:tbl>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061C31" w:rsidRPr="00002B63" w:rsidRDefault="00061C31" w:rsidP="00664A77">
      <w:pPr>
        <w:pStyle w:val="Zkladntext3"/>
        <w:rPr>
          <w:rFonts w:asciiTheme="minorHAnsi" w:hAnsiTheme="minorHAnsi" w:cstheme="minorHAnsi"/>
          <w:b/>
          <w:i w:val="0"/>
          <w:caps/>
          <w:sz w:val="28"/>
        </w:rPr>
      </w:pPr>
    </w:p>
    <w:p w:rsidR="006701DB" w:rsidRPr="00002B63" w:rsidRDefault="006701DB" w:rsidP="00664A77">
      <w:pPr>
        <w:pStyle w:val="Zkladntext3"/>
        <w:rPr>
          <w:rFonts w:asciiTheme="minorHAnsi" w:hAnsiTheme="minorHAnsi" w:cstheme="minorHAnsi"/>
          <w:b/>
          <w:i w:val="0"/>
          <w:caps/>
          <w:sz w:val="28"/>
        </w:rPr>
        <w:sectPr w:rsidR="006701DB" w:rsidRPr="00002B63" w:rsidSect="00FD6D50">
          <w:footerReference w:type="even" r:id="rId19"/>
          <w:footerReference w:type="default" r:id="rId20"/>
          <w:pgSz w:w="16838" w:h="11906" w:orient="landscape" w:code="9"/>
          <w:pgMar w:top="1134" w:right="1276" w:bottom="1021" w:left="1418" w:header="709" w:footer="709" w:gutter="0"/>
          <w:cols w:space="708"/>
          <w:titlePg/>
        </w:sectPr>
      </w:pPr>
    </w:p>
    <w:p w:rsidR="000A65BF" w:rsidRPr="00161399" w:rsidRDefault="0023104A" w:rsidP="00471FF4">
      <w:pPr>
        <w:pStyle w:val="Zkladntext3"/>
        <w:rPr>
          <w:rFonts w:asciiTheme="minorHAnsi" w:hAnsiTheme="minorHAnsi" w:cstheme="minorHAnsi"/>
          <w:i w:val="0"/>
        </w:rPr>
      </w:pPr>
      <w:r w:rsidRPr="00161399">
        <w:rPr>
          <w:rFonts w:asciiTheme="minorHAnsi" w:hAnsiTheme="minorHAnsi" w:cstheme="minorHAnsi"/>
          <w:b/>
          <w:i w:val="0"/>
          <w:caps/>
          <w:sz w:val="28"/>
        </w:rPr>
        <w:lastRenderedPageBreak/>
        <w:t>P</w:t>
      </w:r>
      <w:r w:rsidRPr="00161399">
        <w:rPr>
          <w:rFonts w:asciiTheme="minorHAnsi" w:hAnsiTheme="minorHAnsi" w:cstheme="minorHAnsi"/>
          <w:b/>
          <w:i w:val="0"/>
          <w:sz w:val="28"/>
          <w:szCs w:val="28"/>
        </w:rPr>
        <w:t>říloha</w:t>
      </w:r>
      <w:r w:rsidR="00664A77" w:rsidRPr="00161399">
        <w:rPr>
          <w:rFonts w:asciiTheme="minorHAnsi" w:hAnsiTheme="minorHAnsi" w:cstheme="minorHAnsi"/>
          <w:b/>
          <w:i w:val="0"/>
          <w:caps/>
          <w:sz w:val="28"/>
        </w:rPr>
        <w:t xml:space="preserve"> </w:t>
      </w:r>
      <w:r w:rsidR="002B587A" w:rsidRPr="00161399">
        <w:rPr>
          <w:rFonts w:asciiTheme="minorHAnsi" w:hAnsiTheme="minorHAnsi" w:cstheme="minorHAnsi"/>
          <w:b/>
          <w:i w:val="0"/>
          <w:caps/>
          <w:sz w:val="28"/>
        </w:rPr>
        <w:t>2:</w:t>
      </w:r>
      <w:r w:rsidR="000A65BF" w:rsidRPr="00161399">
        <w:rPr>
          <w:rFonts w:asciiTheme="minorHAnsi" w:hAnsiTheme="minorHAnsi" w:cstheme="minorHAnsi"/>
          <w:b/>
          <w:i w:val="0"/>
          <w:caps/>
          <w:sz w:val="28"/>
        </w:rPr>
        <w:t xml:space="preserve"> </w:t>
      </w:r>
      <w:r w:rsidRPr="00161399">
        <w:rPr>
          <w:rFonts w:asciiTheme="minorHAnsi" w:hAnsiTheme="minorHAnsi" w:cstheme="minorHAnsi"/>
          <w:b/>
          <w:i w:val="0"/>
          <w:sz w:val="28"/>
        </w:rPr>
        <w:t>Nezaměstnanost v krajích ČR k</w:t>
      </w:r>
      <w:r w:rsidR="000A65BF" w:rsidRPr="00161399">
        <w:rPr>
          <w:rFonts w:asciiTheme="minorHAnsi" w:hAnsiTheme="minorHAnsi" w:cstheme="minorHAnsi"/>
          <w:b/>
          <w:i w:val="0"/>
          <w:sz w:val="28"/>
        </w:rPr>
        <w:t xml:space="preserve"> 31. 12. 20</w:t>
      </w:r>
      <w:r w:rsidR="00B07AEC" w:rsidRPr="00161399">
        <w:rPr>
          <w:rFonts w:asciiTheme="minorHAnsi" w:hAnsiTheme="minorHAnsi" w:cstheme="minorHAnsi"/>
          <w:b/>
          <w:i w:val="0"/>
          <w:sz w:val="28"/>
        </w:rPr>
        <w:t>1</w:t>
      </w:r>
      <w:r w:rsidR="002607D8" w:rsidRPr="00161399">
        <w:rPr>
          <w:rFonts w:asciiTheme="minorHAnsi" w:hAnsiTheme="minorHAnsi" w:cstheme="minorHAnsi"/>
          <w:b/>
          <w:i w:val="0"/>
          <w:sz w:val="28"/>
        </w:rPr>
        <w:t>4</w:t>
      </w:r>
    </w:p>
    <w:p w:rsidR="000A65BF" w:rsidRPr="00002B63" w:rsidRDefault="000A65BF" w:rsidP="000A65BF">
      <w:pPr>
        <w:rPr>
          <w:rFonts w:asciiTheme="minorHAnsi" w:hAnsiTheme="minorHAnsi" w:cstheme="minorHAnsi"/>
        </w:rPr>
      </w:pPr>
    </w:p>
    <w:tbl>
      <w:tblPr>
        <w:tblW w:w="8210" w:type="dxa"/>
        <w:jc w:val="center"/>
        <w:tblInd w:w="-627"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405"/>
        <w:gridCol w:w="2551"/>
        <w:gridCol w:w="3254"/>
      </w:tblGrid>
      <w:tr w:rsidR="00570F53" w:rsidRPr="00002B63" w:rsidTr="00021C4E">
        <w:trPr>
          <w:trHeight w:val="340"/>
          <w:jc w:val="center"/>
        </w:trPr>
        <w:tc>
          <w:tcPr>
            <w:tcW w:w="2405" w:type="dxa"/>
            <w:tcBorders>
              <w:top w:val="double" w:sz="4" w:space="0" w:color="auto"/>
              <w:bottom w:val="single" w:sz="6" w:space="0" w:color="000000"/>
            </w:tcBorders>
            <w:shd w:val="clear" w:color="auto" w:fill="CCFFFF"/>
            <w:vAlign w:val="center"/>
          </w:tcPr>
          <w:p w:rsidR="00570F53" w:rsidRPr="00002B63" w:rsidRDefault="00570F53" w:rsidP="00366DB4">
            <w:pPr>
              <w:jc w:val="center"/>
              <w:rPr>
                <w:rFonts w:asciiTheme="minorHAnsi" w:hAnsiTheme="minorHAnsi" w:cstheme="minorHAnsi"/>
                <w:b/>
                <w:snapToGrid w:val="0"/>
              </w:rPr>
            </w:pPr>
            <w:r w:rsidRPr="00002B63">
              <w:rPr>
                <w:rFonts w:asciiTheme="minorHAnsi" w:hAnsiTheme="minorHAnsi" w:cstheme="minorHAnsi"/>
                <w:b/>
                <w:snapToGrid w:val="0"/>
              </w:rPr>
              <w:t>kraj</w:t>
            </w:r>
          </w:p>
        </w:tc>
        <w:tc>
          <w:tcPr>
            <w:tcW w:w="2551" w:type="dxa"/>
            <w:tcBorders>
              <w:top w:val="double" w:sz="4" w:space="0" w:color="auto"/>
              <w:bottom w:val="single" w:sz="6" w:space="0" w:color="000000"/>
            </w:tcBorders>
            <w:shd w:val="clear" w:color="auto" w:fill="CCFFFF"/>
            <w:vAlign w:val="center"/>
          </w:tcPr>
          <w:p w:rsidR="00570F53" w:rsidRPr="0093210C" w:rsidRDefault="00570F53" w:rsidP="00366DB4">
            <w:pPr>
              <w:jc w:val="center"/>
              <w:rPr>
                <w:rFonts w:asciiTheme="minorHAnsi" w:hAnsiTheme="minorHAnsi" w:cstheme="minorHAnsi"/>
                <w:b/>
                <w:snapToGrid w:val="0"/>
                <w:color w:val="FF0000"/>
              </w:rPr>
            </w:pPr>
            <w:r w:rsidRPr="00E35399">
              <w:rPr>
                <w:rFonts w:asciiTheme="minorHAnsi" w:hAnsiTheme="minorHAnsi" w:cstheme="minorHAnsi"/>
                <w:b/>
                <w:snapToGrid w:val="0"/>
              </w:rPr>
              <w:t>uchazeči o zaměstnání</w:t>
            </w:r>
          </w:p>
        </w:tc>
        <w:tc>
          <w:tcPr>
            <w:tcW w:w="3254" w:type="dxa"/>
            <w:tcBorders>
              <w:top w:val="double" w:sz="4" w:space="0" w:color="auto"/>
              <w:bottom w:val="single" w:sz="6" w:space="0" w:color="000000"/>
            </w:tcBorders>
            <w:shd w:val="clear" w:color="auto" w:fill="CCFFFF"/>
            <w:vAlign w:val="center"/>
          </w:tcPr>
          <w:p w:rsidR="00570F53" w:rsidRPr="002607D8" w:rsidRDefault="00021C4E" w:rsidP="00366DB4">
            <w:pPr>
              <w:jc w:val="center"/>
              <w:rPr>
                <w:rFonts w:asciiTheme="minorHAnsi" w:hAnsiTheme="minorHAnsi" w:cstheme="minorHAnsi"/>
                <w:b/>
                <w:snapToGrid w:val="0"/>
              </w:rPr>
            </w:pPr>
            <w:r w:rsidRPr="002607D8">
              <w:rPr>
                <w:rFonts w:asciiTheme="minorHAnsi" w:hAnsiTheme="minorHAnsi" w:cstheme="minorHAnsi"/>
                <w:b/>
                <w:snapToGrid w:val="0"/>
              </w:rPr>
              <w:t>p</w:t>
            </w:r>
            <w:r w:rsidR="000E4AC2" w:rsidRPr="002607D8">
              <w:rPr>
                <w:rFonts w:asciiTheme="minorHAnsi" w:hAnsiTheme="minorHAnsi" w:cstheme="minorHAnsi"/>
                <w:b/>
                <w:snapToGrid w:val="0"/>
              </w:rPr>
              <w:t>odíl nezaměstnaných osob</w:t>
            </w:r>
            <w:r w:rsidR="00570F53" w:rsidRPr="002607D8">
              <w:rPr>
                <w:rFonts w:asciiTheme="minorHAnsi" w:hAnsiTheme="minorHAnsi" w:cstheme="minorHAnsi"/>
                <w:b/>
                <w:snapToGrid w:val="0"/>
              </w:rPr>
              <w:t xml:space="preserve"> (%)</w:t>
            </w:r>
          </w:p>
        </w:tc>
      </w:tr>
      <w:tr w:rsidR="00021C4E" w:rsidRPr="00002B63" w:rsidTr="00021C4E">
        <w:trPr>
          <w:trHeight w:val="340"/>
          <w:jc w:val="center"/>
        </w:trPr>
        <w:tc>
          <w:tcPr>
            <w:tcW w:w="2405" w:type="dxa"/>
            <w:tcBorders>
              <w:top w:val="single" w:sz="6" w:space="0" w:color="000000"/>
            </w:tcBorders>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Ústecký kraj</w:t>
            </w:r>
          </w:p>
        </w:tc>
        <w:tc>
          <w:tcPr>
            <w:tcW w:w="2551" w:type="dxa"/>
            <w:tcBorders>
              <w:top w:val="single" w:sz="6" w:space="0" w:color="000000"/>
            </w:tcBorders>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60 824</w:t>
            </w:r>
          </w:p>
        </w:tc>
        <w:tc>
          <w:tcPr>
            <w:tcW w:w="3254" w:type="dxa"/>
            <w:tcBorders>
              <w:top w:val="single" w:sz="6" w:space="0" w:color="000000"/>
            </w:tcBorders>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10,7</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Moravskoslezský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83 877</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9,8</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b/>
                <w:color w:val="FF0000"/>
              </w:rPr>
            </w:pPr>
            <w:r w:rsidRPr="00021C4E">
              <w:rPr>
                <w:rFonts w:asciiTheme="minorHAnsi" w:hAnsiTheme="minorHAnsi" w:cstheme="minorHAnsi"/>
                <w:b/>
                <w:color w:val="FF0000"/>
              </w:rPr>
              <w:t>Olomoucký kraj</w:t>
            </w:r>
          </w:p>
        </w:tc>
        <w:tc>
          <w:tcPr>
            <w:tcW w:w="2551" w:type="dxa"/>
            <w:vAlign w:val="center"/>
          </w:tcPr>
          <w:p w:rsidR="00021C4E" w:rsidRPr="00D2468F" w:rsidRDefault="00E35399" w:rsidP="00021C4E">
            <w:pPr>
              <w:jc w:val="center"/>
              <w:rPr>
                <w:rFonts w:asciiTheme="minorHAnsi" w:hAnsiTheme="minorHAnsi" w:cstheme="minorHAnsi"/>
                <w:b/>
                <w:bCs/>
                <w:color w:val="FF0000"/>
              </w:rPr>
            </w:pPr>
            <w:r w:rsidRPr="00D2468F">
              <w:rPr>
                <w:rFonts w:asciiTheme="minorHAnsi" w:hAnsiTheme="minorHAnsi" w:cstheme="minorHAnsi"/>
                <w:b/>
                <w:bCs/>
                <w:color w:val="FF0000"/>
              </w:rPr>
              <w:t>38 990</w:t>
            </w:r>
          </w:p>
        </w:tc>
        <w:tc>
          <w:tcPr>
            <w:tcW w:w="3254" w:type="dxa"/>
            <w:vAlign w:val="center"/>
          </w:tcPr>
          <w:p w:rsidR="00021C4E" w:rsidRPr="00D2468F" w:rsidRDefault="002607D8" w:rsidP="00021C4E">
            <w:pPr>
              <w:jc w:val="center"/>
              <w:rPr>
                <w:rFonts w:asciiTheme="minorHAnsi" w:hAnsiTheme="minorHAnsi" w:cstheme="minorHAnsi"/>
                <w:b/>
                <w:color w:val="FF0000"/>
              </w:rPr>
            </w:pPr>
            <w:r w:rsidRPr="00D2468F">
              <w:rPr>
                <w:rFonts w:asciiTheme="minorHAnsi" w:hAnsiTheme="minorHAnsi" w:cstheme="minorHAnsi"/>
                <w:b/>
                <w:color w:val="FF0000"/>
              </w:rPr>
              <w:t>8,8</w:t>
            </w:r>
          </w:p>
        </w:tc>
      </w:tr>
      <w:tr w:rsidR="00021C4E" w:rsidRPr="00002B63" w:rsidTr="00021C4E">
        <w:trPr>
          <w:trHeight w:val="340"/>
          <w:jc w:val="center"/>
        </w:trPr>
        <w:tc>
          <w:tcPr>
            <w:tcW w:w="2405" w:type="dxa"/>
            <w:vAlign w:val="center"/>
          </w:tcPr>
          <w:p w:rsidR="00021C4E" w:rsidRPr="00021C4E" w:rsidRDefault="002607D8" w:rsidP="002607D8">
            <w:pPr>
              <w:rPr>
                <w:rFonts w:asciiTheme="minorHAnsi" w:hAnsiTheme="minorHAnsi" w:cstheme="minorHAnsi"/>
              </w:rPr>
            </w:pPr>
            <w:r>
              <w:rPr>
                <w:rFonts w:asciiTheme="minorHAnsi" w:hAnsiTheme="minorHAnsi" w:cstheme="minorHAnsi"/>
              </w:rPr>
              <w:t>Jihomoravský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66 203</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8,2</w:t>
            </w:r>
          </w:p>
        </w:tc>
      </w:tr>
      <w:tr w:rsidR="00021C4E" w:rsidRPr="00002B63" w:rsidTr="00021C4E">
        <w:trPr>
          <w:trHeight w:val="340"/>
          <w:jc w:val="center"/>
        </w:trPr>
        <w:tc>
          <w:tcPr>
            <w:tcW w:w="2405" w:type="dxa"/>
            <w:vAlign w:val="center"/>
          </w:tcPr>
          <w:p w:rsidR="00021C4E" w:rsidRPr="00021C4E" w:rsidRDefault="002607D8" w:rsidP="00021C4E">
            <w:pPr>
              <w:rPr>
                <w:rFonts w:asciiTheme="minorHAnsi" w:hAnsiTheme="minorHAnsi" w:cstheme="minorHAnsi"/>
              </w:rPr>
            </w:pPr>
            <w:r w:rsidRPr="00021C4E">
              <w:rPr>
                <w:rFonts w:asciiTheme="minorHAnsi" w:hAnsiTheme="minorHAnsi" w:cstheme="minorHAnsi"/>
              </w:rPr>
              <w:t>Karlovarský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17 290</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8,2</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Liberecký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23 496</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7,7</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Zlínský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29 439</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7,4</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Kraj Vysočina</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25 532</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7,4</w:t>
            </w:r>
          </w:p>
        </w:tc>
      </w:tr>
      <w:tr w:rsidR="00021C4E" w:rsidRPr="00002B63" w:rsidTr="00021C4E">
        <w:trPr>
          <w:trHeight w:val="340"/>
          <w:jc w:val="center"/>
        </w:trPr>
        <w:tc>
          <w:tcPr>
            <w:tcW w:w="2405" w:type="dxa"/>
            <w:vAlign w:val="center"/>
          </w:tcPr>
          <w:p w:rsidR="00021C4E" w:rsidRPr="00021C4E" w:rsidRDefault="002607D8" w:rsidP="002607D8">
            <w:pPr>
              <w:rPr>
                <w:rFonts w:asciiTheme="minorHAnsi" w:hAnsiTheme="minorHAnsi" w:cstheme="minorHAnsi"/>
              </w:rPr>
            </w:pPr>
            <w:r>
              <w:rPr>
                <w:rFonts w:asciiTheme="minorHAnsi" w:hAnsiTheme="minorHAnsi" w:cstheme="minorHAnsi"/>
              </w:rPr>
              <w:t>Středočeský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56 674</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6,4</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Královéhradecký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23 866</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6,4</w:t>
            </w:r>
          </w:p>
        </w:tc>
      </w:tr>
      <w:tr w:rsidR="00021C4E" w:rsidRPr="00002B63" w:rsidTr="00021C4E">
        <w:trPr>
          <w:trHeight w:val="340"/>
          <w:jc w:val="center"/>
        </w:trPr>
        <w:tc>
          <w:tcPr>
            <w:tcW w:w="2405" w:type="dxa"/>
            <w:vAlign w:val="center"/>
          </w:tcPr>
          <w:p w:rsidR="00021C4E" w:rsidRPr="00021C4E" w:rsidRDefault="002607D8" w:rsidP="002607D8">
            <w:pPr>
              <w:rPr>
                <w:rFonts w:asciiTheme="minorHAnsi" w:hAnsiTheme="minorHAnsi" w:cstheme="minorHAnsi"/>
              </w:rPr>
            </w:pPr>
            <w:r w:rsidRPr="00021C4E">
              <w:rPr>
                <w:rFonts w:asciiTheme="minorHAnsi" w:hAnsiTheme="minorHAnsi" w:cstheme="minorHAnsi"/>
              </w:rPr>
              <w:t>Pardubický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21 938</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6,2</w:t>
            </w:r>
          </w:p>
        </w:tc>
      </w:tr>
      <w:tr w:rsidR="00021C4E" w:rsidRPr="00002B63" w:rsidTr="00021C4E">
        <w:trPr>
          <w:trHeight w:val="340"/>
          <w:jc w:val="center"/>
        </w:trPr>
        <w:tc>
          <w:tcPr>
            <w:tcW w:w="2405" w:type="dxa"/>
            <w:vAlign w:val="center"/>
          </w:tcPr>
          <w:p w:rsidR="00021C4E" w:rsidRPr="00021C4E" w:rsidRDefault="002607D8" w:rsidP="00021C4E">
            <w:pPr>
              <w:rPr>
                <w:rFonts w:asciiTheme="minorHAnsi" w:hAnsiTheme="minorHAnsi" w:cstheme="minorHAnsi"/>
              </w:rPr>
            </w:pPr>
            <w:r w:rsidRPr="00021C4E">
              <w:rPr>
                <w:rFonts w:asciiTheme="minorHAnsi" w:hAnsiTheme="minorHAnsi" w:cstheme="minorHAnsi"/>
              </w:rPr>
              <w:t>Jihočeský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27 645</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6,2</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sidRPr="00021C4E">
              <w:rPr>
                <w:rFonts w:asciiTheme="minorHAnsi" w:hAnsiTheme="minorHAnsi" w:cstheme="minorHAnsi"/>
              </w:rPr>
              <w:t>Plzeňský kraj</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22 641</w:t>
            </w:r>
          </w:p>
        </w:tc>
        <w:tc>
          <w:tcPr>
            <w:tcW w:w="3254" w:type="dxa"/>
            <w:vAlign w:val="center"/>
          </w:tcPr>
          <w:p w:rsidR="00021C4E" w:rsidRPr="002607D8" w:rsidRDefault="002607D8" w:rsidP="00021C4E">
            <w:pPr>
              <w:jc w:val="center"/>
              <w:rPr>
                <w:rFonts w:asciiTheme="minorHAnsi" w:hAnsiTheme="minorHAnsi" w:cstheme="minorHAnsi"/>
                <w:b/>
              </w:rPr>
            </w:pPr>
            <w:r w:rsidRPr="002607D8">
              <w:rPr>
                <w:rFonts w:asciiTheme="minorHAnsi" w:hAnsiTheme="minorHAnsi" w:cstheme="minorHAnsi"/>
                <w:b/>
              </w:rPr>
              <w:t>5,7</w:t>
            </w:r>
          </w:p>
        </w:tc>
      </w:tr>
      <w:tr w:rsidR="00021C4E" w:rsidRPr="00002B63" w:rsidTr="00021C4E">
        <w:trPr>
          <w:trHeight w:val="340"/>
          <w:jc w:val="center"/>
        </w:trPr>
        <w:tc>
          <w:tcPr>
            <w:tcW w:w="2405" w:type="dxa"/>
            <w:vAlign w:val="center"/>
          </w:tcPr>
          <w:p w:rsidR="00021C4E" w:rsidRPr="00021C4E" w:rsidRDefault="00021C4E" w:rsidP="00021C4E">
            <w:pPr>
              <w:rPr>
                <w:rFonts w:asciiTheme="minorHAnsi" w:hAnsiTheme="minorHAnsi" w:cstheme="minorHAnsi"/>
              </w:rPr>
            </w:pPr>
            <w:r>
              <w:rPr>
                <w:rFonts w:asciiTheme="minorHAnsi" w:hAnsiTheme="minorHAnsi" w:cstheme="minorHAnsi"/>
              </w:rPr>
              <w:t xml:space="preserve">Hl. m. </w:t>
            </w:r>
            <w:r w:rsidRPr="00021C4E">
              <w:rPr>
                <w:rFonts w:asciiTheme="minorHAnsi" w:hAnsiTheme="minorHAnsi" w:cstheme="minorHAnsi"/>
              </w:rPr>
              <w:t>Praha</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43 499</w:t>
            </w:r>
          </w:p>
        </w:tc>
        <w:tc>
          <w:tcPr>
            <w:tcW w:w="3254" w:type="dxa"/>
            <w:vAlign w:val="center"/>
          </w:tcPr>
          <w:p w:rsidR="00021C4E" w:rsidRPr="002607D8" w:rsidRDefault="00021C4E" w:rsidP="002607D8">
            <w:pPr>
              <w:jc w:val="center"/>
              <w:rPr>
                <w:rFonts w:asciiTheme="minorHAnsi" w:hAnsiTheme="minorHAnsi" w:cstheme="minorHAnsi"/>
                <w:b/>
              </w:rPr>
            </w:pPr>
            <w:r w:rsidRPr="002607D8">
              <w:rPr>
                <w:rFonts w:asciiTheme="minorHAnsi" w:hAnsiTheme="minorHAnsi" w:cstheme="minorHAnsi"/>
                <w:b/>
              </w:rPr>
              <w:t>5,</w:t>
            </w:r>
            <w:r w:rsidR="002607D8" w:rsidRPr="002607D8">
              <w:rPr>
                <w:rFonts w:asciiTheme="minorHAnsi" w:hAnsiTheme="minorHAnsi" w:cstheme="minorHAnsi"/>
                <w:b/>
              </w:rPr>
              <w:t>0</w:t>
            </w:r>
          </w:p>
        </w:tc>
      </w:tr>
      <w:tr w:rsidR="00021C4E" w:rsidRPr="00002B63" w:rsidTr="00021C4E">
        <w:trPr>
          <w:trHeight w:val="340"/>
          <w:jc w:val="center"/>
        </w:trPr>
        <w:tc>
          <w:tcPr>
            <w:tcW w:w="2405" w:type="dxa"/>
            <w:vAlign w:val="center"/>
          </w:tcPr>
          <w:p w:rsidR="00021C4E" w:rsidRPr="00002B63" w:rsidRDefault="00021C4E" w:rsidP="00021C4E">
            <w:pPr>
              <w:rPr>
                <w:rFonts w:asciiTheme="minorHAnsi" w:hAnsiTheme="minorHAnsi" w:cstheme="minorHAnsi"/>
                <w:b/>
              </w:rPr>
            </w:pPr>
            <w:r w:rsidRPr="00002B63">
              <w:rPr>
                <w:rFonts w:asciiTheme="minorHAnsi" w:hAnsiTheme="minorHAnsi" w:cstheme="minorHAnsi"/>
                <w:b/>
              </w:rPr>
              <w:t>Celkem ČR</w:t>
            </w:r>
          </w:p>
        </w:tc>
        <w:tc>
          <w:tcPr>
            <w:tcW w:w="2551" w:type="dxa"/>
            <w:vAlign w:val="center"/>
          </w:tcPr>
          <w:p w:rsidR="00021C4E" w:rsidRPr="0093210C" w:rsidRDefault="00E35399" w:rsidP="00021C4E">
            <w:pPr>
              <w:jc w:val="center"/>
              <w:rPr>
                <w:rFonts w:asciiTheme="minorHAnsi" w:hAnsiTheme="minorHAnsi" w:cstheme="minorHAnsi"/>
                <w:b/>
                <w:bCs/>
                <w:color w:val="FF0000"/>
              </w:rPr>
            </w:pPr>
            <w:r w:rsidRPr="00E35399">
              <w:rPr>
                <w:rFonts w:asciiTheme="minorHAnsi" w:hAnsiTheme="minorHAnsi" w:cstheme="minorHAnsi"/>
                <w:b/>
                <w:bCs/>
              </w:rPr>
              <w:t>541 914</w:t>
            </w:r>
          </w:p>
        </w:tc>
        <w:tc>
          <w:tcPr>
            <w:tcW w:w="3254" w:type="dxa"/>
            <w:vAlign w:val="center"/>
          </w:tcPr>
          <w:p w:rsidR="00021C4E" w:rsidRPr="002607D8" w:rsidRDefault="00EA20F8" w:rsidP="00021C4E">
            <w:pPr>
              <w:jc w:val="center"/>
              <w:rPr>
                <w:rFonts w:asciiTheme="minorHAnsi" w:hAnsiTheme="minorHAnsi" w:cstheme="minorHAnsi"/>
                <w:b/>
              </w:rPr>
            </w:pPr>
            <w:r>
              <w:rPr>
                <w:rFonts w:asciiTheme="minorHAnsi" w:hAnsiTheme="minorHAnsi" w:cstheme="minorHAnsi"/>
                <w:b/>
              </w:rPr>
              <w:t>7,5</w:t>
            </w:r>
          </w:p>
        </w:tc>
      </w:tr>
    </w:tbl>
    <w:p w:rsidR="00061C31" w:rsidRPr="00002B63" w:rsidRDefault="00061C31" w:rsidP="000A65BF">
      <w:pPr>
        <w:jc w:val="both"/>
        <w:rPr>
          <w:rFonts w:asciiTheme="minorHAnsi" w:hAnsiTheme="minorHAnsi" w:cstheme="minorHAnsi"/>
          <w:sz w:val="20"/>
          <w:szCs w:val="20"/>
        </w:rPr>
      </w:pPr>
    </w:p>
    <w:p w:rsidR="000A65BF" w:rsidRPr="00002B63" w:rsidRDefault="000A65BF" w:rsidP="000A65BF">
      <w:pPr>
        <w:rPr>
          <w:rFonts w:asciiTheme="minorHAnsi" w:hAnsiTheme="minorHAnsi" w:cstheme="minorHAnsi"/>
        </w:rPr>
      </w:pPr>
    </w:p>
    <w:p w:rsidR="000A65BF" w:rsidRPr="00002B63" w:rsidRDefault="000A65BF" w:rsidP="000A65BF">
      <w:pPr>
        <w:rPr>
          <w:rFonts w:asciiTheme="minorHAnsi" w:hAnsiTheme="minorHAnsi" w:cstheme="minorHAnsi"/>
        </w:rPr>
      </w:pPr>
    </w:p>
    <w:p w:rsidR="000A65BF" w:rsidRPr="00002B63" w:rsidRDefault="002B587A" w:rsidP="00471FF4">
      <w:pPr>
        <w:pStyle w:val="Zkladntext3"/>
        <w:spacing w:line="360" w:lineRule="auto"/>
        <w:rPr>
          <w:rFonts w:asciiTheme="minorHAnsi" w:hAnsiTheme="minorHAnsi" w:cstheme="minorHAnsi"/>
          <w:b/>
          <w:i w:val="0"/>
          <w:color w:val="FF0000"/>
          <w:sz w:val="28"/>
        </w:rPr>
      </w:pPr>
      <w:r w:rsidRPr="00002B63">
        <w:rPr>
          <w:rFonts w:asciiTheme="minorHAnsi" w:hAnsiTheme="minorHAnsi" w:cstheme="minorHAnsi"/>
          <w:b/>
          <w:i w:val="0"/>
          <w:color w:val="FF0000"/>
          <w:sz w:val="28"/>
          <w:szCs w:val="28"/>
        </w:rPr>
        <w:t>Příloha</w:t>
      </w:r>
      <w:r w:rsidRPr="00002B63">
        <w:rPr>
          <w:rFonts w:asciiTheme="minorHAnsi" w:hAnsiTheme="minorHAnsi" w:cstheme="minorHAnsi"/>
          <w:b/>
          <w:i w:val="0"/>
          <w:caps/>
          <w:color w:val="FF0000"/>
          <w:sz w:val="28"/>
        </w:rPr>
        <w:t xml:space="preserve"> </w:t>
      </w:r>
      <w:r w:rsidR="00061C31" w:rsidRPr="00002B63">
        <w:rPr>
          <w:rFonts w:asciiTheme="minorHAnsi" w:hAnsiTheme="minorHAnsi" w:cstheme="minorHAnsi"/>
          <w:b/>
          <w:i w:val="0"/>
          <w:caps/>
          <w:color w:val="FF0000"/>
          <w:sz w:val="28"/>
        </w:rPr>
        <w:t>3</w:t>
      </w:r>
      <w:r w:rsidRPr="00002B63">
        <w:rPr>
          <w:rFonts w:asciiTheme="minorHAnsi" w:hAnsiTheme="minorHAnsi" w:cstheme="minorHAnsi"/>
          <w:b/>
          <w:i w:val="0"/>
          <w:caps/>
          <w:color w:val="FF0000"/>
          <w:sz w:val="28"/>
        </w:rPr>
        <w:t>:</w:t>
      </w:r>
      <w:r w:rsidR="000A65BF" w:rsidRPr="00002B63">
        <w:rPr>
          <w:rFonts w:asciiTheme="minorHAnsi" w:hAnsiTheme="minorHAnsi" w:cstheme="minorHAnsi"/>
          <w:b/>
          <w:i w:val="0"/>
          <w:caps/>
          <w:color w:val="FF0000"/>
          <w:sz w:val="28"/>
        </w:rPr>
        <w:t xml:space="preserve"> </w:t>
      </w:r>
      <w:r w:rsidR="0028603C">
        <w:rPr>
          <w:rFonts w:asciiTheme="minorHAnsi" w:hAnsiTheme="minorHAnsi" w:cstheme="minorHAnsi"/>
          <w:b/>
          <w:i w:val="0"/>
          <w:color w:val="FF0000"/>
          <w:sz w:val="28"/>
        </w:rPr>
        <w:t xml:space="preserve">Vývoj </w:t>
      </w:r>
      <w:r w:rsidR="00061C31" w:rsidRPr="00002B63">
        <w:rPr>
          <w:rFonts w:asciiTheme="minorHAnsi" w:hAnsiTheme="minorHAnsi" w:cstheme="minorHAnsi"/>
          <w:b/>
          <w:i w:val="0"/>
          <w:color w:val="FF0000"/>
          <w:sz w:val="28"/>
        </w:rPr>
        <w:t>nezaměstnanosti v jednotlivých okresech</w:t>
      </w:r>
    </w:p>
    <w:p w:rsidR="00435140" w:rsidRPr="00F448E6" w:rsidRDefault="00F448E6" w:rsidP="002579EF">
      <w:pPr>
        <w:pStyle w:val="Zkladntext3"/>
        <w:spacing w:line="360" w:lineRule="auto"/>
        <w:jc w:val="center"/>
        <w:rPr>
          <w:rFonts w:asciiTheme="minorHAnsi" w:hAnsiTheme="minorHAnsi" w:cstheme="minorHAnsi"/>
          <w:b/>
          <w:i w:val="0"/>
        </w:rPr>
      </w:pPr>
      <w:r w:rsidRPr="00F448E6">
        <w:rPr>
          <w:rFonts w:asciiTheme="minorHAnsi" w:hAnsiTheme="minorHAnsi" w:cstheme="minorHAnsi"/>
          <w:b/>
          <w:i w:val="0"/>
        </w:rPr>
        <w:t>Graf: Vývoj PNO v okrese JESENÍK</w:t>
      </w:r>
    </w:p>
    <w:p w:rsidR="00E00C5A" w:rsidRPr="00002B63" w:rsidRDefault="007B5E07" w:rsidP="000A65BF">
      <w:pPr>
        <w:rPr>
          <w:rFonts w:asciiTheme="minorHAnsi" w:hAnsiTheme="minorHAnsi" w:cstheme="minorHAnsi"/>
        </w:rPr>
      </w:pPr>
      <w:r>
        <w:rPr>
          <w:noProof/>
        </w:rPr>
        <w:drawing>
          <wp:inline distT="0" distB="0" distL="0" distR="0" wp14:anchorId="2933528F" wp14:editId="75ED5BD9">
            <wp:extent cx="5882640" cy="3573780"/>
            <wp:effectExtent l="0" t="0" r="3810" b="762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79EF" w:rsidRPr="00002B63" w:rsidRDefault="002579EF" w:rsidP="000A65BF">
      <w:pPr>
        <w:rPr>
          <w:rFonts w:asciiTheme="minorHAnsi" w:hAnsiTheme="minorHAnsi" w:cstheme="minorHAnsi"/>
        </w:rPr>
      </w:pPr>
    </w:p>
    <w:p w:rsidR="00E00C5A" w:rsidRPr="00002B63" w:rsidRDefault="00E00C5A" w:rsidP="00D568AD">
      <w:pPr>
        <w:jc w:val="center"/>
        <w:rPr>
          <w:rFonts w:asciiTheme="minorHAnsi" w:hAnsiTheme="minorHAnsi" w:cstheme="minorHAnsi"/>
        </w:rPr>
      </w:pPr>
    </w:p>
    <w:p w:rsidR="00F448E6" w:rsidRPr="00F448E6" w:rsidRDefault="00F448E6" w:rsidP="00F448E6">
      <w:pPr>
        <w:pStyle w:val="Zkladntext3"/>
        <w:spacing w:line="360" w:lineRule="auto"/>
        <w:jc w:val="center"/>
        <w:rPr>
          <w:rFonts w:asciiTheme="minorHAnsi" w:hAnsiTheme="minorHAnsi" w:cstheme="minorHAnsi"/>
          <w:b/>
          <w:i w:val="0"/>
        </w:rPr>
      </w:pPr>
      <w:r w:rsidRPr="00F448E6">
        <w:rPr>
          <w:rFonts w:asciiTheme="minorHAnsi" w:hAnsiTheme="minorHAnsi" w:cstheme="minorHAnsi"/>
          <w:b/>
          <w:i w:val="0"/>
        </w:rPr>
        <w:t xml:space="preserve">Graf: Vývoj PNO v okrese </w:t>
      </w:r>
      <w:r>
        <w:rPr>
          <w:rFonts w:asciiTheme="minorHAnsi" w:hAnsiTheme="minorHAnsi" w:cstheme="minorHAnsi"/>
          <w:b/>
          <w:i w:val="0"/>
        </w:rPr>
        <w:t>OLOMOUC</w:t>
      </w:r>
    </w:p>
    <w:p w:rsidR="00435140" w:rsidRDefault="007B5E07" w:rsidP="00D568AD">
      <w:pPr>
        <w:jc w:val="center"/>
        <w:rPr>
          <w:rFonts w:asciiTheme="minorHAnsi" w:hAnsiTheme="minorHAnsi" w:cstheme="minorHAnsi"/>
        </w:rPr>
      </w:pPr>
      <w:r>
        <w:rPr>
          <w:noProof/>
        </w:rPr>
        <w:drawing>
          <wp:inline distT="0" distB="0" distL="0" distR="0" wp14:anchorId="0B15CFA9" wp14:editId="5A53C303">
            <wp:extent cx="5956300" cy="3594100"/>
            <wp:effectExtent l="0" t="0" r="6350" b="63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48E6" w:rsidRDefault="00F448E6" w:rsidP="00D568AD">
      <w:pPr>
        <w:jc w:val="center"/>
        <w:rPr>
          <w:rFonts w:asciiTheme="minorHAnsi" w:hAnsiTheme="minorHAnsi" w:cstheme="minorHAnsi"/>
        </w:rPr>
      </w:pPr>
    </w:p>
    <w:p w:rsidR="00F448E6" w:rsidRDefault="00F448E6" w:rsidP="00D568AD">
      <w:pPr>
        <w:jc w:val="center"/>
        <w:rPr>
          <w:rFonts w:asciiTheme="minorHAnsi" w:hAnsiTheme="minorHAnsi" w:cstheme="minorHAnsi"/>
        </w:rPr>
      </w:pPr>
    </w:p>
    <w:p w:rsidR="00F448E6" w:rsidRPr="00F448E6" w:rsidRDefault="00F448E6" w:rsidP="00F448E6">
      <w:pPr>
        <w:pStyle w:val="Zkladntext3"/>
        <w:spacing w:line="360" w:lineRule="auto"/>
        <w:jc w:val="center"/>
        <w:rPr>
          <w:rFonts w:asciiTheme="minorHAnsi" w:hAnsiTheme="minorHAnsi" w:cstheme="minorHAnsi"/>
          <w:b/>
          <w:i w:val="0"/>
        </w:rPr>
      </w:pPr>
      <w:r w:rsidRPr="00F448E6">
        <w:rPr>
          <w:rFonts w:asciiTheme="minorHAnsi" w:hAnsiTheme="minorHAnsi" w:cstheme="minorHAnsi"/>
          <w:b/>
          <w:i w:val="0"/>
        </w:rPr>
        <w:t xml:space="preserve">Graf: Vývoj PNO v okrese </w:t>
      </w:r>
      <w:r>
        <w:rPr>
          <w:rFonts w:asciiTheme="minorHAnsi" w:hAnsiTheme="minorHAnsi" w:cstheme="minorHAnsi"/>
          <w:b/>
          <w:i w:val="0"/>
        </w:rPr>
        <w:t>PROSTĚJOV</w:t>
      </w:r>
    </w:p>
    <w:p w:rsidR="00F448E6" w:rsidRPr="00002B63" w:rsidRDefault="007B5E07" w:rsidP="00D568AD">
      <w:pPr>
        <w:jc w:val="center"/>
        <w:rPr>
          <w:rFonts w:asciiTheme="minorHAnsi" w:hAnsiTheme="minorHAnsi" w:cstheme="minorHAnsi"/>
        </w:rPr>
      </w:pPr>
      <w:r>
        <w:rPr>
          <w:noProof/>
        </w:rPr>
        <w:drawing>
          <wp:inline distT="0" distB="0" distL="0" distR="0" wp14:anchorId="4919E353" wp14:editId="131CE235">
            <wp:extent cx="5753100" cy="39243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1585" w:rsidRPr="00002B63" w:rsidRDefault="003B1585" w:rsidP="002579EF">
      <w:pPr>
        <w:jc w:val="center"/>
        <w:rPr>
          <w:rFonts w:asciiTheme="minorHAnsi" w:hAnsiTheme="minorHAnsi" w:cstheme="minorHAnsi"/>
        </w:rPr>
      </w:pPr>
    </w:p>
    <w:p w:rsidR="00F448E6" w:rsidRPr="00F448E6" w:rsidRDefault="00F448E6" w:rsidP="00F448E6">
      <w:pPr>
        <w:pStyle w:val="Zkladntext3"/>
        <w:spacing w:line="360" w:lineRule="auto"/>
        <w:jc w:val="center"/>
        <w:rPr>
          <w:rFonts w:asciiTheme="minorHAnsi" w:hAnsiTheme="minorHAnsi" w:cstheme="minorHAnsi"/>
          <w:b/>
          <w:i w:val="0"/>
        </w:rPr>
      </w:pPr>
      <w:r w:rsidRPr="00F448E6">
        <w:rPr>
          <w:rFonts w:asciiTheme="minorHAnsi" w:hAnsiTheme="minorHAnsi" w:cstheme="minorHAnsi"/>
          <w:b/>
          <w:i w:val="0"/>
        </w:rPr>
        <w:lastRenderedPageBreak/>
        <w:t xml:space="preserve">Graf: Vývoj PNO v okrese </w:t>
      </w:r>
      <w:r>
        <w:rPr>
          <w:rFonts w:asciiTheme="minorHAnsi" w:hAnsiTheme="minorHAnsi" w:cstheme="minorHAnsi"/>
          <w:b/>
          <w:i w:val="0"/>
        </w:rPr>
        <w:t>PŘEROV</w:t>
      </w:r>
    </w:p>
    <w:p w:rsidR="00F448E6" w:rsidRPr="00002B63" w:rsidRDefault="00CA5CE6" w:rsidP="0028561D">
      <w:pPr>
        <w:pStyle w:val="Zkladntext3"/>
        <w:spacing w:line="360" w:lineRule="auto"/>
        <w:jc w:val="center"/>
        <w:rPr>
          <w:rFonts w:asciiTheme="minorHAnsi" w:hAnsiTheme="minorHAnsi" w:cstheme="minorHAnsi"/>
          <w:b/>
          <w:i w:val="0"/>
          <w:sz w:val="28"/>
          <w:szCs w:val="28"/>
        </w:rPr>
      </w:pPr>
      <w:r>
        <w:rPr>
          <w:noProof/>
        </w:rPr>
        <w:drawing>
          <wp:inline distT="0" distB="0" distL="0" distR="0" wp14:anchorId="38E5B367" wp14:editId="770136A5">
            <wp:extent cx="6032500" cy="3848100"/>
            <wp:effectExtent l="0" t="0" r="635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238B" w:rsidRDefault="00C1238B" w:rsidP="0028561D">
      <w:pPr>
        <w:pStyle w:val="Zkladntext3"/>
        <w:spacing w:line="360" w:lineRule="auto"/>
        <w:jc w:val="center"/>
        <w:rPr>
          <w:rFonts w:asciiTheme="minorHAnsi" w:hAnsiTheme="minorHAnsi" w:cstheme="minorHAnsi"/>
          <w:b/>
          <w:i w:val="0"/>
          <w:sz w:val="28"/>
          <w:szCs w:val="28"/>
        </w:rPr>
      </w:pPr>
    </w:p>
    <w:p w:rsidR="00F448E6" w:rsidRPr="00F448E6" w:rsidRDefault="00F448E6" w:rsidP="00F448E6">
      <w:pPr>
        <w:pStyle w:val="Zkladntext3"/>
        <w:spacing w:line="360" w:lineRule="auto"/>
        <w:jc w:val="center"/>
        <w:rPr>
          <w:rFonts w:asciiTheme="minorHAnsi" w:hAnsiTheme="minorHAnsi" w:cstheme="minorHAnsi"/>
          <w:b/>
          <w:i w:val="0"/>
        </w:rPr>
      </w:pPr>
      <w:r w:rsidRPr="00F448E6">
        <w:rPr>
          <w:rFonts w:asciiTheme="minorHAnsi" w:hAnsiTheme="minorHAnsi" w:cstheme="minorHAnsi"/>
          <w:b/>
          <w:i w:val="0"/>
        </w:rPr>
        <w:t xml:space="preserve">Graf: Vývoj PNO v okrese </w:t>
      </w:r>
      <w:r>
        <w:rPr>
          <w:rFonts w:asciiTheme="minorHAnsi" w:hAnsiTheme="minorHAnsi" w:cstheme="minorHAnsi"/>
          <w:b/>
          <w:i w:val="0"/>
        </w:rPr>
        <w:t>ŠUMPERK</w:t>
      </w:r>
    </w:p>
    <w:p w:rsidR="00F448E6" w:rsidRDefault="00CA5CE6" w:rsidP="0028561D">
      <w:pPr>
        <w:pStyle w:val="Zkladntext3"/>
        <w:spacing w:line="360" w:lineRule="auto"/>
        <w:jc w:val="center"/>
        <w:rPr>
          <w:rFonts w:asciiTheme="minorHAnsi" w:hAnsiTheme="minorHAnsi" w:cstheme="minorHAnsi"/>
          <w:b/>
          <w:i w:val="0"/>
          <w:sz w:val="28"/>
          <w:szCs w:val="28"/>
        </w:rPr>
      </w:pPr>
      <w:r>
        <w:rPr>
          <w:noProof/>
        </w:rPr>
        <w:drawing>
          <wp:inline distT="0" distB="0" distL="0" distR="0" wp14:anchorId="1FE63A14" wp14:editId="5E4ED9CB">
            <wp:extent cx="6172200" cy="38862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B587A" w:rsidRPr="00CA5CE6" w:rsidRDefault="002B587A" w:rsidP="00021C4E">
      <w:pPr>
        <w:pStyle w:val="Zkladntext2"/>
        <w:jc w:val="both"/>
        <w:rPr>
          <w:rFonts w:asciiTheme="minorHAnsi" w:hAnsiTheme="minorHAnsi" w:cstheme="minorHAnsi"/>
          <w:b/>
          <w:color w:val="000000" w:themeColor="text1"/>
          <w:sz w:val="28"/>
        </w:rPr>
      </w:pPr>
      <w:r w:rsidRPr="00CA5CE6">
        <w:rPr>
          <w:rFonts w:asciiTheme="minorHAnsi" w:hAnsiTheme="minorHAnsi" w:cstheme="minorHAnsi"/>
          <w:b/>
          <w:color w:val="000000" w:themeColor="text1"/>
          <w:sz w:val="28"/>
          <w:szCs w:val="28"/>
        </w:rPr>
        <w:lastRenderedPageBreak/>
        <w:t>Příloha</w:t>
      </w:r>
      <w:r w:rsidR="00E8792A" w:rsidRPr="00CA5CE6">
        <w:rPr>
          <w:rFonts w:asciiTheme="minorHAnsi" w:hAnsiTheme="minorHAnsi" w:cstheme="minorHAnsi"/>
          <w:b/>
          <w:caps/>
          <w:color w:val="000000" w:themeColor="text1"/>
          <w:sz w:val="28"/>
        </w:rPr>
        <w:t xml:space="preserve"> 4</w:t>
      </w:r>
      <w:r w:rsidRPr="00CA5CE6">
        <w:rPr>
          <w:rFonts w:asciiTheme="minorHAnsi" w:hAnsiTheme="minorHAnsi" w:cstheme="minorHAnsi"/>
          <w:b/>
          <w:caps/>
          <w:color w:val="000000" w:themeColor="text1"/>
          <w:sz w:val="28"/>
        </w:rPr>
        <w:t xml:space="preserve">: </w:t>
      </w:r>
      <w:r w:rsidR="00DB28F3" w:rsidRPr="00CA5CE6">
        <w:rPr>
          <w:rFonts w:asciiTheme="minorHAnsi" w:hAnsiTheme="minorHAnsi" w:cstheme="minorHAnsi"/>
          <w:b/>
          <w:color w:val="000000" w:themeColor="text1"/>
          <w:sz w:val="28"/>
        </w:rPr>
        <w:t>K</w:t>
      </w:r>
      <w:r w:rsidR="00092975" w:rsidRPr="00CA5CE6">
        <w:rPr>
          <w:rFonts w:asciiTheme="minorHAnsi" w:hAnsiTheme="minorHAnsi" w:cstheme="minorHAnsi"/>
          <w:b/>
          <w:color w:val="000000" w:themeColor="text1"/>
          <w:sz w:val="28"/>
        </w:rPr>
        <w:t>artogram</w:t>
      </w:r>
      <w:r w:rsidR="00DB28F3" w:rsidRPr="00CA5CE6">
        <w:rPr>
          <w:rFonts w:asciiTheme="minorHAnsi" w:hAnsiTheme="minorHAnsi" w:cstheme="minorHAnsi"/>
          <w:b/>
          <w:caps/>
          <w:color w:val="000000" w:themeColor="text1"/>
          <w:sz w:val="28"/>
        </w:rPr>
        <w:t xml:space="preserve"> </w:t>
      </w:r>
      <w:r w:rsidR="002416F7" w:rsidRPr="00CA5CE6">
        <w:rPr>
          <w:rFonts w:asciiTheme="minorHAnsi" w:hAnsiTheme="minorHAnsi" w:cstheme="minorHAnsi"/>
          <w:b/>
          <w:color w:val="000000" w:themeColor="text1"/>
          <w:sz w:val="28"/>
        </w:rPr>
        <w:t>PNO</w:t>
      </w:r>
      <w:r w:rsidR="00044ECE" w:rsidRPr="00CA5CE6">
        <w:rPr>
          <w:rFonts w:asciiTheme="minorHAnsi" w:hAnsiTheme="minorHAnsi" w:cstheme="minorHAnsi"/>
          <w:b/>
          <w:color w:val="000000" w:themeColor="text1"/>
          <w:sz w:val="28"/>
        </w:rPr>
        <w:t xml:space="preserve"> na úz</w:t>
      </w:r>
      <w:r w:rsidR="00017B40" w:rsidRPr="00CA5CE6">
        <w:rPr>
          <w:rFonts w:asciiTheme="minorHAnsi" w:hAnsiTheme="minorHAnsi" w:cstheme="minorHAnsi"/>
          <w:b/>
          <w:color w:val="000000" w:themeColor="text1"/>
          <w:sz w:val="28"/>
        </w:rPr>
        <w:t>emí POÚ O</w:t>
      </w:r>
      <w:r w:rsidR="00DB28F3" w:rsidRPr="00CA5CE6">
        <w:rPr>
          <w:rFonts w:asciiTheme="minorHAnsi" w:hAnsiTheme="minorHAnsi" w:cstheme="minorHAnsi"/>
          <w:b/>
          <w:color w:val="000000" w:themeColor="text1"/>
          <w:sz w:val="28"/>
        </w:rPr>
        <w:t xml:space="preserve">C kraje </w:t>
      </w:r>
      <w:r w:rsidR="00D76B18" w:rsidRPr="00CA5CE6">
        <w:rPr>
          <w:rFonts w:asciiTheme="minorHAnsi" w:hAnsiTheme="minorHAnsi" w:cstheme="minorHAnsi"/>
          <w:b/>
          <w:color w:val="000000" w:themeColor="text1"/>
          <w:sz w:val="28"/>
        </w:rPr>
        <w:t>k 31. 12. 2014</w:t>
      </w:r>
    </w:p>
    <w:p w:rsidR="002B587A" w:rsidRPr="00002B63" w:rsidRDefault="00CA5CE6" w:rsidP="002B587A">
      <w:pPr>
        <w:pStyle w:val="Zkladntext3"/>
        <w:spacing w:line="360" w:lineRule="auto"/>
        <w:jc w:val="both"/>
        <w:rPr>
          <w:rFonts w:asciiTheme="minorHAnsi" w:hAnsiTheme="minorHAnsi" w:cstheme="minorHAnsi"/>
          <w:b/>
          <w:i w:val="0"/>
          <w:sz w:val="28"/>
          <w:szCs w:val="28"/>
        </w:rPr>
      </w:pPr>
      <w:r>
        <w:rPr>
          <w:rFonts w:asciiTheme="minorHAnsi" w:hAnsiTheme="minorHAnsi" w:cstheme="minorHAnsi"/>
          <w:b/>
          <w:i w:val="0"/>
          <w:noProof/>
          <w:sz w:val="28"/>
          <w:szCs w:val="28"/>
        </w:rPr>
        <w:drawing>
          <wp:inline distT="0" distB="0" distL="0" distR="0">
            <wp:extent cx="5930900" cy="8533284"/>
            <wp:effectExtent l="0" t="0" r="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mouc_kraj_POU_prosinec_201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36691" cy="8541617"/>
                    </a:xfrm>
                    <a:prstGeom prst="rect">
                      <a:avLst/>
                    </a:prstGeom>
                  </pic:spPr>
                </pic:pic>
              </a:graphicData>
            </a:graphic>
          </wp:inline>
        </w:drawing>
      </w:r>
    </w:p>
    <w:sectPr w:rsidR="002B587A" w:rsidRPr="00002B63" w:rsidSect="00DB28F3">
      <w:footerReference w:type="even" r:id="rId27"/>
      <w:footerReference w:type="default" r:id="rId28"/>
      <w:type w:val="continuous"/>
      <w:pgSz w:w="11906" w:h="16838" w:code="9"/>
      <w:pgMar w:top="1276" w:right="1134" w:bottom="1418" w:left="1134" w:header="709" w:footer="709" w:gutter="0"/>
      <w:cols w:space="28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B5" w:rsidRDefault="009126B5">
      <w:r>
        <w:separator/>
      </w:r>
    </w:p>
  </w:endnote>
  <w:endnote w:type="continuationSeparator" w:id="0">
    <w:p w:rsidR="009126B5" w:rsidRDefault="009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NeueLTPro-C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C" w:rsidRDefault="00B92B8C" w:rsidP="000A65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2B8C" w:rsidRDefault="00B92B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C" w:rsidRDefault="00B92B8C" w:rsidP="000A65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3A14">
      <w:rPr>
        <w:rStyle w:val="slostrnky"/>
        <w:noProof/>
      </w:rPr>
      <w:t>39</w:t>
    </w:r>
    <w:r>
      <w:rPr>
        <w:rStyle w:val="slostrnky"/>
      </w:rPr>
      <w:fldChar w:fldCharType="end"/>
    </w:r>
  </w:p>
  <w:p w:rsidR="00B92B8C" w:rsidRDefault="00B92B8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C" w:rsidRDefault="00B92B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B92B8C" w:rsidRDefault="00B92B8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C" w:rsidRDefault="00B92B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3A14">
      <w:rPr>
        <w:rStyle w:val="slostrnky"/>
        <w:noProof/>
      </w:rPr>
      <w:t>43</w:t>
    </w:r>
    <w:r>
      <w:rPr>
        <w:rStyle w:val="slostrnky"/>
      </w:rPr>
      <w:fldChar w:fldCharType="end"/>
    </w:r>
  </w:p>
  <w:p w:rsidR="00B92B8C" w:rsidRDefault="00B92B8C">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C" w:rsidRDefault="00B92B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B92B8C" w:rsidRDefault="00B92B8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C" w:rsidRDefault="00B92B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3A14">
      <w:rPr>
        <w:rStyle w:val="slostrnky"/>
        <w:noProof/>
      </w:rPr>
      <w:t>47</w:t>
    </w:r>
    <w:r>
      <w:rPr>
        <w:rStyle w:val="slostrnky"/>
      </w:rPr>
      <w:fldChar w:fldCharType="end"/>
    </w:r>
  </w:p>
  <w:p w:rsidR="00B92B8C" w:rsidRDefault="00B92B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B5" w:rsidRDefault="009126B5">
      <w:r>
        <w:separator/>
      </w:r>
    </w:p>
  </w:footnote>
  <w:footnote w:type="continuationSeparator" w:id="0">
    <w:p w:rsidR="009126B5" w:rsidRDefault="0091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1DD"/>
    <w:multiLevelType w:val="multilevel"/>
    <w:tmpl w:val="8E96A47A"/>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14E4140"/>
    <w:multiLevelType w:val="singleLevel"/>
    <w:tmpl w:val="04050013"/>
    <w:lvl w:ilvl="0">
      <w:start w:val="5"/>
      <w:numFmt w:val="upperRoman"/>
      <w:lvlText w:val="%1."/>
      <w:lvlJc w:val="left"/>
      <w:pPr>
        <w:tabs>
          <w:tab w:val="num" w:pos="720"/>
        </w:tabs>
        <w:ind w:left="720" w:hanging="720"/>
      </w:pPr>
      <w:rPr>
        <w:rFonts w:hint="default"/>
      </w:rPr>
    </w:lvl>
  </w:abstractNum>
  <w:abstractNum w:abstractNumId="2">
    <w:nsid w:val="04F0148C"/>
    <w:multiLevelType w:val="hybridMultilevel"/>
    <w:tmpl w:val="40AECFFC"/>
    <w:lvl w:ilvl="0" w:tplc="7BEC70E4">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A441B4"/>
    <w:multiLevelType w:val="hybridMultilevel"/>
    <w:tmpl w:val="0BFAFA5A"/>
    <w:lvl w:ilvl="0" w:tplc="07FC8FC0">
      <w:start w:val="1"/>
      <w:numFmt w:val="bullet"/>
      <w:lvlText w:val=""/>
      <w:lvlJc w:val="left"/>
      <w:pPr>
        <w:ind w:left="1776" w:hanging="360"/>
      </w:pPr>
      <w:rPr>
        <w:rFonts w:ascii="Symbol" w:hAnsi="Symbol" w:hint="default"/>
        <w:sz w:val="24"/>
        <w:szCs w:val="24"/>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nsid w:val="093D293F"/>
    <w:multiLevelType w:val="hybridMultilevel"/>
    <w:tmpl w:val="9A6E1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88506E"/>
    <w:multiLevelType w:val="hybridMultilevel"/>
    <w:tmpl w:val="297CF536"/>
    <w:lvl w:ilvl="0" w:tplc="3C2CE8C4">
      <w:start w:val="1"/>
      <w:numFmt w:val="upperRoman"/>
      <w:lvlText w:val="%1."/>
      <w:lvlJc w:val="left"/>
      <w:pPr>
        <w:ind w:left="1080"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464F39"/>
    <w:multiLevelType w:val="hybridMultilevel"/>
    <w:tmpl w:val="1458C8B4"/>
    <w:lvl w:ilvl="0" w:tplc="22FEE1D4">
      <w:start w:val="1"/>
      <w:numFmt w:val="decimal"/>
      <w:lvlText w:val="%1."/>
      <w:lvlJc w:val="left"/>
      <w:pPr>
        <w:ind w:left="360" w:hanging="360"/>
      </w:pPr>
      <w:rPr>
        <w:rFonts w:asciiTheme="minorHAnsi" w:hAnsiTheme="minorHAnsi" w:cstheme="minorBidi" w:hint="default"/>
        <w:b/>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3B3414"/>
    <w:multiLevelType w:val="hybridMultilevel"/>
    <w:tmpl w:val="775203C0"/>
    <w:lvl w:ilvl="0" w:tplc="3F6220CC">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097284"/>
    <w:multiLevelType w:val="hybridMultilevel"/>
    <w:tmpl w:val="DAE88D9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BA0C1B"/>
    <w:multiLevelType w:val="hybridMultilevel"/>
    <w:tmpl w:val="297CF536"/>
    <w:lvl w:ilvl="0" w:tplc="3C2CE8C4">
      <w:start w:val="1"/>
      <w:numFmt w:val="upperRoman"/>
      <w:lvlText w:val="%1."/>
      <w:lvlJc w:val="left"/>
      <w:pPr>
        <w:ind w:left="1080"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1E38A6"/>
    <w:multiLevelType w:val="hybridMultilevel"/>
    <w:tmpl w:val="E892F054"/>
    <w:lvl w:ilvl="0" w:tplc="7F821918">
      <w:start w:val="1"/>
      <w:numFmt w:val="decimal"/>
      <w:lvlText w:val="%1."/>
      <w:lvlJc w:val="left"/>
      <w:pPr>
        <w:tabs>
          <w:tab w:val="num" w:pos="360"/>
        </w:tabs>
        <w:ind w:left="360" w:hanging="360"/>
      </w:pPr>
    </w:lvl>
    <w:lvl w:ilvl="1" w:tplc="2FD2E352" w:tentative="1">
      <w:start w:val="1"/>
      <w:numFmt w:val="decimal"/>
      <w:lvlText w:val="%2."/>
      <w:lvlJc w:val="left"/>
      <w:pPr>
        <w:tabs>
          <w:tab w:val="num" w:pos="1080"/>
        </w:tabs>
        <w:ind w:left="1080" w:hanging="360"/>
      </w:pPr>
    </w:lvl>
    <w:lvl w:ilvl="2" w:tplc="7C88F890" w:tentative="1">
      <w:start w:val="1"/>
      <w:numFmt w:val="decimal"/>
      <w:lvlText w:val="%3."/>
      <w:lvlJc w:val="left"/>
      <w:pPr>
        <w:tabs>
          <w:tab w:val="num" w:pos="1800"/>
        </w:tabs>
        <w:ind w:left="1800" w:hanging="360"/>
      </w:pPr>
    </w:lvl>
    <w:lvl w:ilvl="3" w:tplc="77E615DA" w:tentative="1">
      <w:start w:val="1"/>
      <w:numFmt w:val="decimal"/>
      <w:lvlText w:val="%4."/>
      <w:lvlJc w:val="left"/>
      <w:pPr>
        <w:tabs>
          <w:tab w:val="num" w:pos="2520"/>
        </w:tabs>
        <w:ind w:left="2520" w:hanging="360"/>
      </w:pPr>
    </w:lvl>
    <w:lvl w:ilvl="4" w:tplc="978685DC" w:tentative="1">
      <w:start w:val="1"/>
      <w:numFmt w:val="decimal"/>
      <w:lvlText w:val="%5."/>
      <w:lvlJc w:val="left"/>
      <w:pPr>
        <w:tabs>
          <w:tab w:val="num" w:pos="3240"/>
        </w:tabs>
        <w:ind w:left="3240" w:hanging="360"/>
      </w:pPr>
    </w:lvl>
    <w:lvl w:ilvl="5" w:tplc="A900F1A4" w:tentative="1">
      <w:start w:val="1"/>
      <w:numFmt w:val="decimal"/>
      <w:lvlText w:val="%6."/>
      <w:lvlJc w:val="left"/>
      <w:pPr>
        <w:tabs>
          <w:tab w:val="num" w:pos="3960"/>
        </w:tabs>
        <w:ind w:left="3960" w:hanging="360"/>
      </w:pPr>
    </w:lvl>
    <w:lvl w:ilvl="6" w:tplc="B7F82D98" w:tentative="1">
      <w:start w:val="1"/>
      <w:numFmt w:val="decimal"/>
      <w:lvlText w:val="%7."/>
      <w:lvlJc w:val="left"/>
      <w:pPr>
        <w:tabs>
          <w:tab w:val="num" w:pos="4680"/>
        </w:tabs>
        <w:ind w:left="4680" w:hanging="360"/>
      </w:pPr>
    </w:lvl>
    <w:lvl w:ilvl="7" w:tplc="A7FCEDC4" w:tentative="1">
      <w:start w:val="1"/>
      <w:numFmt w:val="decimal"/>
      <w:lvlText w:val="%8."/>
      <w:lvlJc w:val="left"/>
      <w:pPr>
        <w:tabs>
          <w:tab w:val="num" w:pos="5400"/>
        </w:tabs>
        <w:ind w:left="5400" w:hanging="360"/>
      </w:pPr>
    </w:lvl>
    <w:lvl w:ilvl="8" w:tplc="FC166FBE" w:tentative="1">
      <w:start w:val="1"/>
      <w:numFmt w:val="decimal"/>
      <w:lvlText w:val="%9."/>
      <w:lvlJc w:val="left"/>
      <w:pPr>
        <w:tabs>
          <w:tab w:val="num" w:pos="6120"/>
        </w:tabs>
        <w:ind w:left="6120" w:hanging="360"/>
      </w:pPr>
    </w:lvl>
  </w:abstractNum>
  <w:abstractNum w:abstractNumId="11">
    <w:nsid w:val="34BA7232"/>
    <w:multiLevelType w:val="hybridMultilevel"/>
    <w:tmpl w:val="B770F3FA"/>
    <w:lvl w:ilvl="0" w:tplc="1FCE92B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9D626A"/>
    <w:multiLevelType w:val="hybridMultilevel"/>
    <w:tmpl w:val="667C08C0"/>
    <w:lvl w:ilvl="0" w:tplc="F6AE1582">
      <w:start w:val="4"/>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000100"/>
    <w:multiLevelType w:val="singleLevel"/>
    <w:tmpl w:val="04050011"/>
    <w:lvl w:ilvl="0">
      <w:start w:val="1"/>
      <w:numFmt w:val="decimal"/>
      <w:lvlText w:val="%1)"/>
      <w:lvlJc w:val="left"/>
      <w:pPr>
        <w:tabs>
          <w:tab w:val="num" w:pos="360"/>
        </w:tabs>
        <w:ind w:left="360" w:hanging="360"/>
      </w:pPr>
      <w:rPr>
        <w:rFonts w:hint="default"/>
      </w:rPr>
    </w:lvl>
  </w:abstractNum>
  <w:abstractNum w:abstractNumId="14">
    <w:nsid w:val="42B13E25"/>
    <w:multiLevelType w:val="hybridMultilevel"/>
    <w:tmpl w:val="BF661F8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213618"/>
    <w:multiLevelType w:val="hybridMultilevel"/>
    <w:tmpl w:val="74BA6D16"/>
    <w:lvl w:ilvl="0" w:tplc="3C2CE8C4">
      <w:start w:val="1"/>
      <w:numFmt w:val="upperRoman"/>
      <w:lvlText w:val="%1."/>
      <w:lvlJc w:val="left"/>
      <w:pPr>
        <w:ind w:left="1080"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77290"/>
    <w:multiLevelType w:val="hybridMultilevel"/>
    <w:tmpl w:val="C840F034"/>
    <w:lvl w:ilvl="0" w:tplc="0E785F12">
      <w:start w:val="4"/>
      <w:numFmt w:val="upperRoman"/>
      <w:lvlText w:val="%1."/>
      <w:lvlJc w:val="left"/>
      <w:pPr>
        <w:tabs>
          <w:tab w:val="num" w:pos="1079"/>
        </w:tabs>
        <w:ind w:left="1079" w:hanging="720"/>
      </w:pPr>
      <w:rPr>
        <w:rFonts w:hint="default"/>
      </w:rPr>
    </w:lvl>
    <w:lvl w:ilvl="1" w:tplc="04050019" w:tentative="1">
      <w:start w:val="1"/>
      <w:numFmt w:val="lowerLetter"/>
      <w:lvlText w:val="%2."/>
      <w:lvlJc w:val="left"/>
      <w:pPr>
        <w:tabs>
          <w:tab w:val="num" w:pos="1439"/>
        </w:tabs>
        <w:ind w:left="1439" w:hanging="360"/>
      </w:pPr>
    </w:lvl>
    <w:lvl w:ilvl="2" w:tplc="0405001B" w:tentative="1">
      <w:start w:val="1"/>
      <w:numFmt w:val="lowerRoman"/>
      <w:lvlText w:val="%3."/>
      <w:lvlJc w:val="right"/>
      <w:pPr>
        <w:tabs>
          <w:tab w:val="num" w:pos="2159"/>
        </w:tabs>
        <w:ind w:left="2159" w:hanging="180"/>
      </w:pPr>
    </w:lvl>
    <w:lvl w:ilvl="3" w:tplc="0405000F" w:tentative="1">
      <w:start w:val="1"/>
      <w:numFmt w:val="decimal"/>
      <w:lvlText w:val="%4."/>
      <w:lvlJc w:val="left"/>
      <w:pPr>
        <w:tabs>
          <w:tab w:val="num" w:pos="2879"/>
        </w:tabs>
        <w:ind w:left="2879" w:hanging="360"/>
      </w:pPr>
    </w:lvl>
    <w:lvl w:ilvl="4" w:tplc="04050019" w:tentative="1">
      <w:start w:val="1"/>
      <w:numFmt w:val="lowerLetter"/>
      <w:lvlText w:val="%5."/>
      <w:lvlJc w:val="left"/>
      <w:pPr>
        <w:tabs>
          <w:tab w:val="num" w:pos="3599"/>
        </w:tabs>
        <w:ind w:left="3599" w:hanging="360"/>
      </w:pPr>
    </w:lvl>
    <w:lvl w:ilvl="5" w:tplc="0405001B" w:tentative="1">
      <w:start w:val="1"/>
      <w:numFmt w:val="lowerRoman"/>
      <w:lvlText w:val="%6."/>
      <w:lvlJc w:val="right"/>
      <w:pPr>
        <w:tabs>
          <w:tab w:val="num" w:pos="4319"/>
        </w:tabs>
        <w:ind w:left="4319" w:hanging="180"/>
      </w:pPr>
    </w:lvl>
    <w:lvl w:ilvl="6" w:tplc="0405000F" w:tentative="1">
      <w:start w:val="1"/>
      <w:numFmt w:val="decimal"/>
      <w:lvlText w:val="%7."/>
      <w:lvlJc w:val="left"/>
      <w:pPr>
        <w:tabs>
          <w:tab w:val="num" w:pos="5039"/>
        </w:tabs>
        <w:ind w:left="5039" w:hanging="360"/>
      </w:pPr>
    </w:lvl>
    <w:lvl w:ilvl="7" w:tplc="04050019" w:tentative="1">
      <w:start w:val="1"/>
      <w:numFmt w:val="lowerLetter"/>
      <w:lvlText w:val="%8."/>
      <w:lvlJc w:val="left"/>
      <w:pPr>
        <w:tabs>
          <w:tab w:val="num" w:pos="5759"/>
        </w:tabs>
        <w:ind w:left="5759" w:hanging="360"/>
      </w:pPr>
    </w:lvl>
    <w:lvl w:ilvl="8" w:tplc="0405001B" w:tentative="1">
      <w:start w:val="1"/>
      <w:numFmt w:val="lowerRoman"/>
      <w:lvlText w:val="%9."/>
      <w:lvlJc w:val="right"/>
      <w:pPr>
        <w:tabs>
          <w:tab w:val="num" w:pos="6479"/>
        </w:tabs>
        <w:ind w:left="6479" w:hanging="180"/>
      </w:pPr>
    </w:lvl>
  </w:abstractNum>
  <w:abstractNum w:abstractNumId="17">
    <w:nsid w:val="48925EEC"/>
    <w:multiLevelType w:val="hybridMultilevel"/>
    <w:tmpl w:val="53321D8A"/>
    <w:lvl w:ilvl="0" w:tplc="878A4DDC">
      <w:start w:val="3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7E08C9"/>
    <w:multiLevelType w:val="hybridMultilevel"/>
    <w:tmpl w:val="AF04D970"/>
    <w:lvl w:ilvl="0" w:tplc="C882AC7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543968FB"/>
    <w:multiLevelType w:val="hybridMultilevel"/>
    <w:tmpl w:val="C130DC18"/>
    <w:lvl w:ilvl="0" w:tplc="ECE6E46C">
      <w:start w:val="2"/>
      <w:numFmt w:val="bullet"/>
      <w:lvlText w:val="-"/>
      <w:lvlJc w:val="left"/>
      <w:pPr>
        <w:ind w:left="928"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CF07E4"/>
    <w:multiLevelType w:val="hybridMultilevel"/>
    <w:tmpl w:val="76E495B0"/>
    <w:lvl w:ilvl="0" w:tplc="04050013">
      <w:start w:val="1"/>
      <w:numFmt w:val="upperRoman"/>
      <w:lvlText w:val="%1."/>
      <w:lvlJc w:val="right"/>
      <w:pPr>
        <w:tabs>
          <w:tab w:val="num" w:pos="1081"/>
        </w:tabs>
        <w:ind w:left="1081" w:hanging="720"/>
      </w:pPr>
      <w:rPr>
        <w:rFonts w:hint="default"/>
        <w:b/>
        <w:color w:val="000000"/>
        <w:u w:val="none"/>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21">
    <w:nsid w:val="5C7E0785"/>
    <w:multiLevelType w:val="hybridMultilevel"/>
    <w:tmpl w:val="124C4080"/>
    <w:lvl w:ilvl="0" w:tplc="2D580AD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B85443"/>
    <w:multiLevelType w:val="hybridMultilevel"/>
    <w:tmpl w:val="47167504"/>
    <w:lvl w:ilvl="0" w:tplc="529A4C66">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3B132A"/>
    <w:multiLevelType w:val="hybridMultilevel"/>
    <w:tmpl w:val="1966C2DE"/>
    <w:lvl w:ilvl="0" w:tplc="686C8C3A">
      <w:start w:val="4"/>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3E081A"/>
    <w:multiLevelType w:val="hybridMultilevel"/>
    <w:tmpl w:val="040CAAA0"/>
    <w:lvl w:ilvl="0" w:tplc="2D42968C">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25">
    <w:nsid w:val="659C4B66"/>
    <w:multiLevelType w:val="hybridMultilevel"/>
    <w:tmpl w:val="8E18951E"/>
    <w:lvl w:ilvl="0" w:tplc="5DE44E2A">
      <w:start w:val="23"/>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177464"/>
    <w:multiLevelType w:val="singleLevel"/>
    <w:tmpl w:val="60DA15C8"/>
    <w:lvl w:ilvl="0">
      <w:numFmt w:val="bullet"/>
      <w:lvlText w:val="-"/>
      <w:lvlJc w:val="left"/>
      <w:pPr>
        <w:tabs>
          <w:tab w:val="num" w:pos="360"/>
        </w:tabs>
        <w:ind w:left="360" w:hanging="360"/>
      </w:pPr>
      <w:rPr>
        <w:rFonts w:hint="default"/>
      </w:rPr>
    </w:lvl>
  </w:abstractNum>
  <w:abstractNum w:abstractNumId="27">
    <w:nsid w:val="6DDC4F37"/>
    <w:multiLevelType w:val="hybridMultilevel"/>
    <w:tmpl w:val="2C38B7EE"/>
    <w:lvl w:ilvl="0" w:tplc="A9BC430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A04591"/>
    <w:multiLevelType w:val="hybridMultilevel"/>
    <w:tmpl w:val="26BA2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D875E8"/>
    <w:multiLevelType w:val="hybridMultilevel"/>
    <w:tmpl w:val="111842CA"/>
    <w:lvl w:ilvl="0" w:tplc="A0BAAE62">
      <w:start w:val="1"/>
      <w:numFmt w:val="bullet"/>
      <w:lvlText w:val=""/>
      <w:lvlJc w:val="left"/>
      <w:pPr>
        <w:ind w:left="1776" w:hanging="360"/>
      </w:pPr>
      <w:rPr>
        <w:rFonts w:ascii="Symbol" w:hAnsi="Symbol" w:hint="default"/>
        <w:sz w:val="24"/>
        <w:szCs w:val="24"/>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0">
    <w:nsid w:val="744307B5"/>
    <w:multiLevelType w:val="hybridMultilevel"/>
    <w:tmpl w:val="0B1C845A"/>
    <w:lvl w:ilvl="0" w:tplc="FFFFFFFF">
      <w:start w:val="5"/>
      <w:numFmt w:val="upperRoman"/>
      <w:pStyle w:val="Nadpis8"/>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5174796"/>
    <w:multiLevelType w:val="hybridMultilevel"/>
    <w:tmpl w:val="E80838D4"/>
    <w:lvl w:ilvl="0" w:tplc="080E7340">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32">
    <w:nsid w:val="77F551F1"/>
    <w:multiLevelType w:val="hybridMultilevel"/>
    <w:tmpl w:val="8648E254"/>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5D156E"/>
    <w:multiLevelType w:val="hybridMultilevel"/>
    <w:tmpl w:val="6D4A37B6"/>
    <w:lvl w:ilvl="0" w:tplc="0AD847A8">
      <w:start w:val="4"/>
      <w:numFmt w:val="bullet"/>
      <w:lvlText w:val=""/>
      <w:lvlJc w:val="left"/>
      <w:pPr>
        <w:ind w:left="1080" w:hanging="360"/>
      </w:pPr>
      <w:rPr>
        <w:rFonts w:ascii="Symbol" w:eastAsia="Times New Roman" w:hAnsi="Symbol"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D8C3CA8"/>
    <w:multiLevelType w:val="hybridMultilevel"/>
    <w:tmpl w:val="297CF536"/>
    <w:lvl w:ilvl="0" w:tplc="3C2CE8C4">
      <w:start w:val="1"/>
      <w:numFmt w:val="upperRoman"/>
      <w:lvlText w:val="%1."/>
      <w:lvlJc w:val="left"/>
      <w:pPr>
        <w:ind w:left="1080"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0"/>
  </w:num>
  <w:num w:numId="4">
    <w:abstractNumId w:val="13"/>
  </w:num>
  <w:num w:numId="5">
    <w:abstractNumId w:val="26"/>
  </w:num>
  <w:num w:numId="6">
    <w:abstractNumId w:val="20"/>
  </w:num>
  <w:num w:numId="7">
    <w:abstractNumId w:val="16"/>
  </w:num>
  <w:num w:numId="8">
    <w:abstractNumId w:val="7"/>
  </w:num>
  <w:num w:numId="9">
    <w:abstractNumId w:val="1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21"/>
  </w:num>
  <w:num w:numId="14">
    <w:abstractNumId w:val="9"/>
  </w:num>
  <w:num w:numId="15">
    <w:abstractNumId w:val="5"/>
  </w:num>
  <w:num w:numId="16">
    <w:abstractNumId w:val="34"/>
  </w:num>
  <w:num w:numId="17">
    <w:abstractNumId w:val="15"/>
  </w:num>
  <w:num w:numId="18">
    <w:abstractNumId w:val="24"/>
  </w:num>
  <w:num w:numId="19">
    <w:abstractNumId w:val="6"/>
  </w:num>
  <w:num w:numId="20">
    <w:abstractNumId w:val="14"/>
  </w:num>
  <w:num w:numId="21">
    <w:abstractNumId w:val="32"/>
  </w:num>
  <w:num w:numId="22">
    <w:abstractNumId w:val="12"/>
  </w:num>
  <w:num w:numId="23">
    <w:abstractNumId w:val="8"/>
  </w:num>
  <w:num w:numId="24">
    <w:abstractNumId w:val="2"/>
  </w:num>
  <w:num w:numId="25">
    <w:abstractNumId w:val="3"/>
  </w:num>
  <w:num w:numId="26">
    <w:abstractNumId w:val="29"/>
  </w:num>
  <w:num w:numId="27">
    <w:abstractNumId w:val="19"/>
  </w:num>
  <w:num w:numId="28">
    <w:abstractNumId w:val="28"/>
  </w:num>
  <w:num w:numId="29">
    <w:abstractNumId w:val="25"/>
  </w:num>
  <w:num w:numId="30">
    <w:abstractNumId w:val="17"/>
  </w:num>
  <w:num w:numId="31">
    <w:abstractNumId w:val="4"/>
  </w:num>
  <w:num w:numId="32">
    <w:abstractNumId w:val="11"/>
  </w:num>
  <w:num w:numId="33">
    <w:abstractNumId w:val="10"/>
  </w:num>
  <w:num w:numId="34">
    <w:abstractNumId w:val="23"/>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84"/>
    <w:rsid w:val="00000265"/>
    <w:rsid w:val="000004A7"/>
    <w:rsid w:val="000018C8"/>
    <w:rsid w:val="00001A8B"/>
    <w:rsid w:val="00002B63"/>
    <w:rsid w:val="00003A14"/>
    <w:rsid w:val="00003E1D"/>
    <w:rsid w:val="00003F3A"/>
    <w:rsid w:val="00004596"/>
    <w:rsid w:val="00005CB4"/>
    <w:rsid w:val="0000667F"/>
    <w:rsid w:val="00006C13"/>
    <w:rsid w:val="00007895"/>
    <w:rsid w:val="00010882"/>
    <w:rsid w:val="000112BF"/>
    <w:rsid w:val="000118A5"/>
    <w:rsid w:val="0001191E"/>
    <w:rsid w:val="00011C9E"/>
    <w:rsid w:val="00011F4E"/>
    <w:rsid w:val="0001225F"/>
    <w:rsid w:val="0001247D"/>
    <w:rsid w:val="00012A2D"/>
    <w:rsid w:val="000136F4"/>
    <w:rsid w:val="00013D09"/>
    <w:rsid w:val="000155A5"/>
    <w:rsid w:val="00015C7F"/>
    <w:rsid w:val="00016B92"/>
    <w:rsid w:val="00016C80"/>
    <w:rsid w:val="00017553"/>
    <w:rsid w:val="00017B40"/>
    <w:rsid w:val="00017F19"/>
    <w:rsid w:val="00021C4E"/>
    <w:rsid w:val="00022F68"/>
    <w:rsid w:val="00023AB0"/>
    <w:rsid w:val="000246ED"/>
    <w:rsid w:val="00024D09"/>
    <w:rsid w:val="00025E00"/>
    <w:rsid w:val="0002682C"/>
    <w:rsid w:val="000273D0"/>
    <w:rsid w:val="00027D20"/>
    <w:rsid w:val="000300AC"/>
    <w:rsid w:val="000315AF"/>
    <w:rsid w:val="00032430"/>
    <w:rsid w:val="00033BF0"/>
    <w:rsid w:val="00033F83"/>
    <w:rsid w:val="00034C66"/>
    <w:rsid w:val="00035FA3"/>
    <w:rsid w:val="00036F52"/>
    <w:rsid w:val="000379DE"/>
    <w:rsid w:val="00037EEB"/>
    <w:rsid w:val="00040FC7"/>
    <w:rsid w:val="00041B57"/>
    <w:rsid w:val="00041F6E"/>
    <w:rsid w:val="00041FAC"/>
    <w:rsid w:val="00042175"/>
    <w:rsid w:val="00042269"/>
    <w:rsid w:val="0004264C"/>
    <w:rsid w:val="000427EF"/>
    <w:rsid w:val="000427F5"/>
    <w:rsid w:val="000429BE"/>
    <w:rsid w:val="000433A1"/>
    <w:rsid w:val="00043B2C"/>
    <w:rsid w:val="00044ECE"/>
    <w:rsid w:val="0004508D"/>
    <w:rsid w:val="00045646"/>
    <w:rsid w:val="0004616B"/>
    <w:rsid w:val="00046C56"/>
    <w:rsid w:val="00047EB8"/>
    <w:rsid w:val="00050292"/>
    <w:rsid w:val="000505FC"/>
    <w:rsid w:val="00051FBE"/>
    <w:rsid w:val="00053F92"/>
    <w:rsid w:val="000557BF"/>
    <w:rsid w:val="00055F71"/>
    <w:rsid w:val="00056544"/>
    <w:rsid w:val="00056CD8"/>
    <w:rsid w:val="000571EA"/>
    <w:rsid w:val="00060B13"/>
    <w:rsid w:val="00060F65"/>
    <w:rsid w:val="00061C31"/>
    <w:rsid w:val="00063459"/>
    <w:rsid w:val="0006486D"/>
    <w:rsid w:val="000656CA"/>
    <w:rsid w:val="00067468"/>
    <w:rsid w:val="00070D8B"/>
    <w:rsid w:val="00072295"/>
    <w:rsid w:val="00072572"/>
    <w:rsid w:val="00072890"/>
    <w:rsid w:val="00073715"/>
    <w:rsid w:val="00073CEF"/>
    <w:rsid w:val="00073FF0"/>
    <w:rsid w:val="000761FE"/>
    <w:rsid w:val="000765CB"/>
    <w:rsid w:val="00077333"/>
    <w:rsid w:val="000779D3"/>
    <w:rsid w:val="00077D76"/>
    <w:rsid w:val="00080AB2"/>
    <w:rsid w:val="00081C97"/>
    <w:rsid w:val="00081ECC"/>
    <w:rsid w:val="000820A2"/>
    <w:rsid w:val="00082E4D"/>
    <w:rsid w:val="0008330B"/>
    <w:rsid w:val="0008385B"/>
    <w:rsid w:val="00084375"/>
    <w:rsid w:val="00084AD8"/>
    <w:rsid w:val="00085AE7"/>
    <w:rsid w:val="000864DC"/>
    <w:rsid w:val="0008720E"/>
    <w:rsid w:val="0008721C"/>
    <w:rsid w:val="00087849"/>
    <w:rsid w:val="0008788F"/>
    <w:rsid w:val="000901C5"/>
    <w:rsid w:val="00090656"/>
    <w:rsid w:val="00090C9A"/>
    <w:rsid w:val="00090CE2"/>
    <w:rsid w:val="000915EF"/>
    <w:rsid w:val="00092698"/>
    <w:rsid w:val="00092975"/>
    <w:rsid w:val="00092BE1"/>
    <w:rsid w:val="00092C7D"/>
    <w:rsid w:val="00093A91"/>
    <w:rsid w:val="000942D3"/>
    <w:rsid w:val="000943BD"/>
    <w:rsid w:val="0009571C"/>
    <w:rsid w:val="000973AE"/>
    <w:rsid w:val="00097F48"/>
    <w:rsid w:val="000A0BE3"/>
    <w:rsid w:val="000A1621"/>
    <w:rsid w:val="000A16DD"/>
    <w:rsid w:val="000A3117"/>
    <w:rsid w:val="000A33D8"/>
    <w:rsid w:val="000A3485"/>
    <w:rsid w:val="000A3607"/>
    <w:rsid w:val="000A36D8"/>
    <w:rsid w:val="000A38A2"/>
    <w:rsid w:val="000A6328"/>
    <w:rsid w:val="000A65BF"/>
    <w:rsid w:val="000A6F28"/>
    <w:rsid w:val="000A7217"/>
    <w:rsid w:val="000A775C"/>
    <w:rsid w:val="000A7BB0"/>
    <w:rsid w:val="000B01AC"/>
    <w:rsid w:val="000B01CD"/>
    <w:rsid w:val="000B0DFB"/>
    <w:rsid w:val="000B0F61"/>
    <w:rsid w:val="000B11EC"/>
    <w:rsid w:val="000B1C36"/>
    <w:rsid w:val="000B1DF2"/>
    <w:rsid w:val="000B2074"/>
    <w:rsid w:val="000B4451"/>
    <w:rsid w:val="000B4E27"/>
    <w:rsid w:val="000B58BE"/>
    <w:rsid w:val="000B5C64"/>
    <w:rsid w:val="000B5E8D"/>
    <w:rsid w:val="000B643F"/>
    <w:rsid w:val="000B6449"/>
    <w:rsid w:val="000B7FA5"/>
    <w:rsid w:val="000C113C"/>
    <w:rsid w:val="000C1A39"/>
    <w:rsid w:val="000C26BB"/>
    <w:rsid w:val="000C2BEE"/>
    <w:rsid w:val="000C2DF2"/>
    <w:rsid w:val="000C31D9"/>
    <w:rsid w:val="000C35CA"/>
    <w:rsid w:val="000C45F0"/>
    <w:rsid w:val="000C4C4D"/>
    <w:rsid w:val="000C515D"/>
    <w:rsid w:val="000C5189"/>
    <w:rsid w:val="000C61B9"/>
    <w:rsid w:val="000C66AC"/>
    <w:rsid w:val="000C6C1B"/>
    <w:rsid w:val="000C7148"/>
    <w:rsid w:val="000C796C"/>
    <w:rsid w:val="000C7DD2"/>
    <w:rsid w:val="000C7EA1"/>
    <w:rsid w:val="000D029D"/>
    <w:rsid w:val="000D3EC8"/>
    <w:rsid w:val="000D5431"/>
    <w:rsid w:val="000D5C96"/>
    <w:rsid w:val="000D5D32"/>
    <w:rsid w:val="000D5E90"/>
    <w:rsid w:val="000D79ED"/>
    <w:rsid w:val="000D7DF5"/>
    <w:rsid w:val="000E082B"/>
    <w:rsid w:val="000E0E74"/>
    <w:rsid w:val="000E1A38"/>
    <w:rsid w:val="000E1B03"/>
    <w:rsid w:val="000E2210"/>
    <w:rsid w:val="000E250A"/>
    <w:rsid w:val="000E251B"/>
    <w:rsid w:val="000E287D"/>
    <w:rsid w:val="000E3A07"/>
    <w:rsid w:val="000E4AC2"/>
    <w:rsid w:val="000E4B92"/>
    <w:rsid w:val="000E5009"/>
    <w:rsid w:val="000E5EF5"/>
    <w:rsid w:val="000E7EE6"/>
    <w:rsid w:val="000F0232"/>
    <w:rsid w:val="000F0C48"/>
    <w:rsid w:val="000F0DC0"/>
    <w:rsid w:val="000F3D1D"/>
    <w:rsid w:val="000F4DCA"/>
    <w:rsid w:val="000F57D7"/>
    <w:rsid w:val="000F59BD"/>
    <w:rsid w:val="000F5BF5"/>
    <w:rsid w:val="000F6288"/>
    <w:rsid w:val="000F6F8C"/>
    <w:rsid w:val="000F7316"/>
    <w:rsid w:val="000F7A7B"/>
    <w:rsid w:val="000F7A94"/>
    <w:rsid w:val="00100293"/>
    <w:rsid w:val="00101D0F"/>
    <w:rsid w:val="00101E8F"/>
    <w:rsid w:val="0010208E"/>
    <w:rsid w:val="001023EC"/>
    <w:rsid w:val="00102DD0"/>
    <w:rsid w:val="00102F0D"/>
    <w:rsid w:val="00103350"/>
    <w:rsid w:val="00105378"/>
    <w:rsid w:val="00105830"/>
    <w:rsid w:val="0010595C"/>
    <w:rsid w:val="001079F6"/>
    <w:rsid w:val="00107CAE"/>
    <w:rsid w:val="0011077D"/>
    <w:rsid w:val="00110EEF"/>
    <w:rsid w:val="00111077"/>
    <w:rsid w:val="001118BD"/>
    <w:rsid w:val="00112723"/>
    <w:rsid w:val="00112EAD"/>
    <w:rsid w:val="0011454D"/>
    <w:rsid w:val="0011455B"/>
    <w:rsid w:val="00114620"/>
    <w:rsid w:val="00115442"/>
    <w:rsid w:val="00115E2E"/>
    <w:rsid w:val="0011674C"/>
    <w:rsid w:val="001169FB"/>
    <w:rsid w:val="001175ED"/>
    <w:rsid w:val="00120006"/>
    <w:rsid w:val="001202AF"/>
    <w:rsid w:val="00121C05"/>
    <w:rsid w:val="0012230C"/>
    <w:rsid w:val="001225D6"/>
    <w:rsid w:val="00124517"/>
    <w:rsid w:val="0012457F"/>
    <w:rsid w:val="00125178"/>
    <w:rsid w:val="0012535A"/>
    <w:rsid w:val="00127CD5"/>
    <w:rsid w:val="001305F3"/>
    <w:rsid w:val="001307FF"/>
    <w:rsid w:val="00131445"/>
    <w:rsid w:val="00131A3A"/>
    <w:rsid w:val="001329FB"/>
    <w:rsid w:val="00132C43"/>
    <w:rsid w:val="00132C97"/>
    <w:rsid w:val="00133116"/>
    <w:rsid w:val="0013562C"/>
    <w:rsid w:val="00135676"/>
    <w:rsid w:val="00135BA3"/>
    <w:rsid w:val="00135C10"/>
    <w:rsid w:val="00135F18"/>
    <w:rsid w:val="0013645D"/>
    <w:rsid w:val="00136FD2"/>
    <w:rsid w:val="00137602"/>
    <w:rsid w:val="0013770C"/>
    <w:rsid w:val="001401F9"/>
    <w:rsid w:val="00141303"/>
    <w:rsid w:val="0014162C"/>
    <w:rsid w:val="00141B92"/>
    <w:rsid w:val="001432E2"/>
    <w:rsid w:val="0014360C"/>
    <w:rsid w:val="00144295"/>
    <w:rsid w:val="00145138"/>
    <w:rsid w:val="00145192"/>
    <w:rsid w:val="00147212"/>
    <w:rsid w:val="00147B74"/>
    <w:rsid w:val="00147F4B"/>
    <w:rsid w:val="001506AF"/>
    <w:rsid w:val="00150AF0"/>
    <w:rsid w:val="00151D6F"/>
    <w:rsid w:val="00155E6A"/>
    <w:rsid w:val="00156866"/>
    <w:rsid w:val="00160EA1"/>
    <w:rsid w:val="00161179"/>
    <w:rsid w:val="00161399"/>
    <w:rsid w:val="001623B2"/>
    <w:rsid w:val="00163382"/>
    <w:rsid w:val="0016352E"/>
    <w:rsid w:val="001640BF"/>
    <w:rsid w:val="00164397"/>
    <w:rsid w:val="001643D5"/>
    <w:rsid w:val="00164EB3"/>
    <w:rsid w:val="00165F2E"/>
    <w:rsid w:val="00167E67"/>
    <w:rsid w:val="0017092D"/>
    <w:rsid w:val="001724D4"/>
    <w:rsid w:val="00173A53"/>
    <w:rsid w:val="00173F3F"/>
    <w:rsid w:val="0017498E"/>
    <w:rsid w:val="001755C4"/>
    <w:rsid w:val="0017638D"/>
    <w:rsid w:val="0017729C"/>
    <w:rsid w:val="001821FF"/>
    <w:rsid w:val="0018353B"/>
    <w:rsid w:val="00183875"/>
    <w:rsid w:val="001839D4"/>
    <w:rsid w:val="0018511C"/>
    <w:rsid w:val="00185957"/>
    <w:rsid w:val="00185EF0"/>
    <w:rsid w:val="001860E7"/>
    <w:rsid w:val="00186530"/>
    <w:rsid w:val="00186F50"/>
    <w:rsid w:val="001872DA"/>
    <w:rsid w:val="00187AD4"/>
    <w:rsid w:val="001905B0"/>
    <w:rsid w:val="001913FC"/>
    <w:rsid w:val="00192376"/>
    <w:rsid w:val="00192487"/>
    <w:rsid w:val="00192F84"/>
    <w:rsid w:val="00193C0C"/>
    <w:rsid w:val="00194804"/>
    <w:rsid w:val="00194F09"/>
    <w:rsid w:val="00195FBF"/>
    <w:rsid w:val="001962EC"/>
    <w:rsid w:val="001966E5"/>
    <w:rsid w:val="00196A14"/>
    <w:rsid w:val="001971A9"/>
    <w:rsid w:val="001A0598"/>
    <w:rsid w:val="001A05F6"/>
    <w:rsid w:val="001A1459"/>
    <w:rsid w:val="001A1A5E"/>
    <w:rsid w:val="001A3389"/>
    <w:rsid w:val="001A34CD"/>
    <w:rsid w:val="001A3B82"/>
    <w:rsid w:val="001A3C75"/>
    <w:rsid w:val="001A4AA9"/>
    <w:rsid w:val="001A5C7B"/>
    <w:rsid w:val="001A5F4E"/>
    <w:rsid w:val="001A6CC1"/>
    <w:rsid w:val="001A6D59"/>
    <w:rsid w:val="001A731C"/>
    <w:rsid w:val="001A7D51"/>
    <w:rsid w:val="001B076E"/>
    <w:rsid w:val="001B10BA"/>
    <w:rsid w:val="001B2284"/>
    <w:rsid w:val="001B5B0E"/>
    <w:rsid w:val="001B6735"/>
    <w:rsid w:val="001B74D1"/>
    <w:rsid w:val="001C100D"/>
    <w:rsid w:val="001C10A1"/>
    <w:rsid w:val="001C1B13"/>
    <w:rsid w:val="001C26A1"/>
    <w:rsid w:val="001C2CD4"/>
    <w:rsid w:val="001C2DC1"/>
    <w:rsid w:val="001C3638"/>
    <w:rsid w:val="001C436F"/>
    <w:rsid w:val="001C4610"/>
    <w:rsid w:val="001C4C21"/>
    <w:rsid w:val="001C4CFA"/>
    <w:rsid w:val="001C57E9"/>
    <w:rsid w:val="001C58D8"/>
    <w:rsid w:val="001C5932"/>
    <w:rsid w:val="001C63AF"/>
    <w:rsid w:val="001C7335"/>
    <w:rsid w:val="001C76F4"/>
    <w:rsid w:val="001C784E"/>
    <w:rsid w:val="001D02D2"/>
    <w:rsid w:val="001D0811"/>
    <w:rsid w:val="001D0CCA"/>
    <w:rsid w:val="001D0FD5"/>
    <w:rsid w:val="001D4D29"/>
    <w:rsid w:val="001D5108"/>
    <w:rsid w:val="001D57DF"/>
    <w:rsid w:val="001D5B12"/>
    <w:rsid w:val="001D6CBA"/>
    <w:rsid w:val="001D7392"/>
    <w:rsid w:val="001D7E65"/>
    <w:rsid w:val="001E0D9E"/>
    <w:rsid w:val="001E21FC"/>
    <w:rsid w:val="001E2723"/>
    <w:rsid w:val="001E2841"/>
    <w:rsid w:val="001E2E34"/>
    <w:rsid w:val="001E3939"/>
    <w:rsid w:val="001E4A21"/>
    <w:rsid w:val="001E4A7B"/>
    <w:rsid w:val="001E562A"/>
    <w:rsid w:val="001E6358"/>
    <w:rsid w:val="001E68D2"/>
    <w:rsid w:val="001E788E"/>
    <w:rsid w:val="001F07A1"/>
    <w:rsid w:val="001F1E58"/>
    <w:rsid w:val="001F2664"/>
    <w:rsid w:val="001F2832"/>
    <w:rsid w:val="001F2D3A"/>
    <w:rsid w:val="001F2D67"/>
    <w:rsid w:val="001F2E18"/>
    <w:rsid w:val="001F4119"/>
    <w:rsid w:val="001F48C1"/>
    <w:rsid w:val="001F517F"/>
    <w:rsid w:val="001F658A"/>
    <w:rsid w:val="001F6593"/>
    <w:rsid w:val="001F6FF5"/>
    <w:rsid w:val="001F701F"/>
    <w:rsid w:val="001F782C"/>
    <w:rsid w:val="00200809"/>
    <w:rsid w:val="00200959"/>
    <w:rsid w:val="00201718"/>
    <w:rsid w:val="00201846"/>
    <w:rsid w:val="00204596"/>
    <w:rsid w:val="00205609"/>
    <w:rsid w:val="00207B4D"/>
    <w:rsid w:val="002101A9"/>
    <w:rsid w:val="00210483"/>
    <w:rsid w:val="00210C48"/>
    <w:rsid w:val="00211139"/>
    <w:rsid w:val="00211D91"/>
    <w:rsid w:val="00212A83"/>
    <w:rsid w:val="00212B22"/>
    <w:rsid w:val="00212E5F"/>
    <w:rsid w:val="002135E8"/>
    <w:rsid w:val="00213F4D"/>
    <w:rsid w:val="002141A1"/>
    <w:rsid w:val="00214CA7"/>
    <w:rsid w:val="00215A99"/>
    <w:rsid w:val="00216306"/>
    <w:rsid w:val="002163FF"/>
    <w:rsid w:val="002170C7"/>
    <w:rsid w:val="00217470"/>
    <w:rsid w:val="00217C13"/>
    <w:rsid w:val="00220724"/>
    <w:rsid w:val="0022090C"/>
    <w:rsid w:val="00220F7C"/>
    <w:rsid w:val="0022166A"/>
    <w:rsid w:val="00221D73"/>
    <w:rsid w:val="0022379E"/>
    <w:rsid w:val="002237BF"/>
    <w:rsid w:val="00224AF6"/>
    <w:rsid w:val="002254FD"/>
    <w:rsid w:val="0022696E"/>
    <w:rsid w:val="002309F4"/>
    <w:rsid w:val="0023104A"/>
    <w:rsid w:val="0023153F"/>
    <w:rsid w:val="002321E4"/>
    <w:rsid w:val="00232B37"/>
    <w:rsid w:val="002336E9"/>
    <w:rsid w:val="00233931"/>
    <w:rsid w:val="00234276"/>
    <w:rsid w:val="0023472F"/>
    <w:rsid w:val="002348FD"/>
    <w:rsid w:val="002353E0"/>
    <w:rsid w:val="00236781"/>
    <w:rsid w:val="00236E25"/>
    <w:rsid w:val="00236F9B"/>
    <w:rsid w:val="0023709F"/>
    <w:rsid w:val="002371C1"/>
    <w:rsid w:val="002376F5"/>
    <w:rsid w:val="002409AA"/>
    <w:rsid w:val="00240A48"/>
    <w:rsid w:val="00240BAE"/>
    <w:rsid w:val="002416F7"/>
    <w:rsid w:val="00241791"/>
    <w:rsid w:val="00241903"/>
    <w:rsid w:val="00241EEB"/>
    <w:rsid w:val="00242D4F"/>
    <w:rsid w:val="0024339B"/>
    <w:rsid w:val="002453B3"/>
    <w:rsid w:val="00246AC2"/>
    <w:rsid w:val="00247BE8"/>
    <w:rsid w:val="00250080"/>
    <w:rsid w:val="00251F4D"/>
    <w:rsid w:val="00252692"/>
    <w:rsid w:val="00253151"/>
    <w:rsid w:val="00253B41"/>
    <w:rsid w:val="00253BB2"/>
    <w:rsid w:val="00254F66"/>
    <w:rsid w:val="002579EF"/>
    <w:rsid w:val="00257F32"/>
    <w:rsid w:val="00257F65"/>
    <w:rsid w:val="00260117"/>
    <w:rsid w:val="002607D8"/>
    <w:rsid w:val="00261946"/>
    <w:rsid w:val="00261D55"/>
    <w:rsid w:val="0026320A"/>
    <w:rsid w:val="0026374F"/>
    <w:rsid w:val="00263F34"/>
    <w:rsid w:val="00266295"/>
    <w:rsid w:val="002710E0"/>
    <w:rsid w:val="002716CA"/>
    <w:rsid w:val="002720BD"/>
    <w:rsid w:val="002739CE"/>
    <w:rsid w:val="002749EF"/>
    <w:rsid w:val="0027534D"/>
    <w:rsid w:val="00276FBE"/>
    <w:rsid w:val="002770C0"/>
    <w:rsid w:val="00277CF8"/>
    <w:rsid w:val="002807EA"/>
    <w:rsid w:val="002808C6"/>
    <w:rsid w:val="00282318"/>
    <w:rsid w:val="00282549"/>
    <w:rsid w:val="002827BE"/>
    <w:rsid w:val="002828CA"/>
    <w:rsid w:val="00282CA7"/>
    <w:rsid w:val="0028467C"/>
    <w:rsid w:val="0028561D"/>
    <w:rsid w:val="00285DF4"/>
    <w:rsid w:val="0028603C"/>
    <w:rsid w:val="00286A7B"/>
    <w:rsid w:val="00290420"/>
    <w:rsid w:val="0029050C"/>
    <w:rsid w:val="002907A3"/>
    <w:rsid w:val="00290A1A"/>
    <w:rsid w:val="00292AAA"/>
    <w:rsid w:val="002942C1"/>
    <w:rsid w:val="00295290"/>
    <w:rsid w:val="002956E7"/>
    <w:rsid w:val="00296270"/>
    <w:rsid w:val="002979E8"/>
    <w:rsid w:val="002A0F91"/>
    <w:rsid w:val="002A2BF6"/>
    <w:rsid w:val="002A399D"/>
    <w:rsid w:val="002A4EE6"/>
    <w:rsid w:val="002A56CA"/>
    <w:rsid w:val="002A6385"/>
    <w:rsid w:val="002B0B45"/>
    <w:rsid w:val="002B1019"/>
    <w:rsid w:val="002B10A4"/>
    <w:rsid w:val="002B1E68"/>
    <w:rsid w:val="002B23B3"/>
    <w:rsid w:val="002B250F"/>
    <w:rsid w:val="002B390B"/>
    <w:rsid w:val="002B492A"/>
    <w:rsid w:val="002B4D0E"/>
    <w:rsid w:val="002B587A"/>
    <w:rsid w:val="002B6135"/>
    <w:rsid w:val="002B696B"/>
    <w:rsid w:val="002B7323"/>
    <w:rsid w:val="002B79F7"/>
    <w:rsid w:val="002B7BE7"/>
    <w:rsid w:val="002C15B0"/>
    <w:rsid w:val="002C2334"/>
    <w:rsid w:val="002C29F1"/>
    <w:rsid w:val="002C3355"/>
    <w:rsid w:val="002C3502"/>
    <w:rsid w:val="002C3CF4"/>
    <w:rsid w:val="002C555D"/>
    <w:rsid w:val="002C5B81"/>
    <w:rsid w:val="002C69D2"/>
    <w:rsid w:val="002C6A12"/>
    <w:rsid w:val="002C796E"/>
    <w:rsid w:val="002C7CA2"/>
    <w:rsid w:val="002D03D0"/>
    <w:rsid w:val="002D08D1"/>
    <w:rsid w:val="002D1916"/>
    <w:rsid w:val="002D1D1C"/>
    <w:rsid w:val="002D2AD9"/>
    <w:rsid w:val="002D2F48"/>
    <w:rsid w:val="002D3945"/>
    <w:rsid w:val="002D4374"/>
    <w:rsid w:val="002D447D"/>
    <w:rsid w:val="002D4B5D"/>
    <w:rsid w:val="002D68FD"/>
    <w:rsid w:val="002D6F45"/>
    <w:rsid w:val="002D74DE"/>
    <w:rsid w:val="002D7963"/>
    <w:rsid w:val="002E036B"/>
    <w:rsid w:val="002E2402"/>
    <w:rsid w:val="002E3DDF"/>
    <w:rsid w:val="002E5F8C"/>
    <w:rsid w:val="002E6632"/>
    <w:rsid w:val="002E74E6"/>
    <w:rsid w:val="002E792F"/>
    <w:rsid w:val="002E7E68"/>
    <w:rsid w:val="002F007D"/>
    <w:rsid w:val="002F024C"/>
    <w:rsid w:val="002F0C56"/>
    <w:rsid w:val="002F1DF3"/>
    <w:rsid w:val="002F2F95"/>
    <w:rsid w:val="002F3B40"/>
    <w:rsid w:val="002F3D3A"/>
    <w:rsid w:val="002F4B8C"/>
    <w:rsid w:val="002F4E9E"/>
    <w:rsid w:val="002F51AE"/>
    <w:rsid w:val="002F5BFE"/>
    <w:rsid w:val="002F5C9A"/>
    <w:rsid w:val="002F602B"/>
    <w:rsid w:val="002F6B78"/>
    <w:rsid w:val="002F6D67"/>
    <w:rsid w:val="002F756C"/>
    <w:rsid w:val="002F79E9"/>
    <w:rsid w:val="002F7D0C"/>
    <w:rsid w:val="00300A28"/>
    <w:rsid w:val="00302131"/>
    <w:rsid w:val="003028E7"/>
    <w:rsid w:val="00306125"/>
    <w:rsid w:val="00307294"/>
    <w:rsid w:val="00307B95"/>
    <w:rsid w:val="00307DAC"/>
    <w:rsid w:val="003115ED"/>
    <w:rsid w:val="00312D3D"/>
    <w:rsid w:val="0031337E"/>
    <w:rsid w:val="003133F8"/>
    <w:rsid w:val="00313E50"/>
    <w:rsid w:val="00315E7B"/>
    <w:rsid w:val="003177ED"/>
    <w:rsid w:val="00320453"/>
    <w:rsid w:val="00320BBC"/>
    <w:rsid w:val="00321523"/>
    <w:rsid w:val="003221F8"/>
    <w:rsid w:val="00322A13"/>
    <w:rsid w:val="00322D37"/>
    <w:rsid w:val="00323E46"/>
    <w:rsid w:val="00324DB1"/>
    <w:rsid w:val="00324EB6"/>
    <w:rsid w:val="003254CD"/>
    <w:rsid w:val="00326E38"/>
    <w:rsid w:val="0032776C"/>
    <w:rsid w:val="00327B25"/>
    <w:rsid w:val="00327BCA"/>
    <w:rsid w:val="0033187C"/>
    <w:rsid w:val="003330C9"/>
    <w:rsid w:val="00333E16"/>
    <w:rsid w:val="0033455E"/>
    <w:rsid w:val="00335D20"/>
    <w:rsid w:val="00336426"/>
    <w:rsid w:val="00336EC7"/>
    <w:rsid w:val="003375BD"/>
    <w:rsid w:val="003406EC"/>
    <w:rsid w:val="00340C63"/>
    <w:rsid w:val="00340F5A"/>
    <w:rsid w:val="0034214D"/>
    <w:rsid w:val="00343010"/>
    <w:rsid w:val="00343436"/>
    <w:rsid w:val="0034348B"/>
    <w:rsid w:val="00344EA3"/>
    <w:rsid w:val="00344F4A"/>
    <w:rsid w:val="003450F6"/>
    <w:rsid w:val="00347057"/>
    <w:rsid w:val="003478D1"/>
    <w:rsid w:val="0035067C"/>
    <w:rsid w:val="003507A7"/>
    <w:rsid w:val="0035271C"/>
    <w:rsid w:val="00352F6A"/>
    <w:rsid w:val="0035345A"/>
    <w:rsid w:val="00353CE8"/>
    <w:rsid w:val="003566A4"/>
    <w:rsid w:val="00356845"/>
    <w:rsid w:val="00356B89"/>
    <w:rsid w:val="003575AD"/>
    <w:rsid w:val="00360737"/>
    <w:rsid w:val="00362373"/>
    <w:rsid w:val="00362650"/>
    <w:rsid w:val="00362A6F"/>
    <w:rsid w:val="00362BCE"/>
    <w:rsid w:val="00362E12"/>
    <w:rsid w:val="003632F0"/>
    <w:rsid w:val="0036351D"/>
    <w:rsid w:val="00364071"/>
    <w:rsid w:val="00365190"/>
    <w:rsid w:val="00365444"/>
    <w:rsid w:val="0036661C"/>
    <w:rsid w:val="00366DB4"/>
    <w:rsid w:val="00370043"/>
    <w:rsid w:val="00370E8C"/>
    <w:rsid w:val="0037129A"/>
    <w:rsid w:val="00373687"/>
    <w:rsid w:val="003736F8"/>
    <w:rsid w:val="00374816"/>
    <w:rsid w:val="0037538B"/>
    <w:rsid w:val="003754F4"/>
    <w:rsid w:val="00377FAD"/>
    <w:rsid w:val="0038030D"/>
    <w:rsid w:val="00380CAD"/>
    <w:rsid w:val="003810AA"/>
    <w:rsid w:val="00381614"/>
    <w:rsid w:val="00382FDE"/>
    <w:rsid w:val="0038403D"/>
    <w:rsid w:val="003864AC"/>
    <w:rsid w:val="00386F97"/>
    <w:rsid w:val="0038737A"/>
    <w:rsid w:val="00387543"/>
    <w:rsid w:val="00387E5D"/>
    <w:rsid w:val="0039031F"/>
    <w:rsid w:val="003903DC"/>
    <w:rsid w:val="00390482"/>
    <w:rsid w:val="0039050E"/>
    <w:rsid w:val="003926CC"/>
    <w:rsid w:val="00392CAD"/>
    <w:rsid w:val="00393D01"/>
    <w:rsid w:val="00395E69"/>
    <w:rsid w:val="00396726"/>
    <w:rsid w:val="00396E68"/>
    <w:rsid w:val="003A0833"/>
    <w:rsid w:val="003A1607"/>
    <w:rsid w:val="003A199B"/>
    <w:rsid w:val="003A1BBF"/>
    <w:rsid w:val="003A2B5E"/>
    <w:rsid w:val="003A42D0"/>
    <w:rsid w:val="003A6383"/>
    <w:rsid w:val="003A7E37"/>
    <w:rsid w:val="003B0239"/>
    <w:rsid w:val="003B0268"/>
    <w:rsid w:val="003B0DA1"/>
    <w:rsid w:val="003B1585"/>
    <w:rsid w:val="003B188C"/>
    <w:rsid w:val="003B3138"/>
    <w:rsid w:val="003B4059"/>
    <w:rsid w:val="003B69FF"/>
    <w:rsid w:val="003B6E04"/>
    <w:rsid w:val="003B7A7B"/>
    <w:rsid w:val="003B7E90"/>
    <w:rsid w:val="003C00A0"/>
    <w:rsid w:val="003C1E98"/>
    <w:rsid w:val="003C434D"/>
    <w:rsid w:val="003C491C"/>
    <w:rsid w:val="003C4A92"/>
    <w:rsid w:val="003C5510"/>
    <w:rsid w:val="003C5B60"/>
    <w:rsid w:val="003D00F7"/>
    <w:rsid w:val="003D04FC"/>
    <w:rsid w:val="003D17B2"/>
    <w:rsid w:val="003D34F0"/>
    <w:rsid w:val="003D3720"/>
    <w:rsid w:val="003D37EB"/>
    <w:rsid w:val="003D3AFD"/>
    <w:rsid w:val="003D50FD"/>
    <w:rsid w:val="003D5754"/>
    <w:rsid w:val="003D581B"/>
    <w:rsid w:val="003D659E"/>
    <w:rsid w:val="003D744A"/>
    <w:rsid w:val="003D7C62"/>
    <w:rsid w:val="003D7DDA"/>
    <w:rsid w:val="003E00EB"/>
    <w:rsid w:val="003E11AB"/>
    <w:rsid w:val="003E434A"/>
    <w:rsid w:val="003E4E12"/>
    <w:rsid w:val="003E587F"/>
    <w:rsid w:val="003E6198"/>
    <w:rsid w:val="003E6210"/>
    <w:rsid w:val="003E6A90"/>
    <w:rsid w:val="003F065F"/>
    <w:rsid w:val="003F17E1"/>
    <w:rsid w:val="003F1919"/>
    <w:rsid w:val="003F1B2C"/>
    <w:rsid w:val="003F256C"/>
    <w:rsid w:val="003F2E18"/>
    <w:rsid w:val="003F3FD9"/>
    <w:rsid w:val="003F45A6"/>
    <w:rsid w:val="003F4C01"/>
    <w:rsid w:val="003F5176"/>
    <w:rsid w:val="003F5401"/>
    <w:rsid w:val="003F65DD"/>
    <w:rsid w:val="003F6A4A"/>
    <w:rsid w:val="003F775E"/>
    <w:rsid w:val="003F7E7D"/>
    <w:rsid w:val="004001BE"/>
    <w:rsid w:val="00400DD0"/>
    <w:rsid w:val="004013AE"/>
    <w:rsid w:val="00401C42"/>
    <w:rsid w:val="00402AF6"/>
    <w:rsid w:val="004056BE"/>
    <w:rsid w:val="004059A4"/>
    <w:rsid w:val="00406607"/>
    <w:rsid w:val="00406931"/>
    <w:rsid w:val="004073B2"/>
    <w:rsid w:val="004074EA"/>
    <w:rsid w:val="0040762A"/>
    <w:rsid w:val="0040791B"/>
    <w:rsid w:val="0041020C"/>
    <w:rsid w:val="0041058E"/>
    <w:rsid w:val="00411BA9"/>
    <w:rsid w:val="00413219"/>
    <w:rsid w:val="004138A9"/>
    <w:rsid w:val="004149AA"/>
    <w:rsid w:val="004152C0"/>
    <w:rsid w:val="004153B7"/>
    <w:rsid w:val="004159B0"/>
    <w:rsid w:val="004179ED"/>
    <w:rsid w:val="00420421"/>
    <w:rsid w:val="0042230B"/>
    <w:rsid w:val="0042321B"/>
    <w:rsid w:val="004249CC"/>
    <w:rsid w:val="004260AB"/>
    <w:rsid w:val="0042638D"/>
    <w:rsid w:val="0042770A"/>
    <w:rsid w:val="00427811"/>
    <w:rsid w:val="004325C0"/>
    <w:rsid w:val="00433828"/>
    <w:rsid w:val="00433F23"/>
    <w:rsid w:val="004341CC"/>
    <w:rsid w:val="0043470A"/>
    <w:rsid w:val="0043491C"/>
    <w:rsid w:val="00435140"/>
    <w:rsid w:val="00435CA2"/>
    <w:rsid w:val="00437050"/>
    <w:rsid w:val="00440478"/>
    <w:rsid w:val="00440673"/>
    <w:rsid w:val="00442178"/>
    <w:rsid w:val="00442B2B"/>
    <w:rsid w:val="004435F8"/>
    <w:rsid w:val="00444A0A"/>
    <w:rsid w:val="00445900"/>
    <w:rsid w:val="00446164"/>
    <w:rsid w:val="00446CDE"/>
    <w:rsid w:val="00446D26"/>
    <w:rsid w:val="00447EA7"/>
    <w:rsid w:val="0045034F"/>
    <w:rsid w:val="00450685"/>
    <w:rsid w:val="00450BB4"/>
    <w:rsid w:val="00452165"/>
    <w:rsid w:val="00452224"/>
    <w:rsid w:val="00453E9D"/>
    <w:rsid w:val="00454242"/>
    <w:rsid w:val="004543FA"/>
    <w:rsid w:val="00454785"/>
    <w:rsid w:val="00454D44"/>
    <w:rsid w:val="00454EE4"/>
    <w:rsid w:val="004555C1"/>
    <w:rsid w:val="0045575D"/>
    <w:rsid w:val="00455DFB"/>
    <w:rsid w:val="00455F3B"/>
    <w:rsid w:val="00460C0D"/>
    <w:rsid w:val="0046296E"/>
    <w:rsid w:val="00465178"/>
    <w:rsid w:val="00465F6B"/>
    <w:rsid w:val="004661C6"/>
    <w:rsid w:val="00466491"/>
    <w:rsid w:val="00467D90"/>
    <w:rsid w:val="004708CC"/>
    <w:rsid w:val="00471123"/>
    <w:rsid w:val="00471944"/>
    <w:rsid w:val="00471FF4"/>
    <w:rsid w:val="0047289E"/>
    <w:rsid w:val="00474400"/>
    <w:rsid w:val="00474DA2"/>
    <w:rsid w:val="00475636"/>
    <w:rsid w:val="00475F99"/>
    <w:rsid w:val="00476384"/>
    <w:rsid w:val="004763C1"/>
    <w:rsid w:val="004765CD"/>
    <w:rsid w:val="004774AC"/>
    <w:rsid w:val="00477596"/>
    <w:rsid w:val="00481478"/>
    <w:rsid w:val="004829F4"/>
    <w:rsid w:val="00482E04"/>
    <w:rsid w:val="00483908"/>
    <w:rsid w:val="00484D74"/>
    <w:rsid w:val="004907A5"/>
    <w:rsid w:val="00490BF4"/>
    <w:rsid w:val="00491463"/>
    <w:rsid w:val="00491962"/>
    <w:rsid w:val="00492506"/>
    <w:rsid w:val="0049297C"/>
    <w:rsid w:val="00493268"/>
    <w:rsid w:val="004936BD"/>
    <w:rsid w:val="00493791"/>
    <w:rsid w:val="00496CD8"/>
    <w:rsid w:val="00497237"/>
    <w:rsid w:val="00497A7D"/>
    <w:rsid w:val="004A17FC"/>
    <w:rsid w:val="004A187F"/>
    <w:rsid w:val="004A1A53"/>
    <w:rsid w:val="004A1EDE"/>
    <w:rsid w:val="004A2C40"/>
    <w:rsid w:val="004A2EAD"/>
    <w:rsid w:val="004A3E74"/>
    <w:rsid w:val="004A4218"/>
    <w:rsid w:val="004A4E55"/>
    <w:rsid w:val="004A4FD5"/>
    <w:rsid w:val="004A51F6"/>
    <w:rsid w:val="004A53EA"/>
    <w:rsid w:val="004A5C40"/>
    <w:rsid w:val="004A66ED"/>
    <w:rsid w:val="004A6735"/>
    <w:rsid w:val="004A721E"/>
    <w:rsid w:val="004B00E4"/>
    <w:rsid w:val="004B07AA"/>
    <w:rsid w:val="004B2E82"/>
    <w:rsid w:val="004B37AB"/>
    <w:rsid w:val="004B43D5"/>
    <w:rsid w:val="004B4DA4"/>
    <w:rsid w:val="004B53BD"/>
    <w:rsid w:val="004B559D"/>
    <w:rsid w:val="004B5B74"/>
    <w:rsid w:val="004B5DA2"/>
    <w:rsid w:val="004B6E79"/>
    <w:rsid w:val="004B79F7"/>
    <w:rsid w:val="004C0661"/>
    <w:rsid w:val="004C0EE7"/>
    <w:rsid w:val="004C1050"/>
    <w:rsid w:val="004C26F9"/>
    <w:rsid w:val="004C3CAA"/>
    <w:rsid w:val="004C5C87"/>
    <w:rsid w:val="004C7389"/>
    <w:rsid w:val="004D0F26"/>
    <w:rsid w:val="004D18BA"/>
    <w:rsid w:val="004D1CD6"/>
    <w:rsid w:val="004D1D67"/>
    <w:rsid w:val="004D1F7D"/>
    <w:rsid w:val="004D210C"/>
    <w:rsid w:val="004D2AF6"/>
    <w:rsid w:val="004D4C3C"/>
    <w:rsid w:val="004D524F"/>
    <w:rsid w:val="004D5544"/>
    <w:rsid w:val="004D5615"/>
    <w:rsid w:val="004D69D4"/>
    <w:rsid w:val="004E029A"/>
    <w:rsid w:val="004E02F7"/>
    <w:rsid w:val="004E09D0"/>
    <w:rsid w:val="004E0B8A"/>
    <w:rsid w:val="004E1F10"/>
    <w:rsid w:val="004E2251"/>
    <w:rsid w:val="004E2416"/>
    <w:rsid w:val="004E32E0"/>
    <w:rsid w:val="004E3806"/>
    <w:rsid w:val="004E46A1"/>
    <w:rsid w:val="004E4D6E"/>
    <w:rsid w:val="004E6836"/>
    <w:rsid w:val="004E6933"/>
    <w:rsid w:val="004E75C0"/>
    <w:rsid w:val="004F0653"/>
    <w:rsid w:val="004F0B77"/>
    <w:rsid w:val="004F0BD6"/>
    <w:rsid w:val="004F15C4"/>
    <w:rsid w:val="004F430E"/>
    <w:rsid w:val="004F46CF"/>
    <w:rsid w:val="004F6AE1"/>
    <w:rsid w:val="004F7191"/>
    <w:rsid w:val="004F72D9"/>
    <w:rsid w:val="004F74BF"/>
    <w:rsid w:val="004F7693"/>
    <w:rsid w:val="005003D2"/>
    <w:rsid w:val="005007A7"/>
    <w:rsid w:val="00500843"/>
    <w:rsid w:val="005008FF"/>
    <w:rsid w:val="005027C5"/>
    <w:rsid w:val="0050280C"/>
    <w:rsid w:val="00503408"/>
    <w:rsid w:val="00503424"/>
    <w:rsid w:val="0050390D"/>
    <w:rsid w:val="005043A7"/>
    <w:rsid w:val="00504E46"/>
    <w:rsid w:val="00505DD5"/>
    <w:rsid w:val="0050612C"/>
    <w:rsid w:val="00506292"/>
    <w:rsid w:val="00506E78"/>
    <w:rsid w:val="005071E3"/>
    <w:rsid w:val="0051061F"/>
    <w:rsid w:val="00511701"/>
    <w:rsid w:val="00513208"/>
    <w:rsid w:val="00513E74"/>
    <w:rsid w:val="00514118"/>
    <w:rsid w:val="00515111"/>
    <w:rsid w:val="00515397"/>
    <w:rsid w:val="00515CD0"/>
    <w:rsid w:val="00515D96"/>
    <w:rsid w:val="00515F93"/>
    <w:rsid w:val="005165B1"/>
    <w:rsid w:val="005202B8"/>
    <w:rsid w:val="0052044E"/>
    <w:rsid w:val="00521704"/>
    <w:rsid w:val="0052451F"/>
    <w:rsid w:val="00524A97"/>
    <w:rsid w:val="00524B6D"/>
    <w:rsid w:val="00524CB2"/>
    <w:rsid w:val="00526D87"/>
    <w:rsid w:val="0052795A"/>
    <w:rsid w:val="00527EF8"/>
    <w:rsid w:val="00530899"/>
    <w:rsid w:val="005309DE"/>
    <w:rsid w:val="00531624"/>
    <w:rsid w:val="005326AC"/>
    <w:rsid w:val="00532A9F"/>
    <w:rsid w:val="00533F0A"/>
    <w:rsid w:val="00535368"/>
    <w:rsid w:val="00535D67"/>
    <w:rsid w:val="00535F72"/>
    <w:rsid w:val="005363FB"/>
    <w:rsid w:val="00537C65"/>
    <w:rsid w:val="005400AA"/>
    <w:rsid w:val="00540544"/>
    <w:rsid w:val="00541579"/>
    <w:rsid w:val="0054216C"/>
    <w:rsid w:val="0054385F"/>
    <w:rsid w:val="00546037"/>
    <w:rsid w:val="00546578"/>
    <w:rsid w:val="00546920"/>
    <w:rsid w:val="00547010"/>
    <w:rsid w:val="0054732A"/>
    <w:rsid w:val="005479E3"/>
    <w:rsid w:val="00547AB1"/>
    <w:rsid w:val="00547C90"/>
    <w:rsid w:val="0055128E"/>
    <w:rsid w:val="005519BC"/>
    <w:rsid w:val="00551BBC"/>
    <w:rsid w:val="005544A7"/>
    <w:rsid w:val="00554DF2"/>
    <w:rsid w:val="00555419"/>
    <w:rsid w:val="00555B99"/>
    <w:rsid w:val="00555ECD"/>
    <w:rsid w:val="00556A54"/>
    <w:rsid w:val="005579F1"/>
    <w:rsid w:val="0056113C"/>
    <w:rsid w:val="00563818"/>
    <w:rsid w:val="0056438A"/>
    <w:rsid w:val="005648D0"/>
    <w:rsid w:val="005650CE"/>
    <w:rsid w:val="0056546D"/>
    <w:rsid w:val="00566B54"/>
    <w:rsid w:val="00567FE0"/>
    <w:rsid w:val="00570F53"/>
    <w:rsid w:val="00571AAE"/>
    <w:rsid w:val="00571D36"/>
    <w:rsid w:val="0057271A"/>
    <w:rsid w:val="00572A99"/>
    <w:rsid w:val="005730F2"/>
    <w:rsid w:val="00573278"/>
    <w:rsid w:val="00574AC1"/>
    <w:rsid w:val="00575B88"/>
    <w:rsid w:val="005818ED"/>
    <w:rsid w:val="005820F2"/>
    <w:rsid w:val="005829F5"/>
    <w:rsid w:val="00582B18"/>
    <w:rsid w:val="00583E2A"/>
    <w:rsid w:val="00585006"/>
    <w:rsid w:val="00587170"/>
    <w:rsid w:val="00590EB9"/>
    <w:rsid w:val="00592578"/>
    <w:rsid w:val="005951F1"/>
    <w:rsid w:val="00596064"/>
    <w:rsid w:val="00597149"/>
    <w:rsid w:val="00597C5F"/>
    <w:rsid w:val="005A15D7"/>
    <w:rsid w:val="005A1C7D"/>
    <w:rsid w:val="005A3EC0"/>
    <w:rsid w:val="005A3FA3"/>
    <w:rsid w:val="005A41EB"/>
    <w:rsid w:val="005A4D23"/>
    <w:rsid w:val="005A4DC4"/>
    <w:rsid w:val="005A4EC5"/>
    <w:rsid w:val="005A5030"/>
    <w:rsid w:val="005A6AA7"/>
    <w:rsid w:val="005B002C"/>
    <w:rsid w:val="005B1378"/>
    <w:rsid w:val="005B1A29"/>
    <w:rsid w:val="005B2209"/>
    <w:rsid w:val="005B23BB"/>
    <w:rsid w:val="005B244A"/>
    <w:rsid w:val="005B341B"/>
    <w:rsid w:val="005B34EC"/>
    <w:rsid w:val="005B439A"/>
    <w:rsid w:val="005B448E"/>
    <w:rsid w:val="005B4FCA"/>
    <w:rsid w:val="005B55BE"/>
    <w:rsid w:val="005B5697"/>
    <w:rsid w:val="005B5DA4"/>
    <w:rsid w:val="005B64D1"/>
    <w:rsid w:val="005B77DC"/>
    <w:rsid w:val="005B7C6F"/>
    <w:rsid w:val="005C0D8E"/>
    <w:rsid w:val="005C1E60"/>
    <w:rsid w:val="005C2084"/>
    <w:rsid w:val="005C2794"/>
    <w:rsid w:val="005C27BA"/>
    <w:rsid w:val="005C45A6"/>
    <w:rsid w:val="005C460E"/>
    <w:rsid w:val="005C48C5"/>
    <w:rsid w:val="005C4BFD"/>
    <w:rsid w:val="005C4DA9"/>
    <w:rsid w:val="005C5643"/>
    <w:rsid w:val="005C5921"/>
    <w:rsid w:val="005D0787"/>
    <w:rsid w:val="005D0AB8"/>
    <w:rsid w:val="005D2168"/>
    <w:rsid w:val="005D21D2"/>
    <w:rsid w:val="005D293D"/>
    <w:rsid w:val="005D2E2F"/>
    <w:rsid w:val="005D350D"/>
    <w:rsid w:val="005D3E08"/>
    <w:rsid w:val="005D41F0"/>
    <w:rsid w:val="005D46CB"/>
    <w:rsid w:val="005D5A89"/>
    <w:rsid w:val="005D5B18"/>
    <w:rsid w:val="005D69C0"/>
    <w:rsid w:val="005E0AA5"/>
    <w:rsid w:val="005E0B67"/>
    <w:rsid w:val="005E0B8C"/>
    <w:rsid w:val="005E14BE"/>
    <w:rsid w:val="005E14FA"/>
    <w:rsid w:val="005E1B36"/>
    <w:rsid w:val="005E209D"/>
    <w:rsid w:val="005E21C9"/>
    <w:rsid w:val="005E2B4D"/>
    <w:rsid w:val="005E4112"/>
    <w:rsid w:val="005E5A82"/>
    <w:rsid w:val="005E6817"/>
    <w:rsid w:val="005E7F96"/>
    <w:rsid w:val="005F0677"/>
    <w:rsid w:val="005F1D40"/>
    <w:rsid w:val="005F2A8C"/>
    <w:rsid w:val="005F3CE3"/>
    <w:rsid w:val="005F40E9"/>
    <w:rsid w:val="005F559A"/>
    <w:rsid w:val="005F6059"/>
    <w:rsid w:val="005F6644"/>
    <w:rsid w:val="005F68E1"/>
    <w:rsid w:val="005F7433"/>
    <w:rsid w:val="005F7F89"/>
    <w:rsid w:val="0060000E"/>
    <w:rsid w:val="00600530"/>
    <w:rsid w:val="006009DA"/>
    <w:rsid w:val="00600AF3"/>
    <w:rsid w:val="00600C3A"/>
    <w:rsid w:val="00601B0E"/>
    <w:rsid w:val="006027E7"/>
    <w:rsid w:val="006029AD"/>
    <w:rsid w:val="006030EB"/>
    <w:rsid w:val="00603649"/>
    <w:rsid w:val="00604FAF"/>
    <w:rsid w:val="00605205"/>
    <w:rsid w:val="006058FC"/>
    <w:rsid w:val="00605B90"/>
    <w:rsid w:val="006061C0"/>
    <w:rsid w:val="006062CA"/>
    <w:rsid w:val="00606AF3"/>
    <w:rsid w:val="00610D90"/>
    <w:rsid w:val="00612955"/>
    <w:rsid w:val="00613107"/>
    <w:rsid w:val="006143F0"/>
    <w:rsid w:val="006146B3"/>
    <w:rsid w:val="0061535A"/>
    <w:rsid w:val="00615E5F"/>
    <w:rsid w:val="0061677D"/>
    <w:rsid w:val="0061682F"/>
    <w:rsid w:val="006169F1"/>
    <w:rsid w:val="00617D77"/>
    <w:rsid w:val="00617DC7"/>
    <w:rsid w:val="006204AA"/>
    <w:rsid w:val="00622ACC"/>
    <w:rsid w:val="0062369E"/>
    <w:rsid w:val="00623BC7"/>
    <w:rsid w:val="0062414C"/>
    <w:rsid w:val="006243BB"/>
    <w:rsid w:val="00624AAD"/>
    <w:rsid w:val="006271BB"/>
    <w:rsid w:val="00627366"/>
    <w:rsid w:val="00627844"/>
    <w:rsid w:val="00630665"/>
    <w:rsid w:val="00630FB3"/>
    <w:rsid w:val="006317BF"/>
    <w:rsid w:val="006320F3"/>
    <w:rsid w:val="00632197"/>
    <w:rsid w:val="00632FDC"/>
    <w:rsid w:val="0063462D"/>
    <w:rsid w:val="00634B7C"/>
    <w:rsid w:val="00635A28"/>
    <w:rsid w:val="00635D45"/>
    <w:rsid w:val="00636A4D"/>
    <w:rsid w:val="00637459"/>
    <w:rsid w:val="00640327"/>
    <w:rsid w:val="0064099F"/>
    <w:rsid w:val="00640D4A"/>
    <w:rsid w:val="00641144"/>
    <w:rsid w:val="00642428"/>
    <w:rsid w:val="006446E7"/>
    <w:rsid w:val="00645F3E"/>
    <w:rsid w:val="0064607F"/>
    <w:rsid w:val="00646091"/>
    <w:rsid w:val="00646312"/>
    <w:rsid w:val="00646C67"/>
    <w:rsid w:val="0064787D"/>
    <w:rsid w:val="00647F47"/>
    <w:rsid w:val="0065142B"/>
    <w:rsid w:val="006518D5"/>
    <w:rsid w:val="00653515"/>
    <w:rsid w:val="0065416E"/>
    <w:rsid w:val="0065480A"/>
    <w:rsid w:val="00654C2D"/>
    <w:rsid w:val="00656562"/>
    <w:rsid w:val="00661DF0"/>
    <w:rsid w:val="00663821"/>
    <w:rsid w:val="00664A77"/>
    <w:rsid w:val="006653B9"/>
    <w:rsid w:val="0066728D"/>
    <w:rsid w:val="0066759E"/>
    <w:rsid w:val="00667D31"/>
    <w:rsid w:val="006701DB"/>
    <w:rsid w:val="006702A9"/>
    <w:rsid w:val="006719AA"/>
    <w:rsid w:val="00672B9D"/>
    <w:rsid w:val="00673FBA"/>
    <w:rsid w:val="00674953"/>
    <w:rsid w:val="00675C46"/>
    <w:rsid w:val="00675D28"/>
    <w:rsid w:val="00675F0B"/>
    <w:rsid w:val="006765E2"/>
    <w:rsid w:val="00676A56"/>
    <w:rsid w:val="00676F68"/>
    <w:rsid w:val="00680319"/>
    <w:rsid w:val="00680900"/>
    <w:rsid w:val="00681933"/>
    <w:rsid w:val="00684648"/>
    <w:rsid w:val="0068595E"/>
    <w:rsid w:val="006860B3"/>
    <w:rsid w:val="006862E4"/>
    <w:rsid w:val="00687C00"/>
    <w:rsid w:val="00690A52"/>
    <w:rsid w:val="00690E24"/>
    <w:rsid w:val="006920CA"/>
    <w:rsid w:val="00692C90"/>
    <w:rsid w:val="006946B3"/>
    <w:rsid w:val="00694923"/>
    <w:rsid w:val="00694BD6"/>
    <w:rsid w:val="006950D8"/>
    <w:rsid w:val="00695AD1"/>
    <w:rsid w:val="006961A4"/>
    <w:rsid w:val="00696475"/>
    <w:rsid w:val="00697946"/>
    <w:rsid w:val="006A0339"/>
    <w:rsid w:val="006A037B"/>
    <w:rsid w:val="006A0EF2"/>
    <w:rsid w:val="006A378B"/>
    <w:rsid w:val="006A4D20"/>
    <w:rsid w:val="006A5650"/>
    <w:rsid w:val="006A5683"/>
    <w:rsid w:val="006A5DA7"/>
    <w:rsid w:val="006A6134"/>
    <w:rsid w:val="006A65DC"/>
    <w:rsid w:val="006A6D24"/>
    <w:rsid w:val="006A6DD3"/>
    <w:rsid w:val="006B3676"/>
    <w:rsid w:val="006B3EBA"/>
    <w:rsid w:val="006B45B0"/>
    <w:rsid w:val="006B4C09"/>
    <w:rsid w:val="006C036F"/>
    <w:rsid w:val="006C0A42"/>
    <w:rsid w:val="006C0E36"/>
    <w:rsid w:val="006C1A4E"/>
    <w:rsid w:val="006C2FCA"/>
    <w:rsid w:val="006C425F"/>
    <w:rsid w:val="006C4487"/>
    <w:rsid w:val="006C45A9"/>
    <w:rsid w:val="006C4D97"/>
    <w:rsid w:val="006C4E8B"/>
    <w:rsid w:val="006C50F8"/>
    <w:rsid w:val="006C51FE"/>
    <w:rsid w:val="006C6241"/>
    <w:rsid w:val="006C7884"/>
    <w:rsid w:val="006C7B63"/>
    <w:rsid w:val="006C7CCE"/>
    <w:rsid w:val="006D0952"/>
    <w:rsid w:val="006D11FF"/>
    <w:rsid w:val="006D1A24"/>
    <w:rsid w:val="006D1DF6"/>
    <w:rsid w:val="006D1FE8"/>
    <w:rsid w:val="006D296A"/>
    <w:rsid w:val="006D2C18"/>
    <w:rsid w:val="006D31C6"/>
    <w:rsid w:val="006D3F79"/>
    <w:rsid w:val="006D4917"/>
    <w:rsid w:val="006D5509"/>
    <w:rsid w:val="006D5F9E"/>
    <w:rsid w:val="006D7A07"/>
    <w:rsid w:val="006E01FF"/>
    <w:rsid w:val="006E07EB"/>
    <w:rsid w:val="006E0D15"/>
    <w:rsid w:val="006E18F2"/>
    <w:rsid w:val="006E20F6"/>
    <w:rsid w:val="006E29BD"/>
    <w:rsid w:val="006E47DE"/>
    <w:rsid w:val="006E47FD"/>
    <w:rsid w:val="006E55F4"/>
    <w:rsid w:val="006E639B"/>
    <w:rsid w:val="006E66A5"/>
    <w:rsid w:val="006E6E4B"/>
    <w:rsid w:val="006E7CE0"/>
    <w:rsid w:val="006E7D99"/>
    <w:rsid w:val="006F1AE5"/>
    <w:rsid w:val="006F211D"/>
    <w:rsid w:val="006F452A"/>
    <w:rsid w:val="006F4FB8"/>
    <w:rsid w:val="006F6FCD"/>
    <w:rsid w:val="006F7509"/>
    <w:rsid w:val="00700DFB"/>
    <w:rsid w:val="00700FCA"/>
    <w:rsid w:val="007026B2"/>
    <w:rsid w:val="0070337E"/>
    <w:rsid w:val="0070378A"/>
    <w:rsid w:val="007069A3"/>
    <w:rsid w:val="00706A87"/>
    <w:rsid w:val="00710CE3"/>
    <w:rsid w:val="00713800"/>
    <w:rsid w:val="00713918"/>
    <w:rsid w:val="0071542E"/>
    <w:rsid w:val="00715D1A"/>
    <w:rsid w:val="00716B77"/>
    <w:rsid w:val="007171E0"/>
    <w:rsid w:val="00717B40"/>
    <w:rsid w:val="0072091C"/>
    <w:rsid w:val="00720DFD"/>
    <w:rsid w:val="00721300"/>
    <w:rsid w:val="00722BE9"/>
    <w:rsid w:val="00723A77"/>
    <w:rsid w:val="00730BA8"/>
    <w:rsid w:val="007311B0"/>
    <w:rsid w:val="00731428"/>
    <w:rsid w:val="0073224C"/>
    <w:rsid w:val="0073313C"/>
    <w:rsid w:val="00735691"/>
    <w:rsid w:val="00736B69"/>
    <w:rsid w:val="00736E26"/>
    <w:rsid w:val="007377D4"/>
    <w:rsid w:val="00737A86"/>
    <w:rsid w:val="00737CCD"/>
    <w:rsid w:val="00740584"/>
    <w:rsid w:val="0074195A"/>
    <w:rsid w:val="007429CD"/>
    <w:rsid w:val="00742E8E"/>
    <w:rsid w:val="0074315A"/>
    <w:rsid w:val="007447C9"/>
    <w:rsid w:val="00745887"/>
    <w:rsid w:val="0074694F"/>
    <w:rsid w:val="00746D0B"/>
    <w:rsid w:val="00750CFF"/>
    <w:rsid w:val="0075154B"/>
    <w:rsid w:val="00751876"/>
    <w:rsid w:val="00751F5D"/>
    <w:rsid w:val="00752857"/>
    <w:rsid w:val="007530F6"/>
    <w:rsid w:val="0075554A"/>
    <w:rsid w:val="007557BA"/>
    <w:rsid w:val="007566D9"/>
    <w:rsid w:val="00756C08"/>
    <w:rsid w:val="0075771F"/>
    <w:rsid w:val="007577B9"/>
    <w:rsid w:val="0076100B"/>
    <w:rsid w:val="00761404"/>
    <w:rsid w:val="00761A0C"/>
    <w:rsid w:val="0076310D"/>
    <w:rsid w:val="00763BB2"/>
    <w:rsid w:val="00764718"/>
    <w:rsid w:val="00765CC2"/>
    <w:rsid w:val="00766041"/>
    <w:rsid w:val="0076607C"/>
    <w:rsid w:val="00773206"/>
    <w:rsid w:val="0077378C"/>
    <w:rsid w:val="0077427D"/>
    <w:rsid w:val="00774372"/>
    <w:rsid w:val="00774523"/>
    <w:rsid w:val="00774EDB"/>
    <w:rsid w:val="00775BAC"/>
    <w:rsid w:val="00777841"/>
    <w:rsid w:val="00777930"/>
    <w:rsid w:val="0078057E"/>
    <w:rsid w:val="00781448"/>
    <w:rsid w:val="007842C0"/>
    <w:rsid w:val="00784832"/>
    <w:rsid w:val="00784895"/>
    <w:rsid w:val="007854F9"/>
    <w:rsid w:val="00785581"/>
    <w:rsid w:val="00785802"/>
    <w:rsid w:val="00790986"/>
    <w:rsid w:val="00790D1C"/>
    <w:rsid w:val="00791590"/>
    <w:rsid w:val="00791AC8"/>
    <w:rsid w:val="00791BE8"/>
    <w:rsid w:val="00792735"/>
    <w:rsid w:val="00794896"/>
    <w:rsid w:val="00794EF3"/>
    <w:rsid w:val="007952EE"/>
    <w:rsid w:val="00795599"/>
    <w:rsid w:val="00797C5A"/>
    <w:rsid w:val="007A2276"/>
    <w:rsid w:val="007A422E"/>
    <w:rsid w:val="007A5842"/>
    <w:rsid w:val="007A6572"/>
    <w:rsid w:val="007A6BE7"/>
    <w:rsid w:val="007A7150"/>
    <w:rsid w:val="007B046F"/>
    <w:rsid w:val="007B0D92"/>
    <w:rsid w:val="007B173C"/>
    <w:rsid w:val="007B1C85"/>
    <w:rsid w:val="007B1D52"/>
    <w:rsid w:val="007B222F"/>
    <w:rsid w:val="007B2E2A"/>
    <w:rsid w:val="007B3023"/>
    <w:rsid w:val="007B323B"/>
    <w:rsid w:val="007B587D"/>
    <w:rsid w:val="007B5B48"/>
    <w:rsid w:val="007B5E07"/>
    <w:rsid w:val="007B631B"/>
    <w:rsid w:val="007B73DF"/>
    <w:rsid w:val="007B7B7C"/>
    <w:rsid w:val="007C082F"/>
    <w:rsid w:val="007C0BE8"/>
    <w:rsid w:val="007C0E01"/>
    <w:rsid w:val="007C1D13"/>
    <w:rsid w:val="007C1D85"/>
    <w:rsid w:val="007C2979"/>
    <w:rsid w:val="007C2FC8"/>
    <w:rsid w:val="007C4C85"/>
    <w:rsid w:val="007C5802"/>
    <w:rsid w:val="007C67B1"/>
    <w:rsid w:val="007C6F4F"/>
    <w:rsid w:val="007C74EF"/>
    <w:rsid w:val="007D1278"/>
    <w:rsid w:val="007D152B"/>
    <w:rsid w:val="007D1BD1"/>
    <w:rsid w:val="007D1CBF"/>
    <w:rsid w:val="007D1F42"/>
    <w:rsid w:val="007D29FB"/>
    <w:rsid w:val="007D309A"/>
    <w:rsid w:val="007D3415"/>
    <w:rsid w:val="007D3840"/>
    <w:rsid w:val="007D3DCB"/>
    <w:rsid w:val="007D46BC"/>
    <w:rsid w:val="007D48AE"/>
    <w:rsid w:val="007D6B1F"/>
    <w:rsid w:val="007D7BAF"/>
    <w:rsid w:val="007E08A1"/>
    <w:rsid w:val="007E0EC9"/>
    <w:rsid w:val="007E0FF8"/>
    <w:rsid w:val="007E2980"/>
    <w:rsid w:val="007E451A"/>
    <w:rsid w:val="007E5412"/>
    <w:rsid w:val="007E589D"/>
    <w:rsid w:val="007E64DA"/>
    <w:rsid w:val="007E7649"/>
    <w:rsid w:val="007E76F6"/>
    <w:rsid w:val="007E7C51"/>
    <w:rsid w:val="007E7F86"/>
    <w:rsid w:val="007F043A"/>
    <w:rsid w:val="007F1ABB"/>
    <w:rsid w:val="007F24DB"/>
    <w:rsid w:val="007F34B7"/>
    <w:rsid w:val="007F45F2"/>
    <w:rsid w:val="007F4B5C"/>
    <w:rsid w:val="007F50D2"/>
    <w:rsid w:val="007F5D4E"/>
    <w:rsid w:val="007F7954"/>
    <w:rsid w:val="007F7DC1"/>
    <w:rsid w:val="007F7F4D"/>
    <w:rsid w:val="00800908"/>
    <w:rsid w:val="00800D1A"/>
    <w:rsid w:val="00802781"/>
    <w:rsid w:val="008033D9"/>
    <w:rsid w:val="0080567C"/>
    <w:rsid w:val="00806478"/>
    <w:rsid w:val="00807497"/>
    <w:rsid w:val="008079AA"/>
    <w:rsid w:val="008079C4"/>
    <w:rsid w:val="00811C2A"/>
    <w:rsid w:val="008142EA"/>
    <w:rsid w:val="00814D5F"/>
    <w:rsid w:val="0081534D"/>
    <w:rsid w:val="00816242"/>
    <w:rsid w:val="00816895"/>
    <w:rsid w:val="0081746F"/>
    <w:rsid w:val="00817590"/>
    <w:rsid w:val="00820BBF"/>
    <w:rsid w:val="00820D03"/>
    <w:rsid w:val="00820D64"/>
    <w:rsid w:val="008214F8"/>
    <w:rsid w:val="00823E68"/>
    <w:rsid w:val="00823F35"/>
    <w:rsid w:val="00824BE7"/>
    <w:rsid w:val="00830251"/>
    <w:rsid w:val="008321B6"/>
    <w:rsid w:val="008321F4"/>
    <w:rsid w:val="0083241E"/>
    <w:rsid w:val="008324EC"/>
    <w:rsid w:val="0083271C"/>
    <w:rsid w:val="00832967"/>
    <w:rsid w:val="008343D0"/>
    <w:rsid w:val="008357DD"/>
    <w:rsid w:val="00835AC1"/>
    <w:rsid w:val="00835EE7"/>
    <w:rsid w:val="00835F82"/>
    <w:rsid w:val="00836054"/>
    <w:rsid w:val="0083661F"/>
    <w:rsid w:val="008366B5"/>
    <w:rsid w:val="00837109"/>
    <w:rsid w:val="00837979"/>
    <w:rsid w:val="00837D83"/>
    <w:rsid w:val="00837DE1"/>
    <w:rsid w:val="00837F3B"/>
    <w:rsid w:val="00840170"/>
    <w:rsid w:val="00840496"/>
    <w:rsid w:val="00840806"/>
    <w:rsid w:val="008419B4"/>
    <w:rsid w:val="008420C1"/>
    <w:rsid w:val="00843693"/>
    <w:rsid w:val="00843951"/>
    <w:rsid w:val="0084459E"/>
    <w:rsid w:val="00844EE2"/>
    <w:rsid w:val="008453BC"/>
    <w:rsid w:val="00846B3A"/>
    <w:rsid w:val="00847E5A"/>
    <w:rsid w:val="00847F85"/>
    <w:rsid w:val="008508B5"/>
    <w:rsid w:val="00851F12"/>
    <w:rsid w:val="008524D0"/>
    <w:rsid w:val="00852D34"/>
    <w:rsid w:val="00853225"/>
    <w:rsid w:val="008543EB"/>
    <w:rsid w:val="008544DB"/>
    <w:rsid w:val="00856EC9"/>
    <w:rsid w:val="008623E3"/>
    <w:rsid w:val="008626B1"/>
    <w:rsid w:val="0086295B"/>
    <w:rsid w:val="008633D6"/>
    <w:rsid w:val="00863654"/>
    <w:rsid w:val="00863A52"/>
    <w:rsid w:val="008640A3"/>
    <w:rsid w:val="008645A6"/>
    <w:rsid w:val="00864BDE"/>
    <w:rsid w:val="00864D37"/>
    <w:rsid w:val="00865D00"/>
    <w:rsid w:val="00866057"/>
    <w:rsid w:val="00866901"/>
    <w:rsid w:val="00866B45"/>
    <w:rsid w:val="008705EB"/>
    <w:rsid w:val="00871451"/>
    <w:rsid w:val="00871A9E"/>
    <w:rsid w:val="00871DC6"/>
    <w:rsid w:val="0087229F"/>
    <w:rsid w:val="00872C6A"/>
    <w:rsid w:val="008731B9"/>
    <w:rsid w:val="00873288"/>
    <w:rsid w:val="00874392"/>
    <w:rsid w:val="00876D71"/>
    <w:rsid w:val="008777A0"/>
    <w:rsid w:val="00880C7D"/>
    <w:rsid w:val="00881448"/>
    <w:rsid w:val="00882245"/>
    <w:rsid w:val="00882254"/>
    <w:rsid w:val="0088226C"/>
    <w:rsid w:val="008830F1"/>
    <w:rsid w:val="0088412B"/>
    <w:rsid w:val="008841EB"/>
    <w:rsid w:val="00885668"/>
    <w:rsid w:val="00885AF3"/>
    <w:rsid w:val="008860F1"/>
    <w:rsid w:val="0088649F"/>
    <w:rsid w:val="0088741A"/>
    <w:rsid w:val="00887B9D"/>
    <w:rsid w:val="008902BC"/>
    <w:rsid w:val="00890CA5"/>
    <w:rsid w:val="0089158B"/>
    <w:rsid w:val="008916DD"/>
    <w:rsid w:val="0089337D"/>
    <w:rsid w:val="00893C3D"/>
    <w:rsid w:val="008941F8"/>
    <w:rsid w:val="00894201"/>
    <w:rsid w:val="00894917"/>
    <w:rsid w:val="00894988"/>
    <w:rsid w:val="00895015"/>
    <w:rsid w:val="008960B1"/>
    <w:rsid w:val="0089614D"/>
    <w:rsid w:val="00896CE3"/>
    <w:rsid w:val="00897310"/>
    <w:rsid w:val="008977A5"/>
    <w:rsid w:val="008A0501"/>
    <w:rsid w:val="008A10E0"/>
    <w:rsid w:val="008A1983"/>
    <w:rsid w:val="008A2F49"/>
    <w:rsid w:val="008A31F1"/>
    <w:rsid w:val="008A35B4"/>
    <w:rsid w:val="008A3801"/>
    <w:rsid w:val="008A458D"/>
    <w:rsid w:val="008A5B4A"/>
    <w:rsid w:val="008A5F97"/>
    <w:rsid w:val="008A604C"/>
    <w:rsid w:val="008A6091"/>
    <w:rsid w:val="008B1431"/>
    <w:rsid w:val="008B27DE"/>
    <w:rsid w:val="008B3563"/>
    <w:rsid w:val="008B3BB9"/>
    <w:rsid w:val="008B3E10"/>
    <w:rsid w:val="008B4CCF"/>
    <w:rsid w:val="008B5018"/>
    <w:rsid w:val="008B762D"/>
    <w:rsid w:val="008B7ADE"/>
    <w:rsid w:val="008C17D8"/>
    <w:rsid w:val="008C3C75"/>
    <w:rsid w:val="008C57E5"/>
    <w:rsid w:val="008C644C"/>
    <w:rsid w:val="008C677E"/>
    <w:rsid w:val="008C7691"/>
    <w:rsid w:val="008C7F5F"/>
    <w:rsid w:val="008D02EE"/>
    <w:rsid w:val="008D0C0C"/>
    <w:rsid w:val="008D1EAF"/>
    <w:rsid w:val="008D207B"/>
    <w:rsid w:val="008D22AE"/>
    <w:rsid w:val="008D3E3A"/>
    <w:rsid w:val="008D414B"/>
    <w:rsid w:val="008D45EC"/>
    <w:rsid w:val="008D4CE0"/>
    <w:rsid w:val="008D6291"/>
    <w:rsid w:val="008E188C"/>
    <w:rsid w:val="008E3224"/>
    <w:rsid w:val="008E44B6"/>
    <w:rsid w:val="008E4C74"/>
    <w:rsid w:val="008E52C0"/>
    <w:rsid w:val="008E5DC0"/>
    <w:rsid w:val="008E6D9C"/>
    <w:rsid w:val="008E75F0"/>
    <w:rsid w:val="008F0D05"/>
    <w:rsid w:val="008F1EF5"/>
    <w:rsid w:val="008F3081"/>
    <w:rsid w:val="008F456F"/>
    <w:rsid w:val="008F461C"/>
    <w:rsid w:val="008F507A"/>
    <w:rsid w:val="008F513B"/>
    <w:rsid w:val="008F62A0"/>
    <w:rsid w:val="008F7A0E"/>
    <w:rsid w:val="008F7CB6"/>
    <w:rsid w:val="008F7DCE"/>
    <w:rsid w:val="00901415"/>
    <w:rsid w:val="009020EE"/>
    <w:rsid w:val="00903B5B"/>
    <w:rsid w:val="00903E51"/>
    <w:rsid w:val="00904B15"/>
    <w:rsid w:val="00904B6B"/>
    <w:rsid w:val="00905546"/>
    <w:rsid w:val="00905980"/>
    <w:rsid w:val="009059F4"/>
    <w:rsid w:val="00907D39"/>
    <w:rsid w:val="009111F0"/>
    <w:rsid w:val="009112E0"/>
    <w:rsid w:val="0091168D"/>
    <w:rsid w:val="009126B1"/>
    <w:rsid w:val="009126B5"/>
    <w:rsid w:val="0091384B"/>
    <w:rsid w:val="00913938"/>
    <w:rsid w:val="00913E71"/>
    <w:rsid w:val="00913EF7"/>
    <w:rsid w:val="00913FEF"/>
    <w:rsid w:val="009146CC"/>
    <w:rsid w:val="00914C95"/>
    <w:rsid w:val="00915747"/>
    <w:rsid w:val="00917901"/>
    <w:rsid w:val="00920D8A"/>
    <w:rsid w:val="00921117"/>
    <w:rsid w:val="00922666"/>
    <w:rsid w:val="00922684"/>
    <w:rsid w:val="009238C0"/>
    <w:rsid w:val="00923A7B"/>
    <w:rsid w:val="00925F50"/>
    <w:rsid w:val="0092740C"/>
    <w:rsid w:val="009275A5"/>
    <w:rsid w:val="00927904"/>
    <w:rsid w:val="00927913"/>
    <w:rsid w:val="0093007C"/>
    <w:rsid w:val="0093053D"/>
    <w:rsid w:val="009307C4"/>
    <w:rsid w:val="00930B27"/>
    <w:rsid w:val="00930E3F"/>
    <w:rsid w:val="00931066"/>
    <w:rsid w:val="00931322"/>
    <w:rsid w:val="00931357"/>
    <w:rsid w:val="0093136C"/>
    <w:rsid w:val="009317BC"/>
    <w:rsid w:val="0093210C"/>
    <w:rsid w:val="009326C2"/>
    <w:rsid w:val="00932B8A"/>
    <w:rsid w:val="009330E3"/>
    <w:rsid w:val="00933BB2"/>
    <w:rsid w:val="00935BBE"/>
    <w:rsid w:val="009364E9"/>
    <w:rsid w:val="0093659C"/>
    <w:rsid w:val="00940BAA"/>
    <w:rsid w:val="00942E9F"/>
    <w:rsid w:val="0094300B"/>
    <w:rsid w:val="0094350A"/>
    <w:rsid w:val="00944591"/>
    <w:rsid w:val="00944F04"/>
    <w:rsid w:val="009455D9"/>
    <w:rsid w:val="00946550"/>
    <w:rsid w:val="009465F5"/>
    <w:rsid w:val="009471D5"/>
    <w:rsid w:val="009472A0"/>
    <w:rsid w:val="00947536"/>
    <w:rsid w:val="00950041"/>
    <w:rsid w:val="0095058A"/>
    <w:rsid w:val="00950A7B"/>
    <w:rsid w:val="00950C54"/>
    <w:rsid w:val="009513D4"/>
    <w:rsid w:val="009517D4"/>
    <w:rsid w:val="0095245B"/>
    <w:rsid w:val="00952997"/>
    <w:rsid w:val="0095309E"/>
    <w:rsid w:val="009531A4"/>
    <w:rsid w:val="009535CD"/>
    <w:rsid w:val="00954808"/>
    <w:rsid w:val="00954EAD"/>
    <w:rsid w:val="009550BA"/>
    <w:rsid w:val="00956F5A"/>
    <w:rsid w:val="009572D5"/>
    <w:rsid w:val="00957BBE"/>
    <w:rsid w:val="00960177"/>
    <w:rsid w:val="00961921"/>
    <w:rsid w:val="009631F4"/>
    <w:rsid w:val="00963DF7"/>
    <w:rsid w:val="0096525D"/>
    <w:rsid w:val="00966CE3"/>
    <w:rsid w:val="0096728B"/>
    <w:rsid w:val="00967708"/>
    <w:rsid w:val="00967711"/>
    <w:rsid w:val="0097163A"/>
    <w:rsid w:val="00971D9C"/>
    <w:rsid w:val="00971E54"/>
    <w:rsid w:val="009728FD"/>
    <w:rsid w:val="00973657"/>
    <w:rsid w:val="00973A7E"/>
    <w:rsid w:val="0097470D"/>
    <w:rsid w:val="00980576"/>
    <w:rsid w:val="009807E6"/>
    <w:rsid w:val="009812CA"/>
    <w:rsid w:val="0098166E"/>
    <w:rsid w:val="0098193B"/>
    <w:rsid w:val="009820B2"/>
    <w:rsid w:val="00982183"/>
    <w:rsid w:val="009828AE"/>
    <w:rsid w:val="0098386F"/>
    <w:rsid w:val="0098387C"/>
    <w:rsid w:val="00983A02"/>
    <w:rsid w:val="00983C53"/>
    <w:rsid w:val="0098519C"/>
    <w:rsid w:val="00986DA4"/>
    <w:rsid w:val="00987584"/>
    <w:rsid w:val="00987B72"/>
    <w:rsid w:val="00987BAF"/>
    <w:rsid w:val="009910A8"/>
    <w:rsid w:val="00992AEB"/>
    <w:rsid w:val="00993502"/>
    <w:rsid w:val="009939C8"/>
    <w:rsid w:val="00994533"/>
    <w:rsid w:val="009952D5"/>
    <w:rsid w:val="0099707B"/>
    <w:rsid w:val="009A0F9A"/>
    <w:rsid w:val="009A121F"/>
    <w:rsid w:val="009A14CF"/>
    <w:rsid w:val="009A1D37"/>
    <w:rsid w:val="009A33DE"/>
    <w:rsid w:val="009A3D79"/>
    <w:rsid w:val="009A407B"/>
    <w:rsid w:val="009A410A"/>
    <w:rsid w:val="009A55D6"/>
    <w:rsid w:val="009A5703"/>
    <w:rsid w:val="009A7262"/>
    <w:rsid w:val="009A7FEB"/>
    <w:rsid w:val="009B02C2"/>
    <w:rsid w:val="009B041A"/>
    <w:rsid w:val="009B057F"/>
    <w:rsid w:val="009B186A"/>
    <w:rsid w:val="009B1C1E"/>
    <w:rsid w:val="009B1D24"/>
    <w:rsid w:val="009B3573"/>
    <w:rsid w:val="009B3801"/>
    <w:rsid w:val="009B4336"/>
    <w:rsid w:val="009B55B6"/>
    <w:rsid w:val="009B6FCC"/>
    <w:rsid w:val="009B7A7B"/>
    <w:rsid w:val="009C0326"/>
    <w:rsid w:val="009C047A"/>
    <w:rsid w:val="009C195B"/>
    <w:rsid w:val="009C2C4D"/>
    <w:rsid w:val="009C340E"/>
    <w:rsid w:val="009C51B5"/>
    <w:rsid w:val="009C53C1"/>
    <w:rsid w:val="009C57D6"/>
    <w:rsid w:val="009C5FB3"/>
    <w:rsid w:val="009C6D0B"/>
    <w:rsid w:val="009C75E1"/>
    <w:rsid w:val="009C7A6A"/>
    <w:rsid w:val="009D1A96"/>
    <w:rsid w:val="009D2161"/>
    <w:rsid w:val="009D2C05"/>
    <w:rsid w:val="009D4A53"/>
    <w:rsid w:val="009D4E51"/>
    <w:rsid w:val="009D4FA3"/>
    <w:rsid w:val="009D605A"/>
    <w:rsid w:val="009D6D26"/>
    <w:rsid w:val="009E0B63"/>
    <w:rsid w:val="009E17F2"/>
    <w:rsid w:val="009E3BE2"/>
    <w:rsid w:val="009E453B"/>
    <w:rsid w:val="009E52F5"/>
    <w:rsid w:val="009E5D6C"/>
    <w:rsid w:val="009E65B9"/>
    <w:rsid w:val="009E6616"/>
    <w:rsid w:val="009E6827"/>
    <w:rsid w:val="009E6A34"/>
    <w:rsid w:val="009E6E95"/>
    <w:rsid w:val="009E76C2"/>
    <w:rsid w:val="009F102D"/>
    <w:rsid w:val="009F1A1B"/>
    <w:rsid w:val="009F2A10"/>
    <w:rsid w:val="009F2F4D"/>
    <w:rsid w:val="009F56A0"/>
    <w:rsid w:val="00A005C9"/>
    <w:rsid w:val="00A0087D"/>
    <w:rsid w:val="00A0092C"/>
    <w:rsid w:val="00A01EEB"/>
    <w:rsid w:val="00A02E10"/>
    <w:rsid w:val="00A036CB"/>
    <w:rsid w:val="00A04A17"/>
    <w:rsid w:val="00A0735B"/>
    <w:rsid w:val="00A07601"/>
    <w:rsid w:val="00A07DAE"/>
    <w:rsid w:val="00A110B8"/>
    <w:rsid w:val="00A13840"/>
    <w:rsid w:val="00A13E43"/>
    <w:rsid w:val="00A13F0E"/>
    <w:rsid w:val="00A142B4"/>
    <w:rsid w:val="00A148B6"/>
    <w:rsid w:val="00A169BE"/>
    <w:rsid w:val="00A16D95"/>
    <w:rsid w:val="00A2065D"/>
    <w:rsid w:val="00A213F1"/>
    <w:rsid w:val="00A21EE3"/>
    <w:rsid w:val="00A21FA5"/>
    <w:rsid w:val="00A220ED"/>
    <w:rsid w:val="00A23A06"/>
    <w:rsid w:val="00A24946"/>
    <w:rsid w:val="00A25582"/>
    <w:rsid w:val="00A25738"/>
    <w:rsid w:val="00A269A7"/>
    <w:rsid w:val="00A30482"/>
    <w:rsid w:val="00A310F4"/>
    <w:rsid w:val="00A311D6"/>
    <w:rsid w:val="00A314C1"/>
    <w:rsid w:val="00A31C4A"/>
    <w:rsid w:val="00A32D1C"/>
    <w:rsid w:val="00A33C81"/>
    <w:rsid w:val="00A343E2"/>
    <w:rsid w:val="00A34C3B"/>
    <w:rsid w:val="00A35FC9"/>
    <w:rsid w:val="00A3667E"/>
    <w:rsid w:val="00A36739"/>
    <w:rsid w:val="00A40166"/>
    <w:rsid w:val="00A401CD"/>
    <w:rsid w:val="00A428A7"/>
    <w:rsid w:val="00A42BDC"/>
    <w:rsid w:val="00A42FBA"/>
    <w:rsid w:val="00A45726"/>
    <w:rsid w:val="00A473A6"/>
    <w:rsid w:val="00A47799"/>
    <w:rsid w:val="00A47AAD"/>
    <w:rsid w:val="00A47C04"/>
    <w:rsid w:val="00A47F75"/>
    <w:rsid w:val="00A50B60"/>
    <w:rsid w:val="00A530A3"/>
    <w:rsid w:val="00A5353F"/>
    <w:rsid w:val="00A54849"/>
    <w:rsid w:val="00A5496D"/>
    <w:rsid w:val="00A573BD"/>
    <w:rsid w:val="00A60670"/>
    <w:rsid w:val="00A609FE"/>
    <w:rsid w:val="00A60A20"/>
    <w:rsid w:val="00A61066"/>
    <w:rsid w:val="00A612AD"/>
    <w:rsid w:val="00A613FB"/>
    <w:rsid w:val="00A61613"/>
    <w:rsid w:val="00A70655"/>
    <w:rsid w:val="00A7087A"/>
    <w:rsid w:val="00A70E40"/>
    <w:rsid w:val="00A71251"/>
    <w:rsid w:val="00A7232B"/>
    <w:rsid w:val="00A72510"/>
    <w:rsid w:val="00A72B7F"/>
    <w:rsid w:val="00A72EC7"/>
    <w:rsid w:val="00A72FC4"/>
    <w:rsid w:val="00A73DAE"/>
    <w:rsid w:val="00A745E8"/>
    <w:rsid w:val="00A76779"/>
    <w:rsid w:val="00A768E7"/>
    <w:rsid w:val="00A77394"/>
    <w:rsid w:val="00A774BF"/>
    <w:rsid w:val="00A826BA"/>
    <w:rsid w:val="00A826F7"/>
    <w:rsid w:val="00A8348B"/>
    <w:rsid w:val="00A83D55"/>
    <w:rsid w:val="00A843D5"/>
    <w:rsid w:val="00A84BC8"/>
    <w:rsid w:val="00A92377"/>
    <w:rsid w:val="00A9264C"/>
    <w:rsid w:val="00A92999"/>
    <w:rsid w:val="00A92E15"/>
    <w:rsid w:val="00A9303E"/>
    <w:rsid w:val="00A932B3"/>
    <w:rsid w:val="00A93813"/>
    <w:rsid w:val="00A94004"/>
    <w:rsid w:val="00A94397"/>
    <w:rsid w:val="00A94538"/>
    <w:rsid w:val="00A94876"/>
    <w:rsid w:val="00A948D6"/>
    <w:rsid w:val="00A94A6A"/>
    <w:rsid w:val="00A953CB"/>
    <w:rsid w:val="00A95882"/>
    <w:rsid w:val="00A95D66"/>
    <w:rsid w:val="00AA07E1"/>
    <w:rsid w:val="00AA0B13"/>
    <w:rsid w:val="00AA1A60"/>
    <w:rsid w:val="00AA21C8"/>
    <w:rsid w:val="00AA2A5A"/>
    <w:rsid w:val="00AA3D6B"/>
    <w:rsid w:val="00AA4DD1"/>
    <w:rsid w:val="00AA5059"/>
    <w:rsid w:val="00AA515F"/>
    <w:rsid w:val="00AA5286"/>
    <w:rsid w:val="00AB03AC"/>
    <w:rsid w:val="00AB0BDB"/>
    <w:rsid w:val="00AB1EC3"/>
    <w:rsid w:val="00AB1F6A"/>
    <w:rsid w:val="00AB4271"/>
    <w:rsid w:val="00AB4796"/>
    <w:rsid w:val="00AB4B19"/>
    <w:rsid w:val="00AB4DC6"/>
    <w:rsid w:val="00AB4EA0"/>
    <w:rsid w:val="00AB5065"/>
    <w:rsid w:val="00AB534A"/>
    <w:rsid w:val="00AB6D72"/>
    <w:rsid w:val="00AB6D9C"/>
    <w:rsid w:val="00AB7F4A"/>
    <w:rsid w:val="00AC049F"/>
    <w:rsid w:val="00AC1E13"/>
    <w:rsid w:val="00AC2E23"/>
    <w:rsid w:val="00AC430E"/>
    <w:rsid w:val="00AC50BC"/>
    <w:rsid w:val="00AC6343"/>
    <w:rsid w:val="00AC65A9"/>
    <w:rsid w:val="00AC65CC"/>
    <w:rsid w:val="00AC6EC6"/>
    <w:rsid w:val="00AC6ED7"/>
    <w:rsid w:val="00AC7809"/>
    <w:rsid w:val="00AD0B40"/>
    <w:rsid w:val="00AD0BEE"/>
    <w:rsid w:val="00AD1D21"/>
    <w:rsid w:val="00AD2271"/>
    <w:rsid w:val="00AD3CF4"/>
    <w:rsid w:val="00AD4B2A"/>
    <w:rsid w:val="00AD5203"/>
    <w:rsid w:val="00AD6943"/>
    <w:rsid w:val="00AD74A4"/>
    <w:rsid w:val="00AD799C"/>
    <w:rsid w:val="00AD7CBE"/>
    <w:rsid w:val="00AE013F"/>
    <w:rsid w:val="00AE0611"/>
    <w:rsid w:val="00AE0E38"/>
    <w:rsid w:val="00AE1DB2"/>
    <w:rsid w:val="00AE2FFA"/>
    <w:rsid w:val="00AE3F68"/>
    <w:rsid w:val="00AE4FAE"/>
    <w:rsid w:val="00AE5DEC"/>
    <w:rsid w:val="00AE638C"/>
    <w:rsid w:val="00AE6900"/>
    <w:rsid w:val="00AE7208"/>
    <w:rsid w:val="00AE7C95"/>
    <w:rsid w:val="00AE7FB5"/>
    <w:rsid w:val="00AF0080"/>
    <w:rsid w:val="00AF09EF"/>
    <w:rsid w:val="00AF160E"/>
    <w:rsid w:val="00AF1CBD"/>
    <w:rsid w:val="00AF1D4F"/>
    <w:rsid w:val="00AF1FAB"/>
    <w:rsid w:val="00AF2246"/>
    <w:rsid w:val="00AF2E0B"/>
    <w:rsid w:val="00AF39FC"/>
    <w:rsid w:val="00AF469A"/>
    <w:rsid w:val="00AF4B36"/>
    <w:rsid w:val="00AF5372"/>
    <w:rsid w:val="00AF7615"/>
    <w:rsid w:val="00B00EEF"/>
    <w:rsid w:val="00B02189"/>
    <w:rsid w:val="00B024E8"/>
    <w:rsid w:val="00B02D2B"/>
    <w:rsid w:val="00B03CBE"/>
    <w:rsid w:val="00B04E58"/>
    <w:rsid w:val="00B051CA"/>
    <w:rsid w:val="00B06579"/>
    <w:rsid w:val="00B06E9E"/>
    <w:rsid w:val="00B07264"/>
    <w:rsid w:val="00B07AEC"/>
    <w:rsid w:val="00B07CDA"/>
    <w:rsid w:val="00B07E64"/>
    <w:rsid w:val="00B12799"/>
    <w:rsid w:val="00B14F30"/>
    <w:rsid w:val="00B15716"/>
    <w:rsid w:val="00B15728"/>
    <w:rsid w:val="00B15FC2"/>
    <w:rsid w:val="00B16A4A"/>
    <w:rsid w:val="00B170CA"/>
    <w:rsid w:val="00B171EF"/>
    <w:rsid w:val="00B20AF7"/>
    <w:rsid w:val="00B2131B"/>
    <w:rsid w:val="00B2146F"/>
    <w:rsid w:val="00B21F2B"/>
    <w:rsid w:val="00B22F9C"/>
    <w:rsid w:val="00B23004"/>
    <w:rsid w:val="00B23307"/>
    <w:rsid w:val="00B255C7"/>
    <w:rsid w:val="00B26E72"/>
    <w:rsid w:val="00B27265"/>
    <w:rsid w:val="00B27EBD"/>
    <w:rsid w:val="00B303CF"/>
    <w:rsid w:val="00B3092D"/>
    <w:rsid w:val="00B3419A"/>
    <w:rsid w:val="00B346AE"/>
    <w:rsid w:val="00B34885"/>
    <w:rsid w:val="00B34E3A"/>
    <w:rsid w:val="00B3518A"/>
    <w:rsid w:val="00B352A9"/>
    <w:rsid w:val="00B357D4"/>
    <w:rsid w:val="00B369F0"/>
    <w:rsid w:val="00B36E12"/>
    <w:rsid w:val="00B372A4"/>
    <w:rsid w:val="00B42C41"/>
    <w:rsid w:val="00B42E59"/>
    <w:rsid w:val="00B43F06"/>
    <w:rsid w:val="00B44346"/>
    <w:rsid w:val="00B453DF"/>
    <w:rsid w:val="00B46DE1"/>
    <w:rsid w:val="00B50304"/>
    <w:rsid w:val="00B503CF"/>
    <w:rsid w:val="00B51F49"/>
    <w:rsid w:val="00B52325"/>
    <w:rsid w:val="00B5293F"/>
    <w:rsid w:val="00B5321B"/>
    <w:rsid w:val="00B53234"/>
    <w:rsid w:val="00B532B1"/>
    <w:rsid w:val="00B549B3"/>
    <w:rsid w:val="00B552F9"/>
    <w:rsid w:val="00B5572F"/>
    <w:rsid w:val="00B55937"/>
    <w:rsid w:val="00B5795D"/>
    <w:rsid w:val="00B57F35"/>
    <w:rsid w:val="00B60070"/>
    <w:rsid w:val="00B60469"/>
    <w:rsid w:val="00B62623"/>
    <w:rsid w:val="00B62BF4"/>
    <w:rsid w:val="00B63327"/>
    <w:rsid w:val="00B65562"/>
    <w:rsid w:val="00B657FD"/>
    <w:rsid w:val="00B67281"/>
    <w:rsid w:val="00B67D89"/>
    <w:rsid w:val="00B700C8"/>
    <w:rsid w:val="00B7025C"/>
    <w:rsid w:val="00B70A9A"/>
    <w:rsid w:val="00B70E13"/>
    <w:rsid w:val="00B71389"/>
    <w:rsid w:val="00B716B9"/>
    <w:rsid w:val="00B72915"/>
    <w:rsid w:val="00B735A2"/>
    <w:rsid w:val="00B7401C"/>
    <w:rsid w:val="00B74BCB"/>
    <w:rsid w:val="00B75EC7"/>
    <w:rsid w:val="00B7702F"/>
    <w:rsid w:val="00B80F46"/>
    <w:rsid w:val="00B8160F"/>
    <w:rsid w:val="00B81853"/>
    <w:rsid w:val="00B81F74"/>
    <w:rsid w:val="00B82E68"/>
    <w:rsid w:val="00B837AB"/>
    <w:rsid w:val="00B8462F"/>
    <w:rsid w:val="00B86011"/>
    <w:rsid w:val="00B86226"/>
    <w:rsid w:val="00B87B23"/>
    <w:rsid w:val="00B901A7"/>
    <w:rsid w:val="00B901FB"/>
    <w:rsid w:val="00B905D9"/>
    <w:rsid w:val="00B90D22"/>
    <w:rsid w:val="00B91E21"/>
    <w:rsid w:val="00B92419"/>
    <w:rsid w:val="00B92B8C"/>
    <w:rsid w:val="00B92BBF"/>
    <w:rsid w:val="00B92EF3"/>
    <w:rsid w:val="00B9406B"/>
    <w:rsid w:val="00B943AC"/>
    <w:rsid w:val="00B9496B"/>
    <w:rsid w:val="00B95C66"/>
    <w:rsid w:val="00B971ED"/>
    <w:rsid w:val="00BA05D7"/>
    <w:rsid w:val="00BA06FF"/>
    <w:rsid w:val="00BA09E5"/>
    <w:rsid w:val="00BA1E59"/>
    <w:rsid w:val="00BA1E77"/>
    <w:rsid w:val="00BA2D3E"/>
    <w:rsid w:val="00BA2F19"/>
    <w:rsid w:val="00BA42AD"/>
    <w:rsid w:val="00BA474C"/>
    <w:rsid w:val="00BA4AAA"/>
    <w:rsid w:val="00BA50B8"/>
    <w:rsid w:val="00BA5906"/>
    <w:rsid w:val="00BA5C2D"/>
    <w:rsid w:val="00BA5EE9"/>
    <w:rsid w:val="00BA65AF"/>
    <w:rsid w:val="00BB0820"/>
    <w:rsid w:val="00BB12DE"/>
    <w:rsid w:val="00BB1C34"/>
    <w:rsid w:val="00BB3A27"/>
    <w:rsid w:val="00BB3FD0"/>
    <w:rsid w:val="00BB4372"/>
    <w:rsid w:val="00BB5649"/>
    <w:rsid w:val="00BB6694"/>
    <w:rsid w:val="00BB6C05"/>
    <w:rsid w:val="00BC08D8"/>
    <w:rsid w:val="00BC128C"/>
    <w:rsid w:val="00BC2096"/>
    <w:rsid w:val="00BC2D78"/>
    <w:rsid w:val="00BC42A5"/>
    <w:rsid w:val="00BC4572"/>
    <w:rsid w:val="00BC4857"/>
    <w:rsid w:val="00BC4F2D"/>
    <w:rsid w:val="00BC7464"/>
    <w:rsid w:val="00BC7B7E"/>
    <w:rsid w:val="00BD079D"/>
    <w:rsid w:val="00BD07F3"/>
    <w:rsid w:val="00BD0E53"/>
    <w:rsid w:val="00BD2E16"/>
    <w:rsid w:val="00BD3776"/>
    <w:rsid w:val="00BD46E7"/>
    <w:rsid w:val="00BD4D5F"/>
    <w:rsid w:val="00BD5B31"/>
    <w:rsid w:val="00BD6632"/>
    <w:rsid w:val="00BD6DD5"/>
    <w:rsid w:val="00BD78FB"/>
    <w:rsid w:val="00BD7C28"/>
    <w:rsid w:val="00BE1416"/>
    <w:rsid w:val="00BE30D6"/>
    <w:rsid w:val="00BE5154"/>
    <w:rsid w:val="00BE6099"/>
    <w:rsid w:val="00BE6698"/>
    <w:rsid w:val="00BE75CC"/>
    <w:rsid w:val="00BE7A15"/>
    <w:rsid w:val="00BE7B25"/>
    <w:rsid w:val="00BE7B33"/>
    <w:rsid w:val="00BF0BFB"/>
    <w:rsid w:val="00BF1730"/>
    <w:rsid w:val="00BF330D"/>
    <w:rsid w:val="00BF386A"/>
    <w:rsid w:val="00BF3C66"/>
    <w:rsid w:val="00BF561E"/>
    <w:rsid w:val="00BF5B8A"/>
    <w:rsid w:val="00BF68D2"/>
    <w:rsid w:val="00BF733B"/>
    <w:rsid w:val="00BF79B2"/>
    <w:rsid w:val="00C00291"/>
    <w:rsid w:val="00C00390"/>
    <w:rsid w:val="00C0079F"/>
    <w:rsid w:val="00C02400"/>
    <w:rsid w:val="00C02D80"/>
    <w:rsid w:val="00C03022"/>
    <w:rsid w:val="00C039A0"/>
    <w:rsid w:val="00C042DF"/>
    <w:rsid w:val="00C04343"/>
    <w:rsid w:val="00C05675"/>
    <w:rsid w:val="00C0584D"/>
    <w:rsid w:val="00C05A1D"/>
    <w:rsid w:val="00C05A4B"/>
    <w:rsid w:val="00C05F8B"/>
    <w:rsid w:val="00C06246"/>
    <w:rsid w:val="00C0631E"/>
    <w:rsid w:val="00C06D35"/>
    <w:rsid w:val="00C079B3"/>
    <w:rsid w:val="00C07DFA"/>
    <w:rsid w:val="00C11671"/>
    <w:rsid w:val="00C12147"/>
    <w:rsid w:val="00C1238B"/>
    <w:rsid w:val="00C13382"/>
    <w:rsid w:val="00C13D2D"/>
    <w:rsid w:val="00C14454"/>
    <w:rsid w:val="00C15E8C"/>
    <w:rsid w:val="00C20525"/>
    <w:rsid w:val="00C205CA"/>
    <w:rsid w:val="00C210E5"/>
    <w:rsid w:val="00C2121F"/>
    <w:rsid w:val="00C21620"/>
    <w:rsid w:val="00C21891"/>
    <w:rsid w:val="00C228D8"/>
    <w:rsid w:val="00C22B3D"/>
    <w:rsid w:val="00C22F37"/>
    <w:rsid w:val="00C2389D"/>
    <w:rsid w:val="00C24A50"/>
    <w:rsid w:val="00C25059"/>
    <w:rsid w:val="00C253D0"/>
    <w:rsid w:val="00C25FA2"/>
    <w:rsid w:val="00C26354"/>
    <w:rsid w:val="00C269E2"/>
    <w:rsid w:val="00C275BB"/>
    <w:rsid w:val="00C305C3"/>
    <w:rsid w:val="00C30660"/>
    <w:rsid w:val="00C31A03"/>
    <w:rsid w:val="00C32194"/>
    <w:rsid w:val="00C35140"/>
    <w:rsid w:val="00C35515"/>
    <w:rsid w:val="00C36E13"/>
    <w:rsid w:val="00C37CA1"/>
    <w:rsid w:val="00C40550"/>
    <w:rsid w:val="00C41CA7"/>
    <w:rsid w:val="00C42BAD"/>
    <w:rsid w:val="00C439FA"/>
    <w:rsid w:val="00C4429A"/>
    <w:rsid w:val="00C444EC"/>
    <w:rsid w:val="00C447CD"/>
    <w:rsid w:val="00C45E3B"/>
    <w:rsid w:val="00C45F2D"/>
    <w:rsid w:val="00C47488"/>
    <w:rsid w:val="00C47B28"/>
    <w:rsid w:val="00C50385"/>
    <w:rsid w:val="00C513C1"/>
    <w:rsid w:val="00C519BC"/>
    <w:rsid w:val="00C51D21"/>
    <w:rsid w:val="00C52B4E"/>
    <w:rsid w:val="00C57F67"/>
    <w:rsid w:val="00C6012F"/>
    <w:rsid w:val="00C62479"/>
    <w:rsid w:val="00C6388E"/>
    <w:rsid w:val="00C63B1B"/>
    <w:rsid w:val="00C65231"/>
    <w:rsid w:val="00C66243"/>
    <w:rsid w:val="00C6668D"/>
    <w:rsid w:val="00C67F7A"/>
    <w:rsid w:val="00C701C4"/>
    <w:rsid w:val="00C70E68"/>
    <w:rsid w:val="00C71525"/>
    <w:rsid w:val="00C72113"/>
    <w:rsid w:val="00C72577"/>
    <w:rsid w:val="00C72B01"/>
    <w:rsid w:val="00C72C85"/>
    <w:rsid w:val="00C73843"/>
    <w:rsid w:val="00C7774C"/>
    <w:rsid w:val="00C80A70"/>
    <w:rsid w:val="00C8104E"/>
    <w:rsid w:val="00C813F9"/>
    <w:rsid w:val="00C82C6C"/>
    <w:rsid w:val="00C83D51"/>
    <w:rsid w:val="00C860F9"/>
    <w:rsid w:val="00C861E9"/>
    <w:rsid w:val="00C863C2"/>
    <w:rsid w:val="00C92E93"/>
    <w:rsid w:val="00C9342B"/>
    <w:rsid w:val="00C93D76"/>
    <w:rsid w:val="00C9420D"/>
    <w:rsid w:val="00C95DA6"/>
    <w:rsid w:val="00C96DEE"/>
    <w:rsid w:val="00C97062"/>
    <w:rsid w:val="00C9781C"/>
    <w:rsid w:val="00CA120B"/>
    <w:rsid w:val="00CA12DF"/>
    <w:rsid w:val="00CA1880"/>
    <w:rsid w:val="00CA1B02"/>
    <w:rsid w:val="00CA1C82"/>
    <w:rsid w:val="00CA3B46"/>
    <w:rsid w:val="00CA3E33"/>
    <w:rsid w:val="00CA5315"/>
    <w:rsid w:val="00CA5639"/>
    <w:rsid w:val="00CA5CE6"/>
    <w:rsid w:val="00CA6589"/>
    <w:rsid w:val="00CA79DE"/>
    <w:rsid w:val="00CA7FC4"/>
    <w:rsid w:val="00CB1DF6"/>
    <w:rsid w:val="00CB4525"/>
    <w:rsid w:val="00CB53AC"/>
    <w:rsid w:val="00CB53FC"/>
    <w:rsid w:val="00CB635B"/>
    <w:rsid w:val="00CB6BEB"/>
    <w:rsid w:val="00CB785C"/>
    <w:rsid w:val="00CC1AE2"/>
    <w:rsid w:val="00CC1F3E"/>
    <w:rsid w:val="00CC26C9"/>
    <w:rsid w:val="00CC31D3"/>
    <w:rsid w:val="00CC3BEF"/>
    <w:rsid w:val="00CC3E36"/>
    <w:rsid w:val="00CC42D7"/>
    <w:rsid w:val="00CC50B7"/>
    <w:rsid w:val="00CC56D3"/>
    <w:rsid w:val="00CC5967"/>
    <w:rsid w:val="00CC5DCD"/>
    <w:rsid w:val="00CC5E51"/>
    <w:rsid w:val="00CC5FA6"/>
    <w:rsid w:val="00CC7193"/>
    <w:rsid w:val="00CD00A3"/>
    <w:rsid w:val="00CD0BF5"/>
    <w:rsid w:val="00CD11DB"/>
    <w:rsid w:val="00CD1D4E"/>
    <w:rsid w:val="00CD1FD2"/>
    <w:rsid w:val="00CD2817"/>
    <w:rsid w:val="00CD2985"/>
    <w:rsid w:val="00CD2BED"/>
    <w:rsid w:val="00CD3784"/>
    <w:rsid w:val="00CD468D"/>
    <w:rsid w:val="00CD47D4"/>
    <w:rsid w:val="00CD4FEF"/>
    <w:rsid w:val="00CD54E2"/>
    <w:rsid w:val="00CD7AD7"/>
    <w:rsid w:val="00CD7F03"/>
    <w:rsid w:val="00CE029B"/>
    <w:rsid w:val="00CE05BE"/>
    <w:rsid w:val="00CE0936"/>
    <w:rsid w:val="00CE139A"/>
    <w:rsid w:val="00CE1621"/>
    <w:rsid w:val="00CE1A4C"/>
    <w:rsid w:val="00CE2508"/>
    <w:rsid w:val="00CE2EE3"/>
    <w:rsid w:val="00CE3041"/>
    <w:rsid w:val="00CE311F"/>
    <w:rsid w:val="00CE4332"/>
    <w:rsid w:val="00CE5602"/>
    <w:rsid w:val="00CE58FE"/>
    <w:rsid w:val="00CE5AFA"/>
    <w:rsid w:val="00CE5F9B"/>
    <w:rsid w:val="00CE7235"/>
    <w:rsid w:val="00CE7886"/>
    <w:rsid w:val="00CF03E2"/>
    <w:rsid w:val="00CF0E4C"/>
    <w:rsid w:val="00CF19CF"/>
    <w:rsid w:val="00CF2160"/>
    <w:rsid w:val="00CF2452"/>
    <w:rsid w:val="00CF25F0"/>
    <w:rsid w:val="00CF3B8F"/>
    <w:rsid w:val="00CF4E3A"/>
    <w:rsid w:val="00CF59CE"/>
    <w:rsid w:val="00CF6F91"/>
    <w:rsid w:val="00CF70C4"/>
    <w:rsid w:val="00D00F9B"/>
    <w:rsid w:val="00D020C0"/>
    <w:rsid w:val="00D0398A"/>
    <w:rsid w:val="00D04550"/>
    <w:rsid w:val="00D05229"/>
    <w:rsid w:val="00D061DA"/>
    <w:rsid w:val="00D06856"/>
    <w:rsid w:val="00D06FA6"/>
    <w:rsid w:val="00D07164"/>
    <w:rsid w:val="00D072C3"/>
    <w:rsid w:val="00D10274"/>
    <w:rsid w:val="00D10454"/>
    <w:rsid w:val="00D10A22"/>
    <w:rsid w:val="00D10D5D"/>
    <w:rsid w:val="00D111B5"/>
    <w:rsid w:val="00D1506C"/>
    <w:rsid w:val="00D152DB"/>
    <w:rsid w:val="00D15E68"/>
    <w:rsid w:val="00D166FE"/>
    <w:rsid w:val="00D16A68"/>
    <w:rsid w:val="00D17A26"/>
    <w:rsid w:val="00D17B39"/>
    <w:rsid w:val="00D20751"/>
    <w:rsid w:val="00D20B04"/>
    <w:rsid w:val="00D21C84"/>
    <w:rsid w:val="00D22F04"/>
    <w:rsid w:val="00D22FA0"/>
    <w:rsid w:val="00D23204"/>
    <w:rsid w:val="00D2468F"/>
    <w:rsid w:val="00D25699"/>
    <w:rsid w:val="00D260AE"/>
    <w:rsid w:val="00D26FEF"/>
    <w:rsid w:val="00D2753D"/>
    <w:rsid w:val="00D31128"/>
    <w:rsid w:val="00D317BC"/>
    <w:rsid w:val="00D31FE7"/>
    <w:rsid w:val="00D32448"/>
    <w:rsid w:val="00D32F23"/>
    <w:rsid w:val="00D340A9"/>
    <w:rsid w:val="00D343BE"/>
    <w:rsid w:val="00D34D66"/>
    <w:rsid w:val="00D36205"/>
    <w:rsid w:val="00D364CB"/>
    <w:rsid w:val="00D3788B"/>
    <w:rsid w:val="00D37B22"/>
    <w:rsid w:val="00D4147D"/>
    <w:rsid w:val="00D41742"/>
    <w:rsid w:val="00D4215F"/>
    <w:rsid w:val="00D422C1"/>
    <w:rsid w:val="00D436E4"/>
    <w:rsid w:val="00D438B3"/>
    <w:rsid w:val="00D43D3F"/>
    <w:rsid w:val="00D44199"/>
    <w:rsid w:val="00D44D67"/>
    <w:rsid w:val="00D45617"/>
    <w:rsid w:val="00D45B9E"/>
    <w:rsid w:val="00D46440"/>
    <w:rsid w:val="00D4669E"/>
    <w:rsid w:val="00D5141B"/>
    <w:rsid w:val="00D52D36"/>
    <w:rsid w:val="00D52F72"/>
    <w:rsid w:val="00D53BAD"/>
    <w:rsid w:val="00D54159"/>
    <w:rsid w:val="00D54615"/>
    <w:rsid w:val="00D55011"/>
    <w:rsid w:val="00D55356"/>
    <w:rsid w:val="00D5682A"/>
    <w:rsid w:val="00D568AD"/>
    <w:rsid w:val="00D57064"/>
    <w:rsid w:val="00D57F40"/>
    <w:rsid w:val="00D61508"/>
    <w:rsid w:val="00D6180B"/>
    <w:rsid w:val="00D61E6B"/>
    <w:rsid w:val="00D62095"/>
    <w:rsid w:val="00D63D4D"/>
    <w:rsid w:val="00D64693"/>
    <w:rsid w:val="00D6479F"/>
    <w:rsid w:val="00D649B8"/>
    <w:rsid w:val="00D65EE5"/>
    <w:rsid w:val="00D65EEE"/>
    <w:rsid w:val="00D6614D"/>
    <w:rsid w:val="00D67625"/>
    <w:rsid w:val="00D67D88"/>
    <w:rsid w:val="00D7090A"/>
    <w:rsid w:val="00D72FF7"/>
    <w:rsid w:val="00D73032"/>
    <w:rsid w:val="00D732D2"/>
    <w:rsid w:val="00D73899"/>
    <w:rsid w:val="00D73BFB"/>
    <w:rsid w:val="00D74C97"/>
    <w:rsid w:val="00D75C73"/>
    <w:rsid w:val="00D76B18"/>
    <w:rsid w:val="00D77BF7"/>
    <w:rsid w:val="00D80507"/>
    <w:rsid w:val="00D80522"/>
    <w:rsid w:val="00D80B07"/>
    <w:rsid w:val="00D8131F"/>
    <w:rsid w:val="00D81552"/>
    <w:rsid w:val="00D824D2"/>
    <w:rsid w:val="00D83AB1"/>
    <w:rsid w:val="00D84211"/>
    <w:rsid w:val="00D84F1A"/>
    <w:rsid w:val="00D858C8"/>
    <w:rsid w:val="00D86C41"/>
    <w:rsid w:val="00D90894"/>
    <w:rsid w:val="00D90F53"/>
    <w:rsid w:val="00D91A01"/>
    <w:rsid w:val="00D91A84"/>
    <w:rsid w:val="00D91F88"/>
    <w:rsid w:val="00D92F9A"/>
    <w:rsid w:val="00D93AC1"/>
    <w:rsid w:val="00D94725"/>
    <w:rsid w:val="00D948E1"/>
    <w:rsid w:val="00D9492C"/>
    <w:rsid w:val="00D961CB"/>
    <w:rsid w:val="00D97E93"/>
    <w:rsid w:val="00DA0D1B"/>
    <w:rsid w:val="00DA4141"/>
    <w:rsid w:val="00DA4453"/>
    <w:rsid w:val="00DA5566"/>
    <w:rsid w:val="00DA64B6"/>
    <w:rsid w:val="00DA68F6"/>
    <w:rsid w:val="00DA6DB4"/>
    <w:rsid w:val="00DA7246"/>
    <w:rsid w:val="00DB0153"/>
    <w:rsid w:val="00DB01AF"/>
    <w:rsid w:val="00DB03AD"/>
    <w:rsid w:val="00DB21B8"/>
    <w:rsid w:val="00DB2259"/>
    <w:rsid w:val="00DB28F3"/>
    <w:rsid w:val="00DB4945"/>
    <w:rsid w:val="00DB4C26"/>
    <w:rsid w:val="00DB4F59"/>
    <w:rsid w:val="00DB566A"/>
    <w:rsid w:val="00DB58F7"/>
    <w:rsid w:val="00DB6ADA"/>
    <w:rsid w:val="00DB73DC"/>
    <w:rsid w:val="00DB7CE6"/>
    <w:rsid w:val="00DB7CE7"/>
    <w:rsid w:val="00DC074B"/>
    <w:rsid w:val="00DC0A7D"/>
    <w:rsid w:val="00DC106C"/>
    <w:rsid w:val="00DC617B"/>
    <w:rsid w:val="00DC6C11"/>
    <w:rsid w:val="00DD1599"/>
    <w:rsid w:val="00DD19DC"/>
    <w:rsid w:val="00DD1B2C"/>
    <w:rsid w:val="00DD361E"/>
    <w:rsid w:val="00DD3C40"/>
    <w:rsid w:val="00DD5BC0"/>
    <w:rsid w:val="00DD65DA"/>
    <w:rsid w:val="00DE016A"/>
    <w:rsid w:val="00DE1B15"/>
    <w:rsid w:val="00DE2FA7"/>
    <w:rsid w:val="00DE3102"/>
    <w:rsid w:val="00DE3454"/>
    <w:rsid w:val="00DE3987"/>
    <w:rsid w:val="00DE3BF6"/>
    <w:rsid w:val="00DE4989"/>
    <w:rsid w:val="00DE4E94"/>
    <w:rsid w:val="00DE5660"/>
    <w:rsid w:val="00DE5E6A"/>
    <w:rsid w:val="00DE6EB7"/>
    <w:rsid w:val="00DE6F75"/>
    <w:rsid w:val="00DF0ED7"/>
    <w:rsid w:val="00DF1671"/>
    <w:rsid w:val="00DF22B3"/>
    <w:rsid w:val="00DF36F6"/>
    <w:rsid w:val="00DF4632"/>
    <w:rsid w:val="00DF5308"/>
    <w:rsid w:val="00DF59B8"/>
    <w:rsid w:val="00E002DC"/>
    <w:rsid w:val="00E00736"/>
    <w:rsid w:val="00E00C5A"/>
    <w:rsid w:val="00E00D7F"/>
    <w:rsid w:val="00E00E1D"/>
    <w:rsid w:val="00E01494"/>
    <w:rsid w:val="00E018A8"/>
    <w:rsid w:val="00E01ADD"/>
    <w:rsid w:val="00E0400E"/>
    <w:rsid w:val="00E0471F"/>
    <w:rsid w:val="00E07147"/>
    <w:rsid w:val="00E077C8"/>
    <w:rsid w:val="00E108F8"/>
    <w:rsid w:val="00E12192"/>
    <w:rsid w:val="00E1319E"/>
    <w:rsid w:val="00E14FE8"/>
    <w:rsid w:val="00E1533A"/>
    <w:rsid w:val="00E1671F"/>
    <w:rsid w:val="00E16A2B"/>
    <w:rsid w:val="00E20B31"/>
    <w:rsid w:val="00E20E92"/>
    <w:rsid w:val="00E21059"/>
    <w:rsid w:val="00E216FC"/>
    <w:rsid w:val="00E21A71"/>
    <w:rsid w:val="00E227EF"/>
    <w:rsid w:val="00E22BEF"/>
    <w:rsid w:val="00E23698"/>
    <w:rsid w:val="00E242AE"/>
    <w:rsid w:val="00E2528F"/>
    <w:rsid w:val="00E25353"/>
    <w:rsid w:val="00E257B1"/>
    <w:rsid w:val="00E25D1E"/>
    <w:rsid w:val="00E2633A"/>
    <w:rsid w:val="00E2689B"/>
    <w:rsid w:val="00E270B8"/>
    <w:rsid w:val="00E27A57"/>
    <w:rsid w:val="00E326B2"/>
    <w:rsid w:val="00E32B7D"/>
    <w:rsid w:val="00E339FD"/>
    <w:rsid w:val="00E33F43"/>
    <w:rsid w:val="00E344EF"/>
    <w:rsid w:val="00E34FD9"/>
    <w:rsid w:val="00E35399"/>
    <w:rsid w:val="00E363CB"/>
    <w:rsid w:val="00E366D0"/>
    <w:rsid w:val="00E3697B"/>
    <w:rsid w:val="00E36D4A"/>
    <w:rsid w:val="00E37E68"/>
    <w:rsid w:val="00E40392"/>
    <w:rsid w:val="00E405FF"/>
    <w:rsid w:val="00E40993"/>
    <w:rsid w:val="00E411AC"/>
    <w:rsid w:val="00E41C51"/>
    <w:rsid w:val="00E42498"/>
    <w:rsid w:val="00E42CD9"/>
    <w:rsid w:val="00E42F74"/>
    <w:rsid w:val="00E431E9"/>
    <w:rsid w:val="00E44171"/>
    <w:rsid w:val="00E451B3"/>
    <w:rsid w:val="00E45322"/>
    <w:rsid w:val="00E50177"/>
    <w:rsid w:val="00E50777"/>
    <w:rsid w:val="00E51ED1"/>
    <w:rsid w:val="00E53465"/>
    <w:rsid w:val="00E53C7A"/>
    <w:rsid w:val="00E55055"/>
    <w:rsid w:val="00E5506F"/>
    <w:rsid w:val="00E56C4F"/>
    <w:rsid w:val="00E57545"/>
    <w:rsid w:val="00E60DF4"/>
    <w:rsid w:val="00E60FDA"/>
    <w:rsid w:val="00E61055"/>
    <w:rsid w:val="00E62930"/>
    <w:rsid w:val="00E62C80"/>
    <w:rsid w:val="00E636ED"/>
    <w:rsid w:val="00E65F2F"/>
    <w:rsid w:val="00E661BE"/>
    <w:rsid w:val="00E67069"/>
    <w:rsid w:val="00E67ACF"/>
    <w:rsid w:val="00E70626"/>
    <w:rsid w:val="00E706DE"/>
    <w:rsid w:val="00E714B0"/>
    <w:rsid w:val="00E73C78"/>
    <w:rsid w:val="00E749B5"/>
    <w:rsid w:val="00E75239"/>
    <w:rsid w:val="00E75625"/>
    <w:rsid w:val="00E76629"/>
    <w:rsid w:val="00E77816"/>
    <w:rsid w:val="00E80C63"/>
    <w:rsid w:val="00E81BDE"/>
    <w:rsid w:val="00E82B00"/>
    <w:rsid w:val="00E83F81"/>
    <w:rsid w:val="00E83F8F"/>
    <w:rsid w:val="00E8427E"/>
    <w:rsid w:val="00E853BC"/>
    <w:rsid w:val="00E8581E"/>
    <w:rsid w:val="00E8792A"/>
    <w:rsid w:val="00E87E0D"/>
    <w:rsid w:val="00E900FF"/>
    <w:rsid w:val="00E907D3"/>
    <w:rsid w:val="00E910B8"/>
    <w:rsid w:val="00E91136"/>
    <w:rsid w:val="00E91731"/>
    <w:rsid w:val="00E93470"/>
    <w:rsid w:val="00E93D0A"/>
    <w:rsid w:val="00E94C65"/>
    <w:rsid w:val="00E95EA9"/>
    <w:rsid w:val="00E9650C"/>
    <w:rsid w:val="00E96599"/>
    <w:rsid w:val="00E9751B"/>
    <w:rsid w:val="00E97B1E"/>
    <w:rsid w:val="00EA073C"/>
    <w:rsid w:val="00EA08FB"/>
    <w:rsid w:val="00EA19BC"/>
    <w:rsid w:val="00EA1DB0"/>
    <w:rsid w:val="00EA20F8"/>
    <w:rsid w:val="00EA30C6"/>
    <w:rsid w:val="00EA3AE7"/>
    <w:rsid w:val="00EA4535"/>
    <w:rsid w:val="00EA55C2"/>
    <w:rsid w:val="00EA573D"/>
    <w:rsid w:val="00EA5E18"/>
    <w:rsid w:val="00EA7888"/>
    <w:rsid w:val="00EA7BFE"/>
    <w:rsid w:val="00EB14B1"/>
    <w:rsid w:val="00EB1ADC"/>
    <w:rsid w:val="00EB22B5"/>
    <w:rsid w:val="00EB237F"/>
    <w:rsid w:val="00EB3BA3"/>
    <w:rsid w:val="00EB3DF0"/>
    <w:rsid w:val="00EB4201"/>
    <w:rsid w:val="00EB640A"/>
    <w:rsid w:val="00EB67E0"/>
    <w:rsid w:val="00EC0261"/>
    <w:rsid w:val="00EC05A4"/>
    <w:rsid w:val="00EC16A1"/>
    <w:rsid w:val="00EC2C4E"/>
    <w:rsid w:val="00EC34E9"/>
    <w:rsid w:val="00EC3990"/>
    <w:rsid w:val="00EC59E8"/>
    <w:rsid w:val="00EC6206"/>
    <w:rsid w:val="00EC6B44"/>
    <w:rsid w:val="00EC730E"/>
    <w:rsid w:val="00EC75B7"/>
    <w:rsid w:val="00EC7A1F"/>
    <w:rsid w:val="00ED0FAB"/>
    <w:rsid w:val="00ED2571"/>
    <w:rsid w:val="00ED264D"/>
    <w:rsid w:val="00ED2CE0"/>
    <w:rsid w:val="00ED342B"/>
    <w:rsid w:val="00ED5C2D"/>
    <w:rsid w:val="00ED5D78"/>
    <w:rsid w:val="00ED61ED"/>
    <w:rsid w:val="00EE0637"/>
    <w:rsid w:val="00EE2A26"/>
    <w:rsid w:val="00EE2B7F"/>
    <w:rsid w:val="00EE2FF7"/>
    <w:rsid w:val="00EE4265"/>
    <w:rsid w:val="00EE5396"/>
    <w:rsid w:val="00EE5779"/>
    <w:rsid w:val="00EE7996"/>
    <w:rsid w:val="00EE7AEE"/>
    <w:rsid w:val="00EF0597"/>
    <w:rsid w:val="00EF0B5E"/>
    <w:rsid w:val="00EF18CB"/>
    <w:rsid w:val="00EF1E90"/>
    <w:rsid w:val="00EF21B4"/>
    <w:rsid w:val="00EF290A"/>
    <w:rsid w:val="00EF3378"/>
    <w:rsid w:val="00EF3D3F"/>
    <w:rsid w:val="00EF5450"/>
    <w:rsid w:val="00EF550D"/>
    <w:rsid w:val="00EF565F"/>
    <w:rsid w:val="00EF6F47"/>
    <w:rsid w:val="00EF7BD1"/>
    <w:rsid w:val="00F011BD"/>
    <w:rsid w:val="00F011CD"/>
    <w:rsid w:val="00F03DF1"/>
    <w:rsid w:val="00F04AC6"/>
    <w:rsid w:val="00F04F75"/>
    <w:rsid w:val="00F05B4A"/>
    <w:rsid w:val="00F05F8F"/>
    <w:rsid w:val="00F06A6D"/>
    <w:rsid w:val="00F06DD0"/>
    <w:rsid w:val="00F078E7"/>
    <w:rsid w:val="00F07FAB"/>
    <w:rsid w:val="00F1158F"/>
    <w:rsid w:val="00F12EF5"/>
    <w:rsid w:val="00F14AB7"/>
    <w:rsid w:val="00F1506C"/>
    <w:rsid w:val="00F15B83"/>
    <w:rsid w:val="00F164B7"/>
    <w:rsid w:val="00F16D3B"/>
    <w:rsid w:val="00F16F73"/>
    <w:rsid w:val="00F17DDC"/>
    <w:rsid w:val="00F209BA"/>
    <w:rsid w:val="00F213C6"/>
    <w:rsid w:val="00F21AA5"/>
    <w:rsid w:val="00F22395"/>
    <w:rsid w:val="00F22645"/>
    <w:rsid w:val="00F23BC8"/>
    <w:rsid w:val="00F25111"/>
    <w:rsid w:val="00F26560"/>
    <w:rsid w:val="00F306D7"/>
    <w:rsid w:val="00F30D39"/>
    <w:rsid w:val="00F32712"/>
    <w:rsid w:val="00F32D8D"/>
    <w:rsid w:val="00F32E20"/>
    <w:rsid w:val="00F32FA3"/>
    <w:rsid w:val="00F3415C"/>
    <w:rsid w:val="00F348B5"/>
    <w:rsid w:val="00F35FF3"/>
    <w:rsid w:val="00F36103"/>
    <w:rsid w:val="00F372DC"/>
    <w:rsid w:val="00F420B2"/>
    <w:rsid w:val="00F421F1"/>
    <w:rsid w:val="00F42BDD"/>
    <w:rsid w:val="00F43595"/>
    <w:rsid w:val="00F43A64"/>
    <w:rsid w:val="00F43F4E"/>
    <w:rsid w:val="00F440B6"/>
    <w:rsid w:val="00F448D2"/>
    <w:rsid w:val="00F448E6"/>
    <w:rsid w:val="00F44C8A"/>
    <w:rsid w:val="00F45638"/>
    <w:rsid w:val="00F457EC"/>
    <w:rsid w:val="00F52186"/>
    <w:rsid w:val="00F52820"/>
    <w:rsid w:val="00F5323E"/>
    <w:rsid w:val="00F53C29"/>
    <w:rsid w:val="00F53FB5"/>
    <w:rsid w:val="00F54E91"/>
    <w:rsid w:val="00F55F88"/>
    <w:rsid w:val="00F5622C"/>
    <w:rsid w:val="00F5677E"/>
    <w:rsid w:val="00F56AE6"/>
    <w:rsid w:val="00F573B8"/>
    <w:rsid w:val="00F6101A"/>
    <w:rsid w:val="00F617D6"/>
    <w:rsid w:val="00F61F07"/>
    <w:rsid w:val="00F62188"/>
    <w:rsid w:val="00F62379"/>
    <w:rsid w:val="00F62CAD"/>
    <w:rsid w:val="00F63634"/>
    <w:rsid w:val="00F63C9E"/>
    <w:rsid w:val="00F64B1F"/>
    <w:rsid w:val="00F65F08"/>
    <w:rsid w:val="00F65FB6"/>
    <w:rsid w:val="00F6639A"/>
    <w:rsid w:val="00F70322"/>
    <w:rsid w:val="00F7115E"/>
    <w:rsid w:val="00F713D0"/>
    <w:rsid w:val="00F71685"/>
    <w:rsid w:val="00F722A8"/>
    <w:rsid w:val="00F7348F"/>
    <w:rsid w:val="00F73785"/>
    <w:rsid w:val="00F74CCE"/>
    <w:rsid w:val="00F74F6D"/>
    <w:rsid w:val="00F7693E"/>
    <w:rsid w:val="00F7695E"/>
    <w:rsid w:val="00F76D28"/>
    <w:rsid w:val="00F7722A"/>
    <w:rsid w:val="00F808C1"/>
    <w:rsid w:val="00F80DA7"/>
    <w:rsid w:val="00F81226"/>
    <w:rsid w:val="00F814E8"/>
    <w:rsid w:val="00F827F0"/>
    <w:rsid w:val="00F82935"/>
    <w:rsid w:val="00F82E5C"/>
    <w:rsid w:val="00F83790"/>
    <w:rsid w:val="00F841DA"/>
    <w:rsid w:val="00F845D0"/>
    <w:rsid w:val="00F85D0F"/>
    <w:rsid w:val="00F86559"/>
    <w:rsid w:val="00F87836"/>
    <w:rsid w:val="00F90DC6"/>
    <w:rsid w:val="00F917AC"/>
    <w:rsid w:val="00F91F8F"/>
    <w:rsid w:val="00F93BD2"/>
    <w:rsid w:val="00F94443"/>
    <w:rsid w:val="00F948F3"/>
    <w:rsid w:val="00F95764"/>
    <w:rsid w:val="00F96420"/>
    <w:rsid w:val="00F96510"/>
    <w:rsid w:val="00F968FB"/>
    <w:rsid w:val="00FA016F"/>
    <w:rsid w:val="00FA0835"/>
    <w:rsid w:val="00FA0EE3"/>
    <w:rsid w:val="00FA1FB3"/>
    <w:rsid w:val="00FA2F83"/>
    <w:rsid w:val="00FA3716"/>
    <w:rsid w:val="00FA3D67"/>
    <w:rsid w:val="00FA41B8"/>
    <w:rsid w:val="00FA4FA2"/>
    <w:rsid w:val="00FA6561"/>
    <w:rsid w:val="00FA7612"/>
    <w:rsid w:val="00FA7928"/>
    <w:rsid w:val="00FB077E"/>
    <w:rsid w:val="00FB0A13"/>
    <w:rsid w:val="00FB0E77"/>
    <w:rsid w:val="00FB0F41"/>
    <w:rsid w:val="00FB2587"/>
    <w:rsid w:val="00FB32C8"/>
    <w:rsid w:val="00FB432A"/>
    <w:rsid w:val="00FB4854"/>
    <w:rsid w:val="00FB4CE6"/>
    <w:rsid w:val="00FB691D"/>
    <w:rsid w:val="00FB6AE9"/>
    <w:rsid w:val="00FB6C33"/>
    <w:rsid w:val="00FB7296"/>
    <w:rsid w:val="00FC0795"/>
    <w:rsid w:val="00FC0FE0"/>
    <w:rsid w:val="00FC18B9"/>
    <w:rsid w:val="00FC2792"/>
    <w:rsid w:val="00FC2CB8"/>
    <w:rsid w:val="00FC37DB"/>
    <w:rsid w:val="00FC3A5F"/>
    <w:rsid w:val="00FC3EB5"/>
    <w:rsid w:val="00FC54D9"/>
    <w:rsid w:val="00FC59BB"/>
    <w:rsid w:val="00FC6DF4"/>
    <w:rsid w:val="00FD0458"/>
    <w:rsid w:val="00FD2486"/>
    <w:rsid w:val="00FD480B"/>
    <w:rsid w:val="00FD5868"/>
    <w:rsid w:val="00FD5DD6"/>
    <w:rsid w:val="00FD615A"/>
    <w:rsid w:val="00FD6D50"/>
    <w:rsid w:val="00FD7190"/>
    <w:rsid w:val="00FD72F6"/>
    <w:rsid w:val="00FD7EA2"/>
    <w:rsid w:val="00FE023F"/>
    <w:rsid w:val="00FE0F8C"/>
    <w:rsid w:val="00FE1BDF"/>
    <w:rsid w:val="00FE2C48"/>
    <w:rsid w:val="00FE2F9F"/>
    <w:rsid w:val="00FE2FE2"/>
    <w:rsid w:val="00FE497E"/>
    <w:rsid w:val="00FE4C38"/>
    <w:rsid w:val="00FE4D2E"/>
    <w:rsid w:val="00FE4E7F"/>
    <w:rsid w:val="00FE62C6"/>
    <w:rsid w:val="00FE6469"/>
    <w:rsid w:val="00FE66BD"/>
    <w:rsid w:val="00FE6870"/>
    <w:rsid w:val="00FE7719"/>
    <w:rsid w:val="00FE7F52"/>
    <w:rsid w:val="00FF0A71"/>
    <w:rsid w:val="00FF0A8B"/>
    <w:rsid w:val="00FF182C"/>
    <w:rsid w:val="00FF186B"/>
    <w:rsid w:val="00FF2255"/>
    <w:rsid w:val="00FF3D4B"/>
    <w:rsid w:val="00FF45C7"/>
    <w:rsid w:val="00FF5634"/>
    <w:rsid w:val="00FF5959"/>
    <w:rsid w:val="00FF66D9"/>
    <w:rsid w:val="00FF67A0"/>
    <w:rsid w:val="00FF6CCA"/>
    <w:rsid w:val="00FF7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0D1B"/>
    <w:rPr>
      <w:rFonts w:ascii="Arial" w:hAnsi="Arial"/>
      <w:sz w:val="24"/>
      <w:szCs w:val="24"/>
    </w:rPr>
  </w:style>
  <w:style w:type="paragraph" w:styleId="Nadpis1">
    <w:name w:val="heading 1"/>
    <w:aliases w:val="Nadpis 1s"/>
    <w:basedOn w:val="Normln"/>
    <w:next w:val="Normln"/>
    <w:link w:val="Nadpis1Char"/>
    <w:qFormat/>
    <w:rsid w:val="00987584"/>
    <w:pPr>
      <w:keepNext/>
      <w:outlineLvl w:val="0"/>
    </w:pPr>
    <w:rPr>
      <w:rFonts w:ascii="Times New Roman" w:hAnsi="Times New Roman"/>
      <w:sz w:val="28"/>
      <w:szCs w:val="20"/>
    </w:rPr>
  </w:style>
  <w:style w:type="paragraph" w:styleId="Nadpis2">
    <w:name w:val="heading 2"/>
    <w:basedOn w:val="Normln"/>
    <w:next w:val="Normln"/>
    <w:link w:val="Nadpis2Char"/>
    <w:qFormat/>
    <w:rsid w:val="00987584"/>
    <w:pPr>
      <w:keepNext/>
      <w:outlineLvl w:val="1"/>
    </w:pPr>
    <w:rPr>
      <w:rFonts w:ascii="Times New Roman" w:hAnsi="Times New Roman"/>
      <w:szCs w:val="20"/>
    </w:rPr>
  </w:style>
  <w:style w:type="paragraph" w:styleId="Nadpis3">
    <w:name w:val="heading 3"/>
    <w:basedOn w:val="Normln"/>
    <w:next w:val="Normln"/>
    <w:link w:val="Nadpis3Char"/>
    <w:qFormat/>
    <w:rsid w:val="00987584"/>
    <w:pPr>
      <w:keepNext/>
      <w:jc w:val="center"/>
      <w:outlineLvl w:val="2"/>
    </w:pPr>
    <w:rPr>
      <w:rFonts w:ascii="Times New Roman" w:hAnsi="Times New Roman"/>
      <w:szCs w:val="20"/>
    </w:rPr>
  </w:style>
  <w:style w:type="paragraph" w:styleId="Nadpis4">
    <w:name w:val="heading 4"/>
    <w:basedOn w:val="Normln"/>
    <w:next w:val="Normln"/>
    <w:qFormat/>
    <w:rsid w:val="00987584"/>
    <w:pPr>
      <w:keepNext/>
      <w:spacing w:line="360" w:lineRule="auto"/>
      <w:jc w:val="both"/>
      <w:outlineLvl w:val="3"/>
    </w:pPr>
    <w:rPr>
      <w:b/>
      <w:bCs/>
    </w:rPr>
  </w:style>
  <w:style w:type="paragraph" w:styleId="Nadpis5">
    <w:name w:val="heading 5"/>
    <w:basedOn w:val="Normln"/>
    <w:next w:val="Normln"/>
    <w:qFormat/>
    <w:rsid w:val="00987584"/>
    <w:pPr>
      <w:keepNext/>
      <w:outlineLvl w:val="4"/>
    </w:pPr>
    <w:rPr>
      <w:rFonts w:ascii="Times New Roman" w:hAnsi="Times New Roman"/>
      <w:i/>
      <w:szCs w:val="20"/>
    </w:rPr>
  </w:style>
  <w:style w:type="paragraph" w:styleId="Nadpis6">
    <w:name w:val="heading 6"/>
    <w:basedOn w:val="Normln"/>
    <w:next w:val="Normln"/>
    <w:qFormat/>
    <w:rsid w:val="00987584"/>
    <w:pPr>
      <w:keepNext/>
      <w:outlineLvl w:val="5"/>
    </w:pPr>
    <w:rPr>
      <w:rFonts w:ascii="Times New Roman" w:hAnsi="Times New Roman"/>
      <w:b/>
      <w:i/>
      <w:szCs w:val="20"/>
    </w:rPr>
  </w:style>
  <w:style w:type="paragraph" w:styleId="Nadpis7">
    <w:name w:val="heading 7"/>
    <w:basedOn w:val="Normln"/>
    <w:next w:val="Normln"/>
    <w:qFormat/>
    <w:rsid w:val="00987584"/>
    <w:pPr>
      <w:keepNext/>
      <w:outlineLvl w:val="6"/>
    </w:pPr>
    <w:rPr>
      <w:rFonts w:ascii="Times New Roman" w:hAnsi="Times New Roman"/>
      <w:b/>
      <w:sz w:val="20"/>
      <w:szCs w:val="20"/>
    </w:rPr>
  </w:style>
  <w:style w:type="paragraph" w:styleId="Nadpis8">
    <w:name w:val="heading 8"/>
    <w:basedOn w:val="Normln"/>
    <w:next w:val="Normln"/>
    <w:qFormat/>
    <w:rsid w:val="00987584"/>
    <w:pPr>
      <w:keepNext/>
      <w:numPr>
        <w:numId w:val="1"/>
      </w:numPr>
      <w:tabs>
        <w:tab w:val="clear" w:pos="1080"/>
        <w:tab w:val="num" w:pos="720"/>
      </w:tabs>
      <w:spacing w:line="360" w:lineRule="auto"/>
      <w:jc w:val="both"/>
      <w:outlineLvl w:val="7"/>
    </w:pPr>
    <w:rPr>
      <w:b/>
      <w:bCs/>
    </w:rPr>
  </w:style>
  <w:style w:type="paragraph" w:styleId="Nadpis9">
    <w:name w:val="heading 9"/>
    <w:basedOn w:val="Normln"/>
    <w:next w:val="Normln"/>
    <w:qFormat/>
    <w:rsid w:val="00987584"/>
    <w:pPr>
      <w:keepNext/>
      <w:spacing w:line="360" w:lineRule="auto"/>
      <w:ind w:left="360"/>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7584"/>
    <w:pPr>
      <w:spacing w:line="360" w:lineRule="auto"/>
      <w:jc w:val="center"/>
    </w:pPr>
    <w:rPr>
      <w:b/>
      <w:bCs/>
      <w:sz w:val="32"/>
    </w:rPr>
  </w:style>
  <w:style w:type="paragraph" w:styleId="Zkladntext">
    <w:name w:val="Body Text"/>
    <w:basedOn w:val="Normln"/>
    <w:link w:val="ZkladntextChar"/>
    <w:rsid w:val="00987584"/>
    <w:pPr>
      <w:spacing w:line="360" w:lineRule="auto"/>
      <w:jc w:val="center"/>
    </w:pPr>
    <w:rPr>
      <w:b/>
      <w:bCs/>
      <w:sz w:val="28"/>
    </w:rPr>
  </w:style>
  <w:style w:type="character" w:styleId="Hypertextovodkaz">
    <w:name w:val="Hyperlink"/>
    <w:basedOn w:val="Standardnpsmoodstavce"/>
    <w:uiPriority w:val="99"/>
    <w:rsid w:val="00987584"/>
    <w:rPr>
      <w:color w:val="0000FF"/>
      <w:u w:val="single"/>
    </w:rPr>
  </w:style>
  <w:style w:type="character" w:styleId="Sledovanodkaz">
    <w:name w:val="FollowedHyperlink"/>
    <w:basedOn w:val="Standardnpsmoodstavce"/>
    <w:rsid w:val="00987584"/>
    <w:rPr>
      <w:color w:val="800080"/>
      <w:u w:val="single"/>
    </w:rPr>
  </w:style>
  <w:style w:type="character" w:styleId="slostrnky">
    <w:name w:val="page number"/>
    <w:basedOn w:val="Standardnpsmoodstavce"/>
    <w:rsid w:val="00987584"/>
  </w:style>
  <w:style w:type="paragraph" w:styleId="Zkladntext2">
    <w:name w:val="Body Text 2"/>
    <w:basedOn w:val="Normln"/>
    <w:link w:val="Zkladntext2Char"/>
    <w:rsid w:val="00987584"/>
    <w:rPr>
      <w:rFonts w:ascii="Times New Roman" w:hAnsi="Times New Roman"/>
      <w:szCs w:val="20"/>
    </w:rPr>
  </w:style>
  <w:style w:type="paragraph" w:styleId="Zkladntextodsazen">
    <w:name w:val="Body Text Indent"/>
    <w:basedOn w:val="Normln"/>
    <w:rsid w:val="00987584"/>
    <w:pPr>
      <w:ind w:left="284" w:hanging="284"/>
    </w:pPr>
    <w:rPr>
      <w:rFonts w:ascii="Times New Roman" w:hAnsi="Times New Roman"/>
      <w:szCs w:val="20"/>
    </w:rPr>
  </w:style>
  <w:style w:type="paragraph" w:styleId="Zkladntextodsazen2">
    <w:name w:val="Body Text Indent 2"/>
    <w:basedOn w:val="Normln"/>
    <w:rsid w:val="00987584"/>
    <w:pPr>
      <w:ind w:left="284" w:hanging="284"/>
      <w:jc w:val="both"/>
    </w:pPr>
    <w:rPr>
      <w:rFonts w:ascii="Times New Roman" w:hAnsi="Times New Roman"/>
      <w:szCs w:val="20"/>
    </w:rPr>
  </w:style>
  <w:style w:type="paragraph" w:styleId="Zpat">
    <w:name w:val="footer"/>
    <w:basedOn w:val="Normln"/>
    <w:rsid w:val="00987584"/>
    <w:pPr>
      <w:tabs>
        <w:tab w:val="center" w:pos="4536"/>
        <w:tab w:val="right" w:pos="9072"/>
      </w:tabs>
    </w:pPr>
    <w:rPr>
      <w:rFonts w:ascii="Times New Roman" w:hAnsi="Times New Roman"/>
      <w:sz w:val="20"/>
      <w:szCs w:val="20"/>
    </w:rPr>
  </w:style>
  <w:style w:type="paragraph" w:styleId="Zkladntext3">
    <w:name w:val="Body Text 3"/>
    <w:basedOn w:val="Normln"/>
    <w:link w:val="Zkladntext3Char"/>
    <w:rsid w:val="00987584"/>
    <w:rPr>
      <w:rFonts w:ascii="Times New Roman" w:hAnsi="Times New Roman"/>
      <w:i/>
      <w:szCs w:val="20"/>
    </w:rPr>
  </w:style>
  <w:style w:type="paragraph" w:styleId="Zkladntextodsazen3">
    <w:name w:val="Body Text Indent 3"/>
    <w:basedOn w:val="Normln"/>
    <w:rsid w:val="00987584"/>
    <w:pPr>
      <w:ind w:firstLine="708"/>
      <w:jc w:val="both"/>
    </w:pPr>
    <w:rPr>
      <w:rFonts w:ascii="Times New Roman" w:hAnsi="Times New Roman"/>
      <w:szCs w:val="20"/>
    </w:rPr>
  </w:style>
  <w:style w:type="paragraph" w:styleId="Zhlav">
    <w:name w:val="header"/>
    <w:basedOn w:val="Normln"/>
    <w:link w:val="ZhlavChar"/>
    <w:rsid w:val="00987584"/>
    <w:pPr>
      <w:tabs>
        <w:tab w:val="center" w:pos="4536"/>
        <w:tab w:val="right" w:pos="9072"/>
      </w:tabs>
      <w:overflowPunct w:val="0"/>
      <w:autoSpaceDE w:val="0"/>
      <w:autoSpaceDN w:val="0"/>
      <w:adjustRightInd w:val="0"/>
      <w:textAlignment w:val="baseline"/>
    </w:pPr>
    <w:rPr>
      <w:szCs w:val="20"/>
    </w:rPr>
  </w:style>
  <w:style w:type="paragraph" w:customStyle="1" w:styleId="Texttabulky">
    <w:name w:val="Text tabulky"/>
    <w:rsid w:val="00987584"/>
    <w:pPr>
      <w:widowControl w:val="0"/>
    </w:pPr>
    <w:rPr>
      <w:snapToGrid w:val="0"/>
      <w:color w:val="000000"/>
      <w:sz w:val="24"/>
    </w:rPr>
  </w:style>
  <w:style w:type="paragraph" w:customStyle="1" w:styleId="Podnadpis">
    <w:name w:val="Podnadpis"/>
    <w:rsid w:val="00987584"/>
    <w:pPr>
      <w:widowControl w:val="0"/>
      <w:spacing w:before="72" w:after="72"/>
    </w:pPr>
    <w:rPr>
      <w:b/>
      <w:i/>
      <w:snapToGrid w:val="0"/>
      <w:color w:val="000000"/>
      <w:sz w:val="24"/>
    </w:rPr>
  </w:style>
  <w:style w:type="paragraph" w:customStyle="1" w:styleId="dka">
    <w:name w:val="Řádka"/>
    <w:rsid w:val="00987584"/>
    <w:pPr>
      <w:widowControl w:val="0"/>
    </w:pPr>
    <w:rPr>
      <w:snapToGrid w:val="0"/>
      <w:color w:val="000000"/>
      <w:sz w:val="24"/>
    </w:rPr>
  </w:style>
  <w:style w:type="paragraph" w:customStyle="1" w:styleId="Nadpis30">
    <w:name w:val="Nadpis3"/>
    <w:basedOn w:val="Nadpis3"/>
    <w:rsid w:val="00987584"/>
    <w:pPr>
      <w:jc w:val="left"/>
    </w:pPr>
    <w:rPr>
      <w:b/>
      <w:sz w:val="28"/>
    </w:rPr>
  </w:style>
  <w:style w:type="paragraph" w:customStyle="1" w:styleId="odsazen">
    <w:name w:val="odsazení"/>
    <w:basedOn w:val="Normln"/>
    <w:rsid w:val="00987584"/>
    <w:pPr>
      <w:tabs>
        <w:tab w:val="num" w:pos="360"/>
      </w:tabs>
      <w:ind w:left="360" w:hanging="360"/>
      <w:jc w:val="both"/>
    </w:pPr>
    <w:rPr>
      <w:rFonts w:ascii="Times New Roman" w:hAnsi="Times New Roman"/>
      <w:szCs w:val="20"/>
    </w:rPr>
  </w:style>
  <w:style w:type="character" w:customStyle="1" w:styleId="goohl0">
    <w:name w:val="goohl0"/>
    <w:basedOn w:val="Standardnpsmoodstavce"/>
    <w:rsid w:val="00987584"/>
  </w:style>
  <w:style w:type="character" w:customStyle="1" w:styleId="platne1">
    <w:name w:val="platne1"/>
    <w:basedOn w:val="Standardnpsmoodstavce"/>
    <w:rsid w:val="00987584"/>
    <w:rPr>
      <w:w w:val="120"/>
    </w:rPr>
  </w:style>
  <w:style w:type="character" w:styleId="Siln">
    <w:name w:val="Strong"/>
    <w:basedOn w:val="Standardnpsmoodstavce"/>
    <w:uiPriority w:val="22"/>
    <w:qFormat/>
    <w:rsid w:val="00987584"/>
    <w:rPr>
      <w:b/>
      <w:bCs/>
    </w:rPr>
  </w:style>
  <w:style w:type="paragraph" w:styleId="Prosttext">
    <w:name w:val="Plain Text"/>
    <w:basedOn w:val="Normln"/>
    <w:link w:val="ProsttextChar"/>
    <w:uiPriority w:val="99"/>
    <w:rsid w:val="00987584"/>
    <w:pPr>
      <w:spacing w:before="40"/>
    </w:pPr>
    <w:rPr>
      <w:rFonts w:ascii="Times New Roman" w:hAnsi="Times New Roman"/>
      <w:color w:val="000000"/>
      <w:szCs w:val="20"/>
    </w:rPr>
  </w:style>
  <w:style w:type="paragraph" w:styleId="Textbubliny">
    <w:name w:val="Balloon Text"/>
    <w:basedOn w:val="Normln"/>
    <w:semiHidden/>
    <w:rsid w:val="003A1607"/>
    <w:rPr>
      <w:rFonts w:ascii="Tahoma" w:hAnsi="Tahoma" w:cs="Tahoma"/>
      <w:sz w:val="16"/>
      <w:szCs w:val="16"/>
    </w:rPr>
  </w:style>
  <w:style w:type="table" w:styleId="Mkatabulky">
    <w:name w:val="Table Grid"/>
    <w:basedOn w:val="Normlntabulka"/>
    <w:uiPriority w:val="59"/>
    <w:rsid w:val="00F7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D6614D"/>
    <w:pPr>
      <w:spacing w:before="100" w:beforeAutospacing="1" w:after="100" w:afterAutospacing="1"/>
    </w:pPr>
    <w:rPr>
      <w:rFonts w:ascii="Times New Roman" w:hAnsi="Times New Roman"/>
    </w:rPr>
  </w:style>
  <w:style w:type="character" w:customStyle="1" w:styleId="dbnazev">
    <w:name w:val="dbnazev"/>
    <w:basedOn w:val="Standardnpsmoodstavce"/>
    <w:rsid w:val="007530F6"/>
  </w:style>
  <w:style w:type="character" w:styleId="Zvraznn">
    <w:name w:val="Emphasis"/>
    <w:basedOn w:val="Standardnpsmoodstavce"/>
    <w:uiPriority w:val="20"/>
    <w:qFormat/>
    <w:rsid w:val="0061677D"/>
    <w:rPr>
      <w:i/>
      <w:iCs/>
    </w:rPr>
  </w:style>
  <w:style w:type="paragraph" w:customStyle="1" w:styleId="bodytext">
    <w:name w:val="bodytext"/>
    <w:basedOn w:val="Normln"/>
    <w:rsid w:val="0018353B"/>
    <w:rPr>
      <w:rFonts w:ascii="Times New Roman" w:hAnsi="Times New Roman"/>
      <w:color w:val="000000"/>
    </w:rPr>
  </w:style>
  <w:style w:type="character" w:customStyle="1" w:styleId="StylE-mailovZprvy421">
    <w:name w:val="StylE-mailovéZprávy421"/>
    <w:basedOn w:val="Standardnpsmoodstavce"/>
    <w:semiHidden/>
    <w:rsid w:val="00597149"/>
    <w:rPr>
      <w:rFonts w:ascii="Arial" w:hAnsi="Arial" w:cs="Arial" w:hint="default"/>
      <w:color w:val="auto"/>
      <w:sz w:val="20"/>
      <w:szCs w:val="20"/>
    </w:rPr>
  </w:style>
  <w:style w:type="character" w:customStyle="1" w:styleId="vyrazne1">
    <w:name w:val="vyrazne1"/>
    <w:basedOn w:val="Standardnpsmoodstavce"/>
    <w:rsid w:val="00896CE3"/>
    <w:rPr>
      <w:b/>
      <w:bCs/>
      <w:color w:val="1F5196"/>
      <w:sz w:val="24"/>
      <w:szCs w:val="24"/>
    </w:rPr>
  </w:style>
  <w:style w:type="character" w:customStyle="1" w:styleId="style8">
    <w:name w:val="style8"/>
    <w:basedOn w:val="Standardnpsmoodstavce"/>
    <w:rsid w:val="00C042DF"/>
  </w:style>
  <w:style w:type="character" w:customStyle="1" w:styleId="tsubjname">
    <w:name w:val="tsubjname"/>
    <w:basedOn w:val="Standardnpsmoodstavce"/>
    <w:rsid w:val="00C813F9"/>
  </w:style>
  <w:style w:type="paragraph" w:customStyle="1" w:styleId="description1">
    <w:name w:val="description1"/>
    <w:basedOn w:val="Normln"/>
    <w:rsid w:val="008902BC"/>
    <w:rPr>
      <w:rFonts w:ascii="Times New Roman" w:hAnsi="Times New Roman"/>
      <w:sz w:val="26"/>
      <w:szCs w:val="26"/>
    </w:rPr>
  </w:style>
  <w:style w:type="character" w:customStyle="1" w:styleId="adr">
    <w:name w:val="adr"/>
    <w:basedOn w:val="Standardnpsmoodstavce"/>
    <w:rsid w:val="008902BC"/>
  </w:style>
  <w:style w:type="character" w:customStyle="1" w:styleId="street-address">
    <w:name w:val="street-address"/>
    <w:basedOn w:val="Standardnpsmoodstavce"/>
    <w:rsid w:val="008902BC"/>
  </w:style>
  <w:style w:type="character" w:customStyle="1" w:styleId="postal-code">
    <w:name w:val="postal-code"/>
    <w:basedOn w:val="Standardnpsmoodstavce"/>
    <w:rsid w:val="008902BC"/>
  </w:style>
  <w:style w:type="character" w:customStyle="1" w:styleId="locality">
    <w:name w:val="locality"/>
    <w:basedOn w:val="Standardnpsmoodstavce"/>
    <w:rsid w:val="008902BC"/>
  </w:style>
  <w:style w:type="paragraph" w:styleId="Podtitul">
    <w:name w:val="Subtitle"/>
    <w:basedOn w:val="Normln"/>
    <w:qFormat/>
    <w:rsid w:val="00340C63"/>
    <w:pPr>
      <w:jc w:val="both"/>
    </w:pPr>
    <w:rPr>
      <w:rFonts w:ascii="CG Times" w:hAnsi="CG Times"/>
      <w:b/>
      <w:bCs/>
      <w:color w:val="000000"/>
    </w:rPr>
  </w:style>
  <w:style w:type="character" w:customStyle="1" w:styleId="NzevChar">
    <w:name w:val="Název Char"/>
    <w:basedOn w:val="Standardnpsmoodstavce"/>
    <w:link w:val="Nzev"/>
    <w:rsid w:val="00BC2096"/>
    <w:rPr>
      <w:rFonts w:ascii="Arial" w:hAnsi="Arial"/>
      <w:b/>
      <w:bCs/>
      <w:sz w:val="32"/>
      <w:szCs w:val="24"/>
    </w:rPr>
  </w:style>
  <w:style w:type="character" w:customStyle="1" w:styleId="ZkladntextChar">
    <w:name w:val="Základní text Char"/>
    <w:basedOn w:val="Standardnpsmoodstavce"/>
    <w:link w:val="Zkladntext"/>
    <w:rsid w:val="00BC2096"/>
    <w:rPr>
      <w:rFonts w:ascii="Arial" w:hAnsi="Arial"/>
      <w:b/>
      <w:bCs/>
      <w:sz w:val="28"/>
      <w:szCs w:val="24"/>
    </w:rPr>
  </w:style>
  <w:style w:type="character" w:customStyle="1" w:styleId="Zkladntext2Char">
    <w:name w:val="Základní text 2 Char"/>
    <w:basedOn w:val="Standardnpsmoodstavce"/>
    <w:link w:val="Zkladntext2"/>
    <w:rsid w:val="00BC2096"/>
    <w:rPr>
      <w:sz w:val="24"/>
    </w:rPr>
  </w:style>
  <w:style w:type="character" w:customStyle="1" w:styleId="ZhlavChar">
    <w:name w:val="Záhlaví Char"/>
    <w:link w:val="Zhlav"/>
    <w:rsid w:val="00440478"/>
    <w:rPr>
      <w:rFonts w:ascii="Arial" w:hAnsi="Arial"/>
      <w:sz w:val="24"/>
    </w:rPr>
  </w:style>
  <w:style w:type="paragraph" w:customStyle="1" w:styleId="description">
    <w:name w:val="description"/>
    <w:basedOn w:val="Normln"/>
    <w:rsid w:val="000D79ED"/>
    <w:pPr>
      <w:spacing w:before="100" w:beforeAutospacing="1" w:after="100" w:afterAutospacing="1"/>
    </w:pPr>
    <w:rPr>
      <w:rFonts w:ascii="Times New Roman" w:hAnsi="Times New Roman"/>
    </w:rPr>
  </w:style>
  <w:style w:type="paragraph" w:styleId="Nadpisobsahu">
    <w:name w:val="TOC Heading"/>
    <w:basedOn w:val="Nadpis1"/>
    <w:next w:val="Normln"/>
    <w:uiPriority w:val="39"/>
    <w:semiHidden/>
    <w:unhideWhenUsed/>
    <w:qFormat/>
    <w:rsid w:val="00890CA5"/>
    <w:pPr>
      <w:keepLines/>
      <w:spacing w:before="480" w:line="276" w:lineRule="auto"/>
      <w:outlineLvl w:val="9"/>
    </w:pPr>
    <w:rPr>
      <w:rFonts w:ascii="Cambria" w:hAnsi="Cambria"/>
      <w:b/>
      <w:bCs/>
      <w:color w:val="365F91"/>
      <w:szCs w:val="28"/>
      <w:lang w:eastAsia="en-US"/>
    </w:rPr>
  </w:style>
  <w:style w:type="paragraph" w:styleId="Obsah1">
    <w:name w:val="toc 1"/>
    <w:basedOn w:val="Normln"/>
    <w:next w:val="Normln"/>
    <w:autoRedefine/>
    <w:uiPriority w:val="39"/>
    <w:qFormat/>
    <w:rsid w:val="00890CA5"/>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qFormat/>
    <w:rsid w:val="00890CA5"/>
    <w:pPr>
      <w:ind w:left="240"/>
    </w:pPr>
    <w:rPr>
      <w:rFonts w:asciiTheme="minorHAnsi" w:hAnsiTheme="minorHAnsi" w:cstheme="minorHAnsi"/>
      <w:smallCaps/>
      <w:sz w:val="20"/>
      <w:szCs w:val="20"/>
    </w:rPr>
  </w:style>
  <w:style w:type="paragraph" w:styleId="Obsah3">
    <w:name w:val="toc 3"/>
    <w:basedOn w:val="Normln"/>
    <w:next w:val="Normln"/>
    <w:autoRedefine/>
    <w:uiPriority w:val="39"/>
    <w:qFormat/>
    <w:rsid w:val="00890CA5"/>
    <w:pPr>
      <w:ind w:left="480"/>
    </w:pPr>
    <w:rPr>
      <w:rFonts w:asciiTheme="minorHAnsi" w:hAnsiTheme="minorHAnsi" w:cstheme="minorHAnsi"/>
      <w:i/>
      <w:iCs/>
      <w:sz w:val="20"/>
      <w:szCs w:val="20"/>
    </w:rPr>
  </w:style>
  <w:style w:type="paragraph" w:styleId="Odstavecseseznamem">
    <w:name w:val="List Paragraph"/>
    <w:basedOn w:val="Normln"/>
    <w:uiPriority w:val="34"/>
    <w:qFormat/>
    <w:rsid w:val="002A56CA"/>
    <w:pPr>
      <w:ind w:left="720"/>
      <w:contextualSpacing/>
    </w:pPr>
  </w:style>
  <w:style w:type="paragraph" w:styleId="Obsah4">
    <w:name w:val="toc 4"/>
    <w:basedOn w:val="Normln"/>
    <w:next w:val="Normln"/>
    <w:autoRedefine/>
    <w:rsid w:val="00AC049F"/>
    <w:pPr>
      <w:ind w:left="720"/>
    </w:pPr>
    <w:rPr>
      <w:rFonts w:asciiTheme="minorHAnsi" w:hAnsiTheme="minorHAnsi" w:cstheme="minorHAnsi"/>
      <w:sz w:val="18"/>
      <w:szCs w:val="18"/>
    </w:rPr>
  </w:style>
  <w:style w:type="paragraph" w:styleId="Obsah5">
    <w:name w:val="toc 5"/>
    <w:basedOn w:val="Normln"/>
    <w:next w:val="Normln"/>
    <w:autoRedefine/>
    <w:rsid w:val="00AC049F"/>
    <w:pPr>
      <w:ind w:left="960"/>
    </w:pPr>
    <w:rPr>
      <w:rFonts w:asciiTheme="minorHAnsi" w:hAnsiTheme="minorHAnsi" w:cstheme="minorHAnsi"/>
      <w:sz w:val="18"/>
      <w:szCs w:val="18"/>
    </w:rPr>
  </w:style>
  <w:style w:type="paragraph" w:styleId="Obsah6">
    <w:name w:val="toc 6"/>
    <w:basedOn w:val="Normln"/>
    <w:next w:val="Normln"/>
    <w:autoRedefine/>
    <w:rsid w:val="00AC049F"/>
    <w:pPr>
      <w:ind w:left="1200"/>
    </w:pPr>
    <w:rPr>
      <w:rFonts w:asciiTheme="minorHAnsi" w:hAnsiTheme="minorHAnsi" w:cstheme="minorHAnsi"/>
      <w:sz w:val="18"/>
      <w:szCs w:val="18"/>
    </w:rPr>
  </w:style>
  <w:style w:type="paragraph" w:styleId="Obsah7">
    <w:name w:val="toc 7"/>
    <w:basedOn w:val="Normln"/>
    <w:next w:val="Normln"/>
    <w:autoRedefine/>
    <w:rsid w:val="00AC049F"/>
    <w:pPr>
      <w:ind w:left="1440"/>
    </w:pPr>
    <w:rPr>
      <w:rFonts w:asciiTheme="minorHAnsi" w:hAnsiTheme="minorHAnsi" w:cstheme="minorHAnsi"/>
      <w:sz w:val="18"/>
      <w:szCs w:val="18"/>
    </w:rPr>
  </w:style>
  <w:style w:type="paragraph" w:styleId="Obsah8">
    <w:name w:val="toc 8"/>
    <w:basedOn w:val="Normln"/>
    <w:next w:val="Normln"/>
    <w:autoRedefine/>
    <w:rsid w:val="00AC049F"/>
    <w:pPr>
      <w:ind w:left="1680"/>
    </w:pPr>
    <w:rPr>
      <w:rFonts w:asciiTheme="minorHAnsi" w:hAnsiTheme="minorHAnsi" w:cstheme="minorHAnsi"/>
      <w:sz w:val="18"/>
      <w:szCs w:val="18"/>
    </w:rPr>
  </w:style>
  <w:style w:type="paragraph" w:styleId="Obsah9">
    <w:name w:val="toc 9"/>
    <w:basedOn w:val="Normln"/>
    <w:next w:val="Normln"/>
    <w:autoRedefine/>
    <w:rsid w:val="00AC049F"/>
    <w:pPr>
      <w:ind w:left="1920"/>
    </w:pPr>
    <w:rPr>
      <w:rFonts w:asciiTheme="minorHAnsi" w:hAnsiTheme="minorHAnsi" w:cstheme="minorHAnsi"/>
      <w:sz w:val="18"/>
      <w:szCs w:val="18"/>
    </w:rPr>
  </w:style>
  <w:style w:type="character" w:customStyle="1" w:styleId="Nadpis2Char">
    <w:name w:val="Nadpis 2 Char"/>
    <w:basedOn w:val="Standardnpsmoodstavce"/>
    <w:link w:val="Nadpis2"/>
    <w:rsid w:val="00F95764"/>
    <w:rPr>
      <w:sz w:val="24"/>
    </w:rPr>
  </w:style>
  <w:style w:type="character" w:customStyle="1" w:styleId="Nadpis1Char">
    <w:name w:val="Nadpis 1 Char"/>
    <w:aliases w:val="Nadpis 1s Char"/>
    <w:basedOn w:val="Standardnpsmoodstavce"/>
    <w:link w:val="Nadpis1"/>
    <w:rsid w:val="00605B90"/>
    <w:rPr>
      <w:sz w:val="28"/>
    </w:rPr>
  </w:style>
  <w:style w:type="character" w:customStyle="1" w:styleId="Zkladntext3Char">
    <w:name w:val="Základní text 3 Char"/>
    <w:basedOn w:val="Standardnpsmoodstavce"/>
    <w:link w:val="Zkladntext3"/>
    <w:rsid w:val="00605B90"/>
    <w:rPr>
      <w:i/>
      <w:sz w:val="24"/>
    </w:rPr>
  </w:style>
  <w:style w:type="character" w:customStyle="1" w:styleId="ProsttextChar">
    <w:name w:val="Prostý text Char"/>
    <w:basedOn w:val="Standardnpsmoodstavce"/>
    <w:link w:val="Prosttext"/>
    <w:uiPriority w:val="99"/>
    <w:rsid w:val="00605B90"/>
    <w:rPr>
      <w:color w:val="000000"/>
      <w:sz w:val="24"/>
    </w:rPr>
  </w:style>
  <w:style w:type="character" w:customStyle="1" w:styleId="selectableonclick">
    <w:name w:val="selectableonclick"/>
    <w:basedOn w:val="Standardnpsmoodstavce"/>
    <w:rsid w:val="00FB7296"/>
  </w:style>
  <w:style w:type="paragraph" w:styleId="Bezmezer">
    <w:name w:val="No Spacing"/>
    <w:uiPriority w:val="1"/>
    <w:qFormat/>
    <w:rsid w:val="008A10E0"/>
    <w:rPr>
      <w:rFonts w:ascii="Calibri" w:eastAsia="Calibri" w:hAnsi="Calibri"/>
      <w:sz w:val="22"/>
      <w:szCs w:val="22"/>
      <w:lang w:eastAsia="en-US"/>
    </w:rPr>
  </w:style>
  <w:style w:type="character" w:customStyle="1" w:styleId="Nadpis3Char">
    <w:name w:val="Nadpis 3 Char"/>
    <w:basedOn w:val="Standardnpsmoodstavce"/>
    <w:link w:val="Nadpis3"/>
    <w:rsid w:val="004074EA"/>
    <w:rPr>
      <w:sz w:val="24"/>
    </w:rPr>
  </w:style>
  <w:style w:type="paragraph" w:customStyle="1" w:styleId="Default">
    <w:name w:val="Default"/>
    <w:rsid w:val="00AE6900"/>
    <w:pPr>
      <w:autoSpaceDE w:val="0"/>
      <w:autoSpaceDN w:val="0"/>
      <w:adjustRightInd w:val="0"/>
    </w:pPr>
    <w:rPr>
      <w:rFonts w:ascii="Arial" w:eastAsiaTheme="minorHAnsi" w:hAnsi="Arial" w:cs="Arial"/>
      <w:color w:val="000000"/>
      <w:sz w:val="24"/>
      <w:szCs w:val="24"/>
      <w:lang w:eastAsia="en-US"/>
    </w:rPr>
  </w:style>
  <w:style w:type="character" w:customStyle="1" w:styleId="preformatted">
    <w:name w:val="preformatted"/>
    <w:basedOn w:val="Standardnpsmoodstavce"/>
    <w:rsid w:val="009D4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0D1B"/>
    <w:rPr>
      <w:rFonts w:ascii="Arial" w:hAnsi="Arial"/>
      <w:sz w:val="24"/>
      <w:szCs w:val="24"/>
    </w:rPr>
  </w:style>
  <w:style w:type="paragraph" w:styleId="Nadpis1">
    <w:name w:val="heading 1"/>
    <w:aliases w:val="Nadpis 1s"/>
    <w:basedOn w:val="Normln"/>
    <w:next w:val="Normln"/>
    <w:link w:val="Nadpis1Char"/>
    <w:qFormat/>
    <w:rsid w:val="00987584"/>
    <w:pPr>
      <w:keepNext/>
      <w:outlineLvl w:val="0"/>
    </w:pPr>
    <w:rPr>
      <w:rFonts w:ascii="Times New Roman" w:hAnsi="Times New Roman"/>
      <w:sz w:val="28"/>
      <w:szCs w:val="20"/>
    </w:rPr>
  </w:style>
  <w:style w:type="paragraph" w:styleId="Nadpis2">
    <w:name w:val="heading 2"/>
    <w:basedOn w:val="Normln"/>
    <w:next w:val="Normln"/>
    <w:link w:val="Nadpis2Char"/>
    <w:qFormat/>
    <w:rsid w:val="00987584"/>
    <w:pPr>
      <w:keepNext/>
      <w:outlineLvl w:val="1"/>
    </w:pPr>
    <w:rPr>
      <w:rFonts w:ascii="Times New Roman" w:hAnsi="Times New Roman"/>
      <w:szCs w:val="20"/>
    </w:rPr>
  </w:style>
  <w:style w:type="paragraph" w:styleId="Nadpis3">
    <w:name w:val="heading 3"/>
    <w:basedOn w:val="Normln"/>
    <w:next w:val="Normln"/>
    <w:link w:val="Nadpis3Char"/>
    <w:qFormat/>
    <w:rsid w:val="00987584"/>
    <w:pPr>
      <w:keepNext/>
      <w:jc w:val="center"/>
      <w:outlineLvl w:val="2"/>
    </w:pPr>
    <w:rPr>
      <w:rFonts w:ascii="Times New Roman" w:hAnsi="Times New Roman"/>
      <w:szCs w:val="20"/>
    </w:rPr>
  </w:style>
  <w:style w:type="paragraph" w:styleId="Nadpis4">
    <w:name w:val="heading 4"/>
    <w:basedOn w:val="Normln"/>
    <w:next w:val="Normln"/>
    <w:qFormat/>
    <w:rsid w:val="00987584"/>
    <w:pPr>
      <w:keepNext/>
      <w:spacing w:line="360" w:lineRule="auto"/>
      <w:jc w:val="both"/>
      <w:outlineLvl w:val="3"/>
    </w:pPr>
    <w:rPr>
      <w:b/>
      <w:bCs/>
    </w:rPr>
  </w:style>
  <w:style w:type="paragraph" w:styleId="Nadpis5">
    <w:name w:val="heading 5"/>
    <w:basedOn w:val="Normln"/>
    <w:next w:val="Normln"/>
    <w:qFormat/>
    <w:rsid w:val="00987584"/>
    <w:pPr>
      <w:keepNext/>
      <w:outlineLvl w:val="4"/>
    </w:pPr>
    <w:rPr>
      <w:rFonts w:ascii="Times New Roman" w:hAnsi="Times New Roman"/>
      <w:i/>
      <w:szCs w:val="20"/>
    </w:rPr>
  </w:style>
  <w:style w:type="paragraph" w:styleId="Nadpis6">
    <w:name w:val="heading 6"/>
    <w:basedOn w:val="Normln"/>
    <w:next w:val="Normln"/>
    <w:qFormat/>
    <w:rsid w:val="00987584"/>
    <w:pPr>
      <w:keepNext/>
      <w:outlineLvl w:val="5"/>
    </w:pPr>
    <w:rPr>
      <w:rFonts w:ascii="Times New Roman" w:hAnsi="Times New Roman"/>
      <w:b/>
      <w:i/>
      <w:szCs w:val="20"/>
    </w:rPr>
  </w:style>
  <w:style w:type="paragraph" w:styleId="Nadpis7">
    <w:name w:val="heading 7"/>
    <w:basedOn w:val="Normln"/>
    <w:next w:val="Normln"/>
    <w:qFormat/>
    <w:rsid w:val="00987584"/>
    <w:pPr>
      <w:keepNext/>
      <w:outlineLvl w:val="6"/>
    </w:pPr>
    <w:rPr>
      <w:rFonts w:ascii="Times New Roman" w:hAnsi="Times New Roman"/>
      <w:b/>
      <w:sz w:val="20"/>
      <w:szCs w:val="20"/>
    </w:rPr>
  </w:style>
  <w:style w:type="paragraph" w:styleId="Nadpis8">
    <w:name w:val="heading 8"/>
    <w:basedOn w:val="Normln"/>
    <w:next w:val="Normln"/>
    <w:qFormat/>
    <w:rsid w:val="00987584"/>
    <w:pPr>
      <w:keepNext/>
      <w:numPr>
        <w:numId w:val="1"/>
      </w:numPr>
      <w:tabs>
        <w:tab w:val="clear" w:pos="1080"/>
        <w:tab w:val="num" w:pos="720"/>
      </w:tabs>
      <w:spacing w:line="360" w:lineRule="auto"/>
      <w:jc w:val="both"/>
      <w:outlineLvl w:val="7"/>
    </w:pPr>
    <w:rPr>
      <w:b/>
      <w:bCs/>
    </w:rPr>
  </w:style>
  <w:style w:type="paragraph" w:styleId="Nadpis9">
    <w:name w:val="heading 9"/>
    <w:basedOn w:val="Normln"/>
    <w:next w:val="Normln"/>
    <w:qFormat/>
    <w:rsid w:val="00987584"/>
    <w:pPr>
      <w:keepNext/>
      <w:spacing w:line="360" w:lineRule="auto"/>
      <w:ind w:left="360"/>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7584"/>
    <w:pPr>
      <w:spacing w:line="360" w:lineRule="auto"/>
      <w:jc w:val="center"/>
    </w:pPr>
    <w:rPr>
      <w:b/>
      <w:bCs/>
      <w:sz w:val="32"/>
    </w:rPr>
  </w:style>
  <w:style w:type="paragraph" w:styleId="Zkladntext">
    <w:name w:val="Body Text"/>
    <w:basedOn w:val="Normln"/>
    <w:link w:val="ZkladntextChar"/>
    <w:rsid w:val="00987584"/>
    <w:pPr>
      <w:spacing w:line="360" w:lineRule="auto"/>
      <w:jc w:val="center"/>
    </w:pPr>
    <w:rPr>
      <w:b/>
      <w:bCs/>
      <w:sz w:val="28"/>
    </w:rPr>
  </w:style>
  <w:style w:type="character" w:styleId="Hypertextovodkaz">
    <w:name w:val="Hyperlink"/>
    <w:basedOn w:val="Standardnpsmoodstavce"/>
    <w:uiPriority w:val="99"/>
    <w:rsid w:val="00987584"/>
    <w:rPr>
      <w:color w:val="0000FF"/>
      <w:u w:val="single"/>
    </w:rPr>
  </w:style>
  <w:style w:type="character" w:styleId="Sledovanodkaz">
    <w:name w:val="FollowedHyperlink"/>
    <w:basedOn w:val="Standardnpsmoodstavce"/>
    <w:rsid w:val="00987584"/>
    <w:rPr>
      <w:color w:val="800080"/>
      <w:u w:val="single"/>
    </w:rPr>
  </w:style>
  <w:style w:type="character" w:styleId="slostrnky">
    <w:name w:val="page number"/>
    <w:basedOn w:val="Standardnpsmoodstavce"/>
    <w:rsid w:val="00987584"/>
  </w:style>
  <w:style w:type="paragraph" w:styleId="Zkladntext2">
    <w:name w:val="Body Text 2"/>
    <w:basedOn w:val="Normln"/>
    <w:link w:val="Zkladntext2Char"/>
    <w:rsid w:val="00987584"/>
    <w:rPr>
      <w:rFonts w:ascii="Times New Roman" w:hAnsi="Times New Roman"/>
      <w:szCs w:val="20"/>
    </w:rPr>
  </w:style>
  <w:style w:type="paragraph" w:styleId="Zkladntextodsazen">
    <w:name w:val="Body Text Indent"/>
    <w:basedOn w:val="Normln"/>
    <w:rsid w:val="00987584"/>
    <w:pPr>
      <w:ind w:left="284" w:hanging="284"/>
    </w:pPr>
    <w:rPr>
      <w:rFonts w:ascii="Times New Roman" w:hAnsi="Times New Roman"/>
      <w:szCs w:val="20"/>
    </w:rPr>
  </w:style>
  <w:style w:type="paragraph" w:styleId="Zkladntextodsazen2">
    <w:name w:val="Body Text Indent 2"/>
    <w:basedOn w:val="Normln"/>
    <w:rsid w:val="00987584"/>
    <w:pPr>
      <w:ind w:left="284" w:hanging="284"/>
      <w:jc w:val="both"/>
    </w:pPr>
    <w:rPr>
      <w:rFonts w:ascii="Times New Roman" w:hAnsi="Times New Roman"/>
      <w:szCs w:val="20"/>
    </w:rPr>
  </w:style>
  <w:style w:type="paragraph" w:styleId="Zpat">
    <w:name w:val="footer"/>
    <w:basedOn w:val="Normln"/>
    <w:rsid w:val="00987584"/>
    <w:pPr>
      <w:tabs>
        <w:tab w:val="center" w:pos="4536"/>
        <w:tab w:val="right" w:pos="9072"/>
      </w:tabs>
    </w:pPr>
    <w:rPr>
      <w:rFonts w:ascii="Times New Roman" w:hAnsi="Times New Roman"/>
      <w:sz w:val="20"/>
      <w:szCs w:val="20"/>
    </w:rPr>
  </w:style>
  <w:style w:type="paragraph" w:styleId="Zkladntext3">
    <w:name w:val="Body Text 3"/>
    <w:basedOn w:val="Normln"/>
    <w:link w:val="Zkladntext3Char"/>
    <w:rsid w:val="00987584"/>
    <w:rPr>
      <w:rFonts w:ascii="Times New Roman" w:hAnsi="Times New Roman"/>
      <w:i/>
      <w:szCs w:val="20"/>
    </w:rPr>
  </w:style>
  <w:style w:type="paragraph" w:styleId="Zkladntextodsazen3">
    <w:name w:val="Body Text Indent 3"/>
    <w:basedOn w:val="Normln"/>
    <w:rsid w:val="00987584"/>
    <w:pPr>
      <w:ind w:firstLine="708"/>
      <w:jc w:val="both"/>
    </w:pPr>
    <w:rPr>
      <w:rFonts w:ascii="Times New Roman" w:hAnsi="Times New Roman"/>
      <w:szCs w:val="20"/>
    </w:rPr>
  </w:style>
  <w:style w:type="paragraph" w:styleId="Zhlav">
    <w:name w:val="header"/>
    <w:basedOn w:val="Normln"/>
    <w:link w:val="ZhlavChar"/>
    <w:rsid w:val="00987584"/>
    <w:pPr>
      <w:tabs>
        <w:tab w:val="center" w:pos="4536"/>
        <w:tab w:val="right" w:pos="9072"/>
      </w:tabs>
      <w:overflowPunct w:val="0"/>
      <w:autoSpaceDE w:val="0"/>
      <w:autoSpaceDN w:val="0"/>
      <w:adjustRightInd w:val="0"/>
      <w:textAlignment w:val="baseline"/>
    </w:pPr>
    <w:rPr>
      <w:szCs w:val="20"/>
    </w:rPr>
  </w:style>
  <w:style w:type="paragraph" w:customStyle="1" w:styleId="Texttabulky">
    <w:name w:val="Text tabulky"/>
    <w:rsid w:val="00987584"/>
    <w:pPr>
      <w:widowControl w:val="0"/>
    </w:pPr>
    <w:rPr>
      <w:snapToGrid w:val="0"/>
      <w:color w:val="000000"/>
      <w:sz w:val="24"/>
    </w:rPr>
  </w:style>
  <w:style w:type="paragraph" w:customStyle="1" w:styleId="Podnadpis">
    <w:name w:val="Podnadpis"/>
    <w:rsid w:val="00987584"/>
    <w:pPr>
      <w:widowControl w:val="0"/>
      <w:spacing w:before="72" w:after="72"/>
    </w:pPr>
    <w:rPr>
      <w:b/>
      <w:i/>
      <w:snapToGrid w:val="0"/>
      <w:color w:val="000000"/>
      <w:sz w:val="24"/>
    </w:rPr>
  </w:style>
  <w:style w:type="paragraph" w:customStyle="1" w:styleId="dka">
    <w:name w:val="Řádka"/>
    <w:rsid w:val="00987584"/>
    <w:pPr>
      <w:widowControl w:val="0"/>
    </w:pPr>
    <w:rPr>
      <w:snapToGrid w:val="0"/>
      <w:color w:val="000000"/>
      <w:sz w:val="24"/>
    </w:rPr>
  </w:style>
  <w:style w:type="paragraph" w:customStyle="1" w:styleId="Nadpis30">
    <w:name w:val="Nadpis3"/>
    <w:basedOn w:val="Nadpis3"/>
    <w:rsid w:val="00987584"/>
    <w:pPr>
      <w:jc w:val="left"/>
    </w:pPr>
    <w:rPr>
      <w:b/>
      <w:sz w:val="28"/>
    </w:rPr>
  </w:style>
  <w:style w:type="paragraph" w:customStyle="1" w:styleId="odsazen">
    <w:name w:val="odsazení"/>
    <w:basedOn w:val="Normln"/>
    <w:rsid w:val="00987584"/>
    <w:pPr>
      <w:tabs>
        <w:tab w:val="num" w:pos="360"/>
      </w:tabs>
      <w:ind w:left="360" w:hanging="360"/>
      <w:jc w:val="both"/>
    </w:pPr>
    <w:rPr>
      <w:rFonts w:ascii="Times New Roman" w:hAnsi="Times New Roman"/>
      <w:szCs w:val="20"/>
    </w:rPr>
  </w:style>
  <w:style w:type="character" w:customStyle="1" w:styleId="goohl0">
    <w:name w:val="goohl0"/>
    <w:basedOn w:val="Standardnpsmoodstavce"/>
    <w:rsid w:val="00987584"/>
  </w:style>
  <w:style w:type="character" w:customStyle="1" w:styleId="platne1">
    <w:name w:val="platne1"/>
    <w:basedOn w:val="Standardnpsmoodstavce"/>
    <w:rsid w:val="00987584"/>
    <w:rPr>
      <w:w w:val="120"/>
    </w:rPr>
  </w:style>
  <w:style w:type="character" w:styleId="Siln">
    <w:name w:val="Strong"/>
    <w:basedOn w:val="Standardnpsmoodstavce"/>
    <w:uiPriority w:val="22"/>
    <w:qFormat/>
    <w:rsid w:val="00987584"/>
    <w:rPr>
      <w:b/>
      <w:bCs/>
    </w:rPr>
  </w:style>
  <w:style w:type="paragraph" w:styleId="Prosttext">
    <w:name w:val="Plain Text"/>
    <w:basedOn w:val="Normln"/>
    <w:link w:val="ProsttextChar"/>
    <w:uiPriority w:val="99"/>
    <w:rsid w:val="00987584"/>
    <w:pPr>
      <w:spacing w:before="40"/>
    </w:pPr>
    <w:rPr>
      <w:rFonts w:ascii="Times New Roman" w:hAnsi="Times New Roman"/>
      <w:color w:val="000000"/>
      <w:szCs w:val="20"/>
    </w:rPr>
  </w:style>
  <w:style w:type="paragraph" w:styleId="Textbubliny">
    <w:name w:val="Balloon Text"/>
    <w:basedOn w:val="Normln"/>
    <w:semiHidden/>
    <w:rsid w:val="003A1607"/>
    <w:rPr>
      <w:rFonts w:ascii="Tahoma" w:hAnsi="Tahoma" w:cs="Tahoma"/>
      <w:sz w:val="16"/>
      <w:szCs w:val="16"/>
    </w:rPr>
  </w:style>
  <w:style w:type="table" w:styleId="Mkatabulky">
    <w:name w:val="Table Grid"/>
    <w:basedOn w:val="Normlntabulka"/>
    <w:uiPriority w:val="59"/>
    <w:rsid w:val="00F7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D6614D"/>
    <w:pPr>
      <w:spacing w:before="100" w:beforeAutospacing="1" w:after="100" w:afterAutospacing="1"/>
    </w:pPr>
    <w:rPr>
      <w:rFonts w:ascii="Times New Roman" w:hAnsi="Times New Roman"/>
    </w:rPr>
  </w:style>
  <w:style w:type="character" w:customStyle="1" w:styleId="dbnazev">
    <w:name w:val="dbnazev"/>
    <w:basedOn w:val="Standardnpsmoodstavce"/>
    <w:rsid w:val="007530F6"/>
  </w:style>
  <w:style w:type="character" w:styleId="Zvraznn">
    <w:name w:val="Emphasis"/>
    <w:basedOn w:val="Standardnpsmoodstavce"/>
    <w:uiPriority w:val="20"/>
    <w:qFormat/>
    <w:rsid w:val="0061677D"/>
    <w:rPr>
      <w:i/>
      <w:iCs/>
    </w:rPr>
  </w:style>
  <w:style w:type="paragraph" w:customStyle="1" w:styleId="bodytext">
    <w:name w:val="bodytext"/>
    <w:basedOn w:val="Normln"/>
    <w:rsid w:val="0018353B"/>
    <w:rPr>
      <w:rFonts w:ascii="Times New Roman" w:hAnsi="Times New Roman"/>
      <w:color w:val="000000"/>
    </w:rPr>
  </w:style>
  <w:style w:type="character" w:customStyle="1" w:styleId="StylE-mailovZprvy421">
    <w:name w:val="StylE-mailovéZprávy421"/>
    <w:basedOn w:val="Standardnpsmoodstavce"/>
    <w:semiHidden/>
    <w:rsid w:val="00597149"/>
    <w:rPr>
      <w:rFonts w:ascii="Arial" w:hAnsi="Arial" w:cs="Arial" w:hint="default"/>
      <w:color w:val="auto"/>
      <w:sz w:val="20"/>
      <w:szCs w:val="20"/>
    </w:rPr>
  </w:style>
  <w:style w:type="character" w:customStyle="1" w:styleId="vyrazne1">
    <w:name w:val="vyrazne1"/>
    <w:basedOn w:val="Standardnpsmoodstavce"/>
    <w:rsid w:val="00896CE3"/>
    <w:rPr>
      <w:b/>
      <w:bCs/>
      <w:color w:val="1F5196"/>
      <w:sz w:val="24"/>
      <w:szCs w:val="24"/>
    </w:rPr>
  </w:style>
  <w:style w:type="character" w:customStyle="1" w:styleId="style8">
    <w:name w:val="style8"/>
    <w:basedOn w:val="Standardnpsmoodstavce"/>
    <w:rsid w:val="00C042DF"/>
  </w:style>
  <w:style w:type="character" w:customStyle="1" w:styleId="tsubjname">
    <w:name w:val="tsubjname"/>
    <w:basedOn w:val="Standardnpsmoodstavce"/>
    <w:rsid w:val="00C813F9"/>
  </w:style>
  <w:style w:type="paragraph" w:customStyle="1" w:styleId="description1">
    <w:name w:val="description1"/>
    <w:basedOn w:val="Normln"/>
    <w:rsid w:val="008902BC"/>
    <w:rPr>
      <w:rFonts w:ascii="Times New Roman" w:hAnsi="Times New Roman"/>
      <w:sz w:val="26"/>
      <w:szCs w:val="26"/>
    </w:rPr>
  </w:style>
  <w:style w:type="character" w:customStyle="1" w:styleId="adr">
    <w:name w:val="adr"/>
    <w:basedOn w:val="Standardnpsmoodstavce"/>
    <w:rsid w:val="008902BC"/>
  </w:style>
  <w:style w:type="character" w:customStyle="1" w:styleId="street-address">
    <w:name w:val="street-address"/>
    <w:basedOn w:val="Standardnpsmoodstavce"/>
    <w:rsid w:val="008902BC"/>
  </w:style>
  <w:style w:type="character" w:customStyle="1" w:styleId="postal-code">
    <w:name w:val="postal-code"/>
    <w:basedOn w:val="Standardnpsmoodstavce"/>
    <w:rsid w:val="008902BC"/>
  </w:style>
  <w:style w:type="character" w:customStyle="1" w:styleId="locality">
    <w:name w:val="locality"/>
    <w:basedOn w:val="Standardnpsmoodstavce"/>
    <w:rsid w:val="008902BC"/>
  </w:style>
  <w:style w:type="paragraph" w:styleId="Podtitul">
    <w:name w:val="Subtitle"/>
    <w:basedOn w:val="Normln"/>
    <w:qFormat/>
    <w:rsid w:val="00340C63"/>
    <w:pPr>
      <w:jc w:val="both"/>
    </w:pPr>
    <w:rPr>
      <w:rFonts w:ascii="CG Times" w:hAnsi="CG Times"/>
      <w:b/>
      <w:bCs/>
      <w:color w:val="000000"/>
    </w:rPr>
  </w:style>
  <w:style w:type="character" w:customStyle="1" w:styleId="NzevChar">
    <w:name w:val="Název Char"/>
    <w:basedOn w:val="Standardnpsmoodstavce"/>
    <w:link w:val="Nzev"/>
    <w:rsid w:val="00BC2096"/>
    <w:rPr>
      <w:rFonts w:ascii="Arial" w:hAnsi="Arial"/>
      <w:b/>
      <w:bCs/>
      <w:sz w:val="32"/>
      <w:szCs w:val="24"/>
    </w:rPr>
  </w:style>
  <w:style w:type="character" w:customStyle="1" w:styleId="ZkladntextChar">
    <w:name w:val="Základní text Char"/>
    <w:basedOn w:val="Standardnpsmoodstavce"/>
    <w:link w:val="Zkladntext"/>
    <w:rsid w:val="00BC2096"/>
    <w:rPr>
      <w:rFonts w:ascii="Arial" w:hAnsi="Arial"/>
      <w:b/>
      <w:bCs/>
      <w:sz w:val="28"/>
      <w:szCs w:val="24"/>
    </w:rPr>
  </w:style>
  <w:style w:type="character" w:customStyle="1" w:styleId="Zkladntext2Char">
    <w:name w:val="Základní text 2 Char"/>
    <w:basedOn w:val="Standardnpsmoodstavce"/>
    <w:link w:val="Zkladntext2"/>
    <w:rsid w:val="00BC2096"/>
    <w:rPr>
      <w:sz w:val="24"/>
    </w:rPr>
  </w:style>
  <w:style w:type="character" w:customStyle="1" w:styleId="ZhlavChar">
    <w:name w:val="Záhlaví Char"/>
    <w:link w:val="Zhlav"/>
    <w:rsid w:val="00440478"/>
    <w:rPr>
      <w:rFonts w:ascii="Arial" w:hAnsi="Arial"/>
      <w:sz w:val="24"/>
    </w:rPr>
  </w:style>
  <w:style w:type="paragraph" w:customStyle="1" w:styleId="description">
    <w:name w:val="description"/>
    <w:basedOn w:val="Normln"/>
    <w:rsid w:val="000D79ED"/>
    <w:pPr>
      <w:spacing w:before="100" w:beforeAutospacing="1" w:after="100" w:afterAutospacing="1"/>
    </w:pPr>
    <w:rPr>
      <w:rFonts w:ascii="Times New Roman" w:hAnsi="Times New Roman"/>
    </w:rPr>
  </w:style>
  <w:style w:type="paragraph" w:styleId="Nadpisobsahu">
    <w:name w:val="TOC Heading"/>
    <w:basedOn w:val="Nadpis1"/>
    <w:next w:val="Normln"/>
    <w:uiPriority w:val="39"/>
    <w:semiHidden/>
    <w:unhideWhenUsed/>
    <w:qFormat/>
    <w:rsid w:val="00890CA5"/>
    <w:pPr>
      <w:keepLines/>
      <w:spacing w:before="480" w:line="276" w:lineRule="auto"/>
      <w:outlineLvl w:val="9"/>
    </w:pPr>
    <w:rPr>
      <w:rFonts w:ascii="Cambria" w:hAnsi="Cambria"/>
      <w:b/>
      <w:bCs/>
      <w:color w:val="365F91"/>
      <w:szCs w:val="28"/>
      <w:lang w:eastAsia="en-US"/>
    </w:rPr>
  </w:style>
  <w:style w:type="paragraph" w:styleId="Obsah1">
    <w:name w:val="toc 1"/>
    <w:basedOn w:val="Normln"/>
    <w:next w:val="Normln"/>
    <w:autoRedefine/>
    <w:uiPriority w:val="39"/>
    <w:qFormat/>
    <w:rsid w:val="00890CA5"/>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qFormat/>
    <w:rsid w:val="00890CA5"/>
    <w:pPr>
      <w:ind w:left="240"/>
    </w:pPr>
    <w:rPr>
      <w:rFonts w:asciiTheme="minorHAnsi" w:hAnsiTheme="minorHAnsi" w:cstheme="minorHAnsi"/>
      <w:smallCaps/>
      <w:sz w:val="20"/>
      <w:szCs w:val="20"/>
    </w:rPr>
  </w:style>
  <w:style w:type="paragraph" w:styleId="Obsah3">
    <w:name w:val="toc 3"/>
    <w:basedOn w:val="Normln"/>
    <w:next w:val="Normln"/>
    <w:autoRedefine/>
    <w:uiPriority w:val="39"/>
    <w:qFormat/>
    <w:rsid w:val="00890CA5"/>
    <w:pPr>
      <w:ind w:left="480"/>
    </w:pPr>
    <w:rPr>
      <w:rFonts w:asciiTheme="minorHAnsi" w:hAnsiTheme="minorHAnsi" w:cstheme="minorHAnsi"/>
      <w:i/>
      <w:iCs/>
      <w:sz w:val="20"/>
      <w:szCs w:val="20"/>
    </w:rPr>
  </w:style>
  <w:style w:type="paragraph" w:styleId="Odstavecseseznamem">
    <w:name w:val="List Paragraph"/>
    <w:basedOn w:val="Normln"/>
    <w:uiPriority w:val="34"/>
    <w:qFormat/>
    <w:rsid w:val="002A56CA"/>
    <w:pPr>
      <w:ind w:left="720"/>
      <w:contextualSpacing/>
    </w:pPr>
  </w:style>
  <w:style w:type="paragraph" w:styleId="Obsah4">
    <w:name w:val="toc 4"/>
    <w:basedOn w:val="Normln"/>
    <w:next w:val="Normln"/>
    <w:autoRedefine/>
    <w:rsid w:val="00AC049F"/>
    <w:pPr>
      <w:ind w:left="720"/>
    </w:pPr>
    <w:rPr>
      <w:rFonts w:asciiTheme="minorHAnsi" w:hAnsiTheme="minorHAnsi" w:cstheme="minorHAnsi"/>
      <w:sz w:val="18"/>
      <w:szCs w:val="18"/>
    </w:rPr>
  </w:style>
  <w:style w:type="paragraph" w:styleId="Obsah5">
    <w:name w:val="toc 5"/>
    <w:basedOn w:val="Normln"/>
    <w:next w:val="Normln"/>
    <w:autoRedefine/>
    <w:rsid w:val="00AC049F"/>
    <w:pPr>
      <w:ind w:left="960"/>
    </w:pPr>
    <w:rPr>
      <w:rFonts w:asciiTheme="minorHAnsi" w:hAnsiTheme="minorHAnsi" w:cstheme="minorHAnsi"/>
      <w:sz w:val="18"/>
      <w:szCs w:val="18"/>
    </w:rPr>
  </w:style>
  <w:style w:type="paragraph" w:styleId="Obsah6">
    <w:name w:val="toc 6"/>
    <w:basedOn w:val="Normln"/>
    <w:next w:val="Normln"/>
    <w:autoRedefine/>
    <w:rsid w:val="00AC049F"/>
    <w:pPr>
      <w:ind w:left="1200"/>
    </w:pPr>
    <w:rPr>
      <w:rFonts w:asciiTheme="minorHAnsi" w:hAnsiTheme="minorHAnsi" w:cstheme="minorHAnsi"/>
      <w:sz w:val="18"/>
      <w:szCs w:val="18"/>
    </w:rPr>
  </w:style>
  <w:style w:type="paragraph" w:styleId="Obsah7">
    <w:name w:val="toc 7"/>
    <w:basedOn w:val="Normln"/>
    <w:next w:val="Normln"/>
    <w:autoRedefine/>
    <w:rsid w:val="00AC049F"/>
    <w:pPr>
      <w:ind w:left="1440"/>
    </w:pPr>
    <w:rPr>
      <w:rFonts w:asciiTheme="minorHAnsi" w:hAnsiTheme="minorHAnsi" w:cstheme="minorHAnsi"/>
      <w:sz w:val="18"/>
      <w:szCs w:val="18"/>
    </w:rPr>
  </w:style>
  <w:style w:type="paragraph" w:styleId="Obsah8">
    <w:name w:val="toc 8"/>
    <w:basedOn w:val="Normln"/>
    <w:next w:val="Normln"/>
    <w:autoRedefine/>
    <w:rsid w:val="00AC049F"/>
    <w:pPr>
      <w:ind w:left="1680"/>
    </w:pPr>
    <w:rPr>
      <w:rFonts w:asciiTheme="minorHAnsi" w:hAnsiTheme="minorHAnsi" w:cstheme="minorHAnsi"/>
      <w:sz w:val="18"/>
      <w:szCs w:val="18"/>
    </w:rPr>
  </w:style>
  <w:style w:type="paragraph" w:styleId="Obsah9">
    <w:name w:val="toc 9"/>
    <w:basedOn w:val="Normln"/>
    <w:next w:val="Normln"/>
    <w:autoRedefine/>
    <w:rsid w:val="00AC049F"/>
    <w:pPr>
      <w:ind w:left="1920"/>
    </w:pPr>
    <w:rPr>
      <w:rFonts w:asciiTheme="minorHAnsi" w:hAnsiTheme="minorHAnsi" w:cstheme="minorHAnsi"/>
      <w:sz w:val="18"/>
      <w:szCs w:val="18"/>
    </w:rPr>
  </w:style>
  <w:style w:type="character" w:customStyle="1" w:styleId="Nadpis2Char">
    <w:name w:val="Nadpis 2 Char"/>
    <w:basedOn w:val="Standardnpsmoodstavce"/>
    <w:link w:val="Nadpis2"/>
    <w:rsid w:val="00F95764"/>
    <w:rPr>
      <w:sz w:val="24"/>
    </w:rPr>
  </w:style>
  <w:style w:type="character" w:customStyle="1" w:styleId="Nadpis1Char">
    <w:name w:val="Nadpis 1 Char"/>
    <w:aliases w:val="Nadpis 1s Char"/>
    <w:basedOn w:val="Standardnpsmoodstavce"/>
    <w:link w:val="Nadpis1"/>
    <w:rsid w:val="00605B90"/>
    <w:rPr>
      <w:sz w:val="28"/>
    </w:rPr>
  </w:style>
  <w:style w:type="character" w:customStyle="1" w:styleId="Zkladntext3Char">
    <w:name w:val="Základní text 3 Char"/>
    <w:basedOn w:val="Standardnpsmoodstavce"/>
    <w:link w:val="Zkladntext3"/>
    <w:rsid w:val="00605B90"/>
    <w:rPr>
      <w:i/>
      <w:sz w:val="24"/>
    </w:rPr>
  </w:style>
  <w:style w:type="character" w:customStyle="1" w:styleId="ProsttextChar">
    <w:name w:val="Prostý text Char"/>
    <w:basedOn w:val="Standardnpsmoodstavce"/>
    <w:link w:val="Prosttext"/>
    <w:uiPriority w:val="99"/>
    <w:rsid w:val="00605B90"/>
    <w:rPr>
      <w:color w:val="000000"/>
      <w:sz w:val="24"/>
    </w:rPr>
  </w:style>
  <w:style w:type="character" w:customStyle="1" w:styleId="selectableonclick">
    <w:name w:val="selectableonclick"/>
    <w:basedOn w:val="Standardnpsmoodstavce"/>
    <w:rsid w:val="00FB7296"/>
  </w:style>
  <w:style w:type="paragraph" w:styleId="Bezmezer">
    <w:name w:val="No Spacing"/>
    <w:uiPriority w:val="1"/>
    <w:qFormat/>
    <w:rsid w:val="008A10E0"/>
    <w:rPr>
      <w:rFonts w:ascii="Calibri" w:eastAsia="Calibri" w:hAnsi="Calibri"/>
      <w:sz w:val="22"/>
      <w:szCs w:val="22"/>
      <w:lang w:eastAsia="en-US"/>
    </w:rPr>
  </w:style>
  <w:style w:type="character" w:customStyle="1" w:styleId="Nadpis3Char">
    <w:name w:val="Nadpis 3 Char"/>
    <w:basedOn w:val="Standardnpsmoodstavce"/>
    <w:link w:val="Nadpis3"/>
    <w:rsid w:val="004074EA"/>
    <w:rPr>
      <w:sz w:val="24"/>
    </w:rPr>
  </w:style>
  <w:style w:type="paragraph" w:customStyle="1" w:styleId="Default">
    <w:name w:val="Default"/>
    <w:rsid w:val="00AE6900"/>
    <w:pPr>
      <w:autoSpaceDE w:val="0"/>
      <w:autoSpaceDN w:val="0"/>
      <w:adjustRightInd w:val="0"/>
    </w:pPr>
    <w:rPr>
      <w:rFonts w:ascii="Arial" w:eastAsiaTheme="minorHAnsi" w:hAnsi="Arial" w:cs="Arial"/>
      <w:color w:val="000000"/>
      <w:sz w:val="24"/>
      <w:szCs w:val="24"/>
      <w:lang w:eastAsia="en-US"/>
    </w:rPr>
  </w:style>
  <w:style w:type="character" w:customStyle="1" w:styleId="preformatted">
    <w:name w:val="preformatted"/>
    <w:basedOn w:val="Standardnpsmoodstavce"/>
    <w:rsid w:val="009D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201">
      <w:bodyDiv w:val="1"/>
      <w:marLeft w:val="0"/>
      <w:marRight w:val="0"/>
      <w:marTop w:val="0"/>
      <w:marBottom w:val="0"/>
      <w:divBdr>
        <w:top w:val="none" w:sz="0" w:space="0" w:color="auto"/>
        <w:left w:val="none" w:sz="0" w:space="0" w:color="auto"/>
        <w:bottom w:val="none" w:sz="0" w:space="0" w:color="auto"/>
        <w:right w:val="none" w:sz="0" w:space="0" w:color="auto"/>
      </w:divBdr>
    </w:div>
    <w:div w:id="17658478">
      <w:bodyDiv w:val="1"/>
      <w:marLeft w:val="0"/>
      <w:marRight w:val="0"/>
      <w:marTop w:val="0"/>
      <w:marBottom w:val="0"/>
      <w:divBdr>
        <w:top w:val="none" w:sz="0" w:space="0" w:color="auto"/>
        <w:left w:val="none" w:sz="0" w:space="0" w:color="auto"/>
        <w:bottom w:val="none" w:sz="0" w:space="0" w:color="auto"/>
        <w:right w:val="none" w:sz="0" w:space="0" w:color="auto"/>
      </w:divBdr>
    </w:div>
    <w:div w:id="32386115">
      <w:bodyDiv w:val="1"/>
      <w:marLeft w:val="0"/>
      <w:marRight w:val="0"/>
      <w:marTop w:val="0"/>
      <w:marBottom w:val="0"/>
      <w:divBdr>
        <w:top w:val="none" w:sz="0" w:space="0" w:color="auto"/>
        <w:left w:val="none" w:sz="0" w:space="0" w:color="auto"/>
        <w:bottom w:val="none" w:sz="0" w:space="0" w:color="auto"/>
        <w:right w:val="none" w:sz="0" w:space="0" w:color="auto"/>
      </w:divBdr>
      <w:divsChild>
        <w:div w:id="838740897">
          <w:marLeft w:val="547"/>
          <w:marRight w:val="0"/>
          <w:marTop w:val="0"/>
          <w:marBottom w:val="80"/>
          <w:divBdr>
            <w:top w:val="none" w:sz="0" w:space="0" w:color="auto"/>
            <w:left w:val="none" w:sz="0" w:space="0" w:color="auto"/>
            <w:bottom w:val="none" w:sz="0" w:space="0" w:color="auto"/>
            <w:right w:val="none" w:sz="0" w:space="0" w:color="auto"/>
          </w:divBdr>
        </w:div>
        <w:div w:id="372316283">
          <w:marLeft w:val="547"/>
          <w:marRight w:val="0"/>
          <w:marTop w:val="0"/>
          <w:marBottom w:val="80"/>
          <w:divBdr>
            <w:top w:val="none" w:sz="0" w:space="0" w:color="auto"/>
            <w:left w:val="none" w:sz="0" w:space="0" w:color="auto"/>
            <w:bottom w:val="none" w:sz="0" w:space="0" w:color="auto"/>
            <w:right w:val="none" w:sz="0" w:space="0" w:color="auto"/>
          </w:divBdr>
        </w:div>
        <w:div w:id="662709521">
          <w:marLeft w:val="547"/>
          <w:marRight w:val="0"/>
          <w:marTop w:val="0"/>
          <w:marBottom w:val="80"/>
          <w:divBdr>
            <w:top w:val="none" w:sz="0" w:space="0" w:color="auto"/>
            <w:left w:val="none" w:sz="0" w:space="0" w:color="auto"/>
            <w:bottom w:val="none" w:sz="0" w:space="0" w:color="auto"/>
            <w:right w:val="none" w:sz="0" w:space="0" w:color="auto"/>
          </w:divBdr>
        </w:div>
      </w:divsChild>
    </w:div>
    <w:div w:id="35132069">
      <w:bodyDiv w:val="1"/>
      <w:marLeft w:val="0"/>
      <w:marRight w:val="0"/>
      <w:marTop w:val="0"/>
      <w:marBottom w:val="0"/>
      <w:divBdr>
        <w:top w:val="none" w:sz="0" w:space="0" w:color="auto"/>
        <w:left w:val="none" w:sz="0" w:space="0" w:color="auto"/>
        <w:bottom w:val="none" w:sz="0" w:space="0" w:color="auto"/>
        <w:right w:val="none" w:sz="0" w:space="0" w:color="auto"/>
      </w:divBdr>
    </w:div>
    <w:div w:id="51462152">
      <w:bodyDiv w:val="1"/>
      <w:marLeft w:val="0"/>
      <w:marRight w:val="0"/>
      <w:marTop w:val="0"/>
      <w:marBottom w:val="0"/>
      <w:divBdr>
        <w:top w:val="none" w:sz="0" w:space="0" w:color="auto"/>
        <w:left w:val="none" w:sz="0" w:space="0" w:color="auto"/>
        <w:bottom w:val="none" w:sz="0" w:space="0" w:color="auto"/>
        <w:right w:val="none" w:sz="0" w:space="0" w:color="auto"/>
      </w:divBdr>
      <w:divsChild>
        <w:div w:id="552425094">
          <w:marLeft w:val="0"/>
          <w:marRight w:val="0"/>
          <w:marTop w:val="0"/>
          <w:marBottom w:val="0"/>
          <w:divBdr>
            <w:top w:val="none" w:sz="0" w:space="0" w:color="auto"/>
            <w:left w:val="none" w:sz="0" w:space="0" w:color="auto"/>
            <w:bottom w:val="none" w:sz="0" w:space="0" w:color="auto"/>
            <w:right w:val="none" w:sz="0" w:space="0" w:color="auto"/>
          </w:divBdr>
          <w:divsChild>
            <w:div w:id="581253705">
              <w:marLeft w:val="0"/>
              <w:marRight w:val="0"/>
              <w:marTop w:val="0"/>
              <w:marBottom w:val="0"/>
              <w:divBdr>
                <w:top w:val="none" w:sz="0" w:space="0" w:color="auto"/>
                <w:left w:val="none" w:sz="0" w:space="0" w:color="auto"/>
                <w:bottom w:val="none" w:sz="0" w:space="0" w:color="auto"/>
                <w:right w:val="none" w:sz="0" w:space="0" w:color="auto"/>
              </w:divBdr>
              <w:divsChild>
                <w:div w:id="231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985">
      <w:bodyDiv w:val="1"/>
      <w:marLeft w:val="0"/>
      <w:marRight w:val="0"/>
      <w:marTop w:val="0"/>
      <w:marBottom w:val="0"/>
      <w:divBdr>
        <w:top w:val="none" w:sz="0" w:space="0" w:color="auto"/>
        <w:left w:val="none" w:sz="0" w:space="0" w:color="auto"/>
        <w:bottom w:val="none" w:sz="0" w:space="0" w:color="auto"/>
        <w:right w:val="none" w:sz="0" w:space="0" w:color="auto"/>
      </w:divBdr>
    </w:div>
    <w:div w:id="122625961">
      <w:bodyDiv w:val="1"/>
      <w:marLeft w:val="0"/>
      <w:marRight w:val="0"/>
      <w:marTop w:val="0"/>
      <w:marBottom w:val="0"/>
      <w:divBdr>
        <w:top w:val="none" w:sz="0" w:space="0" w:color="auto"/>
        <w:left w:val="none" w:sz="0" w:space="0" w:color="auto"/>
        <w:bottom w:val="none" w:sz="0" w:space="0" w:color="auto"/>
        <w:right w:val="none" w:sz="0" w:space="0" w:color="auto"/>
      </w:divBdr>
    </w:div>
    <w:div w:id="149565019">
      <w:bodyDiv w:val="1"/>
      <w:marLeft w:val="0"/>
      <w:marRight w:val="0"/>
      <w:marTop w:val="0"/>
      <w:marBottom w:val="0"/>
      <w:divBdr>
        <w:top w:val="none" w:sz="0" w:space="0" w:color="auto"/>
        <w:left w:val="none" w:sz="0" w:space="0" w:color="auto"/>
        <w:bottom w:val="none" w:sz="0" w:space="0" w:color="auto"/>
        <w:right w:val="none" w:sz="0" w:space="0" w:color="auto"/>
      </w:divBdr>
    </w:div>
    <w:div w:id="154075859">
      <w:bodyDiv w:val="1"/>
      <w:marLeft w:val="0"/>
      <w:marRight w:val="0"/>
      <w:marTop w:val="0"/>
      <w:marBottom w:val="0"/>
      <w:divBdr>
        <w:top w:val="none" w:sz="0" w:space="0" w:color="auto"/>
        <w:left w:val="none" w:sz="0" w:space="0" w:color="auto"/>
        <w:bottom w:val="none" w:sz="0" w:space="0" w:color="auto"/>
        <w:right w:val="none" w:sz="0" w:space="0" w:color="auto"/>
      </w:divBdr>
      <w:divsChild>
        <w:div w:id="902985166">
          <w:marLeft w:val="0"/>
          <w:marRight w:val="0"/>
          <w:marTop w:val="0"/>
          <w:marBottom w:val="0"/>
          <w:divBdr>
            <w:top w:val="none" w:sz="0" w:space="0" w:color="auto"/>
            <w:left w:val="none" w:sz="0" w:space="0" w:color="auto"/>
            <w:bottom w:val="none" w:sz="0" w:space="0" w:color="auto"/>
            <w:right w:val="none" w:sz="0" w:space="0" w:color="auto"/>
          </w:divBdr>
          <w:divsChild>
            <w:div w:id="1272208228">
              <w:marLeft w:val="0"/>
              <w:marRight w:val="0"/>
              <w:marTop w:val="0"/>
              <w:marBottom w:val="0"/>
              <w:divBdr>
                <w:top w:val="none" w:sz="0" w:space="0" w:color="auto"/>
                <w:left w:val="none" w:sz="0" w:space="0" w:color="auto"/>
                <w:bottom w:val="none" w:sz="0" w:space="0" w:color="auto"/>
                <w:right w:val="none" w:sz="0" w:space="0" w:color="auto"/>
              </w:divBdr>
              <w:divsChild>
                <w:div w:id="657880234">
                  <w:marLeft w:val="0"/>
                  <w:marRight w:val="0"/>
                  <w:marTop w:val="0"/>
                  <w:marBottom w:val="480"/>
                  <w:divBdr>
                    <w:top w:val="none" w:sz="0" w:space="0" w:color="auto"/>
                    <w:left w:val="none" w:sz="0" w:space="0" w:color="auto"/>
                    <w:bottom w:val="none" w:sz="0" w:space="0" w:color="auto"/>
                    <w:right w:val="none" w:sz="0" w:space="0" w:color="auto"/>
                  </w:divBdr>
                  <w:divsChild>
                    <w:div w:id="6914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891">
      <w:bodyDiv w:val="1"/>
      <w:marLeft w:val="0"/>
      <w:marRight w:val="0"/>
      <w:marTop w:val="0"/>
      <w:marBottom w:val="0"/>
      <w:divBdr>
        <w:top w:val="none" w:sz="0" w:space="0" w:color="auto"/>
        <w:left w:val="none" w:sz="0" w:space="0" w:color="auto"/>
        <w:bottom w:val="none" w:sz="0" w:space="0" w:color="auto"/>
        <w:right w:val="none" w:sz="0" w:space="0" w:color="auto"/>
      </w:divBdr>
      <w:divsChild>
        <w:div w:id="1813669141">
          <w:marLeft w:val="0"/>
          <w:marRight w:val="0"/>
          <w:marTop w:val="0"/>
          <w:marBottom w:val="0"/>
          <w:divBdr>
            <w:top w:val="none" w:sz="0" w:space="0" w:color="auto"/>
            <w:left w:val="none" w:sz="0" w:space="0" w:color="auto"/>
            <w:bottom w:val="none" w:sz="0" w:space="0" w:color="auto"/>
            <w:right w:val="none" w:sz="0" w:space="0" w:color="auto"/>
          </w:divBdr>
          <w:divsChild>
            <w:div w:id="8467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1060967">
      <w:bodyDiv w:val="1"/>
      <w:marLeft w:val="0"/>
      <w:marRight w:val="0"/>
      <w:marTop w:val="0"/>
      <w:marBottom w:val="0"/>
      <w:divBdr>
        <w:top w:val="none" w:sz="0" w:space="0" w:color="auto"/>
        <w:left w:val="none" w:sz="0" w:space="0" w:color="auto"/>
        <w:bottom w:val="none" w:sz="0" w:space="0" w:color="auto"/>
        <w:right w:val="none" w:sz="0" w:space="0" w:color="auto"/>
      </w:divBdr>
    </w:div>
    <w:div w:id="321130789">
      <w:bodyDiv w:val="1"/>
      <w:marLeft w:val="0"/>
      <w:marRight w:val="0"/>
      <w:marTop w:val="0"/>
      <w:marBottom w:val="0"/>
      <w:divBdr>
        <w:top w:val="none" w:sz="0" w:space="0" w:color="auto"/>
        <w:left w:val="none" w:sz="0" w:space="0" w:color="auto"/>
        <w:bottom w:val="none" w:sz="0" w:space="0" w:color="auto"/>
        <w:right w:val="none" w:sz="0" w:space="0" w:color="auto"/>
      </w:divBdr>
    </w:div>
    <w:div w:id="324475258">
      <w:bodyDiv w:val="1"/>
      <w:marLeft w:val="0"/>
      <w:marRight w:val="0"/>
      <w:marTop w:val="0"/>
      <w:marBottom w:val="0"/>
      <w:divBdr>
        <w:top w:val="none" w:sz="0" w:space="0" w:color="auto"/>
        <w:left w:val="none" w:sz="0" w:space="0" w:color="auto"/>
        <w:bottom w:val="none" w:sz="0" w:space="0" w:color="auto"/>
        <w:right w:val="none" w:sz="0" w:space="0" w:color="auto"/>
      </w:divBdr>
    </w:div>
    <w:div w:id="445344786">
      <w:bodyDiv w:val="1"/>
      <w:marLeft w:val="0"/>
      <w:marRight w:val="0"/>
      <w:marTop w:val="0"/>
      <w:marBottom w:val="0"/>
      <w:divBdr>
        <w:top w:val="none" w:sz="0" w:space="0" w:color="auto"/>
        <w:left w:val="none" w:sz="0" w:space="0" w:color="auto"/>
        <w:bottom w:val="none" w:sz="0" w:space="0" w:color="auto"/>
        <w:right w:val="none" w:sz="0" w:space="0" w:color="auto"/>
      </w:divBdr>
    </w:div>
    <w:div w:id="493111508">
      <w:bodyDiv w:val="1"/>
      <w:marLeft w:val="0"/>
      <w:marRight w:val="0"/>
      <w:marTop w:val="0"/>
      <w:marBottom w:val="0"/>
      <w:divBdr>
        <w:top w:val="none" w:sz="0" w:space="0" w:color="auto"/>
        <w:left w:val="none" w:sz="0" w:space="0" w:color="auto"/>
        <w:bottom w:val="none" w:sz="0" w:space="0" w:color="auto"/>
        <w:right w:val="none" w:sz="0" w:space="0" w:color="auto"/>
      </w:divBdr>
    </w:div>
    <w:div w:id="505748678">
      <w:bodyDiv w:val="1"/>
      <w:marLeft w:val="0"/>
      <w:marRight w:val="0"/>
      <w:marTop w:val="0"/>
      <w:marBottom w:val="0"/>
      <w:divBdr>
        <w:top w:val="none" w:sz="0" w:space="0" w:color="auto"/>
        <w:left w:val="none" w:sz="0" w:space="0" w:color="auto"/>
        <w:bottom w:val="none" w:sz="0" w:space="0" w:color="auto"/>
        <w:right w:val="none" w:sz="0" w:space="0" w:color="auto"/>
      </w:divBdr>
    </w:div>
    <w:div w:id="507985418">
      <w:bodyDiv w:val="1"/>
      <w:marLeft w:val="0"/>
      <w:marRight w:val="0"/>
      <w:marTop w:val="0"/>
      <w:marBottom w:val="0"/>
      <w:divBdr>
        <w:top w:val="none" w:sz="0" w:space="0" w:color="auto"/>
        <w:left w:val="none" w:sz="0" w:space="0" w:color="auto"/>
        <w:bottom w:val="none" w:sz="0" w:space="0" w:color="auto"/>
        <w:right w:val="none" w:sz="0" w:space="0" w:color="auto"/>
      </w:divBdr>
    </w:div>
    <w:div w:id="515197664">
      <w:bodyDiv w:val="1"/>
      <w:marLeft w:val="0"/>
      <w:marRight w:val="0"/>
      <w:marTop w:val="0"/>
      <w:marBottom w:val="0"/>
      <w:divBdr>
        <w:top w:val="none" w:sz="0" w:space="0" w:color="auto"/>
        <w:left w:val="none" w:sz="0" w:space="0" w:color="auto"/>
        <w:bottom w:val="none" w:sz="0" w:space="0" w:color="auto"/>
        <w:right w:val="none" w:sz="0" w:space="0" w:color="auto"/>
      </w:divBdr>
    </w:div>
    <w:div w:id="585959593">
      <w:bodyDiv w:val="1"/>
      <w:marLeft w:val="0"/>
      <w:marRight w:val="0"/>
      <w:marTop w:val="0"/>
      <w:marBottom w:val="0"/>
      <w:divBdr>
        <w:top w:val="none" w:sz="0" w:space="0" w:color="auto"/>
        <w:left w:val="none" w:sz="0" w:space="0" w:color="auto"/>
        <w:bottom w:val="none" w:sz="0" w:space="0" w:color="auto"/>
        <w:right w:val="none" w:sz="0" w:space="0" w:color="auto"/>
      </w:divBdr>
    </w:div>
    <w:div w:id="650669535">
      <w:bodyDiv w:val="1"/>
      <w:marLeft w:val="0"/>
      <w:marRight w:val="0"/>
      <w:marTop w:val="0"/>
      <w:marBottom w:val="0"/>
      <w:divBdr>
        <w:top w:val="none" w:sz="0" w:space="0" w:color="auto"/>
        <w:left w:val="none" w:sz="0" w:space="0" w:color="auto"/>
        <w:bottom w:val="none" w:sz="0" w:space="0" w:color="auto"/>
        <w:right w:val="none" w:sz="0" w:space="0" w:color="auto"/>
      </w:divBdr>
    </w:div>
    <w:div w:id="718162733">
      <w:bodyDiv w:val="1"/>
      <w:marLeft w:val="0"/>
      <w:marRight w:val="0"/>
      <w:marTop w:val="0"/>
      <w:marBottom w:val="0"/>
      <w:divBdr>
        <w:top w:val="none" w:sz="0" w:space="0" w:color="auto"/>
        <w:left w:val="none" w:sz="0" w:space="0" w:color="auto"/>
        <w:bottom w:val="none" w:sz="0" w:space="0" w:color="auto"/>
        <w:right w:val="none" w:sz="0" w:space="0" w:color="auto"/>
      </w:divBdr>
    </w:div>
    <w:div w:id="749740904">
      <w:bodyDiv w:val="1"/>
      <w:marLeft w:val="0"/>
      <w:marRight w:val="0"/>
      <w:marTop w:val="0"/>
      <w:marBottom w:val="0"/>
      <w:divBdr>
        <w:top w:val="none" w:sz="0" w:space="0" w:color="auto"/>
        <w:left w:val="none" w:sz="0" w:space="0" w:color="auto"/>
        <w:bottom w:val="none" w:sz="0" w:space="0" w:color="auto"/>
        <w:right w:val="none" w:sz="0" w:space="0" w:color="auto"/>
      </w:divBdr>
      <w:divsChild>
        <w:div w:id="926693718">
          <w:marLeft w:val="0"/>
          <w:marRight w:val="0"/>
          <w:marTop w:val="0"/>
          <w:marBottom w:val="0"/>
          <w:divBdr>
            <w:top w:val="none" w:sz="0" w:space="0" w:color="auto"/>
            <w:left w:val="none" w:sz="0" w:space="0" w:color="auto"/>
            <w:bottom w:val="none" w:sz="0" w:space="0" w:color="auto"/>
            <w:right w:val="none" w:sz="0" w:space="0" w:color="auto"/>
          </w:divBdr>
          <w:divsChild>
            <w:div w:id="75785454">
              <w:marLeft w:val="0"/>
              <w:marRight w:val="0"/>
              <w:marTop w:val="30"/>
              <w:marBottom w:val="30"/>
              <w:divBdr>
                <w:top w:val="none" w:sz="0" w:space="0" w:color="auto"/>
                <w:left w:val="none" w:sz="0" w:space="0" w:color="auto"/>
                <w:bottom w:val="none" w:sz="0" w:space="0" w:color="auto"/>
                <w:right w:val="none" w:sz="0" w:space="0" w:color="auto"/>
              </w:divBdr>
              <w:divsChild>
                <w:div w:id="463351728">
                  <w:marLeft w:val="0"/>
                  <w:marRight w:val="0"/>
                  <w:marTop w:val="0"/>
                  <w:marBottom w:val="0"/>
                  <w:divBdr>
                    <w:top w:val="none" w:sz="0" w:space="0" w:color="auto"/>
                    <w:left w:val="none" w:sz="0" w:space="0" w:color="auto"/>
                    <w:bottom w:val="none" w:sz="0" w:space="0" w:color="auto"/>
                    <w:right w:val="none" w:sz="0" w:space="0" w:color="auto"/>
                  </w:divBdr>
                  <w:divsChild>
                    <w:div w:id="1933465867">
                      <w:marLeft w:val="0"/>
                      <w:marRight w:val="0"/>
                      <w:marTop w:val="0"/>
                      <w:marBottom w:val="0"/>
                      <w:divBdr>
                        <w:top w:val="none" w:sz="0" w:space="0" w:color="auto"/>
                        <w:left w:val="none" w:sz="0" w:space="0" w:color="auto"/>
                        <w:bottom w:val="none" w:sz="0" w:space="0" w:color="auto"/>
                        <w:right w:val="none" w:sz="0" w:space="0" w:color="auto"/>
                      </w:divBdr>
                      <w:divsChild>
                        <w:div w:id="1537888171">
                          <w:marLeft w:val="0"/>
                          <w:marRight w:val="0"/>
                          <w:marTop w:val="0"/>
                          <w:marBottom w:val="0"/>
                          <w:divBdr>
                            <w:top w:val="none" w:sz="0" w:space="0" w:color="auto"/>
                            <w:left w:val="none" w:sz="0" w:space="0" w:color="auto"/>
                            <w:bottom w:val="none" w:sz="0" w:space="0" w:color="auto"/>
                            <w:right w:val="none" w:sz="0" w:space="0" w:color="auto"/>
                          </w:divBdr>
                          <w:divsChild>
                            <w:div w:id="568728750">
                              <w:marLeft w:val="0"/>
                              <w:marRight w:val="0"/>
                              <w:marTop w:val="0"/>
                              <w:marBottom w:val="0"/>
                              <w:divBdr>
                                <w:top w:val="none" w:sz="0" w:space="0" w:color="auto"/>
                                <w:left w:val="none" w:sz="0" w:space="0" w:color="auto"/>
                                <w:bottom w:val="none" w:sz="0" w:space="0" w:color="auto"/>
                                <w:right w:val="none" w:sz="0" w:space="0" w:color="auto"/>
                              </w:divBdr>
                              <w:divsChild>
                                <w:div w:id="1184593789">
                                  <w:marLeft w:val="0"/>
                                  <w:marRight w:val="0"/>
                                  <w:marTop w:val="0"/>
                                  <w:marBottom w:val="0"/>
                                  <w:divBdr>
                                    <w:top w:val="none" w:sz="0" w:space="0" w:color="auto"/>
                                    <w:left w:val="none" w:sz="0" w:space="0" w:color="auto"/>
                                    <w:bottom w:val="none" w:sz="0" w:space="0" w:color="auto"/>
                                    <w:right w:val="none" w:sz="0" w:space="0" w:color="auto"/>
                                  </w:divBdr>
                                  <w:divsChild>
                                    <w:div w:id="1654214913">
                                      <w:marLeft w:val="0"/>
                                      <w:marRight w:val="0"/>
                                      <w:marTop w:val="0"/>
                                      <w:marBottom w:val="0"/>
                                      <w:divBdr>
                                        <w:top w:val="single" w:sz="12" w:space="4" w:color="DBDDD0"/>
                                        <w:left w:val="none" w:sz="0" w:space="0" w:color="auto"/>
                                        <w:bottom w:val="none" w:sz="0" w:space="0" w:color="auto"/>
                                        <w:right w:val="none" w:sz="0" w:space="0" w:color="auto"/>
                                      </w:divBdr>
                                      <w:divsChild>
                                        <w:div w:id="1918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466917">
      <w:bodyDiv w:val="1"/>
      <w:marLeft w:val="0"/>
      <w:marRight w:val="0"/>
      <w:marTop w:val="0"/>
      <w:marBottom w:val="0"/>
      <w:divBdr>
        <w:top w:val="none" w:sz="0" w:space="0" w:color="auto"/>
        <w:left w:val="none" w:sz="0" w:space="0" w:color="auto"/>
        <w:bottom w:val="none" w:sz="0" w:space="0" w:color="auto"/>
        <w:right w:val="none" w:sz="0" w:space="0" w:color="auto"/>
      </w:divBdr>
      <w:divsChild>
        <w:div w:id="1283727630">
          <w:marLeft w:val="0"/>
          <w:marRight w:val="0"/>
          <w:marTop w:val="0"/>
          <w:marBottom w:val="0"/>
          <w:divBdr>
            <w:top w:val="none" w:sz="0" w:space="0" w:color="auto"/>
            <w:left w:val="none" w:sz="0" w:space="0" w:color="auto"/>
            <w:bottom w:val="none" w:sz="0" w:space="0" w:color="auto"/>
            <w:right w:val="none" w:sz="0" w:space="0" w:color="auto"/>
          </w:divBdr>
          <w:divsChild>
            <w:div w:id="11810805">
              <w:marLeft w:val="0"/>
              <w:marRight w:val="0"/>
              <w:marTop w:val="0"/>
              <w:marBottom w:val="0"/>
              <w:divBdr>
                <w:top w:val="none" w:sz="0" w:space="0" w:color="auto"/>
                <w:left w:val="none" w:sz="0" w:space="0" w:color="auto"/>
                <w:bottom w:val="none" w:sz="0" w:space="0" w:color="auto"/>
                <w:right w:val="none" w:sz="0" w:space="0" w:color="auto"/>
              </w:divBdr>
              <w:divsChild>
                <w:div w:id="905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5179">
      <w:bodyDiv w:val="1"/>
      <w:marLeft w:val="0"/>
      <w:marRight w:val="0"/>
      <w:marTop w:val="0"/>
      <w:marBottom w:val="0"/>
      <w:divBdr>
        <w:top w:val="none" w:sz="0" w:space="0" w:color="auto"/>
        <w:left w:val="none" w:sz="0" w:space="0" w:color="auto"/>
        <w:bottom w:val="none" w:sz="0" w:space="0" w:color="auto"/>
        <w:right w:val="none" w:sz="0" w:space="0" w:color="auto"/>
      </w:divBdr>
    </w:div>
    <w:div w:id="847328155">
      <w:bodyDiv w:val="1"/>
      <w:marLeft w:val="0"/>
      <w:marRight w:val="0"/>
      <w:marTop w:val="0"/>
      <w:marBottom w:val="0"/>
      <w:divBdr>
        <w:top w:val="none" w:sz="0" w:space="0" w:color="auto"/>
        <w:left w:val="none" w:sz="0" w:space="0" w:color="auto"/>
        <w:bottom w:val="none" w:sz="0" w:space="0" w:color="auto"/>
        <w:right w:val="none" w:sz="0" w:space="0" w:color="auto"/>
      </w:divBdr>
    </w:div>
    <w:div w:id="878513368">
      <w:bodyDiv w:val="1"/>
      <w:marLeft w:val="0"/>
      <w:marRight w:val="0"/>
      <w:marTop w:val="0"/>
      <w:marBottom w:val="0"/>
      <w:divBdr>
        <w:top w:val="none" w:sz="0" w:space="0" w:color="auto"/>
        <w:left w:val="none" w:sz="0" w:space="0" w:color="auto"/>
        <w:bottom w:val="none" w:sz="0" w:space="0" w:color="auto"/>
        <w:right w:val="none" w:sz="0" w:space="0" w:color="auto"/>
      </w:divBdr>
    </w:div>
    <w:div w:id="900293811">
      <w:bodyDiv w:val="1"/>
      <w:marLeft w:val="0"/>
      <w:marRight w:val="0"/>
      <w:marTop w:val="0"/>
      <w:marBottom w:val="0"/>
      <w:divBdr>
        <w:top w:val="none" w:sz="0" w:space="0" w:color="auto"/>
        <w:left w:val="none" w:sz="0" w:space="0" w:color="auto"/>
        <w:bottom w:val="none" w:sz="0" w:space="0" w:color="auto"/>
        <w:right w:val="none" w:sz="0" w:space="0" w:color="auto"/>
      </w:divBdr>
    </w:div>
    <w:div w:id="922490543">
      <w:bodyDiv w:val="1"/>
      <w:marLeft w:val="0"/>
      <w:marRight w:val="0"/>
      <w:marTop w:val="0"/>
      <w:marBottom w:val="0"/>
      <w:divBdr>
        <w:top w:val="none" w:sz="0" w:space="0" w:color="auto"/>
        <w:left w:val="none" w:sz="0" w:space="0" w:color="auto"/>
        <w:bottom w:val="none" w:sz="0" w:space="0" w:color="auto"/>
        <w:right w:val="none" w:sz="0" w:space="0" w:color="auto"/>
      </w:divBdr>
    </w:div>
    <w:div w:id="943535685">
      <w:bodyDiv w:val="1"/>
      <w:marLeft w:val="0"/>
      <w:marRight w:val="0"/>
      <w:marTop w:val="0"/>
      <w:marBottom w:val="0"/>
      <w:divBdr>
        <w:top w:val="none" w:sz="0" w:space="0" w:color="auto"/>
        <w:left w:val="none" w:sz="0" w:space="0" w:color="auto"/>
        <w:bottom w:val="none" w:sz="0" w:space="0" w:color="auto"/>
        <w:right w:val="none" w:sz="0" w:space="0" w:color="auto"/>
      </w:divBdr>
      <w:divsChild>
        <w:div w:id="1846440209">
          <w:marLeft w:val="0"/>
          <w:marRight w:val="0"/>
          <w:marTop w:val="0"/>
          <w:marBottom w:val="0"/>
          <w:divBdr>
            <w:top w:val="none" w:sz="0" w:space="0" w:color="auto"/>
            <w:left w:val="none" w:sz="0" w:space="0" w:color="auto"/>
            <w:bottom w:val="none" w:sz="0" w:space="0" w:color="auto"/>
            <w:right w:val="none" w:sz="0" w:space="0" w:color="auto"/>
          </w:divBdr>
          <w:divsChild>
            <w:div w:id="491482349">
              <w:marLeft w:val="0"/>
              <w:marRight w:val="0"/>
              <w:marTop w:val="0"/>
              <w:marBottom w:val="0"/>
              <w:divBdr>
                <w:top w:val="none" w:sz="0" w:space="0" w:color="auto"/>
                <w:left w:val="none" w:sz="0" w:space="0" w:color="auto"/>
                <w:bottom w:val="none" w:sz="0" w:space="0" w:color="auto"/>
                <w:right w:val="none" w:sz="0" w:space="0" w:color="auto"/>
              </w:divBdr>
              <w:divsChild>
                <w:div w:id="937564686">
                  <w:marLeft w:val="0"/>
                  <w:marRight w:val="0"/>
                  <w:marTop w:val="0"/>
                  <w:marBottom w:val="0"/>
                  <w:divBdr>
                    <w:top w:val="none" w:sz="0" w:space="0" w:color="auto"/>
                    <w:left w:val="none" w:sz="0" w:space="0" w:color="auto"/>
                    <w:bottom w:val="none" w:sz="0" w:space="0" w:color="auto"/>
                    <w:right w:val="none" w:sz="0" w:space="0" w:color="auto"/>
                  </w:divBdr>
                  <w:divsChild>
                    <w:div w:id="1895771814">
                      <w:marLeft w:val="0"/>
                      <w:marRight w:val="0"/>
                      <w:marTop w:val="0"/>
                      <w:marBottom w:val="0"/>
                      <w:divBdr>
                        <w:top w:val="none" w:sz="0" w:space="0" w:color="auto"/>
                        <w:left w:val="none" w:sz="0" w:space="0" w:color="auto"/>
                        <w:bottom w:val="none" w:sz="0" w:space="0" w:color="auto"/>
                        <w:right w:val="none" w:sz="0" w:space="0" w:color="auto"/>
                      </w:divBdr>
                      <w:divsChild>
                        <w:div w:id="1635796973">
                          <w:marLeft w:val="150"/>
                          <w:marRight w:val="150"/>
                          <w:marTop w:val="150"/>
                          <w:marBottom w:val="150"/>
                          <w:divBdr>
                            <w:top w:val="none" w:sz="0" w:space="0" w:color="auto"/>
                            <w:left w:val="none" w:sz="0" w:space="0" w:color="auto"/>
                            <w:bottom w:val="none" w:sz="0" w:space="0" w:color="auto"/>
                            <w:right w:val="none" w:sz="0" w:space="0" w:color="auto"/>
                          </w:divBdr>
                          <w:divsChild>
                            <w:div w:id="19944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009">
      <w:bodyDiv w:val="1"/>
      <w:marLeft w:val="0"/>
      <w:marRight w:val="0"/>
      <w:marTop w:val="0"/>
      <w:marBottom w:val="0"/>
      <w:divBdr>
        <w:top w:val="none" w:sz="0" w:space="0" w:color="auto"/>
        <w:left w:val="none" w:sz="0" w:space="0" w:color="auto"/>
        <w:bottom w:val="none" w:sz="0" w:space="0" w:color="auto"/>
        <w:right w:val="none" w:sz="0" w:space="0" w:color="auto"/>
      </w:divBdr>
      <w:divsChild>
        <w:div w:id="763917762">
          <w:marLeft w:val="300"/>
          <w:marRight w:val="300"/>
          <w:marTop w:val="0"/>
          <w:marBottom w:val="0"/>
          <w:divBdr>
            <w:top w:val="none" w:sz="0" w:space="0" w:color="auto"/>
            <w:left w:val="none" w:sz="0" w:space="0" w:color="auto"/>
            <w:bottom w:val="none" w:sz="0" w:space="0" w:color="auto"/>
            <w:right w:val="none" w:sz="0" w:space="0" w:color="auto"/>
          </w:divBdr>
          <w:divsChild>
            <w:div w:id="524753269">
              <w:marLeft w:val="0"/>
              <w:marRight w:val="0"/>
              <w:marTop w:val="0"/>
              <w:marBottom w:val="0"/>
              <w:divBdr>
                <w:top w:val="none" w:sz="0" w:space="0" w:color="auto"/>
                <w:left w:val="none" w:sz="0" w:space="0" w:color="auto"/>
                <w:bottom w:val="none" w:sz="0" w:space="0" w:color="auto"/>
                <w:right w:val="none" w:sz="0" w:space="0" w:color="auto"/>
              </w:divBdr>
              <w:divsChild>
                <w:div w:id="2939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816">
      <w:bodyDiv w:val="1"/>
      <w:marLeft w:val="0"/>
      <w:marRight w:val="0"/>
      <w:marTop w:val="0"/>
      <w:marBottom w:val="0"/>
      <w:divBdr>
        <w:top w:val="none" w:sz="0" w:space="0" w:color="auto"/>
        <w:left w:val="none" w:sz="0" w:space="0" w:color="auto"/>
        <w:bottom w:val="none" w:sz="0" w:space="0" w:color="auto"/>
        <w:right w:val="none" w:sz="0" w:space="0" w:color="auto"/>
      </w:divBdr>
      <w:divsChild>
        <w:div w:id="1791318194">
          <w:marLeft w:val="0"/>
          <w:marRight w:val="0"/>
          <w:marTop w:val="0"/>
          <w:marBottom w:val="0"/>
          <w:divBdr>
            <w:top w:val="none" w:sz="0" w:space="0" w:color="auto"/>
            <w:left w:val="none" w:sz="0" w:space="0" w:color="auto"/>
            <w:bottom w:val="none" w:sz="0" w:space="0" w:color="auto"/>
            <w:right w:val="none" w:sz="0" w:space="0" w:color="auto"/>
          </w:divBdr>
        </w:div>
      </w:divsChild>
    </w:div>
    <w:div w:id="1078943594">
      <w:bodyDiv w:val="1"/>
      <w:marLeft w:val="0"/>
      <w:marRight w:val="0"/>
      <w:marTop w:val="0"/>
      <w:marBottom w:val="0"/>
      <w:divBdr>
        <w:top w:val="none" w:sz="0" w:space="0" w:color="auto"/>
        <w:left w:val="none" w:sz="0" w:space="0" w:color="auto"/>
        <w:bottom w:val="none" w:sz="0" w:space="0" w:color="auto"/>
        <w:right w:val="none" w:sz="0" w:space="0" w:color="auto"/>
      </w:divBdr>
    </w:div>
    <w:div w:id="1082416196">
      <w:bodyDiv w:val="1"/>
      <w:marLeft w:val="0"/>
      <w:marRight w:val="0"/>
      <w:marTop w:val="0"/>
      <w:marBottom w:val="0"/>
      <w:divBdr>
        <w:top w:val="none" w:sz="0" w:space="0" w:color="auto"/>
        <w:left w:val="none" w:sz="0" w:space="0" w:color="auto"/>
        <w:bottom w:val="none" w:sz="0" w:space="0" w:color="auto"/>
        <w:right w:val="none" w:sz="0" w:space="0" w:color="auto"/>
      </w:divBdr>
    </w:div>
    <w:div w:id="1103065454">
      <w:bodyDiv w:val="1"/>
      <w:marLeft w:val="0"/>
      <w:marRight w:val="0"/>
      <w:marTop w:val="0"/>
      <w:marBottom w:val="0"/>
      <w:divBdr>
        <w:top w:val="none" w:sz="0" w:space="0" w:color="auto"/>
        <w:left w:val="none" w:sz="0" w:space="0" w:color="auto"/>
        <w:bottom w:val="none" w:sz="0" w:space="0" w:color="auto"/>
        <w:right w:val="none" w:sz="0" w:space="0" w:color="auto"/>
      </w:divBdr>
      <w:divsChild>
        <w:div w:id="1670399636">
          <w:marLeft w:val="0"/>
          <w:marRight w:val="0"/>
          <w:marTop w:val="0"/>
          <w:marBottom w:val="150"/>
          <w:divBdr>
            <w:top w:val="none" w:sz="0" w:space="0" w:color="auto"/>
            <w:left w:val="none" w:sz="0" w:space="0" w:color="auto"/>
            <w:bottom w:val="none" w:sz="0" w:space="0" w:color="auto"/>
            <w:right w:val="none" w:sz="0" w:space="0" w:color="auto"/>
          </w:divBdr>
          <w:divsChild>
            <w:div w:id="834994926">
              <w:marLeft w:val="0"/>
              <w:marRight w:val="0"/>
              <w:marTop w:val="0"/>
              <w:marBottom w:val="0"/>
              <w:divBdr>
                <w:top w:val="single" w:sz="6" w:space="10" w:color="000000"/>
                <w:left w:val="single" w:sz="6" w:space="30" w:color="000000"/>
                <w:bottom w:val="single" w:sz="6" w:space="30" w:color="000000"/>
                <w:right w:val="single" w:sz="6" w:space="31" w:color="000000"/>
              </w:divBdr>
            </w:div>
          </w:divsChild>
        </w:div>
      </w:divsChild>
    </w:div>
    <w:div w:id="1109666142">
      <w:bodyDiv w:val="1"/>
      <w:marLeft w:val="0"/>
      <w:marRight w:val="0"/>
      <w:marTop w:val="0"/>
      <w:marBottom w:val="0"/>
      <w:divBdr>
        <w:top w:val="none" w:sz="0" w:space="0" w:color="auto"/>
        <w:left w:val="none" w:sz="0" w:space="0" w:color="auto"/>
        <w:bottom w:val="none" w:sz="0" w:space="0" w:color="auto"/>
        <w:right w:val="none" w:sz="0" w:space="0" w:color="auto"/>
      </w:divBdr>
    </w:div>
    <w:div w:id="1139298058">
      <w:bodyDiv w:val="1"/>
      <w:marLeft w:val="0"/>
      <w:marRight w:val="0"/>
      <w:marTop w:val="0"/>
      <w:marBottom w:val="0"/>
      <w:divBdr>
        <w:top w:val="none" w:sz="0" w:space="0" w:color="auto"/>
        <w:left w:val="none" w:sz="0" w:space="0" w:color="auto"/>
        <w:bottom w:val="none" w:sz="0" w:space="0" w:color="auto"/>
        <w:right w:val="none" w:sz="0" w:space="0" w:color="auto"/>
      </w:divBdr>
      <w:divsChild>
        <w:div w:id="699818102">
          <w:marLeft w:val="0"/>
          <w:marRight w:val="0"/>
          <w:marTop w:val="0"/>
          <w:marBottom w:val="0"/>
          <w:divBdr>
            <w:top w:val="none" w:sz="0" w:space="0" w:color="auto"/>
            <w:left w:val="none" w:sz="0" w:space="0" w:color="auto"/>
            <w:bottom w:val="none" w:sz="0" w:space="0" w:color="auto"/>
            <w:right w:val="none" w:sz="0" w:space="0" w:color="auto"/>
          </w:divBdr>
          <w:divsChild>
            <w:div w:id="1269044790">
              <w:marLeft w:val="0"/>
              <w:marRight w:val="0"/>
              <w:marTop w:val="0"/>
              <w:marBottom w:val="0"/>
              <w:divBdr>
                <w:top w:val="none" w:sz="0" w:space="0" w:color="auto"/>
                <w:left w:val="none" w:sz="0" w:space="0" w:color="auto"/>
                <w:bottom w:val="none" w:sz="0" w:space="0" w:color="auto"/>
                <w:right w:val="none" w:sz="0" w:space="0" w:color="auto"/>
              </w:divBdr>
              <w:divsChild>
                <w:div w:id="384916922">
                  <w:marLeft w:val="0"/>
                  <w:marRight w:val="0"/>
                  <w:marTop w:val="0"/>
                  <w:marBottom w:val="0"/>
                  <w:divBdr>
                    <w:top w:val="none" w:sz="0" w:space="0" w:color="auto"/>
                    <w:left w:val="none" w:sz="0" w:space="0" w:color="auto"/>
                    <w:bottom w:val="none" w:sz="0" w:space="0" w:color="auto"/>
                    <w:right w:val="none" w:sz="0" w:space="0" w:color="auto"/>
                  </w:divBdr>
                  <w:divsChild>
                    <w:div w:id="2144618755">
                      <w:marLeft w:val="0"/>
                      <w:marRight w:val="0"/>
                      <w:marTop w:val="0"/>
                      <w:marBottom w:val="0"/>
                      <w:divBdr>
                        <w:top w:val="none" w:sz="0" w:space="0" w:color="auto"/>
                        <w:left w:val="none" w:sz="0" w:space="0" w:color="auto"/>
                        <w:bottom w:val="none" w:sz="0" w:space="0" w:color="auto"/>
                        <w:right w:val="none" w:sz="0" w:space="0" w:color="auto"/>
                      </w:divBdr>
                      <w:divsChild>
                        <w:div w:id="1277517410">
                          <w:marLeft w:val="0"/>
                          <w:marRight w:val="0"/>
                          <w:marTop w:val="0"/>
                          <w:marBottom w:val="0"/>
                          <w:divBdr>
                            <w:top w:val="none" w:sz="0" w:space="0" w:color="auto"/>
                            <w:left w:val="none" w:sz="0" w:space="0" w:color="auto"/>
                            <w:bottom w:val="none" w:sz="0" w:space="0" w:color="auto"/>
                            <w:right w:val="none" w:sz="0" w:space="0" w:color="auto"/>
                          </w:divBdr>
                          <w:divsChild>
                            <w:div w:id="752437942">
                              <w:marLeft w:val="0"/>
                              <w:marRight w:val="0"/>
                              <w:marTop w:val="0"/>
                              <w:marBottom w:val="0"/>
                              <w:divBdr>
                                <w:top w:val="none" w:sz="0" w:space="0" w:color="auto"/>
                                <w:left w:val="none" w:sz="0" w:space="0" w:color="auto"/>
                                <w:bottom w:val="none" w:sz="0" w:space="0" w:color="auto"/>
                                <w:right w:val="none" w:sz="0" w:space="0" w:color="auto"/>
                              </w:divBdr>
                              <w:divsChild>
                                <w:div w:id="560793865">
                                  <w:marLeft w:val="0"/>
                                  <w:marRight w:val="0"/>
                                  <w:marTop w:val="0"/>
                                  <w:marBottom w:val="0"/>
                                  <w:divBdr>
                                    <w:top w:val="none" w:sz="0" w:space="0" w:color="auto"/>
                                    <w:left w:val="none" w:sz="0" w:space="0" w:color="auto"/>
                                    <w:bottom w:val="none" w:sz="0" w:space="0" w:color="auto"/>
                                    <w:right w:val="none" w:sz="0" w:space="0" w:color="auto"/>
                                  </w:divBdr>
                                  <w:divsChild>
                                    <w:div w:id="596016688">
                                      <w:marLeft w:val="0"/>
                                      <w:marRight w:val="0"/>
                                      <w:marTop w:val="0"/>
                                      <w:marBottom w:val="0"/>
                                      <w:divBdr>
                                        <w:top w:val="none" w:sz="0" w:space="0" w:color="auto"/>
                                        <w:left w:val="none" w:sz="0" w:space="0" w:color="auto"/>
                                        <w:bottom w:val="none" w:sz="0" w:space="0" w:color="auto"/>
                                        <w:right w:val="none" w:sz="0" w:space="0" w:color="auto"/>
                                      </w:divBdr>
                                      <w:divsChild>
                                        <w:div w:id="1840273959">
                                          <w:marLeft w:val="0"/>
                                          <w:marRight w:val="0"/>
                                          <w:marTop w:val="0"/>
                                          <w:marBottom w:val="0"/>
                                          <w:divBdr>
                                            <w:top w:val="none" w:sz="0" w:space="0" w:color="auto"/>
                                            <w:left w:val="none" w:sz="0" w:space="0" w:color="auto"/>
                                            <w:bottom w:val="none" w:sz="0" w:space="0" w:color="auto"/>
                                            <w:right w:val="none" w:sz="0" w:space="0" w:color="auto"/>
                                          </w:divBdr>
                                          <w:divsChild>
                                            <w:div w:id="3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7408">
      <w:bodyDiv w:val="1"/>
      <w:marLeft w:val="0"/>
      <w:marRight w:val="0"/>
      <w:marTop w:val="0"/>
      <w:marBottom w:val="0"/>
      <w:divBdr>
        <w:top w:val="none" w:sz="0" w:space="0" w:color="auto"/>
        <w:left w:val="none" w:sz="0" w:space="0" w:color="auto"/>
        <w:bottom w:val="none" w:sz="0" w:space="0" w:color="auto"/>
        <w:right w:val="none" w:sz="0" w:space="0" w:color="auto"/>
      </w:divBdr>
    </w:div>
    <w:div w:id="1161887983">
      <w:bodyDiv w:val="1"/>
      <w:marLeft w:val="0"/>
      <w:marRight w:val="0"/>
      <w:marTop w:val="0"/>
      <w:marBottom w:val="0"/>
      <w:divBdr>
        <w:top w:val="none" w:sz="0" w:space="0" w:color="auto"/>
        <w:left w:val="none" w:sz="0" w:space="0" w:color="auto"/>
        <w:bottom w:val="none" w:sz="0" w:space="0" w:color="auto"/>
        <w:right w:val="none" w:sz="0" w:space="0" w:color="auto"/>
      </w:divBdr>
    </w:div>
    <w:div w:id="1165125470">
      <w:bodyDiv w:val="1"/>
      <w:marLeft w:val="0"/>
      <w:marRight w:val="0"/>
      <w:marTop w:val="0"/>
      <w:marBottom w:val="0"/>
      <w:divBdr>
        <w:top w:val="none" w:sz="0" w:space="0" w:color="auto"/>
        <w:left w:val="none" w:sz="0" w:space="0" w:color="auto"/>
        <w:bottom w:val="none" w:sz="0" w:space="0" w:color="auto"/>
        <w:right w:val="none" w:sz="0" w:space="0" w:color="auto"/>
      </w:divBdr>
    </w:div>
    <w:div w:id="1177189076">
      <w:bodyDiv w:val="1"/>
      <w:marLeft w:val="0"/>
      <w:marRight w:val="0"/>
      <w:marTop w:val="0"/>
      <w:marBottom w:val="0"/>
      <w:divBdr>
        <w:top w:val="none" w:sz="0" w:space="0" w:color="auto"/>
        <w:left w:val="none" w:sz="0" w:space="0" w:color="auto"/>
        <w:bottom w:val="none" w:sz="0" w:space="0" w:color="auto"/>
        <w:right w:val="none" w:sz="0" w:space="0" w:color="auto"/>
      </w:divBdr>
    </w:div>
    <w:div w:id="1223714933">
      <w:bodyDiv w:val="1"/>
      <w:marLeft w:val="0"/>
      <w:marRight w:val="0"/>
      <w:marTop w:val="0"/>
      <w:marBottom w:val="0"/>
      <w:divBdr>
        <w:top w:val="none" w:sz="0" w:space="0" w:color="auto"/>
        <w:left w:val="none" w:sz="0" w:space="0" w:color="auto"/>
        <w:bottom w:val="none" w:sz="0" w:space="0" w:color="auto"/>
        <w:right w:val="none" w:sz="0" w:space="0" w:color="auto"/>
      </w:divBdr>
    </w:div>
    <w:div w:id="1230768753">
      <w:bodyDiv w:val="1"/>
      <w:marLeft w:val="0"/>
      <w:marRight w:val="0"/>
      <w:marTop w:val="0"/>
      <w:marBottom w:val="0"/>
      <w:divBdr>
        <w:top w:val="none" w:sz="0" w:space="0" w:color="auto"/>
        <w:left w:val="none" w:sz="0" w:space="0" w:color="auto"/>
        <w:bottom w:val="none" w:sz="0" w:space="0" w:color="auto"/>
        <w:right w:val="none" w:sz="0" w:space="0" w:color="auto"/>
      </w:divBdr>
    </w:div>
    <w:div w:id="1262493542">
      <w:bodyDiv w:val="1"/>
      <w:marLeft w:val="0"/>
      <w:marRight w:val="0"/>
      <w:marTop w:val="0"/>
      <w:marBottom w:val="0"/>
      <w:divBdr>
        <w:top w:val="none" w:sz="0" w:space="0" w:color="auto"/>
        <w:left w:val="none" w:sz="0" w:space="0" w:color="auto"/>
        <w:bottom w:val="none" w:sz="0" w:space="0" w:color="auto"/>
        <w:right w:val="none" w:sz="0" w:space="0" w:color="auto"/>
      </w:divBdr>
    </w:div>
    <w:div w:id="1267427069">
      <w:bodyDiv w:val="1"/>
      <w:marLeft w:val="0"/>
      <w:marRight w:val="0"/>
      <w:marTop w:val="0"/>
      <w:marBottom w:val="0"/>
      <w:divBdr>
        <w:top w:val="none" w:sz="0" w:space="0" w:color="auto"/>
        <w:left w:val="none" w:sz="0" w:space="0" w:color="auto"/>
        <w:bottom w:val="none" w:sz="0" w:space="0" w:color="auto"/>
        <w:right w:val="none" w:sz="0" w:space="0" w:color="auto"/>
      </w:divBdr>
    </w:div>
    <w:div w:id="1358191649">
      <w:bodyDiv w:val="1"/>
      <w:marLeft w:val="0"/>
      <w:marRight w:val="0"/>
      <w:marTop w:val="0"/>
      <w:marBottom w:val="0"/>
      <w:divBdr>
        <w:top w:val="none" w:sz="0" w:space="0" w:color="auto"/>
        <w:left w:val="none" w:sz="0" w:space="0" w:color="auto"/>
        <w:bottom w:val="none" w:sz="0" w:space="0" w:color="auto"/>
        <w:right w:val="none" w:sz="0" w:space="0" w:color="auto"/>
      </w:divBdr>
    </w:div>
    <w:div w:id="1378121615">
      <w:bodyDiv w:val="1"/>
      <w:marLeft w:val="0"/>
      <w:marRight w:val="0"/>
      <w:marTop w:val="0"/>
      <w:marBottom w:val="0"/>
      <w:divBdr>
        <w:top w:val="none" w:sz="0" w:space="0" w:color="auto"/>
        <w:left w:val="none" w:sz="0" w:space="0" w:color="auto"/>
        <w:bottom w:val="none" w:sz="0" w:space="0" w:color="auto"/>
        <w:right w:val="none" w:sz="0" w:space="0" w:color="auto"/>
      </w:divBdr>
      <w:divsChild>
        <w:div w:id="1496259661">
          <w:marLeft w:val="0"/>
          <w:marRight w:val="0"/>
          <w:marTop w:val="0"/>
          <w:marBottom w:val="0"/>
          <w:divBdr>
            <w:top w:val="none" w:sz="0" w:space="0" w:color="auto"/>
            <w:left w:val="none" w:sz="0" w:space="0" w:color="auto"/>
            <w:bottom w:val="none" w:sz="0" w:space="0" w:color="auto"/>
            <w:right w:val="none" w:sz="0" w:space="0" w:color="auto"/>
          </w:divBdr>
          <w:divsChild>
            <w:div w:id="925767831">
              <w:marLeft w:val="0"/>
              <w:marRight w:val="0"/>
              <w:marTop w:val="0"/>
              <w:marBottom w:val="0"/>
              <w:divBdr>
                <w:top w:val="none" w:sz="0" w:space="0" w:color="auto"/>
                <w:left w:val="none" w:sz="0" w:space="0" w:color="auto"/>
                <w:bottom w:val="none" w:sz="0" w:space="0" w:color="auto"/>
                <w:right w:val="none" w:sz="0" w:space="0" w:color="auto"/>
              </w:divBdr>
              <w:divsChild>
                <w:div w:id="421101321">
                  <w:marLeft w:val="0"/>
                  <w:marRight w:val="0"/>
                  <w:marTop w:val="0"/>
                  <w:marBottom w:val="0"/>
                  <w:divBdr>
                    <w:top w:val="none" w:sz="0" w:space="0" w:color="auto"/>
                    <w:left w:val="none" w:sz="0" w:space="0" w:color="auto"/>
                    <w:bottom w:val="none" w:sz="0" w:space="0" w:color="auto"/>
                    <w:right w:val="none" w:sz="0" w:space="0" w:color="auto"/>
                  </w:divBdr>
                  <w:divsChild>
                    <w:div w:id="1861967415">
                      <w:marLeft w:val="0"/>
                      <w:marRight w:val="0"/>
                      <w:marTop w:val="0"/>
                      <w:marBottom w:val="0"/>
                      <w:divBdr>
                        <w:top w:val="none" w:sz="0" w:space="0" w:color="auto"/>
                        <w:left w:val="none" w:sz="0" w:space="0" w:color="auto"/>
                        <w:bottom w:val="none" w:sz="0" w:space="0" w:color="auto"/>
                        <w:right w:val="none" w:sz="0" w:space="0" w:color="auto"/>
                      </w:divBdr>
                      <w:divsChild>
                        <w:div w:id="530460241">
                          <w:marLeft w:val="0"/>
                          <w:marRight w:val="0"/>
                          <w:marTop w:val="0"/>
                          <w:marBottom w:val="0"/>
                          <w:divBdr>
                            <w:top w:val="none" w:sz="0" w:space="0" w:color="auto"/>
                            <w:left w:val="none" w:sz="0" w:space="0" w:color="auto"/>
                            <w:bottom w:val="none" w:sz="0" w:space="0" w:color="auto"/>
                            <w:right w:val="none" w:sz="0" w:space="0" w:color="auto"/>
                          </w:divBdr>
                          <w:divsChild>
                            <w:div w:id="2043823183">
                              <w:marLeft w:val="0"/>
                              <w:marRight w:val="0"/>
                              <w:marTop w:val="0"/>
                              <w:marBottom w:val="0"/>
                              <w:divBdr>
                                <w:top w:val="none" w:sz="0" w:space="0" w:color="auto"/>
                                <w:left w:val="none" w:sz="0" w:space="0" w:color="auto"/>
                                <w:bottom w:val="none" w:sz="0" w:space="0" w:color="auto"/>
                                <w:right w:val="none" w:sz="0" w:space="0" w:color="auto"/>
                              </w:divBdr>
                              <w:divsChild>
                                <w:div w:id="1459686060">
                                  <w:marLeft w:val="0"/>
                                  <w:marRight w:val="0"/>
                                  <w:marTop w:val="0"/>
                                  <w:marBottom w:val="0"/>
                                  <w:divBdr>
                                    <w:top w:val="none" w:sz="0" w:space="0" w:color="auto"/>
                                    <w:left w:val="none" w:sz="0" w:space="0" w:color="auto"/>
                                    <w:bottom w:val="none" w:sz="0" w:space="0" w:color="auto"/>
                                    <w:right w:val="none" w:sz="0" w:space="0" w:color="auto"/>
                                  </w:divBdr>
                                  <w:divsChild>
                                    <w:div w:id="1776944401">
                                      <w:marLeft w:val="0"/>
                                      <w:marRight w:val="0"/>
                                      <w:marTop w:val="0"/>
                                      <w:marBottom w:val="0"/>
                                      <w:divBdr>
                                        <w:top w:val="none" w:sz="0" w:space="0" w:color="auto"/>
                                        <w:left w:val="none" w:sz="0" w:space="0" w:color="auto"/>
                                        <w:bottom w:val="none" w:sz="0" w:space="0" w:color="auto"/>
                                        <w:right w:val="none" w:sz="0" w:space="0" w:color="auto"/>
                                      </w:divBdr>
                                      <w:divsChild>
                                        <w:div w:id="862129873">
                                          <w:marLeft w:val="0"/>
                                          <w:marRight w:val="0"/>
                                          <w:marTop w:val="0"/>
                                          <w:marBottom w:val="0"/>
                                          <w:divBdr>
                                            <w:top w:val="none" w:sz="0" w:space="0" w:color="auto"/>
                                            <w:left w:val="none" w:sz="0" w:space="0" w:color="auto"/>
                                            <w:bottom w:val="none" w:sz="0" w:space="0" w:color="auto"/>
                                            <w:right w:val="none" w:sz="0" w:space="0" w:color="auto"/>
                                          </w:divBdr>
                                          <w:divsChild>
                                            <w:div w:id="2658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874613">
      <w:bodyDiv w:val="1"/>
      <w:marLeft w:val="0"/>
      <w:marRight w:val="0"/>
      <w:marTop w:val="0"/>
      <w:marBottom w:val="0"/>
      <w:divBdr>
        <w:top w:val="none" w:sz="0" w:space="0" w:color="auto"/>
        <w:left w:val="none" w:sz="0" w:space="0" w:color="auto"/>
        <w:bottom w:val="none" w:sz="0" w:space="0" w:color="auto"/>
        <w:right w:val="none" w:sz="0" w:space="0" w:color="auto"/>
      </w:divBdr>
    </w:div>
    <w:div w:id="1416396527">
      <w:bodyDiv w:val="1"/>
      <w:marLeft w:val="0"/>
      <w:marRight w:val="0"/>
      <w:marTop w:val="0"/>
      <w:marBottom w:val="0"/>
      <w:divBdr>
        <w:top w:val="none" w:sz="0" w:space="0" w:color="auto"/>
        <w:left w:val="none" w:sz="0" w:space="0" w:color="auto"/>
        <w:bottom w:val="none" w:sz="0" w:space="0" w:color="auto"/>
        <w:right w:val="none" w:sz="0" w:space="0" w:color="auto"/>
      </w:divBdr>
    </w:div>
    <w:div w:id="1416853744">
      <w:bodyDiv w:val="1"/>
      <w:marLeft w:val="0"/>
      <w:marRight w:val="0"/>
      <w:marTop w:val="0"/>
      <w:marBottom w:val="0"/>
      <w:divBdr>
        <w:top w:val="none" w:sz="0" w:space="0" w:color="auto"/>
        <w:left w:val="none" w:sz="0" w:space="0" w:color="auto"/>
        <w:bottom w:val="none" w:sz="0" w:space="0" w:color="auto"/>
        <w:right w:val="none" w:sz="0" w:space="0" w:color="auto"/>
      </w:divBdr>
    </w:div>
    <w:div w:id="1429153061">
      <w:bodyDiv w:val="1"/>
      <w:marLeft w:val="0"/>
      <w:marRight w:val="0"/>
      <w:marTop w:val="0"/>
      <w:marBottom w:val="0"/>
      <w:divBdr>
        <w:top w:val="none" w:sz="0" w:space="0" w:color="auto"/>
        <w:left w:val="none" w:sz="0" w:space="0" w:color="auto"/>
        <w:bottom w:val="none" w:sz="0" w:space="0" w:color="auto"/>
        <w:right w:val="none" w:sz="0" w:space="0" w:color="auto"/>
      </w:divBdr>
      <w:divsChild>
        <w:div w:id="1274052212">
          <w:marLeft w:val="0"/>
          <w:marRight w:val="0"/>
          <w:marTop w:val="0"/>
          <w:marBottom w:val="0"/>
          <w:divBdr>
            <w:top w:val="none" w:sz="0" w:space="0" w:color="auto"/>
            <w:left w:val="none" w:sz="0" w:space="0" w:color="auto"/>
            <w:bottom w:val="none" w:sz="0" w:space="0" w:color="auto"/>
            <w:right w:val="none" w:sz="0" w:space="0" w:color="auto"/>
          </w:divBdr>
          <w:divsChild>
            <w:div w:id="1824856224">
              <w:marLeft w:val="-6150"/>
              <w:marRight w:val="0"/>
              <w:marTop w:val="0"/>
              <w:marBottom w:val="0"/>
              <w:divBdr>
                <w:top w:val="none" w:sz="0" w:space="0" w:color="auto"/>
                <w:left w:val="none" w:sz="0" w:space="0" w:color="auto"/>
                <w:bottom w:val="none" w:sz="0" w:space="0" w:color="auto"/>
                <w:right w:val="none" w:sz="0" w:space="0" w:color="auto"/>
              </w:divBdr>
              <w:divsChild>
                <w:div w:id="801847082">
                  <w:marLeft w:val="0"/>
                  <w:marRight w:val="0"/>
                  <w:marTop w:val="0"/>
                  <w:marBottom w:val="0"/>
                  <w:divBdr>
                    <w:top w:val="none" w:sz="0" w:space="0" w:color="auto"/>
                    <w:left w:val="none" w:sz="0" w:space="0" w:color="auto"/>
                    <w:bottom w:val="single" w:sz="12" w:space="0" w:color="9C9B9B"/>
                    <w:right w:val="single" w:sz="12" w:space="0" w:color="A1A09F"/>
                  </w:divBdr>
                  <w:divsChild>
                    <w:div w:id="1591892496">
                      <w:marLeft w:val="0"/>
                      <w:marRight w:val="0"/>
                      <w:marTop w:val="0"/>
                      <w:marBottom w:val="0"/>
                      <w:divBdr>
                        <w:top w:val="none" w:sz="0" w:space="0" w:color="auto"/>
                        <w:left w:val="none" w:sz="0" w:space="0" w:color="auto"/>
                        <w:bottom w:val="none" w:sz="0" w:space="0" w:color="auto"/>
                        <w:right w:val="none" w:sz="0" w:space="0" w:color="auto"/>
                      </w:divBdr>
                      <w:divsChild>
                        <w:div w:id="1487160644">
                          <w:marLeft w:val="0"/>
                          <w:marRight w:val="0"/>
                          <w:marTop w:val="0"/>
                          <w:marBottom w:val="0"/>
                          <w:divBdr>
                            <w:top w:val="none" w:sz="0" w:space="0" w:color="auto"/>
                            <w:left w:val="none" w:sz="0" w:space="0" w:color="auto"/>
                            <w:bottom w:val="none" w:sz="0" w:space="0" w:color="auto"/>
                            <w:right w:val="none" w:sz="0" w:space="0" w:color="auto"/>
                          </w:divBdr>
                          <w:divsChild>
                            <w:div w:id="14376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5042">
      <w:bodyDiv w:val="1"/>
      <w:marLeft w:val="0"/>
      <w:marRight w:val="0"/>
      <w:marTop w:val="0"/>
      <w:marBottom w:val="0"/>
      <w:divBdr>
        <w:top w:val="none" w:sz="0" w:space="0" w:color="auto"/>
        <w:left w:val="none" w:sz="0" w:space="0" w:color="auto"/>
        <w:bottom w:val="none" w:sz="0" w:space="0" w:color="auto"/>
        <w:right w:val="none" w:sz="0" w:space="0" w:color="auto"/>
      </w:divBdr>
      <w:divsChild>
        <w:div w:id="31661961">
          <w:marLeft w:val="0"/>
          <w:marRight w:val="0"/>
          <w:marTop w:val="0"/>
          <w:marBottom w:val="0"/>
          <w:divBdr>
            <w:top w:val="none" w:sz="0" w:space="0" w:color="auto"/>
            <w:left w:val="none" w:sz="0" w:space="0" w:color="auto"/>
            <w:bottom w:val="none" w:sz="0" w:space="0" w:color="auto"/>
            <w:right w:val="none" w:sz="0" w:space="0" w:color="auto"/>
          </w:divBdr>
          <w:divsChild>
            <w:div w:id="1893998067">
              <w:marLeft w:val="0"/>
              <w:marRight w:val="0"/>
              <w:marTop w:val="0"/>
              <w:marBottom w:val="0"/>
              <w:divBdr>
                <w:top w:val="none" w:sz="0" w:space="0" w:color="auto"/>
                <w:left w:val="none" w:sz="0" w:space="0" w:color="auto"/>
                <w:bottom w:val="none" w:sz="0" w:space="0" w:color="auto"/>
                <w:right w:val="none" w:sz="0" w:space="0" w:color="auto"/>
              </w:divBdr>
              <w:divsChild>
                <w:div w:id="682321830">
                  <w:marLeft w:val="0"/>
                  <w:marRight w:val="0"/>
                  <w:marTop w:val="0"/>
                  <w:marBottom w:val="0"/>
                  <w:divBdr>
                    <w:top w:val="none" w:sz="0" w:space="0" w:color="auto"/>
                    <w:left w:val="none" w:sz="0" w:space="0" w:color="auto"/>
                    <w:bottom w:val="none" w:sz="0" w:space="0" w:color="auto"/>
                    <w:right w:val="none" w:sz="0" w:space="0" w:color="auto"/>
                  </w:divBdr>
                  <w:divsChild>
                    <w:div w:id="1252737147">
                      <w:marLeft w:val="0"/>
                      <w:marRight w:val="0"/>
                      <w:marTop w:val="0"/>
                      <w:marBottom w:val="0"/>
                      <w:divBdr>
                        <w:top w:val="none" w:sz="0" w:space="0" w:color="auto"/>
                        <w:left w:val="none" w:sz="0" w:space="0" w:color="auto"/>
                        <w:bottom w:val="none" w:sz="0" w:space="0" w:color="auto"/>
                        <w:right w:val="none" w:sz="0" w:space="0" w:color="auto"/>
                      </w:divBdr>
                    </w:div>
                    <w:div w:id="15146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752923">
      <w:bodyDiv w:val="1"/>
      <w:marLeft w:val="0"/>
      <w:marRight w:val="0"/>
      <w:marTop w:val="0"/>
      <w:marBottom w:val="0"/>
      <w:divBdr>
        <w:top w:val="none" w:sz="0" w:space="0" w:color="auto"/>
        <w:left w:val="none" w:sz="0" w:space="0" w:color="auto"/>
        <w:bottom w:val="none" w:sz="0" w:space="0" w:color="auto"/>
        <w:right w:val="none" w:sz="0" w:space="0" w:color="auto"/>
      </w:divBdr>
    </w:div>
    <w:div w:id="1650592892">
      <w:bodyDiv w:val="1"/>
      <w:marLeft w:val="0"/>
      <w:marRight w:val="0"/>
      <w:marTop w:val="0"/>
      <w:marBottom w:val="0"/>
      <w:divBdr>
        <w:top w:val="none" w:sz="0" w:space="0" w:color="auto"/>
        <w:left w:val="none" w:sz="0" w:space="0" w:color="auto"/>
        <w:bottom w:val="none" w:sz="0" w:space="0" w:color="auto"/>
        <w:right w:val="none" w:sz="0" w:space="0" w:color="auto"/>
      </w:divBdr>
    </w:div>
    <w:div w:id="1671248018">
      <w:bodyDiv w:val="1"/>
      <w:marLeft w:val="0"/>
      <w:marRight w:val="0"/>
      <w:marTop w:val="0"/>
      <w:marBottom w:val="0"/>
      <w:divBdr>
        <w:top w:val="none" w:sz="0" w:space="0" w:color="auto"/>
        <w:left w:val="none" w:sz="0" w:space="0" w:color="auto"/>
        <w:bottom w:val="none" w:sz="0" w:space="0" w:color="auto"/>
        <w:right w:val="none" w:sz="0" w:space="0" w:color="auto"/>
      </w:divBdr>
    </w:div>
    <w:div w:id="1737900513">
      <w:bodyDiv w:val="1"/>
      <w:marLeft w:val="0"/>
      <w:marRight w:val="0"/>
      <w:marTop w:val="0"/>
      <w:marBottom w:val="0"/>
      <w:divBdr>
        <w:top w:val="none" w:sz="0" w:space="0" w:color="auto"/>
        <w:left w:val="none" w:sz="0" w:space="0" w:color="auto"/>
        <w:bottom w:val="none" w:sz="0" w:space="0" w:color="auto"/>
        <w:right w:val="none" w:sz="0" w:space="0" w:color="auto"/>
      </w:divBdr>
    </w:div>
    <w:div w:id="1757747314">
      <w:bodyDiv w:val="1"/>
      <w:marLeft w:val="0"/>
      <w:marRight w:val="0"/>
      <w:marTop w:val="0"/>
      <w:marBottom w:val="0"/>
      <w:divBdr>
        <w:top w:val="none" w:sz="0" w:space="0" w:color="auto"/>
        <w:left w:val="none" w:sz="0" w:space="0" w:color="auto"/>
        <w:bottom w:val="none" w:sz="0" w:space="0" w:color="auto"/>
        <w:right w:val="none" w:sz="0" w:space="0" w:color="auto"/>
      </w:divBdr>
    </w:div>
    <w:div w:id="1811484833">
      <w:bodyDiv w:val="1"/>
      <w:marLeft w:val="0"/>
      <w:marRight w:val="0"/>
      <w:marTop w:val="0"/>
      <w:marBottom w:val="0"/>
      <w:divBdr>
        <w:top w:val="none" w:sz="0" w:space="0" w:color="auto"/>
        <w:left w:val="none" w:sz="0" w:space="0" w:color="auto"/>
        <w:bottom w:val="none" w:sz="0" w:space="0" w:color="auto"/>
        <w:right w:val="none" w:sz="0" w:space="0" w:color="auto"/>
      </w:divBdr>
      <w:divsChild>
        <w:div w:id="1597860777">
          <w:marLeft w:val="0"/>
          <w:marRight w:val="0"/>
          <w:marTop w:val="0"/>
          <w:marBottom w:val="0"/>
          <w:divBdr>
            <w:top w:val="none" w:sz="0" w:space="0" w:color="auto"/>
            <w:left w:val="none" w:sz="0" w:space="0" w:color="auto"/>
            <w:bottom w:val="none" w:sz="0" w:space="0" w:color="auto"/>
            <w:right w:val="none" w:sz="0" w:space="0" w:color="auto"/>
          </w:divBdr>
          <w:divsChild>
            <w:div w:id="642736067">
              <w:marLeft w:val="0"/>
              <w:marRight w:val="0"/>
              <w:marTop w:val="0"/>
              <w:marBottom w:val="0"/>
              <w:divBdr>
                <w:top w:val="none" w:sz="0" w:space="0" w:color="auto"/>
                <w:left w:val="none" w:sz="0" w:space="0" w:color="auto"/>
                <w:bottom w:val="none" w:sz="0" w:space="0" w:color="auto"/>
                <w:right w:val="none" w:sz="0" w:space="0" w:color="auto"/>
              </w:divBdr>
              <w:divsChild>
                <w:div w:id="528490252">
                  <w:marLeft w:val="0"/>
                  <w:marRight w:val="0"/>
                  <w:marTop w:val="0"/>
                  <w:marBottom w:val="0"/>
                  <w:divBdr>
                    <w:top w:val="none" w:sz="0" w:space="0" w:color="auto"/>
                    <w:left w:val="none" w:sz="0" w:space="0" w:color="auto"/>
                    <w:bottom w:val="none" w:sz="0" w:space="0" w:color="auto"/>
                    <w:right w:val="none" w:sz="0" w:space="0" w:color="auto"/>
                  </w:divBdr>
                  <w:divsChild>
                    <w:div w:id="14100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7033">
      <w:bodyDiv w:val="1"/>
      <w:marLeft w:val="0"/>
      <w:marRight w:val="0"/>
      <w:marTop w:val="0"/>
      <w:marBottom w:val="0"/>
      <w:divBdr>
        <w:top w:val="none" w:sz="0" w:space="0" w:color="auto"/>
        <w:left w:val="none" w:sz="0" w:space="0" w:color="auto"/>
        <w:bottom w:val="none" w:sz="0" w:space="0" w:color="auto"/>
        <w:right w:val="none" w:sz="0" w:space="0" w:color="auto"/>
      </w:divBdr>
    </w:div>
    <w:div w:id="1894078198">
      <w:bodyDiv w:val="1"/>
      <w:marLeft w:val="0"/>
      <w:marRight w:val="0"/>
      <w:marTop w:val="0"/>
      <w:marBottom w:val="0"/>
      <w:divBdr>
        <w:top w:val="none" w:sz="0" w:space="0" w:color="auto"/>
        <w:left w:val="none" w:sz="0" w:space="0" w:color="auto"/>
        <w:bottom w:val="none" w:sz="0" w:space="0" w:color="auto"/>
        <w:right w:val="none" w:sz="0" w:space="0" w:color="auto"/>
      </w:divBdr>
      <w:divsChild>
        <w:div w:id="1645812904">
          <w:marLeft w:val="0"/>
          <w:marRight w:val="0"/>
          <w:marTop w:val="0"/>
          <w:marBottom w:val="0"/>
          <w:divBdr>
            <w:top w:val="none" w:sz="0" w:space="0" w:color="auto"/>
            <w:left w:val="none" w:sz="0" w:space="0" w:color="auto"/>
            <w:bottom w:val="none" w:sz="0" w:space="0" w:color="auto"/>
            <w:right w:val="none" w:sz="0" w:space="0" w:color="auto"/>
          </w:divBdr>
          <w:divsChild>
            <w:div w:id="559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9846">
      <w:bodyDiv w:val="1"/>
      <w:marLeft w:val="0"/>
      <w:marRight w:val="0"/>
      <w:marTop w:val="0"/>
      <w:marBottom w:val="0"/>
      <w:divBdr>
        <w:top w:val="none" w:sz="0" w:space="0" w:color="auto"/>
        <w:left w:val="none" w:sz="0" w:space="0" w:color="auto"/>
        <w:bottom w:val="none" w:sz="0" w:space="0" w:color="auto"/>
        <w:right w:val="none" w:sz="0" w:space="0" w:color="auto"/>
      </w:divBdr>
      <w:divsChild>
        <w:div w:id="1031301994">
          <w:marLeft w:val="0"/>
          <w:marRight w:val="0"/>
          <w:marTop w:val="0"/>
          <w:marBottom w:val="0"/>
          <w:divBdr>
            <w:top w:val="none" w:sz="0" w:space="0" w:color="auto"/>
            <w:left w:val="none" w:sz="0" w:space="0" w:color="auto"/>
            <w:bottom w:val="none" w:sz="0" w:space="0" w:color="auto"/>
            <w:right w:val="none" w:sz="0" w:space="0" w:color="auto"/>
          </w:divBdr>
          <w:divsChild>
            <w:div w:id="8060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611">
      <w:bodyDiv w:val="1"/>
      <w:marLeft w:val="0"/>
      <w:marRight w:val="0"/>
      <w:marTop w:val="0"/>
      <w:marBottom w:val="0"/>
      <w:divBdr>
        <w:top w:val="none" w:sz="0" w:space="0" w:color="auto"/>
        <w:left w:val="none" w:sz="0" w:space="0" w:color="auto"/>
        <w:bottom w:val="none" w:sz="0" w:space="0" w:color="auto"/>
        <w:right w:val="none" w:sz="0" w:space="0" w:color="auto"/>
      </w:divBdr>
      <w:divsChild>
        <w:div w:id="997806696">
          <w:marLeft w:val="0"/>
          <w:marRight w:val="0"/>
          <w:marTop w:val="0"/>
          <w:marBottom w:val="0"/>
          <w:divBdr>
            <w:top w:val="none" w:sz="0" w:space="0" w:color="auto"/>
            <w:left w:val="none" w:sz="0" w:space="0" w:color="auto"/>
            <w:bottom w:val="none" w:sz="0" w:space="0" w:color="auto"/>
            <w:right w:val="none" w:sz="0" w:space="0" w:color="auto"/>
          </w:divBdr>
          <w:divsChild>
            <w:div w:id="496770682">
              <w:marLeft w:val="-6150"/>
              <w:marRight w:val="0"/>
              <w:marTop w:val="0"/>
              <w:marBottom w:val="0"/>
              <w:divBdr>
                <w:top w:val="none" w:sz="0" w:space="0" w:color="auto"/>
                <w:left w:val="none" w:sz="0" w:space="0" w:color="auto"/>
                <w:bottom w:val="none" w:sz="0" w:space="0" w:color="auto"/>
                <w:right w:val="none" w:sz="0" w:space="0" w:color="auto"/>
              </w:divBdr>
              <w:divsChild>
                <w:div w:id="904610508">
                  <w:marLeft w:val="0"/>
                  <w:marRight w:val="0"/>
                  <w:marTop w:val="0"/>
                  <w:marBottom w:val="0"/>
                  <w:divBdr>
                    <w:top w:val="none" w:sz="0" w:space="0" w:color="auto"/>
                    <w:left w:val="none" w:sz="0" w:space="0" w:color="auto"/>
                    <w:bottom w:val="single" w:sz="12" w:space="0" w:color="9C9B9B"/>
                    <w:right w:val="single" w:sz="12" w:space="0" w:color="A1A09F"/>
                  </w:divBdr>
                  <w:divsChild>
                    <w:div w:id="1252005377">
                      <w:marLeft w:val="0"/>
                      <w:marRight w:val="0"/>
                      <w:marTop w:val="0"/>
                      <w:marBottom w:val="0"/>
                      <w:divBdr>
                        <w:top w:val="none" w:sz="0" w:space="0" w:color="auto"/>
                        <w:left w:val="none" w:sz="0" w:space="0" w:color="auto"/>
                        <w:bottom w:val="none" w:sz="0" w:space="0" w:color="auto"/>
                        <w:right w:val="none" w:sz="0" w:space="0" w:color="auto"/>
                      </w:divBdr>
                      <w:divsChild>
                        <w:div w:id="846015439">
                          <w:marLeft w:val="0"/>
                          <w:marRight w:val="0"/>
                          <w:marTop w:val="0"/>
                          <w:marBottom w:val="0"/>
                          <w:divBdr>
                            <w:top w:val="none" w:sz="0" w:space="0" w:color="auto"/>
                            <w:left w:val="none" w:sz="0" w:space="0" w:color="auto"/>
                            <w:bottom w:val="none" w:sz="0" w:space="0" w:color="auto"/>
                            <w:right w:val="none" w:sz="0" w:space="0" w:color="auto"/>
                          </w:divBdr>
                          <w:divsChild>
                            <w:div w:id="14725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0989">
      <w:bodyDiv w:val="1"/>
      <w:marLeft w:val="0"/>
      <w:marRight w:val="0"/>
      <w:marTop w:val="0"/>
      <w:marBottom w:val="0"/>
      <w:divBdr>
        <w:top w:val="none" w:sz="0" w:space="0" w:color="auto"/>
        <w:left w:val="none" w:sz="0" w:space="0" w:color="auto"/>
        <w:bottom w:val="none" w:sz="0" w:space="0" w:color="auto"/>
        <w:right w:val="none" w:sz="0" w:space="0" w:color="auto"/>
      </w:divBdr>
    </w:div>
    <w:div w:id="2075425782">
      <w:bodyDiv w:val="1"/>
      <w:marLeft w:val="0"/>
      <w:marRight w:val="0"/>
      <w:marTop w:val="0"/>
      <w:marBottom w:val="0"/>
      <w:divBdr>
        <w:top w:val="none" w:sz="0" w:space="0" w:color="auto"/>
        <w:left w:val="none" w:sz="0" w:space="0" w:color="auto"/>
        <w:bottom w:val="none" w:sz="0" w:space="0" w:color="auto"/>
        <w:right w:val="none" w:sz="0" w:space="0" w:color="auto"/>
      </w:divBdr>
      <w:divsChild>
        <w:div w:id="173956372">
          <w:marLeft w:val="0"/>
          <w:marRight w:val="0"/>
          <w:marTop w:val="0"/>
          <w:marBottom w:val="0"/>
          <w:divBdr>
            <w:top w:val="none" w:sz="0" w:space="0" w:color="auto"/>
            <w:left w:val="none" w:sz="0" w:space="0" w:color="auto"/>
            <w:bottom w:val="none" w:sz="0" w:space="0" w:color="auto"/>
            <w:right w:val="none" w:sz="0" w:space="0" w:color="auto"/>
          </w:divBdr>
          <w:divsChild>
            <w:div w:id="1497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3975">
      <w:bodyDiv w:val="1"/>
      <w:marLeft w:val="0"/>
      <w:marRight w:val="0"/>
      <w:marTop w:val="0"/>
      <w:marBottom w:val="0"/>
      <w:divBdr>
        <w:top w:val="none" w:sz="0" w:space="0" w:color="auto"/>
        <w:left w:val="none" w:sz="0" w:space="0" w:color="auto"/>
        <w:bottom w:val="none" w:sz="0" w:space="0" w:color="auto"/>
        <w:right w:val="none" w:sz="0" w:space="0" w:color="auto"/>
      </w:divBdr>
    </w:div>
    <w:div w:id="2105178035">
      <w:bodyDiv w:val="1"/>
      <w:marLeft w:val="0"/>
      <w:marRight w:val="0"/>
      <w:marTop w:val="0"/>
      <w:marBottom w:val="0"/>
      <w:divBdr>
        <w:top w:val="none" w:sz="0" w:space="0" w:color="auto"/>
        <w:left w:val="none" w:sz="0" w:space="0" w:color="auto"/>
        <w:bottom w:val="none" w:sz="0" w:space="0" w:color="auto"/>
        <w:right w:val="none" w:sz="0" w:space="0" w:color="auto"/>
      </w:divBdr>
    </w:div>
    <w:div w:id="2109735973">
      <w:bodyDiv w:val="1"/>
      <w:marLeft w:val="0"/>
      <w:marRight w:val="0"/>
      <w:marTop w:val="0"/>
      <w:marBottom w:val="0"/>
      <w:divBdr>
        <w:top w:val="none" w:sz="0" w:space="0" w:color="auto"/>
        <w:left w:val="none" w:sz="0" w:space="0" w:color="auto"/>
        <w:bottom w:val="none" w:sz="0" w:space="0" w:color="auto"/>
        <w:right w:val="none" w:sz="0" w:space="0" w:color="auto"/>
      </w:divBdr>
    </w:div>
    <w:div w:id="21133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footer" Target="foot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ola-25\data\Trh%20prace\Mik&#353;an&#237;k\Statistiky\PNO_p&#345;epo&#269;et_od_roku_2005.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la-25\data\Trh%20prace\Mik&#353;an&#237;k\Zpr&#225;va_kraj_2014\Mezikrajske_srovnani_V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ola-25\data\Trh%20prace\Mik&#353;an&#237;k\Zpr&#225;va_kraj_2014\Grafy%20do%20krajsk&#233;_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79329861385691"/>
          <c:y val="2.7357034916090033E-2"/>
          <c:w val="0.86591232767353143"/>
          <c:h val="0.82665735748548663"/>
        </c:manualLayout>
      </c:layout>
      <c:lineChart>
        <c:grouping val="standard"/>
        <c:varyColors val="0"/>
        <c:ser>
          <c:idx val="0"/>
          <c:order val="0"/>
          <c:tx>
            <c:strRef>
              <c:f>'Podíl 15-64'!$A$16</c:f>
              <c:strCache>
                <c:ptCount val="1"/>
                <c:pt idx="0">
                  <c:v>Olomoucký kraj</c:v>
                </c:pt>
              </c:strCache>
            </c:strRef>
          </c:tx>
          <c:spPr>
            <a:ln w="38100">
              <a:solidFill>
                <a:srgbClr val="1A1AE4"/>
              </a:solidFill>
            </a:ln>
          </c:spPr>
          <c:marker>
            <c:symbol val="none"/>
          </c:marker>
          <c:cat>
            <c:numRef>
              <c:f>'Podíl 15-64'!$Z$8:$DQ$8</c:f>
              <c:numCache>
                <c:formatCode>mmm\-yy</c:formatCode>
                <c:ptCount val="96"/>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numCache>
            </c:numRef>
          </c:cat>
          <c:val>
            <c:numRef>
              <c:f>'Podíl 15-64'!$Z$16:$DQ$16</c:f>
              <c:numCache>
                <c:formatCode>0.0</c:formatCode>
                <c:ptCount val="96"/>
                <c:pt idx="0">
                  <c:v>6.7517351747432137</c:v>
                </c:pt>
                <c:pt idx="1">
                  <c:v>6.525640935414029</c:v>
                </c:pt>
                <c:pt idx="2">
                  <c:v>6.0473552301807159</c:v>
                </c:pt>
                <c:pt idx="3">
                  <c:v>5.495621657997277</c:v>
                </c:pt>
                <c:pt idx="4">
                  <c:v>5.1233664472032334</c:v>
                </c:pt>
                <c:pt idx="5">
                  <c:v>4.9377806680668952</c:v>
                </c:pt>
                <c:pt idx="6">
                  <c:v>5.0385007259234813</c:v>
                </c:pt>
                <c:pt idx="7">
                  <c:v>4.9407342486013848</c:v>
                </c:pt>
                <c:pt idx="8">
                  <c:v>4.8227909816444052</c:v>
                </c:pt>
                <c:pt idx="9">
                  <c:v>4.5032293576501887</c:v>
                </c:pt>
                <c:pt idx="10">
                  <c:v>4.408831496092005</c:v>
                </c:pt>
                <c:pt idx="11">
                  <c:v>4.8135405787307244</c:v>
                </c:pt>
                <c:pt idx="12">
                  <c:v>5.0854626505408511</c:v>
                </c:pt>
                <c:pt idx="13">
                  <c:v>4.9456754713009206</c:v>
                </c:pt>
                <c:pt idx="14">
                  <c:v>4.5940548817325251</c:v>
                </c:pt>
                <c:pt idx="15">
                  <c:v>4.2536360629993082</c:v>
                </c:pt>
                <c:pt idx="16">
                  <c:v>4.0228104549397115</c:v>
                </c:pt>
                <c:pt idx="17">
                  <c:v>3.9738127585858192</c:v>
                </c:pt>
                <c:pt idx="18">
                  <c:v>4.187084059727642</c:v>
                </c:pt>
                <c:pt idx="19">
                  <c:v>4.2062803504238726</c:v>
                </c:pt>
                <c:pt idx="20">
                  <c:v>4.1850229958409448</c:v>
                </c:pt>
                <c:pt idx="21">
                  <c:v>4.0977027227622189</c:v>
                </c:pt>
                <c:pt idx="22">
                  <c:v>4.2575717006849656</c:v>
                </c:pt>
                <c:pt idx="23">
                  <c:v>4.889045438534696</c:v>
                </c:pt>
                <c:pt idx="24">
                  <c:v>5.8065273463511842</c:v>
                </c:pt>
                <c:pt idx="25">
                  <c:v>6.5403487171761681</c:v>
                </c:pt>
                <c:pt idx="26">
                  <c:v>6.9402446851448722</c:v>
                </c:pt>
                <c:pt idx="27">
                  <c:v>7.1411409982832588</c:v>
                </c:pt>
                <c:pt idx="28">
                  <c:v>7.1970736997696179</c:v>
                </c:pt>
                <c:pt idx="29">
                  <c:v>7.312801598957587</c:v>
                </c:pt>
                <c:pt idx="30">
                  <c:v>7.8030325284229614</c:v>
                </c:pt>
                <c:pt idx="31">
                  <c:v>7.9124839292313522</c:v>
                </c:pt>
                <c:pt idx="32">
                  <c:v>8.0661394680086254</c:v>
                </c:pt>
                <c:pt idx="33">
                  <c:v>8.0064479592130358</c:v>
                </c:pt>
                <c:pt idx="34">
                  <c:v>8.188458876495833</c:v>
                </c:pt>
                <c:pt idx="35">
                  <c:v>8.8604427674961368</c:v>
                </c:pt>
                <c:pt idx="36">
                  <c:v>9.5537437827610159</c:v>
                </c:pt>
                <c:pt idx="37">
                  <c:v>9.667567614479216</c:v>
                </c:pt>
                <c:pt idx="38">
                  <c:v>9.3060769852047116</c:v>
                </c:pt>
                <c:pt idx="39">
                  <c:v>8.4678738585375033</c:v>
                </c:pt>
                <c:pt idx="40">
                  <c:v>8.0214782288307447</c:v>
                </c:pt>
                <c:pt idx="41">
                  <c:v>7.7557623758855794</c:v>
                </c:pt>
                <c:pt idx="42">
                  <c:v>7.8702166428252003</c:v>
                </c:pt>
                <c:pt idx="43">
                  <c:v>7.7952229005444487</c:v>
                </c:pt>
                <c:pt idx="44">
                  <c:v>7.7625052318488237</c:v>
                </c:pt>
                <c:pt idx="45">
                  <c:v>7.6823830541500593</c:v>
                </c:pt>
                <c:pt idx="46">
                  <c:v>7.9463063082161502</c:v>
                </c:pt>
                <c:pt idx="47">
                  <c:v>9.0760955580274025</c:v>
                </c:pt>
                <c:pt idx="48">
                  <c:v>9.3957055470619117</c:v>
                </c:pt>
                <c:pt idx="49">
                  <c:v>9.2103127777828675</c:v>
                </c:pt>
                <c:pt idx="50">
                  <c:v>8.7631234039103347</c:v>
                </c:pt>
                <c:pt idx="51">
                  <c:v>8.1072920001990614</c:v>
                </c:pt>
                <c:pt idx="52">
                  <c:v>7.6758863401022071</c:v>
                </c:pt>
                <c:pt idx="53">
                  <c:v>7.4628516730856926</c:v>
                </c:pt>
                <c:pt idx="54">
                  <c:v>7.569474585110024</c:v>
                </c:pt>
                <c:pt idx="55">
                  <c:v>7.4279969147258029</c:v>
                </c:pt>
                <c:pt idx="56">
                  <c:v>7.3755034309142236</c:v>
                </c:pt>
                <c:pt idx="57">
                  <c:v>7.2871692496454061</c:v>
                </c:pt>
                <c:pt idx="58">
                  <c:v>7.4570043177874616</c:v>
                </c:pt>
                <c:pt idx="59">
                  <c:v>8.3326715780254901</c:v>
                </c:pt>
                <c:pt idx="60">
                  <c:v>8.831474178310204</c:v>
                </c:pt>
                <c:pt idx="61">
                  <c:v>8.9679232992624627</c:v>
                </c:pt>
                <c:pt idx="62">
                  <c:v>8.5666283022537755</c:v>
                </c:pt>
                <c:pt idx="63">
                  <c:v>8.0162257533564549</c:v>
                </c:pt>
                <c:pt idx="64">
                  <c:v>7.705124631666191</c:v>
                </c:pt>
                <c:pt idx="65">
                  <c:v>7.4844140528697967</c:v>
                </c:pt>
                <c:pt idx="66">
                  <c:v>7.5841032256554444</c:v>
                </c:pt>
                <c:pt idx="67">
                  <c:v>7.5792589928562348</c:v>
                </c:pt>
                <c:pt idx="68">
                  <c:v>7.6908447742571813</c:v>
                </c:pt>
                <c:pt idx="69">
                  <c:v>7.8076726202446034</c:v>
                </c:pt>
                <c:pt idx="70">
                  <c:v>8.1237566028675303</c:v>
                </c:pt>
                <c:pt idx="71">
                  <c:v>8.9347055460263007</c:v>
                </c:pt>
                <c:pt idx="72">
                  <c:v>9.8000000000000007</c:v>
                </c:pt>
                <c:pt idx="73">
                  <c:v>10</c:v>
                </c:pt>
                <c:pt idx="74">
                  <c:v>9.7974644509954167</c:v>
                </c:pt>
                <c:pt idx="75">
                  <c:v>9.1999999999999993</c:v>
                </c:pt>
                <c:pt idx="76">
                  <c:v>8.791193575186929</c:v>
                </c:pt>
                <c:pt idx="77">
                  <c:v>8.531106722562912</c:v>
                </c:pt>
                <c:pt idx="78">
                  <c:v>8.6793578278601338</c:v>
                </c:pt>
                <c:pt idx="79">
                  <c:v>8.6999999999999993</c:v>
                </c:pt>
                <c:pt idx="80">
                  <c:v>8.801130309908741</c:v>
                </c:pt>
                <c:pt idx="81">
                  <c:v>8.806523110022999</c:v>
                </c:pt>
                <c:pt idx="82">
                  <c:v>9</c:v>
                </c:pt>
                <c:pt idx="83">
                  <c:v>9.7858708716038887</c:v>
                </c:pt>
                <c:pt idx="84">
                  <c:v>10.5</c:v>
                </c:pt>
                <c:pt idx="85">
                  <c:v>10.5</c:v>
                </c:pt>
                <c:pt idx="86">
                  <c:v>10.1</c:v>
                </c:pt>
                <c:pt idx="87">
                  <c:v>9.3000000000000007</c:v>
                </c:pt>
                <c:pt idx="88">
                  <c:v>8.8000000000000007</c:v>
                </c:pt>
                <c:pt idx="89">
                  <c:v>8.5</c:v>
                </c:pt>
                <c:pt idx="90">
                  <c:v>8.5759681016105969</c:v>
                </c:pt>
                <c:pt idx="91">
                  <c:v>8.4687163788678212</c:v>
                </c:pt>
                <c:pt idx="92">
                  <c:v>8.3000000000000007</c:v>
                </c:pt>
                <c:pt idx="93">
                  <c:v>8.1999999999999993</c:v>
                </c:pt>
                <c:pt idx="94">
                  <c:v>8.1999999999999993</c:v>
                </c:pt>
                <c:pt idx="95">
                  <c:v>8.8182168828847463</c:v>
                </c:pt>
              </c:numCache>
            </c:numRef>
          </c:val>
          <c:smooth val="0"/>
        </c:ser>
        <c:ser>
          <c:idx val="1"/>
          <c:order val="1"/>
          <c:tx>
            <c:strRef>
              <c:f>'Podíl 15-64'!$A$17</c:f>
              <c:strCache>
                <c:ptCount val="1"/>
                <c:pt idx="0">
                  <c:v>Česká republika</c:v>
                </c:pt>
              </c:strCache>
            </c:strRef>
          </c:tx>
          <c:spPr>
            <a:ln w="38100">
              <a:solidFill>
                <a:srgbClr val="FF0000"/>
              </a:solidFill>
            </a:ln>
          </c:spPr>
          <c:marker>
            <c:symbol val="none"/>
          </c:marker>
          <c:cat>
            <c:numRef>
              <c:f>'Podíl 15-64'!$Z$8:$DQ$8</c:f>
              <c:numCache>
                <c:formatCode>mmm\-yy</c:formatCode>
                <c:ptCount val="96"/>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numCache>
            </c:numRef>
          </c:cat>
          <c:val>
            <c:numRef>
              <c:f>'Podíl 15-64'!$Z$17:$DQ$17</c:f>
              <c:numCache>
                <c:formatCode>0.0</c:formatCode>
                <c:ptCount val="96"/>
                <c:pt idx="0">
                  <c:v>5.9336617075396436</c:v>
                </c:pt>
                <c:pt idx="1">
                  <c:v>5.765407350943816</c:v>
                </c:pt>
                <c:pt idx="2">
                  <c:v>5.4431216111129812</c:v>
                </c:pt>
                <c:pt idx="3">
                  <c:v>5.0727327384094929</c:v>
                </c:pt>
                <c:pt idx="4">
                  <c:v>4.8090036404623078</c:v>
                </c:pt>
                <c:pt idx="5">
                  <c:v>4.7123884151439901</c:v>
                </c:pt>
                <c:pt idx="6">
                  <c:v>4.8178707527577895</c:v>
                </c:pt>
                <c:pt idx="7">
                  <c:v>4.7654156716554423</c:v>
                </c:pt>
                <c:pt idx="8">
                  <c:v>4.6148217761237031</c:v>
                </c:pt>
                <c:pt idx="9">
                  <c:v>4.3443806976430306</c:v>
                </c:pt>
                <c:pt idx="10">
                  <c:v>4.2318756188875035</c:v>
                </c:pt>
                <c:pt idx="11">
                  <c:v>4.4855265726678928</c:v>
                </c:pt>
                <c:pt idx="12">
                  <c:v>4.6036794328432489</c:v>
                </c:pt>
                <c:pt idx="13">
                  <c:v>4.4690103235987122</c:v>
                </c:pt>
                <c:pt idx="14">
                  <c:v>4.2151090494263679</c:v>
                </c:pt>
                <c:pt idx="15">
                  <c:v>3.9488136358418657</c:v>
                </c:pt>
                <c:pt idx="16">
                  <c:v>3.7945004138144132</c:v>
                </c:pt>
                <c:pt idx="17">
                  <c:v>3.7710198595556155</c:v>
                </c:pt>
                <c:pt idx="18">
                  <c:v>3.9740371021602008</c:v>
                </c:pt>
                <c:pt idx="19">
                  <c:v>4.0141271128596845</c:v>
                </c:pt>
                <c:pt idx="20">
                  <c:v>4.0059747774454717</c:v>
                </c:pt>
                <c:pt idx="21">
                  <c:v>3.9377375040707681</c:v>
                </c:pt>
                <c:pt idx="22">
                  <c:v>4.0418608791139397</c:v>
                </c:pt>
                <c:pt idx="23">
                  <c:v>4.5060253252994764</c:v>
                </c:pt>
                <c:pt idx="24">
                  <c:v>5.1665505208557709</c:v>
                </c:pt>
                <c:pt idx="25">
                  <c:v>5.6086343533294505</c:v>
                </c:pt>
                <c:pt idx="26">
                  <c:v>5.8841467890847436</c:v>
                </c:pt>
                <c:pt idx="27">
                  <c:v>5.9930083031923589</c:v>
                </c:pt>
                <c:pt idx="28">
                  <c:v>6.0142306066079465</c:v>
                </c:pt>
                <c:pt idx="29">
                  <c:v>6.0996454977841248</c:v>
                </c:pt>
                <c:pt idx="30">
                  <c:v>6.409151367792659</c:v>
                </c:pt>
                <c:pt idx="31">
                  <c:v>6.5153711357756494</c:v>
                </c:pt>
                <c:pt idx="32">
                  <c:v>6.5765701252178479</c:v>
                </c:pt>
                <c:pt idx="33">
                  <c:v>6.5303270488133673</c:v>
                </c:pt>
                <c:pt idx="34">
                  <c:v>6.6429722542643761</c:v>
                </c:pt>
                <c:pt idx="35">
                  <c:v>7.1160683935922826</c:v>
                </c:pt>
                <c:pt idx="36">
                  <c:v>7.5899567231510536</c:v>
                </c:pt>
                <c:pt idx="37">
                  <c:v>7.6746054219481925</c:v>
                </c:pt>
                <c:pt idx="38">
                  <c:v>7.5127560394618529</c:v>
                </c:pt>
                <c:pt idx="39">
                  <c:v>7.0730386732865052</c:v>
                </c:pt>
                <c:pt idx="40">
                  <c:v>6.747430473696717</c:v>
                </c:pt>
                <c:pt idx="41">
                  <c:v>6.5932492093513275</c:v>
                </c:pt>
                <c:pt idx="42">
                  <c:v>6.6989461058920412</c:v>
                </c:pt>
                <c:pt idx="43">
                  <c:v>6.644085321211092</c:v>
                </c:pt>
                <c:pt idx="44">
                  <c:v>6.5963682031100088</c:v>
                </c:pt>
                <c:pt idx="45">
                  <c:v>6.5369714114320754</c:v>
                </c:pt>
                <c:pt idx="46">
                  <c:v>6.6391175392427506</c:v>
                </c:pt>
                <c:pt idx="47">
                  <c:v>7.4030310069303944</c:v>
                </c:pt>
                <c:pt idx="48">
                  <c:v>7.5810087074744263</c:v>
                </c:pt>
                <c:pt idx="49">
                  <c:v>7.4734524559453908</c:v>
                </c:pt>
                <c:pt idx="50">
                  <c:v>7.1863839643038236</c:v>
                </c:pt>
                <c:pt idx="51">
                  <c:v>6.736343695698527</c:v>
                </c:pt>
                <c:pt idx="52">
                  <c:v>6.4060093263916986</c:v>
                </c:pt>
                <c:pt idx="53">
                  <c:v>6.3072957221250805</c:v>
                </c:pt>
                <c:pt idx="54">
                  <c:v>6.443742771890375</c:v>
                </c:pt>
                <c:pt idx="55">
                  <c:v>6.3942288873314155</c:v>
                </c:pt>
                <c:pt idx="56">
                  <c:v>6.2920638899723391</c:v>
                </c:pt>
                <c:pt idx="57">
                  <c:v>6.2125811221236749</c:v>
                </c:pt>
                <c:pt idx="58">
                  <c:v>6.284419523120448</c:v>
                </c:pt>
                <c:pt idx="59">
                  <c:v>6.7694025198106269</c:v>
                </c:pt>
                <c:pt idx="60">
                  <c:v>7.1323599894546286</c:v>
                </c:pt>
                <c:pt idx="61">
                  <c:v>7.2390182657379079</c:v>
                </c:pt>
                <c:pt idx="62">
                  <c:v>7.0097531403253779</c:v>
                </c:pt>
                <c:pt idx="63">
                  <c:v>6.6369620390368862</c:v>
                </c:pt>
                <c:pt idx="64">
                  <c:v>6.4426869029829694</c:v>
                </c:pt>
                <c:pt idx="65">
                  <c:v>6.3510565595616377</c:v>
                </c:pt>
                <c:pt idx="66">
                  <c:v>6.5155684612848583</c:v>
                </c:pt>
                <c:pt idx="67">
                  <c:v>6.5352496274617646</c:v>
                </c:pt>
                <c:pt idx="68">
                  <c:v>6.6292178615213446</c:v>
                </c:pt>
                <c:pt idx="69">
                  <c:v>6.677011396033528</c:v>
                </c:pt>
                <c:pt idx="70">
                  <c:v>6.8</c:v>
                </c:pt>
                <c:pt idx="71">
                  <c:v>7.4</c:v>
                </c:pt>
                <c:pt idx="72">
                  <c:v>8</c:v>
                </c:pt>
                <c:pt idx="73">
                  <c:v>8.1</c:v>
                </c:pt>
                <c:pt idx="74">
                  <c:v>8</c:v>
                </c:pt>
                <c:pt idx="75">
                  <c:v>7.7</c:v>
                </c:pt>
                <c:pt idx="76">
                  <c:v>7.5</c:v>
                </c:pt>
                <c:pt idx="77">
                  <c:v>7.3</c:v>
                </c:pt>
                <c:pt idx="78">
                  <c:v>7.5</c:v>
                </c:pt>
                <c:pt idx="79">
                  <c:v>7.5</c:v>
                </c:pt>
                <c:pt idx="80">
                  <c:v>7.6</c:v>
                </c:pt>
                <c:pt idx="81">
                  <c:v>7.6</c:v>
                </c:pt>
                <c:pt idx="82">
                  <c:v>7.7</c:v>
                </c:pt>
                <c:pt idx="83">
                  <c:v>8.1999999999999993</c:v>
                </c:pt>
                <c:pt idx="84">
                  <c:v>8.6</c:v>
                </c:pt>
                <c:pt idx="85">
                  <c:v>8.6</c:v>
                </c:pt>
                <c:pt idx="86">
                  <c:v>8.3000000000000007</c:v>
                </c:pt>
                <c:pt idx="87">
                  <c:v>7.9</c:v>
                </c:pt>
                <c:pt idx="88">
                  <c:v>7.5</c:v>
                </c:pt>
                <c:pt idx="89">
                  <c:v>7.4</c:v>
                </c:pt>
                <c:pt idx="90">
                  <c:v>7.4</c:v>
                </c:pt>
                <c:pt idx="91">
                  <c:v>7.4</c:v>
                </c:pt>
                <c:pt idx="92">
                  <c:v>7.3</c:v>
                </c:pt>
                <c:pt idx="93">
                  <c:v>7.1</c:v>
                </c:pt>
                <c:pt idx="94">
                  <c:v>7.1</c:v>
                </c:pt>
                <c:pt idx="95">
                  <c:v>7.5</c:v>
                </c:pt>
              </c:numCache>
            </c:numRef>
          </c:val>
          <c:smooth val="0"/>
        </c:ser>
        <c:dLbls>
          <c:showLegendKey val="0"/>
          <c:showVal val="0"/>
          <c:showCatName val="0"/>
          <c:showSerName val="0"/>
          <c:showPercent val="0"/>
          <c:showBubbleSize val="0"/>
        </c:dLbls>
        <c:marker val="1"/>
        <c:smooth val="0"/>
        <c:axId val="207940224"/>
        <c:axId val="209027456"/>
      </c:lineChart>
      <c:dateAx>
        <c:axId val="207940224"/>
        <c:scaling>
          <c:orientation val="minMax"/>
        </c:scaling>
        <c:delete val="0"/>
        <c:axPos val="b"/>
        <c:numFmt formatCode="mmm\-yy" sourceLinked="0"/>
        <c:majorTickMark val="out"/>
        <c:minorTickMark val="none"/>
        <c:tickLblPos val="nextTo"/>
        <c:spPr>
          <a:ln w="12700">
            <a:solidFill>
              <a:schemeClr val="tx1"/>
            </a:solidFill>
          </a:ln>
        </c:spPr>
        <c:txPr>
          <a:bodyPr rot="-2700000" vert="horz"/>
          <a:lstStyle/>
          <a:p>
            <a:pPr>
              <a:defRPr sz="1100" b="1" i="0" u="none" strike="noStrike" baseline="0">
                <a:solidFill>
                  <a:srgbClr val="000000"/>
                </a:solidFill>
                <a:latin typeface="Calibri"/>
                <a:ea typeface="Calibri"/>
                <a:cs typeface="Calibri"/>
              </a:defRPr>
            </a:pPr>
            <a:endParaRPr lang="cs-CZ"/>
          </a:p>
        </c:txPr>
        <c:crossAx val="209027456"/>
        <c:crosses val="autoZero"/>
        <c:auto val="1"/>
        <c:lblOffset val="100"/>
        <c:baseTimeUnit val="months"/>
        <c:majorUnit val="3"/>
        <c:majorTimeUnit val="months"/>
      </c:dateAx>
      <c:valAx>
        <c:axId val="209027456"/>
        <c:scaling>
          <c:orientation val="minMax"/>
          <c:max val="11"/>
          <c:min val="3"/>
        </c:scaling>
        <c:delete val="0"/>
        <c:axPos val="l"/>
        <c:majorGridlines>
          <c:spPr>
            <a:ln>
              <a:solidFill>
                <a:schemeClr val="tx1"/>
              </a:solidFill>
            </a:ln>
          </c:spPr>
        </c:majorGridlines>
        <c:minorGridlines>
          <c:spPr>
            <a:ln>
              <a:prstDash val="sysDash"/>
            </a:ln>
          </c:spPr>
        </c:minorGridlines>
        <c:title>
          <c:tx>
            <c:rich>
              <a:bodyPr/>
              <a:lstStyle/>
              <a:p>
                <a:pPr>
                  <a:defRPr sz="1200" b="1" i="0" u="none" strike="noStrike" baseline="0">
                    <a:solidFill>
                      <a:srgbClr val="000000"/>
                    </a:solidFill>
                    <a:latin typeface="Calibri"/>
                    <a:ea typeface="Calibri"/>
                    <a:cs typeface="Calibri"/>
                  </a:defRPr>
                </a:pPr>
                <a:r>
                  <a:rPr lang="cs-CZ"/>
                  <a:t>Podíl nezaměstnaných osob v %</a:t>
                </a:r>
              </a:p>
            </c:rich>
          </c:tx>
          <c:layout>
            <c:manualLayout>
              <c:xMode val="edge"/>
              <c:yMode val="edge"/>
              <c:x val="1.793079436499009E-3"/>
              <c:y val="0.20137283575538026"/>
            </c:manualLayout>
          </c:layout>
          <c:overlay val="0"/>
        </c:title>
        <c:numFmt formatCode="0.0" sourceLinked="1"/>
        <c:majorTickMark val="out"/>
        <c:minorTickMark val="in"/>
        <c:tickLblPos val="nextTo"/>
        <c:spPr>
          <a:ln w="12700">
            <a:solidFill>
              <a:schemeClr val="tx1"/>
            </a:solidFill>
          </a:ln>
        </c:spPr>
        <c:txPr>
          <a:bodyPr rot="0" vert="horz"/>
          <a:lstStyle/>
          <a:p>
            <a:pPr>
              <a:defRPr sz="1100" b="1" i="0" u="none" strike="noStrike" baseline="0">
                <a:solidFill>
                  <a:srgbClr val="000000"/>
                </a:solidFill>
                <a:latin typeface="Calibri"/>
                <a:ea typeface="Calibri"/>
                <a:cs typeface="Calibri"/>
              </a:defRPr>
            </a:pPr>
            <a:endParaRPr lang="cs-CZ"/>
          </a:p>
        </c:txPr>
        <c:crossAx val="207940224"/>
        <c:crosses val="autoZero"/>
        <c:crossBetween val="midCat"/>
        <c:majorUnit val="1"/>
        <c:minorUnit val="0.5"/>
      </c:valAx>
      <c:spPr>
        <a:ln w="12700" cmpd="sng">
          <a:solidFill>
            <a:schemeClr val="tx1"/>
          </a:solidFill>
        </a:ln>
      </c:spPr>
    </c:plotArea>
    <c:legend>
      <c:legendPos val="r"/>
      <c:layout>
        <c:manualLayout>
          <c:xMode val="edge"/>
          <c:yMode val="edge"/>
          <c:x val="0.13236299551508718"/>
          <c:y val="0.15191368320339269"/>
          <c:w val="0.25636168506196411"/>
          <c:h val="0.13676428377487296"/>
        </c:manualLayout>
      </c:layout>
      <c:overlay val="0"/>
      <c:spPr>
        <a:solidFill>
          <a:schemeClr val="bg1"/>
        </a:solidFill>
        <a:ln>
          <a:solidFill>
            <a:schemeClr val="tx1"/>
          </a:solidFill>
        </a:ln>
      </c:spPr>
      <c:txPr>
        <a:bodyPr/>
        <a:lstStyle/>
        <a:p>
          <a:pPr>
            <a:defRPr sz="1200" b="1" i="0" u="none" strike="noStrike" baseline="0">
              <a:solidFill>
                <a:srgbClr val="000000"/>
              </a:solidFill>
              <a:latin typeface="Calibri"/>
              <a:ea typeface="Calibri"/>
              <a:cs typeface="Calibri"/>
            </a:defRPr>
          </a:pPr>
          <a:endParaRPr lang="cs-CZ"/>
        </a:p>
      </c:txPr>
    </c:legend>
    <c:plotVisOnly val="1"/>
    <c:dispBlanksAs val="gap"/>
    <c:showDLblsOverMax val="0"/>
  </c:chart>
  <c:spPr>
    <a:ln>
      <a:noFill/>
    </a:ln>
  </c:spPr>
  <c:txPr>
    <a:bodyPr/>
    <a:lstStyle/>
    <a:p>
      <a:pPr>
        <a:defRPr sz="1100" b="1" i="0" u="none" strike="noStrike" baseline="0">
          <a:solidFill>
            <a:srgbClr val="000000"/>
          </a:solidFill>
          <a:latin typeface="Arial"/>
          <a:ea typeface="Arial"/>
          <a:cs typeface="Arial"/>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20961458765025"/>
          <c:y val="3.6697161409737084E-2"/>
          <c:w val="0.83557994198093655"/>
          <c:h val="0.81755677939101545"/>
        </c:manualLayout>
      </c:layout>
      <c:lineChart>
        <c:grouping val="standard"/>
        <c:varyColors val="0"/>
        <c:ser>
          <c:idx val="2"/>
          <c:order val="0"/>
          <c:tx>
            <c:strRef>
              <c:f>PNO!$U$43</c:f>
              <c:strCache>
                <c:ptCount val="1"/>
                <c:pt idx="0">
                  <c:v>2010</c:v>
                </c:pt>
              </c:strCache>
            </c:strRef>
          </c:tx>
          <c:spPr>
            <a:ln>
              <a:solidFill>
                <a:srgbClr val="663300"/>
              </a:solidFill>
            </a:ln>
          </c:spPr>
          <c:marker>
            <c:symbol val="x"/>
            <c:size val="5"/>
            <c:spPr>
              <a:noFill/>
              <a:ln>
                <a:solidFill>
                  <a:srgbClr val="663300"/>
                </a:solidFill>
              </a:ln>
            </c:spPr>
          </c:marker>
          <c:val>
            <c:numRef>
              <c:f>PNO!$U$44:$U$55</c:f>
              <c:numCache>
                <c:formatCode>0.0</c:formatCode>
                <c:ptCount val="12"/>
                <c:pt idx="0">
                  <c:v>9.9084215498436663</c:v>
                </c:pt>
                <c:pt idx="1">
                  <c:v>10.012842123188683</c:v>
                </c:pt>
                <c:pt idx="2">
                  <c:v>9.7177282016348769</c:v>
                </c:pt>
                <c:pt idx="3">
                  <c:v>8.938618332735599</c:v>
                </c:pt>
                <c:pt idx="4">
                  <c:v>8.5717086514694678</c:v>
                </c:pt>
                <c:pt idx="5">
                  <c:v>8.292427864094245</c:v>
                </c:pt>
                <c:pt idx="6">
                  <c:v>8.5998158141946064</c:v>
                </c:pt>
                <c:pt idx="7">
                  <c:v>8.5903150112867923</c:v>
                </c:pt>
                <c:pt idx="8">
                  <c:v>8.4947456284913212</c:v>
                </c:pt>
                <c:pt idx="9">
                  <c:v>8.2932149038920411</c:v>
                </c:pt>
                <c:pt idx="10">
                  <c:v>8.4826037757751767</c:v>
                </c:pt>
                <c:pt idx="11">
                  <c:v>9.6152814869633296</c:v>
                </c:pt>
              </c:numCache>
            </c:numRef>
          </c:val>
          <c:smooth val="0"/>
        </c:ser>
        <c:ser>
          <c:idx val="1"/>
          <c:order val="1"/>
          <c:tx>
            <c:strRef>
              <c:f>PNO!$V$43</c:f>
              <c:strCache>
                <c:ptCount val="1"/>
                <c:pt idx="0">
                  <c:v>2011</c:v>
                </c:pt>
              </c:strCache>
            </c:strRef>
          </c:tx>
          <c:spPr>
            <a:ln>
              <a:solidFill>
                <a:srgbClr val="33CC33"/>
              </a:solidFill>
            </a:ln>
          </c:spPr>
          <c:marker>
            <c:symbol val="triangle"/>
            <c:size val="5"/>
            <c:spPr>
              <a:solidFill>
                <a:srgbClr val="33CC33"/>
              </a:solidFill>
              <a:ln>
                <a:solidFill>
                  <a:srgbClr val="33CC33"/>
                </a:solidFill>
              </a:ln>
            </c:spPr>
          </c:marker>
          <c:val>
            <c:numRef>
              <c:f>PNO!$V$44:$V$55</c:f>
              <c:numCache>
                <c:formatCode>0.0</c:formatCode>
                <c:ptCount val="12"/>
                <c:pt idx="0">
                  <c:v>10.073715752152671</c:v>
                </c:pt>
                <c:pt idx="1">
                  <c:v>9.8499754988591519</c:v>
                </c:pt>
                <c:pt idx="2">
                  <c:v>9.3200875349381391</c:v>
                </c:pt>
                <c:pt idx="3">
                  <c:v>8.7254985970075722</c:v>
                </c:pt>
                <c:pt idx="4">
                  <c:v>8.3512161745443798</c:v>
                </c:pt>
                <c:pt idx="5">
                  <c:v>8.1776107079222982</c:v>
                </c:pt>
                <c:pt idx="6">
                  <c:v>8.2884529321628477</c:v>
                </c:pt>
                <c:pt idx="7">
                  <c:v>8.137407194428441</c:v>
                </c:pt>
                <c:pt idx="8">
                  <c:v>8.06651991020248</c:v>
                </c:pt>
                <c:pt idx="9">
                  <c:v>8.014158091558242</c:v>
                </c:pt>
                <c:pt idx="10">
                  <c:v>8.0007383148937912</c:v>
                </c:pt>
                <c:pt idx="11">
                  <c:v>8.8601924988801866</c:v>
                </c:pt>
              </c:numCache>
            </c:numRef>
          </c:val>
          <c:smooth val="0"/>
        </c:ser>
        <c:ser>
          <c:idx val="0"/>
          <c:order val="2"/>
          <c:tx>
            <c:strRef>
              <c:f>PNO!$W$43</c:f>
              <c:strCache>
                <c:ptCount val="1"/>
                <c:pt idx="0">
                  <c:v>2012</c:v>
                </c:pt>
              </c:strCache>
            </c:strRef>
          </c:tx>
          <c:spPr>
            <a:ln>
              <a:solidFill>
                <a:srgbClr val="0000FF"/>
              </a:solidFill>
            </a:ln>
          </c:spPr>
          <c:marker>
            <c:symbol val="square"/>
            <c:size val="5"/>
            <c:spPr>
              <a:solidFill>
                <a:srgbClr val="0000FF"/>
              </a:solidFill>
              <a:ln>
                <a:solidFill>
                  <a:srgbClr val="0000FF"/>
                </a:solidFill>
              </a:ln>
            </c:spPr>
          </c:marker>
          <c:val>
            <c:numRef>
              <c:f>PNO!$W$44:$W$55</c:f>
              <c:numCache>
                <c:formatCode>0.0</c:formatCode>
                <c:ptCount val="12"/>
                <c:pt idx="0">
                  <c:v>9.4874963098034417</c:v>
                </c:pt>
                <c:pt idx="1">
                  <c:v>9.6048424486818718</c:v>
                </c:pt>
                <c:pt idx="2">
                  <c:v>9.0453706271220344</c:v>
                </c:pt>
                <c:pt idx="3">
                  <c:v>8.5929075208974783</c:v>
                </c:pt>
                <c:pt idx="4">
                  <c:v>8.3599297979518017</c:v>
                </c:pt>
                <c:pt idx="5">
                  <c:v>8.3371079954956642</c:v>
                </c:pt>
                <c:pt idx="6">
                  <c:v>8.4616338412532386</c:v>
                </c:pt>
                <c:pt idx="7">
                  <c:v>8.4375572107530754</c:v>
                </c:pt>
                <c:pt idx="8">
                  <c:v>8.5761188124693248</c:v>
                </c:pt>
                <c:pt idx="9">
                  <c:v>8.5745404138750452</c:v>
                </c:pt>
                <c:pt idx="10">
                  <c:v>8.7886561051600189</c:v>
                </c:pt>
                <c:pt idx="11">
                  <c:v>9.5836865923079468</c:v>
                </c:pt>
              </c:numCache>
            </c:numRef>
          </c:val>
          <c:smooth val="0"/>
        </c:ser>
        <c:ser>
          <c:idx val="4"/>
          <c:order val="3"/>
          <c:tx>
            <c:v>2013</c:v>
          </c:tx>
          <c:spPr>
            <a:ln>
              <a:solidFill>
                <a:srgbClr val="FF0000"/>
              </a:solidFill>
            </a:ln>
          </c:spPr>
          <c:marker>
            <c:symbol val="diamond"/>
            <c:size val="5"/>
            <c:spPr>
              <a:solidFill>
                <a:srgbClr val="FF0000"/>
              </a:solidFill>
              <a:ln>
                <a:solidFill>
                  <a:srgbClr val="FF0000"/>
                </a:solidFill>
              </a:ln>
            </c:spPr>
          </c:marker>
          <c:val>
            <c:numRef>
              <c:f>PNO!$X$44:$X$55</c:f>
              <c:numCache>
                <c:formatCode>0.0</c:formatCode>
                <c:ptCount val="12"/>
                <c:pt idx="0">
                  <c:v>10.486303716063162</c:v>
                </c:pt>
                <c:pt idx="1">
                  <c:v>10.6</c:v>
                </c:pt>
                <c:pt idx="2">
                  <c:v>10.26072702301575</c:v>
                </c:pt>
                <c:pt idx="3">
                  <c:v>9.7049180327868854</c:v>
                </c:pt>
                <c:pt idx="4">
                  <c:v>9.359545691964037</c:v>
                </c:pt>
                <c:pt idx="5">
                  <c:v>9.1437914312408228</c:v>
                </c:pt>
                <c:pt idx="6">
                  <c:v>9.3324872531338361</c:v>
                </c:pt>
                <c:pt idx="7">
                  <c:v>9.4000713139597067</c:v>
                </c:pt>
                <c:pt idx="8">
                  <c:v>9.5608243743587451</c:v>
                </c:pt>
                <c:pt idx="9">
                  <c:v>9.5774962326282296</c:v>
                </c:pt>
                <c:pt idx="10">
                  <c:v>9.6999999999999993</c:v>
                </c:pt>
                <c:pt idx="11">
                  <c:v>10.742246564295554</c:v>
                </c:pt>
              </c:numCache>
            </c:numRef>
          </c:val>
          <c:smooth val="0"/>
        </c:ser>
        <c:ser>
          <c:idx val="3"/>
          <c:order val="4"/>
          <c:tx>
            <c:strRef>
              <c:f>PNO!$Y$43</c:f>
              <c:strCache>
                <c:ptCount val="1"/>
                <c:pt idx="0">
                  <c:v>2014</c:v>
                </c:pt>
              </c:strCache>
            </c:strRef>
          </c:tx>
          <c:spPr>
            <a:ln>
              <a:solidFill>
                <a:schemeClr val="tx1"/>
              </a:solidFill>
            </a:ln>
          </c:spPr>
          <c:marker>
            <c:symbol val="circle"/>
            <c:size val="5"/>
            <c:spPr>
              <a:noFill/>
              <a:ln>
                <a:solidFill>
                  <a:schemeClr val="tx1"/>
                </a:solidFill>
              </a:ln>
            </c:spPr>
          </c:marker>
          <c:val>
            <c:numRef>
              <c:f>PNO!$Y$44:$Y$55</c:f>
              <c:numCache>
                <c:formatCode>0.0</c:formatCode>
                <c:ptCount val="12"/>
                <c:pt idx="0">
                  <c:v>11.3</c:v>
                </c:pt>
                <c:pt idx="1">
                  <c:v>11.4</c:v>
                </c:pt>
                <c:pt idx="2">
                  <c:v>11</c:v>
                </c:pt>
                <c:pt idx="3">
                  <c:v>10.4</c:v>
                </c:pt>
                <c:pt idx="4">
                  <c:v>9.8569980858011483</c:v>
                </c:pt>
                <c:pt idx="5">
                  <c:v>9.6999999999999993</c:v>
                </c:pt>
                <c:pt idx="6">
                  <c:v>9.7987455439736468</c:v>
                </c:pt>
                <c:pt idx="7">
                  <c:v>9.8100586434051582</c:v>
                </c:pt>
                <c:pt idx="8">
                  <c:v>9.7052569670647841</c:v>
                </c:pt>
                <c:pt idx="9">
                  <c:v>9.5</c:v>
                </c:pt>
                <c:pt idx="10">
                  <c:v>9.4</c:v>
                </c:pt>
                <c:pt idx="11">
                  <c:v>10.208593130030609</c:v>
                </c:pt>
              </c:numCache>
            </c:numRef>
          </c:val>
          <c:smooth val="0"/>
        </c:ser>
        <c:dLbls>
          <c:showLegendKey val="0"/>
          <c:showVal val="0"/>
          <c:showCatName val="0"/>
          <c:showSerName val="0"/>
          <c:showPercent val="0"/>
          <c:showBubbleSize val="0"/>
        </c:dLbls>
        <c:marker val="1"/>
        <c:smooth val="0"/>
        <c:axId val="181309824"/>
        <c:axId val="181312128"/>
      </c:lineChart>
      <c:catAx>
        <c:axId val="181309824"/>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cs-CZ"/>
                  <a:t>období</a:t>
                </a:r>
              </a:p>
            </c:rich>
          </c:tx>
          <c:layout>
            <c:manualLayout>
              <c:xMode val="edge"/>
              <c:yMode val="edge"/>
              <c:x val="0.50360475289426032"/>
              <c:y val="0.934604099343073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Calibri"/>
                <a:ea typeface="Calibri"/>
                <a:cs typeface="Calibri"/>
              </a:defRPr>
            </a:pPr>
            <a:endParaRPr lang="cs-CZ"/>
          </a:p>
        </c:txPr>
        <c:crossAx val="181312128"/>
        <c:crossesAt val="5"/>
        <c:auto val="1"/>
        <c:lblAlgn val="ctr"/>
        <c:lblOffset val="100"/>
        <c:tickLblSkip val="1"/>
        <c:tickMarkSkip val="1"/>
        <c:noMultiLvlLbl val="0"/>
      </c:catAx>
      <c:valAx>
        <c:axId val="181312128"/>
        <c:scaling>
          <c:orientation val="minMax"/>
          <c:max val="12"/>
          <c:min val="7"/>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Podíl nezaměstnaných osob (%)</a:t>
                </a:r>
              </a:p>
            </c:rich>
          </c:tx>
          <c:layout>
            <c:manualLayout>
              <c:xMode val="edge"/>
              <c:yMode val="edge"/>
              <c:x val="1.9269974974058475E-2"/>
              <c:y val="0.19303233049626023"/>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181309824"/>
        <c:crosses val="autoZero"/>
        <c:crossBetween val="midCat"/>
        <c:majorUnit val="1"/>
      </c:valAx>
      <c:spPr>
        <a:solidFill>
          <a:srgbClr val="FFFFFF"/>
        </a:solidFill>
        <a:ln w="12700">
          <a:solidFill>
            <a:srgbClr val="808080"/>
          </a:solidFill>
          <a:prstDash val="solid"/>
        </a:ln>
      </c:spPr>
    </c:plotArea>
    <c:legend>
      <c:legendPos val="r"/>
      <c:layout>
        <c:manualLayout>
          <c:xMode val="edge"/>
          <c:yMode val="edge"/>
          <c:x val="0.21705426356589147"/>
          <c:y val="0.73348181143281366"/>
          <c:w val="0.63255837896619838"/>
          <c:h val="8.4632516703786187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0865817698713"/>
          <c:y val="3.669724770642202E-2"/>
          <c:w val="0.84338161433524517"/>
          <c:h val="0.81755677939101545"/>
        </c:manualLayout>
      </c:layout>
      <c:lineChart>
        <c:grouping val="standard"/>
        <c:varyColors val="0"/>
        <c:ser>
          <c:idx val="2"/>
          <c:order val="0"/>
          <c:tx>
            <c:strRef>
              <c:f>PNO!$U$57</c:f>
              <c:strCache>
                <c:ptCount val="1"/>
                <c:pt idx="0">
                  <c:v>2010</c:v>
                </c:pt>
              </c:strCache>
            </c:strRef>
          </c:tx>
          <c:spPr>
            <a:ln>
              <a:solidFill>
                <a:srgbClr val="663300"/>
              </a:solidFill>
            </a:ln>
          </c:spPr>
          <c:marker>
            <c:symbol val="x"/>
            <c:size val="5"/>
            <c:spPr>
              <a:noFill/>
              <a:ln>
                <a:solidFill>
                  <a:srgbClr val="663300"/>
                </a:solidFill>
              </a:ln>
            </c:spPr>
          </c:marker>
          <c:val>
            <c:numRef>
              <c:f>PNO!$U$58:$U$69</c:f>
              <c:numCache>
                <c:formatCode>0.0</c:formatCode>
                <c:ptCount val="12"/>
                <c:pt idx="0">
                  <c:v>10.759703116238327</c:v>
                </c:pt>
                <c:pt idx="1">
                  <c:v>10.854754178357167</c:v>
                </c:pt>
                <c:pt idx="2">
                  <c:v>10.566865948034428</c:v>
                </c:pt>
                <c:pt idx="3">
                  <c:v>9.5580381257195608</c:v>
                </c:pt>
                <c:pt idx="4">
                  <c:v>8.7744878346473918</c:v>
                </c:pt>
                <c:pt idx="5">
                  <c:v>8.5372833627143478</c:v>
                </c:pt>
                <c:pt idx="6">
                  <c:v>8.531316275466839</c:v>
                </c:pt>
                <c:pt idx="7">
                  <c:v>8.420243875992945</c:v>
                </c:pt>
                <c:pt idx="8">
                  <c:v>8.4212457572699755</c:v>
                </c:pt>
                <c:pt idx="9">
                  <c:v>8.426330643754989</c:v>
                </c:pt>
                <c:pt idx="10">
                  <c:v>8.6179747990948012</c:v>
                </c:pt>
                <c:pt idx="11">
                  <c:v>9.7699301983835412</c:v>
                </c:pt>
              </c:numCache>
            </c:numRef>
          </c:val>
          <c:smooth val="0"/>
        </c:ser>
        <c:ser>
          <c:idx val="1"/>
          <c:order val="1"/>
          <c:tx>
            <c:strRef>
              <c:f>PNO!$V$57</c:f>
              <c:strCache>
                <c:ptCount val="1"/>
                <c:pt idx="0">
                  <c:v>2011</c:v>
                </c:pt>
              </c:strCache>
            </c:strRef>
          </c:tx>
          <c:spPr>
            <a:ln>
              <a:solidFill>
                <a:srgbClr val="33CC33"/>
              </a:solidFill>
            </a:ln>
          </c:spPr>
          <c:marker>
            <c:symbol val="triangle"/>
            <c:size val="5"/>
            <c:spPr>
              <a:solidFill>
                <a:srgbClr val="33CC33"/>
              </a:solidFill>
              <a:ln>
                <a:solidFill>
                  <a:srgbClr val="33CC33"/>
                </a:solidFill>
              </a:ln>
            </c:spPr>
          </c:marker>
          <c:val>
            <c:numRef>
              <c:f>PNO!$V$58:$V$69</c:f>
              <c:numCache>
                <c:formatCode>0.0</c:formatCode>
                <c:ptCount val="12"/>
                <c:pt idx="0">
                  <c:v>9.8537775730699639</c:v>
                </c:pt>
                <c:pt idx="1">
                  <c:v>9.6227394119194365</c:v>
                </c:pt>
                <c:pt idx="2">
                  <c:v>9.1667920858561889</c:v>
                </c:pt>
                <c:pt idx="3">
                  <c:v>8.4699851032962421</c:v>
                </c:pt>
                <c:pt idx="4">
                  <c:v>7.9997559159812752</c:v>
                </c:pt>
                <c:pt idx="5">
                  <c:v>7.8725898754454615</c:v>
                </c:pt>
                <c:pt idx="6">
                  <c:v>7.9946635366082308</c:v>
                </c:pt>
                <c:pt idx="7">
                  <c:v>7.9312298215307706</c:v>
                </c:pt>
                <c:pt idx="8">
                  <c:v>7.9096900398220811</c:v>
                </c:pt>
                <c:pt idx="9">
                  <c:v>7.8620595745736228</c:v>
                </c:pt>
                <c:pt idx="10">
                  <c:v>8.1112701155406768</c:v>
                </c:pt>
                <c:pt idx="11">
                  <c:v>9.1239086792100466</c:v>
                </c:pt>
              </c:numCache>
            </c:numRef>
          </c:val>
          <c:smooth val="0"/>
        </c:ser>
        <c:ser>
          <c:idx val="0"/>
          <c:order val="2"/>
          <c:tx>
            <c:strRef>
              <c:f>PNO!$W$57</c:f>
              <c:strCache>
                <c:ptCount val="1"/>
                <c:pt idx="0">
                  <c:v>2012</c:v>
                </c:pt>
              </c:strCache>
            </c:strRef>
          </c:tx>
          <c:spPr>
            <a:ln>
              <a:solidFill>
                <a:srgbClr val="0000FF"/>
              </a:solidFill>
            </a:ln>
          </c:spPr>
          <c:marker>
            <c:symbol val="square"/>
            <c:size val="5"/>
            <c:spPr>
              <a:solidFill>
                <a:srgbClr val="0000FF"/>
              </a:solidFill>
              <a:ln>
                <a:solidFill>
                  <a:srgbClr val="0000FF"/>
                </a:solidFill>
              </a:ln>
            </c:spPr>
          </c:marker>
          <c:val>
            <c:numRef>
              <c:f>PNO!$W$58:$W$69</c:f>
              <c:numCache>
                <c:formatCode>0.0</c:formatCode>
                <c:ptCount val="12"/>
                <c:pt idx="0">
                  <c:v>9.5935881265552752</c:v>
                </c:pt>
                <c:pt idx="1">
                  <c:v>9.7256685269584171</c:v>
                </c:pt>
                <c:pt idx="2">
                  <c:v>9.4530325115826965</c:v>
                </c:pt>
                <c:pt idx="3">
                  <c:v>8.8222444850348793</c:v>
                </c:pt>
                <c:pt idx="4">
                  <c:v>8.4459276610686373</c:v>
                </c:pt>
                <c:pt idx="5">
                  <c:v>8.0912171270389166</c:v>
                </c:pt>
                <c:pt idx="6">
                  <c:v>8.2202514935019249</c:v>
                </c:pt>
                <c:pt idx="7">
                  <c:v>8.1845703209473584</c:v>
                </c:pt>
                <c:pt idx="8">
                  <c:v>8.3396323917517385</c:v>
                </c:pt>
                <c:pt idx="9">
                  <c:v>8.4226249985297752</c:v>
                </c:pt>
                <c:pt idx="10">
                  <c:v>8.8343298338119673</c:v>
                </c:pt>
                <c:pt idx="11">
                  <c:v>9.7778614901055949</c:v>
                </c:pt>
              </c:numCache>
            </c:numRef>
          </c:val>
          <c:smooth val="0"/>
        </c:ser>
        <c:ser>
          <c:idx val="4"/>
          <c:order val="3"/>
          <c:tx>
            <c:strRef>
              <c:f>PNO!$X$57</c:f>
              <c:strCache>
                <c:ptCount val="1"/>
                <c:pt idx="0">
                  <c:v>2013</c:v>
                </c:pt>
              </c:strCache>
            </c:strRef>
          </c:tx>
          <c:spPr>
            <a:ln>
              <a:solidFill>
                <a:srgbClr val="FF0000"/>
              </a:solidFill>
            </a:ln>
          </c:spPr>
          <c:marker>
            <c:symbol val="diamond"/>
            <c:size val="5"/>
            <c:spPr>
              <a:solidFill>
                <a:srgbClr val="FF0000"/>
              </a:solidFill>
              <a:ln>
                <a:solidFill>
                  <a:srgbClr val="FF0000"/>
                </a:solidFill>
              </a:ln>
            </c:spPr>
          </c:marker>
          <c:val>
            <c:numRef>
              <c:f>PNO!$X$58:$X$69</c:f>
              <c:numCache>
                <c:formatCode>0.0</c:formatCode>
                <c:ptCount val="12"/>
                <c:pt idx="0">
                  <c:v>10.437033797122695</c:v>
                </c:pt>
                <c:pt idx="1">
                  <c:v>10.6</c:v>
                </c:pt>
                <c:pt idx="2">
                  <c:v>10.548578199052134</c:v>
                </c:pt>
                <c:pt idx="3">
                  <c:v>9.8516419403233879</c:v>
                </c:pt>
                <c:pt idx="4">
                  <c:v>9.3658792275710905</c:v>
                </c:pt>
                <c:pt idx="5">
                  <c:v>9.0772496362899187</c:v>
                </c:pt>
                <c:pt idx="6">
                  <c:v>9.2126783262699217</c:v>
                </c:pt>
                <c:pt idx="7">
                  <c:v>9.2523543190401067</c:v>
                </c:pt>
                <c:pt idx="8">
                  <c:v>9.2850477352666712</c:v>
                </c:pt>
                <c:pt idx="9">
                  <c:v>9.3465555236178979</c:v>
                </c:pt>
                <c:pt idx="10">
                  <c:v>9.6</c:v>
                </c:pt>
                <c:pt idx="11">
                  <c:v>10.447384548830167</c:v>
                </c:pt>
              </c:numCache>
            </c:numRef>
          </c:val>
          <c:smooth val="0"/>
        </c:ser>
        <c:ser>
          <c:idx val="3"/>
          <c:order val="4"/>
          <c:tx>
            <c:strRef>
              <c:f>PNO!$Y$57</c:f>
              <c:strCache>
                <c:ptCount val="1"/>
                <c:pt idx="0">
                  <c:v>2014</c:v>
                </c:pt>
              </c:strCache>
            </c:strRef>
          </c:tx>
          <c:spPr>
            <a:ln>
              <a:solidFill>
                <a:schemeClr val="tx1"/>
              </a:solidFill>
            </a:ln>
          </c:spPr>
          <c:marker>
            <c:symbol val="circle"/>
            <c:size val="5"/>
            <c:spPr>
              <a:noFill/>
              <a:ln>
                <a:solidFill>
                  <a:schemeClr val="tx1"/>
                </a:solidFill>
              </a:ln>
            </c:spPr>
          </c:marker>
          <c:val>
            <c:numRef>
              <c:f>PNO!$Y$58:$Y$69</c:f>
              <c:numCache>
                <c:formatCode>0.0</c:formatCode>
                <c:ptCount val="12"/>
                <c:pt idx="0">
                  <c:v>10.9</c:v>
                </c:pt>
                <c:pt idx="1">
                  <c:v>10.7</c:v>
                </c:pt>
                <c:pt idx="2">
                  <c:v>10.5</c:v>
                </c:pt>
                <c:pt idx="3">
                  <c:v>9.6</c:v>
                </c:pt>
                <c:pt idx="4">
                  <c:v>9.0169286577992747</c:v>
                </c:pt>
                <c:pt idx="5">
                  <c:v>8.6999999999999993</c:v>
                </c:pt>
                <c:pt idx="6">
                  <c:v>8.7354984180092377</c:v>
                </c:pt>
                <c:pt idx="7">
                  <c:v>8.6024248608985108</c:v>
                </c:pt>
                <c:pt idx="8">
                  <c:v>8.4620624224584624</c:v>
                </c:pt>
                <c:pt idx="9">
                  <c:v>8.1999999999999993</c:v>
                </c:pt>
                <c:pt idx="10">
                  <c:v>8.1999999999999993</c:v>
                </c:pt>
                <c:pt idx="11">
                  <c:v>9.0158032826896086</c:v>
                </c:pt>
              </c:numCache>
            </c:numRef>
          </c:val>
          <c:smooth val="0"/>
        </c:ser>
        <c:dLbls>
          <c:showLegendKey val="0"/>
          <c:showVal val="0"/>
          <c:showCatName val="0"/>
          <c:showSerName val="0"/>
          <c:showPercent val="0"/>
          <c:showBubbleSize val="0"/>
        </c:dLbls>
        <c:marker val="1"/>
        <c:smooth val="0"/>
        <c:axId val="182871552"/>
        <c:axId val="182878208"/>
      </c:lineChart>
      <c:catAx>
        <c:axId val="182871552"/>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cs-CZ"/>
                  <a:t>období</a:t>
                </a:r>
              </a:p>
            </c:rich>
          </c:tx>
          <c:layout>
            <c:manualLayout>
              <c:xMode val="edge"/>
              <c:yMode val="edge"/>
              <c:x val="0.50360475289426032"/>
              <c:y val="0.934604099343073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Calibri"/>
                <a:ea typeface="Calibri"/>
                <a:cs typeface="Calibri"/>
              </a:defRPr>
            </a:pPr>
            <a:endParaRPr lang="cs-CZ"/>
          </a:p>
        </c:txPr>
        <c:crossAx val="182878208"/>
        <c:crossesAt val="6"/>
        <c:auto val="1"/>
        <c:lblAlgn val="ctr"/>
        <c:lblOffset val="100"/>
        <c:tickLblSkip val="1"/>
        <c:tickMarkSkip val="1"/>
        <c:noMultiLvlLbl val="0"/>
      </c:catAx>
      <c:valAx>
        <c:axId val="182878208"/>
        <c:scaling>
          <c:orientation val="minMax"/>
          <c:max val="11"/>
          <c:min val="7"/>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Podíl nezaměstnaných osob (%)</a:t>
                </a:r>
              </a:p>
            </c:rich>
          </c:tx>
          <c:layout>
            <c:manualLayout>
              <c:xMode val="edge"/>
              <c:yMode val="edge"/>
              <c:x val="1.9269974974058475E-2"/>
              <c:y val="0.19303233049626023"/>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182871552"/>
        <c:crosses val="autoZero"/>
        <c:crossBetween val="midCat"/>
        <c:majorUnit val="1"/>
      </c:valAx>
      <c:spPr>
        <a:solidFill>
          <a:srgbClr val="FFFFFF"/>
        </a:solidFill>
        <a:ln w="12700">
          <a:solidFill>
            <a:srgbClr val="808080"/>
          </a:solidFill>
          <a:prstDash val="solid"/>
        </a:ln>
      </c:spPr>
    </c:plotArea>
    <c:legend>
      <c:legendPos val="r"/>
      <c:layout>
        <c:manualLayout>
          <c:xMode val="edge"/>
          <c:yMode val="edge"/>
          <c:x val="0.17571059431524547"/>
          <c:y val="0.73363358877015372"/>
          <c:w val="0.74211906651203485"/>
          <c:h val="9.9702673884514439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55008942466262"/>
          <c:y val="5.3097498091520604E-2"/>
          <c:w val="0.69771115446852316"/>
          <c:h val="0.80924503906038292"/>
        </c:manualLayout>
      </c:layout>
      <c:lineChart>
        <c:grouping val="standard"/>
        <c:varyColors val="0"/>
        <c:ser>
          <c:idx val="1"/>
          <c:order val="0"/>
          <c:tx>
            <c:strRef>
              <c:f>List2!$B$118</c:f>
              <c:strCache>
                <c:ptCount val="1"/>
                <c:pt idx="0">
                  <c:v>počet uchazečů</c:v>
                </c:pt>
              </c:strCache>
            </c:strRef>
          </c:tx>
          <c:spPr>
            <a:ln w="25400">
              <a:solidFill>
                <a:srgbClr val="3366FF"/>
              </a:solidFill>
              <a:prstDash val="solid"/>
            </a:ln>
          </c:spPr>
          <c:marker>
            <c:symbol val="square"/>
            <c:size val="5"/>
            <c:spPr>
              <a:solidFill>
                <a:srgbClr val="3366FF"/>
              </a:solidFill>
              <a:ln>
                <a:solidFill>
                  <a:srgbClr val="3366FF"/>
                </a:solidFill>
                <a:prstDash val="solid"/>
              </a:ln>
            </c:spPr>
          </c:marker>
          <c:cat>
            <c:numRef>
              <c:f>List2!$A$119:$A$132</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List2!$B$119:$B$132</c:f>
              <c:numCache>
                <c:formatCode>General</c:formatCode>
                <c:ptCount val="14"/>
                <c:pt idx="0">
                  <c:v>37215</c:v>
                </c:pt>
                <c:pt idx="1">
                  <c:v>39395</c:v>
                </c:pt>
                <c:pt idx="2">
                  <c:v>40770</c:v>
                </c:pt>
                <c:pt idx="3">
                  <c:v>39591</c:v>
                </c:pt>
                <c:pt idx="4">
                  <c:v>36180</c:v>
                </c:pt>
                <c:pt idx="5">
                  <c:v>31187</c:v>
                </c:pt>
                <c:pt idx="6">
                  <c:v>23495</c:v>
                </c:pt>
                <c:pt idx="7">
                  <c:v>23470</c:v>
                </c:pt>
                <c:pt idx="8">
                  <c:v>41092</c:v>
                </c:pt>
                <c:pt idx="9">
                  <c:v>42117</c:v>
                </c:pt>
                <c:pt idx="10">
                  <c:v>38119</c:v>
                </c:pt>
                <c:pt idx="11">
                  <c:v>40342</c:v>
                </c:pt>
                <c:pt idx="12">
                  <c:v>43364</c:v>
                </c:pt>
                <c:pt idx="13">
                  <c:v>38990</c:v>
                </c:pt>
              </c:numCache>
            </c:numRef>
          </c:val>
          <c:smooth val="0"/>
        </c:ser>
        <c:dLbls>
          <c:showLegendKey val="0"/>
          <c:showVal val="0"/>
          <c:showCatName val="0"/>
          <c:showSerName val="0"/>
          <c:showPercent val="0"/>
          <c:showBubbleSize val="0"/>
        </c:dLbls>
        <c:marker val="1"/>
        <c:smooth val="0"/>
        <c:axId val="210061184"/>
        <c:axId val="210071936"/>
      </c:lineChart>
      <c:lineChart>
        <c:grouping val="standard"/>
        <c:varyColors val="0"/>
        <c:ser>
          <c:idx val="0"/>
          <c:order val="1"/>
          <c:tx>
            <c:strRef>
              <c:f>List2!$C$118</c:f>
              <c:strCache>
                <c:ptCount val="1"/>
                <c:pt idx="0">
                  <c:v>počet VM</c:v>
                </c:pt>
              </c:strCache>
            </c:strRef>
          </c:tx>
          <c:spPr>
            <a:ln w="25400">
              <a:solidFill>
                <a:srgbClr val="FF0000"/>
              </a:solidFill>
              <a:prstDash val="solid"/>
            </a:ln>
          </c:spPr>
          <c:marker>
            <c:symbol val="diamond"/>
            <c:size val="6"/>
            <c:spPr>
              <a:solidFill>
                <a:srgbClr val="FF0000"/>
              </a:solidFill>
              <a:ln>
                <a:solidFill>
                  <a:srgbClr val="FF0000"/>
                </a:solidFill>
                <a:prstDash val="solid"/>
              </a:ln>
            </c:spPr>
          </c:marker>
          <c:cat>
            <c:numRef>
              <c:f>List2!$A$119:$A$132</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List2!$C$119:$C$132</c:f>
              <c:numCache>
                <c:formatCode>General</c:formatCode>
                <c:ptCount val="14"/>
                <c:pt idx="0">
                  <c:v>3264</c:v>
                </c:pt>
                <c:pt idx="1">
                  <c:v>2906</c:v>
                </c:pt>
                <c:pt idx="2">
                  <c:v>2493</c:v>
                </c:pt>
                <c:pt idx="3">
                  <c:v>2513</c:v>
                </c:pt>
                <c:pt idx="4">
                  <c:v>2849</c:v>
                </c:pt>
                <c:pt idx="5">
                  <c:v>4537</c:v>
                </c:pt>
                <c:pt idx="6">
                  <c:v>5224</c:v>
                </c:pt>
                <c:pt idx="7">
                  <c:v>2747</c:v>
                </c:pt>
                <c:pt idx="8">
                  <c:v>821</c:v>
                </c:pt>
                <c:pt idx="9">
                  <c:v>1210</c:v>
                </c:pt>
                <c:pt idx="10" formatCode="#,##0">
                  <c:v>1065</c:v>
                </c:pt>
                <c:pt idx="11">
                  <c:v>809</c:v>
                </c:pt>
                <c:pt idx="12">
                  <c:v>1103</c:v>
                </c:pt>
                <c:pt idx="13" formatCode="#,##0">
                  <c:v>2814</c:v>
                </c:pt>
              </c:numCache>
            </c:numRef>
          </c:val>
          <c:smooth val="0"/>
        </c:ser>
        <c:dLbls>
          <c:showLegendKey val="0"/>
          <c:showVal val="0"/>
          <c:showCatName val="0"/>
          <c:showSerName val="0"/>
          <c:showPercent val="0"/>
          <c:showBubbleSize val="0"/>
        </c:dLbls>
        <c:marker val="1"/>
        <c:smooth val="0"/>
        <c:axId val="210073856"/>
        <c:axId val="210079744"/>
      </c:lineChart>
      <c:catAx>
        <c:axId val="210061184"/>
        <c:scaling>
          <c:orientation val="minMax"/>
        </c:scaling>
        <c:delete val="0"/>
        <c:axPos val="b"/>
        <c:title>
          <c:tx>
            <c:rich>
              <a:bodyPr/>
              <a:lstStyle/>
              <a:p>
                <a:pPr>
                  <a:defRPr sz="1200" b="1"/>
                </a:pPr>
                <a:r>
                  <a:rPr lang="cs-CZ" sz="1200" b="1"/>
                  <a:t>rok</a:t>
                </a:r>
              </a:p>
            </c:rich>
          </c:tx>
          <c:layout>
            <c:manualLayout>
              <c:xMode val="edge"/>
              <c:yMode val="edge"/>
              <c:x val="0.46460993113868149"/>
              <c:y val="0.93018930155854418"/>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a:pPr>
            <a:endParaRPr lang="cs-CZ"/>
          </a:p>
        </c:txPr>
        <c:crossAx val="210071936"/>
        <c:crosses val="autoZero"/>
        <c:auto val="0"/>
        <c:lblAlgn val="ctr"/>
        <c:lblOffset val="100"/>
        <c:tickLblSkip val="1"/>
        <c:tickMarkSkip val="1"/>
        <c:noMultiLvlLbl val="0"/>
      </c:catAx>
      <c:valAx>
        <c:axId val="210071936"/>
        <c:scaling>
          <c:orientation val="minMax"/>
          <c:min val="10000"/>
        </c:scaling>
        <c:delete val="0"/>
        <c:axPos val="l"/>
        <c:title>
          <c:tx>
            <c:rich>
              <a:bodyPr/>
              <a:lstStyle/>
              <a:p>
                <a:pPr>
                  <a:defRPr sz="1200" b="1"/>
                </a:pPr>
                <a:r>
                  <a:rPr lang="cs-CZ" sz="1200" b="1"/>
                  <a:t>počet uchazečů</a:t>
                </a:r>
              </a:p>
            </c:rich>
          </c:tx>
          <c:layout>
            <c:manualLayout>
              <c:xMode val="edge"/>
              <c:yMode val="edge"/>
              <c:x val="2.0074094720460823E-3"/>
              <c:y val="0.2786025853748532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100" b="1"/>
            </a:pPr>
            <a:endParaRPr lang="cs-CZ"/>
          </a:p>
        </c:txPr>
        <c:crossAx val="210061184"/>
        <c:crosses val="autoZero"/>
        <c:crossBetween val="midCat"/>
      </c:valAx>
      <c:catAx>
        <c:axId val="210073856"/>
        <c:scaling>
          <c:orientation val="minMax"/>
        </c:scaling>
        <c:delete val="1"/>
        <c:axPos val="b"/>
        <c:numFmt formatCode="General" sourceLinked="1"/>
        <c:majorTickMark val="out"/>
        <c:minorTickMark val="none"/>
        <c:tickLblPos val="nextTo"/>
        <c:crossAx val="210079744"/>
        <c:crosses val="autoZero"/>
        <c:auto val="0"/>
        <c:lblAlgn val="ctr"/>
        <c:lblOffset val="100"/>
        <c:noMultiLvlLbl val="0"/>
      </c:catAx>
      <c:valAx>
        <c:axId val="210079744"/>
        <c:scaling>
          <c:orientation val="minMax"/>
          <c:max val="7000"/>
          <c:min val="500"/>
        </c:scaling>
        <c:delete val="0"/>
        <c:axPos val="r"/>
        <c:title>
          <c:tx>
            <c:rich>
              <a:bodyPr/>
              <a:lstStyle/>
              <a:p>
                <a:pPr>
                  <a:defRPr sz="1200" b="1"/>
                </a:pPr>
                <a:r>
                  <a:rPr lang="cs-CZ" sz="1200" b="1"/>
                  <a:t>počet volných míst</a:t>
                </a:r>
              </a:p>
            </c:rich>
          </c:tx>
          <c:layout>
            <c:manualLayout>
              <c:xMode val="edge"/>
              <c:yMode val="edge"/>
              <c:x val="0.95147514309788761"/>
              <c:y val="0.266470629224444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100" b="1"/>
            </a:pPr>
            <a:endParaRPr lang="cs-CZ"/>
          </a:p>
        </c:txPr>
        <c:crossAx val="210073856"/>
        <c:crosses val="max"/>
        <c:crossBetween val="midCat"/>
        <c:majorUnit val="500"/>
      </c:valAx>
      <c:spPr>
        <a:solidFill>
          <a:srgbClr val="FFFFFF"/>
        </a:solidFill>
        <a:ln w="25400">
          <a:noFill/>
        </a:ln>
      </c:spPr>
    </c:plotArea>
    <c:legend>
      <c:legendPos val="r"/>
      <c:layout>
        <c:manualLayout>
          <c:xMode val="edge"/>
          <c:yMode val="edge"/>
          <c:x val="0.34955802561247695"/>
          <c:y val="3.4246651698620546E-2"/>
          <c:w val="0.2994104607566786"/>
          <c:h val="0.13470349668124082"/>
        </c:manualLayout>
      </c:layout>
      <c:overlay val="0"/>
      <c:spPr>
        <a:solidFill>
          <a:srgbClr val="FFFFFF"/>
        </a:solidFill>
        <a:ln w="3175">
          <a:solidFill>
            <a:srgbClr val="000000"/>
          </a:solidFill>
          <a:prstDash val="solid"/>
        </a:ln>
      </c:spPr>
      <c:txPr>
        <a:bodyPr/>
        <a:lstStyle/>
        <a:p>
          <a:pPr>
            <a:defRPr sz="1100" b="1"/>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51661613210531"/>
          <c:y val="3.0534390979234417E-2"/>
          <c:w val="0.72101495125609294"/>
          <c:h val="0.90076453388741529"/>
        </c:manualLayout>
      </c:layout>
      <c:barChart>
        <c:barDir val="bar"/>
        <c:grouping val="clustered"/>
        <c:varyColors val="0"/>
        <c:ser>
          <c:idx val="0"/>
          <c:order val="0"/>
          <c:spPr>
            <a:solidFill>
              <a:srgbClr val="0000FF"/>
            </a:solidFill>
            <a:ln w="25400">
              <a:noFill/>
            </a:ln>
          </c:spPr>
          <c:invertIfNegative val="0"/>
          <c:dPt>
            <c:idx val="0"/>
            <c:invertIfNegative val="0"/>
            <c:bubble3D val="0"/>
            <c:spPr>
              <a:solidFill>
                <a:srgbClr val="00FF00"/>
              </a:solidFill>
              <a:ln w="25400">
                <a:noFill/>
              </a:ln>
            </c:spPr>
          </c:dPt>
          <c:dPt>
            <c:idx val="2"/>
            <c:invertIfNegative val="0"/>
            <c:bubble3D val="0"/>
          </c:dPt>
          <c:dPt>
            <c:idx val="3"/>
            <c:invertIfNegative val="0"/>
            <c:bubble3D val="0"/>
          </c:dPt>
          <c:dPt>
            <c:idx val="4"/>
            <c:invertIfNegative val="0"/>
            <c:bubble3D val="0"/>
            <c:spPr>
              <a:solidFill>
                <a:srgbClr val="FF0000"/>
              </a:solidFill>
              <a:ln w="25400">
                <a:noFill/>
              </a:ln>
            </c:spPr>
          </c:dPt>
          <c:dPt>
            <c:idx val="12"/>
            <c:invertIfNegative val="0"/>
            <c:bubble3D val="0"/>
          </c:dPt>
          <c:dPt>
            <c:idx val="13"/>
            <c:invertIfNegative val="0"/>
            <c:bubble3D val="0"/>
          </c:dPt>
          <c:dLbls>
            <c:spPr>
              <a:noFill/>
              <a:ln w="25400">
                <a:noFill/>
              </a:ln>
            </c:spPr>
            <c:txPr>
              <a:bodyPr/>
              <a:lstStyle/>
              <a:p>
                <a:pPr>
                  <a:defRPr sz="1100" b="1" i="0" u="none" strike="noStrike" baseline="0">
                    <a:solidFill>
                      <a:srgbClr val="000000"/>
                    </a:solidFill>
                    <a:latin typeface="Calibri"/>
                    <a:ea typeface="Calibri"/>
                    <a:cs typeface="Calibri"/>
                  </a:defRPr>
                </a:pPr>
                <a:endParaRPr lang="cs-CZ"/>
              </a:p>
            </c:txPr>
            <c:showLegendKey val="0"/>
            <c:showVal val="1"/>
            <c:showCatName val="0"/>
            <c:showSerName val="0"/>
            <c:showPercent val="0"/>
            <c:showBubbleSize val="0"/>
            <c:showLeaderLines val="0"/>
          </c:dLbls>
          <c:cat>
            <c:strRef>
              <c:f>NUTS3!$B$2:$B$16</c:f>
              <c:strCache>
                <c:ptCount val="15"/>
                <c:pt idx="0">
                  <c:v>Celkem ČR</c:v>
                </c:pt>
                <c:pt idx="1">
                  <c:v>Ústecký kraj</c:v>
                </c:pt>
                <c:pt idx="2">
                  <c:v>Moravskoslezský kraj</c:v>
                </c:pt>
                <c:pt idx="3">
                  <c:v>Jihomoravský kraj</c:v>
                </c:pt>
                <c:pt idx="4">
                  <c:v>Olomoucký kraj</c:v>
                </c:pt>
                <c:pt idx="5">
                  <c:v>kraj Vysočina</c:v>
                </c:pt>
                <c:pt idx="6">
                  <c:v>Zlínský kraj</c:v>
                </c:pt>
                <c:pt idx="7">
                  <c:v>Karlovarský kraj</c:v>
                </c:pt>
                <c:pt idx="8">
                  <c:v>Královéhradecký kraj</c:v>
                </c:pt>
                <c:pt idx="9">
                  <c:v>Jihočeský kraj</c:v>
                </c:pt>
                <c:pt idx="10">
                  <c:v>Středočeský kraj</c:v>
                </c:pt>
                <c:pt idx="11">
                  <c:v>Liberecký kraj</c:v>
                </c:pt>
                <c:pt idx="12">
                  <c:v>Pardubický kraj</c:v>
                </c:pt>
                <c:pt idx="13">
                  <c:v>Plzeňský kraj</c:v>
                </c:pt>
                <c:pt idx="14">
                  <c:v>Praha</c:v>
                </c:pt>
              </c:strCache>
            </c:strRef>
          </c:cat>
          <c:val>
            <c:numRef>
              <c:f>NUTS3!$C$2:$C$16</c:f>
              <c:numCache>
                <c:formatCode>0.0</c:formatCode>
                <c:ptCount val="15"/>
                <c:pt idx="0">
                  <c:v>9.2257954680876413</c:v>
                </c:pt>
                <c:pt idx="1">
                  <c:v>17.438073394495412</c:v>
                </c:pt>
                <c:pt idx="2">
                  <c:v>15.535654750879793</c:v>
                </c:pt>
                <c:pt idx="3">
                  <c:v>14.636966615078487</c:v>
                </c:pt>
                <c:pt idx="4">
                  <c:v>13.855721393034825</c:v>
                </c:pt>
                <c:pt idx="5">
                  <c:v>12.222115844901866</c:v>
                </c:pt>
                <c:pt idx="6">
                  <c:v>10.708985085485631</c:v>
                </c:pt>
                <c:pt idx="7">
                  <c:v>10.491504854368932</c:v>
                </c:pt>
                <c:pt idx="8">
                  <c:v>8.6189960274467321</c:v>
                </c:pt>
                <c:pt idx="9">
                  <c:v>7.6136050674745253</c:v>
                </c:pt>
                <c:pt idx="10">
                  <c:v>6.8988435788192328</c:v>
                </c:pt>
                <c:pt idx="11">
                  <c:v>6.5339265850945498</c:v>
                </c:pt>
                <c:pt idx="12">
                  <c:v>6.3313131313131317</c:v>
                </c:pt>
                <c:pt idx="13">
                  <c:v>4.5952912522833369</c:v>
                </c:pt>
                <c:pt idx="14">
                  <c:v>4.6147888818162528</c:v>
                </c:pt>
              </c:numCache>
            </c:numRef>
          </c:val>
        </c:ser>
        <c:dLbls>
          <c:showLegendKey val="0"/>
          <c:showVal val="0"/>
          <c:showCatName val="0"/>
          <c:showSerName val="0"/>
          <c:showPercent val="0"/>
          <c:showBubbleSize val="0"/>
        </c:dLbls>
        <c:gapWidth val="74"/>
        <c:overlap val="-24"/>
        <c:axId val="210097280"/>
        <c:axId val="210098816"/>
      </c:barChart>
      <c:catAx>
        <c:axId val="210097280"/>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210098816"/>
        <c:crosses val="autoZero"/>
        <c:auto val="0"/>
        <c:lblAlgn val="ctr"/>
        <c:lblOffset val="100"/>
        <c:tickLblSkip val="1"/>
        <c:tickMarkSkip val="1"/>
        <c:noMultiLvlLbl val="0"/>
      </c:catAx>
      <c:valAx>
        <c:axId val="210098816"/>
        <c:scaling>
          <c:orientation val="minMax"/>
          <c:max val="20"/>
        </c:scaling>
        <c:delete val="0"/>
        <c:axPos val="b"/>
        <c:majorGridlines>
          <c:spPr>
            <a:ln w="3175">
              <a:solidFill>
                <a:srgbClr val="808080"/>
              </a:solidFill>
              <a:prstDash val="sysDash"/>
            </a:ln>
          </c:spPr>
        </c:majorGridlines>
        <c:numFmt formatCode="0.0" sourceLinked="1"/>
        <c:majorTickMark val="none"/>
        <c:minorTickMark val="none"/>
        <c:tickLblPos val="nextTo"/>
        <c:spPr>
          <a:ln w="3175">
            <a:solidFill>
              <a:srgbClr val="80808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210097280"/>
        <c:crosses val="autoZero"/>
        <c:crossBetween val="between"/>
        <c:majorUnit val="2.5"/>
      </c:valAx>
      <c:spPr>
        <a:solidFill>
          <a:srgbClr val="FFFFFF"/>
        </a:solidFill>
        <a:ln w="12700">
          <a:solidFill>
            <a:srgbClr val="808080"/>
          </a:solidFill>
          <a:prstDash val="solid"/>
        </a:ln>
      </c:spPr>
    </c:plotArea>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130962078016"/>
          <c:y val="3.669724770642202E-2"/>
          <c:w val="0.84421884333423836"/>
          <c:h val="0.81755677939101545"/>
        </c:manualLayout>
      </c:layout>
      <c:lineChart>
        <c:grouping val="standard"/>
        <c:varyColors val="0"/>
        <c:ser>
          <c:idx val="2"/>
          <c:order val="0"/>
          <c:tx>
            <c:strRef>
              <c:f>PNO!$U$71</c:f>
              <c:strCache>
                <c:ptCount val="1"/>
                <c:pt idx="0">
                  <c:v>2010</c:v>
                </c:pt>
              </c:strCache>
            </c:strRef>
          </c:tx>
          <c:spPr>
            <a:ln>
              <a:solidFill>
                <a:srgbClr val="663300"/>
              </a:solidFill>
            </a:ln>
          </c:spPr>
          <c:marker>
            <c:symbol val="x"/>
            <c:size val="5"/>
            <c:spPr>
              <a:noFill/>
              <a:ln>
                <a:solidFill>
                  <a:srgbClr val="663300"/>
                </a:solidFill>
              </a:ln>
            </c:spPr>
          </c:marker>
          <c:val>
            <c:numRef>
              <c:f>PNO!$U$72:$U$83</c:f>
              <c:numCache>
                <c:formatCode>0.0</c:formatCode>
                <c:ptCount val="12"/>
                <c:pt idx="0">
                  <c:v>9.5537437827610159</c:v>
                </c:pt>
                <c:pt idx="1">
                  <c:v>9.667567614479216</c:v>
                </c:pt>
                <c:pt idx="2">
                  <c:v>9.3060769852047116</c:v>
                </c:pt>
                <c:pt idx="3">
                  <c:v>8.4678738585375033</c:v>
                </c:pt>
                <c:pt idx="4">
                  <c:v>8.0214782288307447</c:v>
                </c:pt>
                <c:pt idx="5">
                  <c:v>7.7557623758855794</c:v>
                </c:pt>
                <c:pt idx="6">
                  <c:v>7.8702166428252003</c:v>
                </c:pt>
                <c:pt idx="7">
                  <c:v>7.7952229005444487</c:v>
                </c:pt>
                <c:pt idx="8">
                  <c:v>7.7625052318488237</c:v>
                </c:pt>
                <c:pt idx="9">
                  <c:v>7.6823830541500593</c:v>
                </c:pt>
                <c:pt idx="10">
                  <c:v>7.9463063082161502</c:v>
                </c:pt>
                <c:pt idx="11">
                  <c:v>9.0760955580274025</c:v>
                </c:pt>
              </c:numCache>
            </c:numRef>
          </c:val>
          <c:smooth val="0"/>
        </c:ser>
        <c:ser>
          <c:idx val="1"/>
          <c:order val="1"/>
          <c:tx>
            <c:strRef>
              <c:f>PNO!$V$71</c:f>
              <c:strCache>
                <c:ptCount val="1"/>
                <c:pt idx="0">
                  <c:v>2011</c:v>
                </c:pt>
              </c:strCache>
            </c:strRef>
          </c:tx>
          <c:spPr>
            <a:ln>
              <a:solidFill>
                <a:srgbClr val="33CC33"/>
              </a:solidFill>
            </a:ln>
          </c:spPr>
          <c:marker>
            <c:symbol val="triangle"/>
            <c:size val="5"/>
            <c:spPr>
              <a:solidFill>
                <a:srgbClr val="33CC33"/>
              </a:solidFill>
              <a:ln>
                <a:solidFill>
                  <a:srgbClr val="33CC33"/>
                </a:solidFill>
              </a:ln>
            </c:spPr>
          </c:marker>
          <c:val>
            <c:numRef>
              <c:f>PNO!$V$72:$V$83</c:f>
              <c:numCache>
                <c:formatCode>0.0</c:formatCode>
                <c:ptCount val="12"/>
                <c:pt idx="0">
                  <c:v>9.3957055470619117</c:v>
                </c:pt>
                <c:pt idx="1">
                  <c:v>9.2103127777828675</c:v>
                </c:pt>
                <c:pt idx="2">
                  <c:v>8.7631234039103347</c:v>
                </c:pt>
                <c:pt idx="3">
                  <c:v>8.1072920001990614</c:v>
                </c:pt>
                <c:pt idx="4">
                  <c:v>7.6758863401022071</c:v>
                </c:pt>
                <c:pt idx="5">
                  <c:v>7.4628516730856926</c:v>
                </c:pt>
                <c:pt idx="6">
                  <c:v>7.569474585110024</c:v>
                </c:pt>
                <c:pt idx="7">
                  <c:v>7.4279969147258029</c:v>
                </c:pt>
                <c:pt idx="8">
                  <c:v>7.3755034309142236</c:v>
                </c:pt>
                <c:pt idx="9">
                  <c:v>7.2871692496454061</c:v>
                </c:pt>
                <c:pt idx="10">
                  <c:v>7.4570043177874616</c:v>
                </c:pt>
                <c:pt idx="11">
                  <c:v>8.3326715780254901</c:v>
                </c:pt>
              </c:numCache>
            </c:numRef>
          </c:val>
          <c:smooth val="0"/>
        </c:ser>
        <c:ser>
          <c:idx val="0"/>
          <c:order val="2"/>
          <c:tx>
            <c:strRef>
              <c:f>PNO!$W$71</c:f>
              <c:strCache>
                <c:ptCount val="1"/>
                <c:pt idx="0">
                  <c:v>2012</c:v>
                </c:pt>
              </c:strCache>
            </c:strRef>
          </c:tx>
          <c:spPr>
            <a:ln>
              <a:solidFill>
                <a:srgbClr val="0000FF"/>
              </a:solidFill>
            </a:ln>
          </c:spPr>
          <c:marker>
            <c:symbol val="square"/>
            <c:size val="5"/>
            <c:spPr>
              <a:solidFill>
                <a:srgbClr val="0000FF"/>
              </a:solidFill>
              <a:ln>
                <a:solidFill>
                  <a:srgbClr val="0000FF"/>
                </a:solidFill>
              </a:ln>
            </c:spPr>
          </c:marker>
          <c:val>
            <c:numRef>
              <c:f>PNO!$W$72:$W$83</c:f>
              <c:numCache>
                <c:formatCode>0.0</c:formatCode>
                <c:ptCount val="12"/>
                <c:pt idx="0">
                  <c:v>8.831474178310204</c:v>
                </c:pt>
                <c:pt idx="1">
                  <c:v>8.9679232992624627</c:v>
                </c:pt>
                <c:pt idx="2">
                  <c:v>8.5666283022537755</c:v>
                </c:pt>
                <c:pt idx="3">
                  <c:v>8.0162257533564549</c:v>
                </c:pt>
                <c:pt idx="4">
                  <c:v>7.705124631666191</c:v>
                </c:pt>
                <c:pt idx="5">
                  <c:v>7.4844140528697967</c:v>
                </c:pt>
                <c:pt idx="6">
                  <c:v>7.5841032256554444</c:v>
                </c:pt>
                <c:pt idx="7">
                  <c:v>7.5792589928562348</c:v>
                </c:pt>
                <c:pt idx="8">
                  <c:v>7.6908447742571813</c:v>
                </c:pt>
                <c:pt idx="9">
                  <c:v>7.8076726202446034</c:v>
                </c:pt>
                <c:pt idx="10">
                  <c:v>8.1237566028675303</c:v>
                </c:pt>
                <c:pt idx="11">
                  <c:v>8.9347055460263007</c:v>
                </c:pt>
              </c:numCache>
            </c:numRef>
          </c:val>
          <c:smooth val="0"/>
        </c:ser>
        <c:ser>
          <c:idx val="4"/>
          <c:order val="3"/>
          <c:tx>
            <c:strRef>
              <c:f>PNO!$X$71</c:f>
              <c:strCache>
                <c:ptCount val="1"/>
                <c:pt idx="0">
                  <c:v>2013</c:v>
                </c:pt>
              </c:strCache>
            </c:strRef>
          </c:tx>
          <c:spPr>
            <a:ln>
              <a:solidFill>
                <a:srgbClr val="FF0000"/>
              </a:solidFill>
            </a:ln>
          </c:spPr>
          <c:marker>
            <c:symbol val="diamond"/>
            <c:size val="5"/>
            <c:spPr>
              <a:solidFill>
                <a:srgbClr val="FF0000"/>
              </a:solidFill>
              <a:ln>
                <a:solidFill>
                  <a:srgbClr val="FF0000"/>
                </a:solidFill>
              </a:ln>
            </c:spPr>
          </c:marker>
          <c:val>
            <c:numRef>
              <c:f>PNO!$X$72:$X$83</c:f>
              <c:numCache>
                <c:formatCode>0.0</c:formatCode>
                <c:ptCount val="12"/>
                <c:pt idx="0">
                  <c:v>9.8000000000000007</c:v>
                </c:pt>
                <c:pt idx="1">
                  <c:v>10</c:v>
                </c:pt>
                <c:pt idx="2">
                  <c:v>9.7974644509954167</c:v>
                </c:pt>
                <c:pt idx="3">
                  <c:v>9.1999999999999993</c:v>
                </c:pt>
                <c:pt idx="4">
                  <c:v>8.791193575186929</c:v>
                </c:pt>
                <c:pt idx="5">
                  <c:v>8.531106722562912</c:v>
                </c:pt>
                <c:pt idx="6">
                  <c:v>8.6793578278601338</c:v>
                </c:pt>
                <c:pt idx="7">
                  <c:v>8.6999999999999993</c:v>
                </c:pt>
                <c:pt idx="8">
                  <c:v>8.801130309908741</c:v>
                </c:pt>
                <c:pt idx="9">
                  <c:v>8.806523110022999</c:v>
                </c:pt>
                <c:pt idx="10">
                  <c:v>9</c:v>
                </c:pt>
                <c:pt idx="11">
                  <c:v>9.7858708716038887</c:v>
                </c:pt>
              </c:numCache>
            </c:numRef>
          </c:val>
          <c:smooth val="0"/>
        </c:ser>
        <c:ser>
          <c:idx val="3"/>
          <c:order val="4"/>
          <c:tx>
            <c:strRef>
              <c:f>PNO!$Y$71</c:f>
              <c:strCache>
                <c:ptCount val="1"/>
                <c:pt idx="0">
                  <c:v>2014</c:v>
                </c:pt>
              </c:strCache>
            </c:strRef>
          </c:tx>
          <c:spPr>
            <a:ln>
              <a:solidFill>
                <a:schemeClr val="tx1"/>
              </a:solidFill>
            </a:ln>
          </c:spPr>
          <c:marker>
            <c:symbol val="circle"/>
            <c:size val="5"/>
            <c:spPr>
              <a:noFill/>
              <a:ln>
                <a:solidFill>
                  <a:schemeClr val="tx1"/>
                </a:solidFill>
              </a:ln>
            </c:spPr>
          </c:marker>
          <c:val>
            <c:numRef>
              <c:f>PNO!$Y$72:$Y$83</c:f>
              <c:numCache>
                <c:formatCode>0.0</c:formatCode>
                <c:ptCount val="12"/>
                <c:pt idx="0">
                  <c:v>10.5</c:v>
                </c:pt>
                <c:pt idx="1">
                  <c:v>10.5</c:v>
                </c:pt>
                <c:pt idx="2">
                  <c:v>10.1</c:v>
                </c:pt>
                <c:pt idx="3">
                  <c:v>9.3000000000000007</c:v>
                </c:pt>
                <c:pt idx="4">
                  <c:v>8.8000000000000007</c:v>
                </c:pt>
                <c:pt idx="5">
                  <c:v>8.5</c:v>
                </c:pt>
                <c:pt idx="6">
                  <c:v>8.5759681016105969</c:v>
                </c:pt>
                <c:pt idx="7">
                  <c:v>8.4687163788678212</c:v>
                </c:pt>
                <c:pt idx="8">
                  <c:v>8.3000000000000007</c:v>
                </c:pt>
                <c:pt idx="9">
                  <c:v>8.1999999999999993</c:v>
                </c:pt>
                <c:pt idx="10">
                  <c:v>8.1999999999999993</c:v>
                </c:pt>
                <c:pt idx="11">
                  <c:v>8.8182168828847463</c:v>
                </c:pt>
              </c:numCache>
            </c:numRef>
          </c:val>
          <c:smooth val="0"/>
        </c:ser>
        <c:dLbls>
          <c:showLegendKey val="0"/>
          <c:showVal val="0"/>
          <c:showCatName val="0"/>
          <c:showSerName val="0"/>
          <c:showPercent val="0"/>
          <c:showBubbleSize val="0"/>
        </c:dLbls>
        <c:marker val="1"/>
        <c:smooth val="0"/>
        <c:axId val="174740608"/>
        <c:axId val="210527744"/>
      </c:lineChart>
      <c:catAx>
        <c:axId val="174740608"/>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cs-CZ"/>
                  <a:t>období</a:t>
                </a:r>
              </a:p>
            </c:rich>
          </c:tx>
          <c:layout>
            <c:manualLayout>
              <c:xMode val="edge"/>
              <c:yMode val="edge"/>
              <c:x val="0.50360475289426032"/>
              <c:y val="0.934604099343073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210527744"/>
        <c:crossesAt val="5"/>
        <c:auto val="1"/>
        <c:lblAlgn val="ctr"/>
        <c:lblOffset val="100"/>
        <c:tickLblSkip val="1"/>
        <c:tickMarkSkip val="1"/>
        <c:noMultiLvlLbl val="0"/>
      </c:catAx>
      <c:valAx>
        <c:axId val="210527744"/>
        <c:scaling>
          <c:orientation val="minMax"/>
          <c:max val="11"/>
          <c:min val="6"/>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Podíl nezaměstnaných osob (%)</a:t>
                </a:r>
              </a:p>
            </c:rich>
          </c:tx>
          <c:layout>
            <c:manualLayout>
              <c:xMode val="edge"/>
              <c:yMode val="edge"/>
              <c:x val="1.0074576884785953E-2"/>
              <c:y val="0.1893120781777277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174740608"/>
        <c:crosses val="autoZero"/>
        <c:crossBetween val="midCat"/>
        <c:majorUnit val="1"/>
      </c:valAx>
      <c:spPr>
        <a:solidFill>
          <a:srgbClr val="FFFFFF"/>
        </a:solidFill>
        <a:ln w="12700">
          <a:solidFill>
            <a:srgbClr val="808080"/>
          </a:solidFill>
          <a:prstDash val="solid"/>
        </a:ln>
      </c:spPr>
    </c:plotArea>
    <c:legend>
      <c:legendPos val="r"/>
      <c:layout>
        <c:manualLayout>
          <c:xMode val="edge"/>
          <c:yMode val="edge"/>
          <c:x val="0.23565900392858374"/>
          <c:y val="0.72991329979839259"/>
          <c:w val="0.64341109625238324"/>
          <c:h val="9.8214633612016128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88550677643324"/>
          <c:y val="4.4394448108951899E-2"/>
          <c:w val="0.83804232835360171"/>
          <c:h val="0.87252478015367063"/>
        </c:manualLayout>
      </c:layout>
      <c:barChart>
        <c:barDir val="col"/>
        <c:grouping val="clustered"/>
        <c:varyColors val="0"/>
        <c:ser>
          <c:idx val="2"/>
          <c:order val="0"/>
          <c:tx>
            <c:v>2009</c:v>
          </c:tx>
          <c:spPr>
            <a:solidFill>
              <a:schemeClr val="tx1"/>
            </a:solidFill>
            <a:ln w="12700">
              <a:solidFill>
                <a:srgbClr val="000000"/>
              </a:solidFill>
              <a:prstDash val="solid"/>
            </a:ln>
          </c:spPr>
          <c:invertIfNegative val="0"/>
          <c:cat>
            <c:numRef>
              <c:f>'[1]Okresy Olomouckého kraje'!$P$87:$P$98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'[1]Okresy Olomouckého kraje'!$O$51:$O$62</c:f>
              <c:numCache>
                <c:formatCode>General</c:formatCode>
                <c:ptCount val="12"/>
                <c:pt idx="0">
                  <c:v>2565</c:v>
                </c:pt>
                <c:pt idx="1">
                  <c:v>6376</c:v>
                </c:pt>
                <c:pt idx="2">
                  <c:v>9813</c:v>
                </c:pt>
                <c:pt idx="3">
                  <c:v>12239</c:v>
                </c:pt>
                <c:pt idx="4">
                  <c:v>13593</c:v>
                </c:pt>
                <c:pt idx="5">
                  <c:v>14603</c:v>
                </c:pt>
                <c:pt idx="6">
                  <c:v>15992</c:v>
                </c:pt>
                <c:pt idx="7">
                  <c:v>16463</c:v>
                </c:pt>
                <c:pt idx="8">
                  <c:v>17172</c:v>
                </c:pt>
                <c:pt idx="9">
                  <c:v>17329</c:v>
                </c:pt>
                <c:pt idx="10">
                  <c:v>17578</c:v>
                </c:pt>
                <c:pt idx="11">
                  <c:v>17622</c:v>
                </c:pt>
              </c:numCache>
            </c:numRef>
          </c:val>
        </c:ser>
        <c:ser>
          <c:idx val="3"/>
          <c:order val="1"/>
          <c:tx>
            <c:v>2010</c:v>
          </c:tx>
          <c:spPr>
            <a:solidFill>
              <a:srgbClr val="89AE02"/>
            </a:solidFill>
            <a:ln w="12700">
              <a:solidFill>
                <a:srgbClr val="000000"/>
              </a:solidFill>
              <a:prstDash val="solid"/>
            </a:ln>
          </c:spPr>
          <c:invertIfNegative val="0"/>
          <c:cat>
            <c:numRef>
              <c:f>'[1]Okresy Olomouckého kraje'!$P$87:$P$98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'[1]Okresy Olomouckého kraje'!$O$63:$O$74</c:f>
              <c:numCache>
                <c:formatCode>General</c:formatCode>
                <c:ptCount val="12"/>
                <c:pt idx="0">
                  <c:v>16832</c:v>
                </c:pt>
                <c:pt idx="1">
                  <c:v>14368</c:v>
                </c:pt>
                <c:pt idx="2">
                  <c:v>10927</c:v>
                </c:pt>
                <c:pt idx="3">
                  <c:v>6389</c:v>
                </c:pt>
                <c:pt idx="4">
                  <c:v>4301</c:v>
                </c:pt>
                <c:pt idx="5">
                  <c:v>2398</c:v>
                </c:pt>
                <c:pt idx="6">
                  <c:v>458</c:v>
                </c:pt>
                <c:pt idx="7">
                  <c:v>-421</c:v>
                </c:pt>
                <c:pt idx="8">
                  <c:v>-1291</c:v>
                </c:pt>
                <c:pt idx="9">
                  <c:v>-1599</c:v>
                </c:pt>
                <c:pt idx="10">
                  <c:v>-1179</c:v>
                </c:pt>
                <c:pt idx="11">
                  <c:v>1025</c:v>
                </c:pt>
              </c:numCache>
            </c:numRef>
          </c:val>
        </c:ser>
        <c:ser>
          <c:idx val="4"/>
          <c:order val="2"/>
          <c:tx>
            <c:v>2011</c:v>
          </c:tx>
          <c:spPr>
            <a:solidFill>
              <a:srgbClr val="0000FF"/>
            </a:solidFill>
            <a:ln>
              <a:solidFill>
                <a:schemeClr val="tx1"/>
              </a:solidFill>
            </a:ln>
          </c:spPr>
          <c:invertIfNegative val="0"/>
          <c:cat>
            <c:numRef>
              <c:f>'[1]Okresy Olomouckého kraje'!$P$87:$P$98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'[1]Okresy Olomouckého kraje'!$O$75:$O$86</c:f>
              <c:numCache>
                <c:formatCode>General</c:formatCode>
                <c:ptCount val="12"/>
                <c:pt idx="0">
                  <c:v>-952</c:v>
                </c:pt>
                <c:pt idx="1">
                  <c:v>-2132</c:v>
                </c:pt>
                <c:pt idx="2">
                  <c:v>-2497</c:v>
                </c:pt>
                <c:pt idx="3">
                  <c:v>-1880</c:v>
                </c:pt>
                <c:pt idx="4">
                  <c:v>-2063</c:v>
                </c:pt>
                <c:pt idx="5">
                  <c:v>-1930</c:v>
                </c:pt>
                <c:pt idx="6">
                  <c:v>-1768</c:v>
                </c:pt>
                <c:pt idx="7">
                  <c:v>-2036</c:v>
                </c:pt>
                <c:pt idx="8">
                  <c:v>-2158</c:v>
                </c:pt>
                <c:pt idx="9">
                  <c:v>-1954</c:v>
                </c:pt>
                <c:pt idx="10">
                  <c:v>-2535</c:v>
                </c:pt>
                <c:pt idx="11">
                  <c:v>-3998</c:v>
                </c:pt>
              </c:numCache>
            </c:numRef>
          </c:val>
        </c:ser>
        <c:ser>
          <c:idx val="0"/>
          <c:order val="3"/>
          <c:tx>
            <c:v>2012</c:v>
          </c:tx>
          <c:spPr>
            <a:solidFill>
              <a:srgbClr val="FF0000"/>
            </a:solidFill>
            <a:ln>
              <a:solidFill>
                <a:schemeClr val="tx1"/>
              </a:solidFill>
            </a:ln>
          </c:spPr>
          <c:invertIfNegative val="0"/>
          <c:cat>
            <c:numRef>
              <c:f>'[1]Okresy Olomouckého kraje'!$P$87:$P$98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'[1]Okresy Olomouckého kraje'!$O$87:$O$98</c:f>
              <c:numCache>
                <c:formatCode>General</c:formatCode>
                <c:ptCount val="12"/>
                <c:pt idx="0">
                  <c:v>-2853</c:v>
                </c:pt>
                <c:pt idx="1">
                  <c:v>-1785</c:v>
                </c:pt>
                <c:pt idx="2">
                  <c:v>-1517</c:v>
                </c:pt>
                <c:pt idx="3">
                  <c:v>-983</c:v>
                </c:pt>
                <c:pt idx="4">
                  <c:v>-311</c:v>
                </c:pt>
                <c:pt idx="5">
                  <c:v>-162</c:v>
                </c:pt>
                <c:pt idx="6">
                  <c:v>-135</c:v>
                </c:pt>
                <c:pt idx="7">
                  <c:v>478</c:v>
                </c:pt>
                <c:pt idx="8">
                  <c:v>1090</c:v>
                </c:pt>
                <c:pt idx="9">
                  <c:v>1855</c:v>
                </c:pt>
                <c:pt idx="10">
                  <c:v>2393</c:v>
                </c:pt>
                <c:pt idx="11">
                  <c:v>2223</c:v>
                </c:pt>
              </c:numCache>
            </c:numRef>
          </c:val>
        </c:ser>
        <c:ser>
          <c:idx val="5"/>
          <c:order val="4"/>
          <c:tx>
            <c:v>2013</c:v>
          </c:tx>
          <c:spPr>
            <a:ln>
              <a:solidFill>
                <a:schemeClr val="tx1"/>
              </a:solidFill>
            </a:ln>
          </c:spPr>
          <c:invertIfNegative val="0"/>
          <c:val>
            <c:numRef>
              <c:f>'[1]Okresy Olomouckého kraje'!$O$99:$O$110</c:f>
              <c:numCache>
                <c:formatCode>General</c:formatCode>
                <c:ptCount val="12"/>
                <c:pt idx="0">
                  <c:v>3613</c:v>
                </c:pt>
                <c:pt idx="1">
                  <c:v>3609</c:v>
                </c:pt>
                <c:pt idx="2">
                  <c:v>4560</c:v>
                </c:pt>
                <c:pt idx="3">
                  <c:v>4507</c:v>
                </c:pt>
                <c:pt idx="4">
                  <c:v>3977</c:v>
                </c:pt>
                <c:pt idx="5">
                  <c:v>4126</c:v>
                </c:pt>
                <c:pt idx="6">
                  <c:v>4242</c:v>
                </c:pt>
                <c:pt idx="7">
                  <c:v>4256</c:v>
                </c:pt>
                <c:pt idx="8">
                  <c:v>4277</c:v>
                </c:pt>
                <c:pt idx="9">
                  <c:v>3752</c:v>
                </c:pt>
                <c:pt idx="10">
                  <c:v>3274</c:v>
                </c:pt>
                <c:pt idx="11">
                  <c:v>3022</c:v>
                </c:pt>
              </c:numCache>
            </c:numRef>
          </c:val>
        </c:ser>
        <c:ser>
          <c:idx val="6"/>
          <c:order val="5"/>
          <c:tx>
            <c:v>2014</c:v>
          </c:tx>
          <c:spPr>
            <a:solidFill>
              <a:srgbClr val="FFFF00"/>
            </a:solidFill>
            <a:ln>
              <a:solidFill>
                <a:schemeClr val="tx1"/>
              </a:solidFill>
            </a:ln>
          </c:spPr>
          <c:invertIfNegative val="0"/>
          <c:val>
            <c:numRef>
              <c:f>'[1]Okresy Olomouckého kraje'!$O$111:$O$122</c:f>
              <c:numCache>
                <c:formatCode>General</c:formatCode>
                <c:ptCount val="12"/>
                <c:pt idx="0">
                  <c:v>2430</c:v>
                </c:pt>
                <c:pt idx="1">
                  <c:v>1759</c:v>
                </c:pt>
                <c:pt idx="2">
                  <c:v>836</c:v>
                </c:pt>
                <c:pt idx="3">
                  <c:v>171</c:v>
                </c:pt>
                <c:pt idx="4">
                  <c:v>-134</c:v>
                </c:pt>
                <c:pt idx="5">
                  <c:v>-244</c:v>
                </c:pt>
                <c:pt idx="6">
                  <c:v>-667</c:v>
                </c:pt>
                <c:pt idx="7">
                  <c:v>-1294</c:v>
                </c:pt>
                <c:pt idx="8">
                  <c:v>-2180</c:v>
                </c:pt>
                <c:pt idx="9">
                  <c:v>-2816</c:v>
                </c:pt>
                <c:pt idx="10">
                  <c:v>-3699</c:v>
                </c:pt>
                <c:pt idx="11">
                  <c:v>-4374</c:v>
                </c:pt>
              </c:numCache>
            </c:numRef>
          </c:val>
        </c:ser>
        <c:dLbls>
          <c:showLegendKey val="0"/>
          <c:showVal val="0"/>
          <c:showCatName val="0"/>
          <c:showSerName val="0"/>
          <c:showPercent val="0"/>
          <c:showBubbleSize val="0"/>
        </c:dLbls>
        <c:gapWidth val="140"/>
        <c:axId val="179874816"/>
        <c:axId val="210093184"/>
      </c:barChart>
      <c:catAx>
        <c:axId val="179874816"/>
        <c:scaling>
          <c:orientation val="minMax"/>
        </c:scaling>
        <c:delete val="0"/>
        <c:axPos val="b"/>
        <c:title>
          <c:tx>
            <c:rich>
              <a:bodyPr/>
              <a:lstStyle/>
              <a:p>
                <a:pPr>
                  <a:defRPr sz="1100" b="1" i="0" u="none" strike="noStrike" baseline="0">
                    <a:solidFill>
                      <a:srgbClr val="000000"/>
                    </a:solidFill>
                    <a:latin typeface="+mn-lt"/>
                    <a:ea typeface="Times New Roman"/>
                    <a:cs typeface="Times New Roman"/>
                  </a:defRPr>
                </a:pPr>
                <a:r>
                  <a:rPr lang="cs-CZ">
                    <a:latin typeface="+mn-lt"/>
                  </a:rPr>
                  <a:t>měsíce</a:t>
                </a:r>
              </a:p>
            </c:rich>
          </c:tx>
          <c:layout>
            <c:manualLayout>
              <c:xMode val="edge"/>
              <c:yMode val="edge"/>
              <c:x val="0.50032292456102045"/>
              <c:y val="0.93187117492666349"/>
            </c:manualLayout>
          </c:layout>
          <c:overlay val="0"/>
          <c:spPr>
            <a:noFill/>
            <a:ln w="25400">
              <a:noFill/>
            </a:ln>
          </c:spPr>
        </c:title>
        <c:numFmt formatCode="General" sourceLinked="0"/>
        <c:majorTickMark val="in"/>
        <c:minorTickMark val="none"/>
        <c:tickLblPos val="nextTo"/>
        <c:spPr>
          <a:ln w="12700">
            <a:solidFill>
              <a:srgbClr val="000000"/>
            </a:solidFill>
            <a:prstDash val="solid"/>
          </a:ln>
        </c:spPr>
        <c:txPr>
          <a:bodyPr rot="0" vert="horz"/>
          <a:lstStyle/>
          <a:p>
            <a:pPr rtl="1">
              <a:defRPr sz="1100" b="1" i="0" u="none" strike="noStrike" baseline="0">
                <a:solidFill>
                  <a:srgbClr val="000000"/>
                </a:solidFill>
                <a:latin typeface="Times New Roman"/>
                <a:ea typeface="Times New Roman"/>
                <a:cs typeface="Times New Roman"/>
              </a:defRPr>
            </a:pPr>
            <a:endParaRPr lang="cs-CZ"/>
          </a:p>
        </c:txPr>
        <c:crossAx val="210093184"/>
        <c:crossesAt val="0"/>
        <c:auto val="1"/>
        <c:lblAlgn val="ctr"/>
        <c:lblOffset val="820"/>
        <c:tickLblSkip val="1"/>
        <c:tickMarkSkip val="1"/>
        <c:noMultiLvlLbl val="0"/>
      </c:catAx>
      <c:valAx>
        <c:axId val="210093184"/>
        <c:scaling>
          <c:orientation val="minMax"/>
          <c:max val="18000"/>
          <c:min val="-9000"/>
        </c:scaling>
        <c:delete val="0"/>
        <c:axPos val="l"/>
        <c:majorGridlines>
          <c:spPr>
            <a:ln w="3175">
              <a:solidFill>
                <a:srgbClr val="000000"/>
              </a:solidFill>
              <a:prstDash val="dash"/>
            </a:ln>
          </c:spPr>
        </c:majorGridlines>
        <c:minorGridlines>
          <c:spPr>
            <a:ln>
              <a:solidFill>
                <a:schemeClr val="bg1">
                  <a:lumMod val="75000"/>
                </a:schemeClr>
              </a:solidFill>
              <a:prstDash val="sysDash"/>
            </a:ln>
          </c:spPr>
        </c:minorGridlines>
        <c:title>
          <c:tx>
            <c:rich>
              <a:bodyPr/>
              <a:lstStyle/>
              <a:p>
                <a:pPr>
                  <a:defRPr sz="1100" b="1" i="0" u="none" strike="noStrike" baseline="0">
                    <a:solidFill>
                      <a:srgbClr val="000000"/>
                    </a:solidFill>
                    <a:latin typeface="+mn-lt"/>
                    <a:ea typeface="Times New Roman"/>
                    <a:cs typeface="Times New Roman"/>
                  </a:defRPr>
                </a:pPr>
                <a:r>
                  <a:rPr lang="cs-CZ">
                    <a:latin typeface="+mn-lt"/>
                  </a:rPr>
                  <a:t>uchazeči o zaměstnání - meziroční změna </a:t>
                </a:r>
              </a:p>
            </c:rich>
          </c:tx>
          <c:layout>
            <c:manualLayout>
              <c:xMode val="edge"/>
              <c:yMode val="edge"/>
              <c:x val="8.2100422602150256E-3"/>
              <c:y val="0.131430971128608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mn-lt"/>
                <a:ea typeface="Times New Roman"/>
                <a:cs typeface="Times New Roman"/>
              </a:defRPr>
            </a:pPr>
            <a:endParaRPr lang="cs-CZ"/>
          </a:p>
        </c:txPr>
        <c:crossAx val="179874816"/>
        <c:crosses val="autoZero"/>
        <c:crossBetween val="between"/>
        <c:majorUnit val="2000"/>
        <c:minorUnit val="1000"/>
      </c:valAx>
      <c:spPr>
        <a:solidFill>
          <a:srgbClr val="FFFFFF"/>
        </a:solidFill>
        <a:ln w="12700">
          <a:solidFill>
            <a:srgbClr val="000000"/>
          </a:solidFill>
          <a:prstDash val="solid"/>
        </a:ln>
      </c:spPr>
    </c:plotArea>
    <c:legend>
      <c:legendPos val="r"/>
      <c:layout>
        <c:manualLayout>
          <c:xMode val="edge"/>
          <c:yMode val="edge"/>
          <c:x val="0.39322966668404474"/>
          <c:y val="0.78727395039898196"/>
          <c:w val="0.30598997241970372"/>
          <c:h val="0.10545470929131859"/>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mn-lt"/>
              <a:ea typeface="Times New Roman"/>
              <a:cs typeface="Times New Roman"/>
            </a:defRPr>
          </a:pPr>
          <a:endParaRPr lang="cs-CZ"/>
        </a:p>
      </c:txPr>
    </c:legend>
    <c:plotVisOnly val="1"/>
    <c:dispBlanksAs val="gap"/>
    <c:showDLblsOverMax val="0"/>
  </c:chart>
  <c:spPr>
    <a:solidFill>
      <a:srgbClr val="FFFFFF"/>
    </a:solidFill>
    <a:ln w="3175">
      <a:solidFill>
        <a:srgbClr val="FFFFFF"/>
      </a:solidFill>
      <a:prstDash val="solid"/>
    </a:ln>
  </c:spPr>
  <c:txPr>
    <a:bodyPr/>
    <a:lstStyle/>
    <a:p>
      <a:pPr>
        <a:defRPr sz="165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120094143161682E-2"/>
          <c:y val="0.12673461549013693"/>
          <c:w val="0.52622176629329775"/>
          <c:h val="0.7810817855085187"/>
        </c:manualLayout>
      </c:layout>
      <c:pieChart>
        <c:varyColors val="1"/>
        <c:ser>
          <c:idx val="0"/>
          <c:order val="0"/>
          <c:spPr>
            <a:solidFill>
              <a:srgbClr val="00FF00"/>
            </a:solidFill>
            <a:ln w="12700">
              <a:solidFill>
                <a:srgbClr val="000000"/>
              </a:solidFill>
              <a:prstDash val="solid"/>
            </a:ln>
          </c:spPr>
          <c:dPt>
            <c:idx val="0"/>
            <c:bubble3D val="0"/>
          </c:dPt>
          <c:dPt>
            <c:idx val="1"/>
            <c:bubble3D val="0"/>
            <c:spPr>
              <a:solidFill>
                <a:srgbClr val="009900"/>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0066FF"/>
              </a:solidFill>
              <a:ln w="12700">
                <a:solidFill>
                  <a:srgbClr val="000000"/>
                </a:solidFill>
                <a:prstDash val="solid"/>
              </a:ln>
            </c:spPr>
          </c:dPt>
          <c:dPt>
            <c:idx val="4"/>
            <c:bubble3D val="0"/>
            <c:spPr>
              <a:solidFill>
                <a:srgbClr val="FF0000"/>
              </a:solidFill>
              <a:ln w="12700">
                <a:solidFill>
                  <a:srgbClr val="000000"/>
                </a:solidFill>
                <a:prstDash val="solid"/>
              </a:ln>
            </c:spPr>
          </c:dPt>
          <c:dPt>
            <c:idx val="5"/>
            <c:bubble3D val="0"/>
            <c:spPr>
              <a:solidFill>
                <a:srgbClr val="990000"/>
              </a:solidFill>
              <a:ln w="12700">
                <a:solidFill>
                  <a:srgbClr val="000000"/>
                </a:solidFill>
                <a:prstDash val="solid"/>
              </a:ln>
            </c:spPr>
          </c:dPt>
          <c:dLbls>
            <c:dLbl>
              <c:idx val="0"/>
              <c:layout>
                <c:manualLayout>
                  <c:x val="-0.14935429387847868"/>
                  <c:y val="0.14741985204967906"/>
                </c:manualLayout>
              </c:layout>
              <c:dLblPos val="bestFit"/>
              <c:showLegendKey val="0"/>
              <c:showVal val="1"/>
              <c:showCatName val="0"/>
              <c:showSerName val="0"/>
              <c:showPercent val="0"/>
              <c:showBubbleSize val="0"/>
            </c:dLbl>
            <c:dLbl>
              <c:idx val="2"/>
              <c:layout>
                <c:manualLayout>
                  <c:x val="-8.5072943216169761E-2"/>
                  <c:y val="-0.13897412144748875"/>
                </c:manualLayout>
              </c:layout>
              <c:dLblPos val="bestFit"/>
              <c:showLegendKey val="0"/>
              <c:showVal val="1"/>
              <c:showCatName val="0"/>
              <c:showSerName val="0"/>
              <c:showPercent val="0"/>
              <c:showBubbleSize val="0"/>
            </c:dLbl>
            <c:dLbl>
              <c:idx val="3"/>
              <c:layout>
                <c:manualLayout>
                  <c:x val="1.0636405743399722E-2"/>
                  <c:y val="-9.6990471437408601E-3"/>
                </c:manualLayout>
              </c:layout>
              <c:dLblPos val="bestFit"/>
              <c:showLegendKey val="0"/>
              <c:showVal val="1"/>
              <c:showCatName val="0"/>
              <c:showSerName val="0"/>
              <c:showPercent val="0"/>
              <c:showBubbleSize val="0"/>
            </c:dLbl>
            <c:dLbl>
              <c:idx val="5"/>
              <c:layout>
                <c:manualLayout>
                  <c:x val="0.13266419088877882"/>
                  <c:y val="0.18173810567637466"/>
                </c:manualLayout>
              </c:layout>
              <c:dLblPos val="bestFi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mn-lt"/>
                    <a:ea typeface="Times New Roman"/>
                    <a:cs typeface="Times New Roman"/>
                  </a:defRPr>
                </a:pPr>
                <a:endParaRPr lang="cs-CZ"/>
              </a:p>
            </c:txPr>
            <c:showLegendKey val="0"/>
            <c:showVal val="1"/>
            <c:showCatName val="0"/>
            <c:showSerName val="0"/>
            <c:showPercent val="0"/>
            <c:showBubbleSize val="0"/>
            <c:showLeaderLines val="1"/>
          </c:dLbls>
          <c:cat>
            <c:strRef>
              <c:f>List2!$O$35:$O$40</c:f>
              <c:strCache>
                <c:ptCount val="6"/>
                <c:pt idx="0">
                  <c:v>do 3 měsíců</c:v>
                </c:pt>
                <c:pt idx="1">
                  <c:v>3 – 6 měsíců</c:v>
                </c:pt>
                <c:pt idx="2">
                  <c:v>6 – 9 měsíců</c:v>
                </c:pt>
                <c:pt idx="3">
                  <c:v>9 – 12 měsíců</c:v>
                </c:pt>
                <c:pt idx="4">
                  <c:v>12 – 24 měsíců</c:v>
                </c:pt>
                <c:pt idx="5">
                  <c:v>nad 24 měsíců</c:v>
                </c:pt>
              </c:strCache>
            </c:strRef>
          </c:cat>
          <c:val>
            <c:numRef>
              <c:f>List2!$P$35:$P$40</c:f>
              <c:numCache>
                <c:formatCode>0.0%</c:formatCode>
                <c:ptCount val="6"/>
                <c:pt idx="0">
                  <c:v>0.252</c:v>
                </c:pt>
                <c:pt idx="1">
                  <c:v>0.14099999999999999</c:v>
                </c:pt>
                <c:pt idx="2">
                  <c:v>7.9000000000000001E-2</c:v>
                </c:pt>
                <c:pt idx="3">
                  <c:v>7.4999999999999997E-2</c:v>
                </c:pt>
                <c:pt idx="4">
                  <c:v>0.16900000000000001</c:v>
                </c:pt>
                <c:pt idx="5">
                  <c:v>0.28299999999999997</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2441565050842762"/>
          <c:y val="0.1463418368779183"/>
          <c:w val="0.34037695234481963"/>
          <c:h val="0.6829285720969521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mn-lt"/>
              <a:ea typeface="Times New Roman"/>
              <a:cs typeface="Times New Roman"/>
            </a:defRPr>
          </a:pPr>
          <a:endParaRPr lang="cs-CZ"/>
        </a:p>
      </c:txPr>
    </c:legend>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5576005453306"/>
          <c:y val="3.669724770642202E-2"/>
          <c:w val="0.81663258350374912"/>
          <c:h val="0.81755677939101545"/>
        </c:manualLayout>
      </c:layout>
      <c:lineChart>
        <c:grouping val="standard"/>
        <c:varyColors val="0"/>
        <c:ser>
          <c:idx val="3"/>
          <c:order val="0"/>
          <c:tx>
            <c:strRef>
              <c:f>PNO!$U$1</c:f>
              <c:strCache>
                <c:ptCount val="1"/>
                <c:pt idx="0">
                  <c:v>2010</c:v>
                </c:pt>
              </c:strCache>
            </c:strRef>
          </c:tx>
          <c:spPr>
            <a:ln>
              <a:solidFill>
                <a:srgbClr val="663300"/>
              </a:solidFill>
            </a:ln>
          </c:spPr>
          <c:marker>
            <c:symbol val="x"/>
            <c:size val="5"/>
            <c:spPr>
              <a:noFill/>
              <a:ln>
                <a:solidFill>
                  <a:srgbClr val="663300"/>
                </a:solidFill>
              </a:ln>
            </c:spPr>
          </c:marker>
          <c:val>
            <c:numRef>
              <c:f>PNO!$U$2:$U$13</c:f>
              <c:numCache>
                <c:formatCode>0.0</c:formatCode>
                <c:ptCount val="12"/>
                <c:pt idx="0">
                  <c:v>12.660905776125844</c:v>
                </c:pt>
                <c:pt idx="1">
                  <c:v>12.775815762366527</c:v>
                </c:pt>
                <c:pt idx="2">
                  <c:v>12.425794633467891</c:v>
                </c:pt>
                <c:pt idx="3">
                  <c:v>10.322674226150413</c:v>
                </c:pt>
                <c:pt idx="4">
                  <c:v>9.6293965287695773</c:v>
                </c:pt>
                <c:pt idx="5">
                  <c:v>9.0121317157712308</c:v>
                </c:pt>
                <c:pt idx="6">
                  <c:v>8.8763743591269364</c:v>
                </c:pt>
                <c:pt idx="7">
                  <c:v>8.7145511482524682</c:v>
                </c:pt>
                <c:pt idx="8">
                  <c:v>8.6061803686416134</c:v>
                </c:pt>
                <c:pt idx="9">
                  <c:v>9.382723960034653</c:v>
                </c:pt>
                <c:pt idx="10">
                  <c:v>11.057997408542338</c:v>
                </c:pt>
                <c:pt idx="11">
                  <c:v>13.191721504313136</c:v>
                </c:pt>
              </c:numCache>
            </c:numRef>
          </c:val>
          <c:smooth val="0"/>
        </c:ser>
        <c:ser>
          <c:idx val="2"/>
          <c:order val="1"/>
          <c:tx>
            <c:strRef>
              <c:f>PNO!$V$1</c:f>
              <c:strCache>
                <c:ptCount val="1"/>
                <c:pt idx="0">
                  <c:v>2011</c:v>
                </c:pt>
              </c:strCache>
            </c:strRef>
          </c:tx>
          <c:spPr>
            <a:ln>
              <a:solidFill>
                <a:srgbClr val="33CC33"/>
              </a:solidFill>
            </a:ln>
          </c:spPr>
          <c:marker>
            <c:symbol val="triangle"/>
            <c:size val="5"/>
            <c:spPr>
              <a:solidFill>
                <a:srgbClr val="33CC33"/>
              </a:solidFill>
              <a:ln>
                <a:solidFill>
                  <a:srgbClr val="33CC33"/>
                </a:solidFill>
              </a:ln>
            </c:spPr>
          </c:marker>
          <c:val>
            <c:numRef>
              <c:f>PNO!$V$2:$V$13</c:f>
              <c:numCache>
                <c:formatCode>0.0</c:formatCode>
                <c:ptCount val="12"/>
                <c:pt idx="0">
                  <c:v>14.014920150042515</c:v>
                </c:pt>
                <c:pt idx="1">
                  <c:v>13.622432919074779</c:v>
                </c:pt>
                <c:pt idx="2">
                  <c:v>12.722779170147591</c:v>
                </c:pt>
                <c:pt idx="3">
                  <c:v>10.689973352175384</c:v>
                </c:pt>
                <c:pt idx="4">
                  <c:v>9.6075334402651809</c:v>
                </c:pt>
                <c:pt idx="5">
                  <c:v>9.1657653257039193</c:v>
                </c:pt>
                <c:pt idx="6">
                  <c:v>9.0364604376742577</c:v>
                </c:pt>
                <c:pt idx="7">
                  <c:v>8.5347453938778468</c:v>
                </c:pt>
                <c:pt idx="8">
                  <c:v>8.5367134703596061</c:v>
                </c:pt>
                <c:pt idx="9">
                  <c:v>8.4289335098296245</c:v>
                </c:pt>
                <c:pt idx="10">
                  <c:v>9.498475228423727</c:v>
                </c:pt>
                <c:pt idx="11">
                  <c:v>11.372246386979093</c:v>
                </c:pt>
              </c:numCache>
            </c:numRef>
          </c:val>
          <c:smooth val="0"/>
        </c:ser>
        <c:ser>
          <c:idx val="1"/>
          <c:order val="2"/>
          <c:tx>
            <c:strRef>
              <c:f>PNO!$W$1</c:f>
              <c:strCache>
                <c:ptCount val="1"/>
                <c:pt idx="0">
                  <c:v>2012</c:v>
                </c:pt>
              </c:strCache>
            </c:strRef>
          </c:tx>
          <c:spPr>
            <a:ln>
              <a:solidFill>
                <a:srgbClr val="0000FF"/>
              </a:solidFill>
            </a:ln>
          </c:spPr>
          <c:marker>
            <c:symbol val="square"/>
            <c:size val="5"/>
            <c:spPr>
              <a:solidFill>
                <a:srgbClr val="0000FF"/>
              </a:solidFill>
              <a:ln>
                <a:solidFill>
                  <a:srgbClr val="0000FF"/>
                </a:solidFill>
              </a:ln>
            </c:spPr>
          </c:marker>
          <c:val>
            <c:numRef>
              <c:f>PNO!$W$2:$W$13</c:f>
              <c:numCache>
                <c:formatCode>0.0</c:formatCode>
                <c:ptCount val="12"/>
                <c:pt idx="0">
                  <c:v>12.43926282780606</c:v>
                </c:pt>
                <c:pt idx="1">
                  <c:v>12.483170665854143</c:v>
                </c:pt>
                <c:pt idx="2">
                  <c:v>11.992001627148159</c:v>
                </c:pt>
                <c:pt idx="3">
                  <c:v>10.77931354249124</c:v>
                </c:pt>
                <c:pt idx="4">
                  <c:v>9.9565557898706825</c:v>
                </c:pt>
                <c:pt idx="5">
                  <c:v>9.1264247502517986</c:v>
                </c:pt>
                <c:pt idx="6">
                  <c:v>8.951530040833438</c:v>
                </c:pt>
                <c:pt idx="7">
                  <c:v>8.7966690131482874</c:v>
                </c:pt>
                <c:pt idx="8">
                  <c:v>8.9069257574702867</c:v>
                </c:pt>
                <c:pt idx="9">
                  <c:v>9.0097114907492735</c:v>
                </c:pt>
                <c:pt idx="10">
                  <c:v>10.028378857750976</c:v>
                </c:pt>
                <c:pt idx="11">
                  <c:v>11.703409654781314</c:v>
                </c:pt>
              </c:numCache>
            </c:numRef>
          </c:val>
          <c:smooth val="0"/>
        </c:ser>
        <c:ser>
          <c:idx val="0"/>
          <c:order val="3"/>
          <c:tx>
            <c:strRef>
              <c:f>PNO!$X$1</c:f>
              <c:strCache>
                <c:ptCount val="1"/>
                <c:pt idx="0">
                  <c:v>2013</c:v>
                </c:pt>
              </c:strCache>
            </c:strRef>
          </c:tx>
          <c:spPr>
            <a:ln>
              <a:solidFill>
                <a:srgbClr val="FF0000"/>
              </a:solidFill>
            </a:ln>
          </c:spPr>
          <c:marker>
            <c:spPr>
              <a:solidFill>
                <a:srgbClr val="FF0000"/>
              </a:solidFill>
              <a:ln>
                <a:solidFill>
                  <a:srgbClr val="FF0000"/>
                </a:solidFill>
              </a:ln>
            </c:spPr>
          </c:marker>
          <c:val>
            <c:numRef>
              <c:f>PNO!$X$2:$X$13</c:f>
              <c:numCache>
                <c:formatCode>0.0</c:formatCode>
                <c:ptCount val="12"/>
                <c:pt idx="0">
                  <c:v>13.285445041072508</c:v>
                </c:pt>
                <c:pt idx="1">
                  <c:v>13.7</c:v>
                </c:pt>
                <c:pt idx="2">
                  <c:v>13.713877987870138</c:v>
                </c:pt>
                <c:pt idx="3">
                  <c:v>11.952019019487771</c:v>
                </c:pt>
                <c:pt idx="4">
                  <c:v>10.630176449405834</c:v>
                </c:pt>
                <c:pt idx="5">
                  <c:v>9.9682745691830714</c:v>
                </c:pt>
                <c:pt idx="6">
                  <c:v>9.5788067997257009</c:v>
                </c:pt>
                <c:pt idx="7">
                  <c:v>9.5002348859899541</c:v>
                </c:pt>
                <c:pt idx="8">
                  <c:v>9.5760075247811294</c:v>
                </c:pt>
                <c:pt idx="9">
                  <c:v>9.7649317251620857</c:v>
                </c:pt>
                <c:pt idx="10">
                  <c:v>10.6</c:v>
                </c:pt>
                <c:pt idx="11">
                  <c:v>11.883677708538318</c:v>
                </c:pt>
              </c:numCache>
            </c:numRef>
          </c:val>
          <c:smooth val="0"/>
        </c:ser>
        <c:ser>
          <c:idx val="4"/>
          <c:order val="4"/>
          <c:tx>
            <c:strRef>
              <c:f>PNO!$Y$1</c:f>
              <c:strCache>
                <c:ptCount val="1"/>
                <c:pt idx="0">
                  <c:v>2014</c:v>
                </c:pt>
              </c:strCache>
            </c:strRef>
          </c:tx>
          <c:spPr>
            <a:ln>
              <a:solidFill>
                <a:schemeClr val="tx1"/>
              </a:solidFill>
            </a:ln>
          </c:spPr>
          <c:marker>
            <c:symbol val="circle"/>
            <c:size val="5"/>
            <c:spPr>
              <a:noFill/>
              <a:ln>
                <a:solidFill>
                  <a:schemeClr val="tx1"/>
                </a:solidFill>
              </a:ln>
            </c:spPr>
          </c:marker>
          <c:val>
            <c:numRef>
              <c:f>PNO!$Y$2:$Y$13</c:f>
              <c:numCache>
                <c:formatCode>0.0</c:formatCode>
                <c:ptCount val="12"/>
                <c:pt idx="0">
                  <c:v>14.6</c:v>
                </c:pt>
                <c:pt idx="1">
                  <c:v>14.5</c:v>
                </c:pt>
                <c:pt idx="2">
                  <c:v>13.6</c:v>
                </c:pt>
                <c:pt idx="3">
                  <c:v>11.6</c:v>
                </c:pt>
                <c:pt idx="4">
                  <c:v>10.356474173060686</c:v>
                </c:pt>
                <c:pt idx="5">
                  <c:v>9.6999999999999993</c:v>
                </c:pt>
                <c:pt idx="6">
                  <c:v>9.4053934571175937</c:v>
                </c:pt>
                <c:pt idx="7">
                  <c:v>9.0590146982790465</c:v>
                </c:pt>
                <c:pt idx="8">
                  <c:v>8.8413731873335308</c:v>
                </c:pt>
                <c:pt idx="9">
                  <c:v>8.8000000000000007</c:v>
                </c:pt>
                <c:pt idx="10">
                  <c:v>9.4</c:v>
                </c:pt>
                <c:pt idx="11">
                  <c:v>10.693598693004605</c:v>
                </c:pt>
              </c:numCache>
            </c:numRef>
          </c:val>
          <c:smooth val="0"/>
        </c:ser>
        <c:dLbls>
          <c:showLegendKey val="0"/>
          <c:showVal val="0"/>
          <c:showCatName val="0"/>
          <c:showSerName val="0"/>
          <c:showPercent val="0"/>
          <c:showBubbleSize val="0"/>
        </c:dLbls>
        <c:marker val="1"/>
        <c:smooth val="0"/>
        <c:axId val="179855744"/>
        <c:axId val="179858048"/>
      </c:lineChart>
      <c:catAx>
        <c:axId val="179855744"/>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cs-CZ"/>
                  <a:t>období</a:t>
                </a:r>
              </a:p>
            </c:rich>
          </c:tx>
          <c:layout>
            <c:manualLayout>
              <c:xMode val="edge"/>
              <c:yMode val="edge"/>
              <c:x val="0.50360475289426032"/>
              <c:y val="0.934604099343073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Calibri"/>
                <a:ea typeface="Calibri"/>
                <a:cs typeface="Calibri"/>
              </a:defRPr>
            </a:pPr>
            <a:endParaRPr lang="cs-CZ"/>
          </a:p>
        </c:txPr>
        <c:crossAx val="179858048"/>
        <c:crossesAt val="5"/>
        <c:auto val="1"/>
        <c:lblAlgn val="ctr"/>
        <c:lblOffset val="100"/>
        <c:tickLblSkip val="1"/>
        <c:tickMarkSkip val="1"/>
        <c:noMultiLvlLbl val="0"/>
      </c:catAx>
      <c:valAx>
        <c:axId val="179858048"/>
        <c:scaling>
          <c:orientation val="minMax"/>
          <c:max val="15"/>
          <c:min val="7"/>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Podíl nezaměstnaných osob (%)</a:t>
                </a:r>
              </a:p>
            </c:rich>
          </c:tx>
          <c:layout>
            <c:manualLayout>
              <c:xMode val="edge"/>
              <c:yMode val="edge"/>
              <c:x val="8.9340576613969758E-3"/>
              <c:y val="0.11596103955213691"/>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179855744"/>
        <c:crosses val="autoZero"/>
        <c:crossBetween val="midCat"/>
        <c:majorUnit val="1"/>
      </c:valAx>
      <c:spPr>
        <a:solidFill>
          <a:srgbClr val="FFFFFF"/>
        </a:solidFill>
        <a:ln w="12700">
          <a:solidFill>
            <a:srgbClr val="808080"/>
          </a:solidFill>
          <a:prstDash val="solid"/>
        </a:ln>
      </c:spPr>
    </c:plotArea>
    <c:legend>
      <c:legendPos val="r"/>
      <c:layout>
        <c:manualLayout>
          <c:xMode val="edge"/>
          <c:yMode val="edge"/>
          <c:x val="0.19276485788113693"/>
          <c:y val="0.76540460282108391"/>
          <c:w val="0.70852739996949188"/>
          <c:h val="7.5723830734966593E-2"/>
        </c:manualLayout>
      </c:layout>
      <c:overlay val="0"/>
      <c:spPr>
        <a:solidFill>
          <a:srgbClr val="FFFFFF"/>
        </a:solidFill>
        <a:ln w="3175">
          <a:solidFill>
            <a:srgbClr val="000000"/>
          </a:solidFill>
          <a:prstDash val="solid"/>
        </a:ln>
      </c:spPr>
      <c:txPr>
        <a:bodyPr/>
        <a:lstStyle/>
        <a:p>
          <a:pPr>
            <a:defRPr sz="1050" b="1" i="0" u="none" strike="noStrike" baseline="0">
              <a:solidFill>
                <a:srgbClr val="000000"/>
              </a:solidFill>
              <a:latin typeface="Calibri"/>
              <a:ea typeface="Calibri"/>
              <a:cs typeface="Calibri"/>
            </a:defRPr>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5576005453306"/>
          <c:y val="3.669724770642202E-2"/>
          <c:w val="0.81663258350374912"/>
          <c:h val="0.81755677939101545"/>
        </c:manualLayout>
      </c:layout>
      <c:lineChart>
        <c:grouping val="standard"/>
        <c:varyColors val="0"/>
        <c:ser>
          <c:idx val="2"/>
          <c:order val="0"/>
          <c:tx>
            <c:strRef>
              <c:f>PNO!$U$15</c:f>
              <c:strCache>
                <c:ptCount val="1"/>
                <c:pt idx="0">
                  <c:v>2010</c:v>
                </c:pt>
              </c:strCache>
            </c:strRef>
          </c:tx>
          <c:spPr>
            <a:ln>
              <a:solidFill>
                <a:srgbClr val="663300"/>
              </a:solidFill>
            </a:ln>
          </c:spPr>
          <c:marker>
            <c:symbol val="x"/>
            <c:size val="5"/>
            <c:spPr>
              <a:noFill/>
              <a:ln>
                <a:solidFill>
                  <a:srgbClr val="663300"/>
                </a:solidFill>
              </a:ln>
            </c:spPr>
          </c:marker>
          <c:val>
            <c:numRef>
              <c:f>PNO!$U$16:$U$27</c:f>
              <c:numCache>
                <c:formatCode>0.0</c:formatCode>
                <c:ptCount val="12"/>
                <c:pt idx="0">
                  <c:v>8.9305811268232773</c:v>
                </c:pt>
                <c:pt idx="1">
                  <c:v>9.077938481974817</c:v>
                </c:pt>
                <c:pt idx="2">
                  <c:v>8.6263702614979483</c:v>
                </c:pt>
                <c:pt idx="3">
                  <c:v>7.8907365676942014</c:v>
                </c:pt>
                <c:pt idx="4">
                  <c:v>7.4778392687573758</c:v>
                </c:pt>
                <c:pt idx="5">
                  <c:v>7.2398550680211633</c:v>
                </c:pt>
                <c:pt idx="6">
                  <c:v>7.3641179703139752</c:v>
                </c:pt>
                <c:pt idx="7">
                  <c:v>7.2767605889476048</c:v>
                </c:pt>
                <c:pt idx="8">
                  <c:v>7.2337447902919889</c:v>
                </c:pt>
                <c:pt idx="9">
                  <c:v>6.9549311260576872</c:v>
                </c:pt>
                <c:pt idx="10">
                  <c:v>7.1496667788558064</c:v>
                </c:pt>
                <c:pt idx="11">
                  <c:v>8.167089571954314</c:v>
                </c:pt>
              </c:numCache>
            </c:numRef>
          </c:val>
          <c:smooth val="0"/>
        </c:ser>
        <c:ser>
          <c:idx val="1"/>
          <c:order val="1"/>
          <c:tx>
            <c:strRef>
              <c:f>PNO!$V$15</c:f>
              <c:strCache>
                <c:ptCount val="1"/>
                <c:pt idx="0">
                  <c:v>2011</c:v>
                </c:pt>
              </c:strCache>
            </c:strRef>
          </c:tx>
          <c:spPr>
            <a:ln>
              <a:solidFill>
                <a:srgbClr val="33CC33"/>
              </a:solidFill>
            </a:ln>
          </c:spPr>
          <c:marker>
            <c:symbol val="triangle"/>
            <c:size val="5"/>
            <c:spPr>
              <a:solidFill>
                <a:srgbClr val="33CC33"/>
              </a:solidFill>
              <a:ln>
                <a:solidFill>
                  <a:srgbClr val="33CC33"/>
                </a:solidFill>
              </a:ln>
            </c:spPr>
          </c:marker>
          <c:val>
            <c:numRef>
              <c:f>PNO!$V$16:$V$27</c:f>
              <c:numCache>
                <c:formatCode>0.0</c:formatCode>
                <c:ptCount val="12"/>
                <c:pt idx="0">
                  <c:v>8.4361532575779155</c:v>
                </c:pt>
                <c:pt idx="1">
                  <c:v>8.3576227684103994</c:v>
                </c:pt>
                <c:pt idx="2">
                  <c:v>8.0413405952004755</c:v>
                </c:pt>
                <c:pt idx="3">
                  <c:v>7.4605783027890737</c:v>
                </c:pt>
                <c:pt idx="4">
                  <c:v>7.0703982615131586</c:v>
                </c:pt>
                <c:pt idx="5">
                  <c:v>6.8477329458663982</c:v>
                </c:pt>
                <c:pt idx="6">
                  <c:v>7.0053227731460037</c:v>
                </c:pt>
                <c:pt idx="7">
                  <c:v>6.896172777184896</c:v>
                </c:pt>
                <c:pt idx="8">
                  <c:v>6.8816789379671759</c:v>
                </c:pt>
                <c:pt idx="9">
                  <c:v>6.716761432317762</c:v>
                </c:pt>
                <c:pt idx="10">
                  <c:v>6.8800894920005362</c:v>
                </c:pt>
                <c:pt idx="11">
                  <c:v>7.5720913989223702</c:v>
                </c:pt>
              </c:numCache>
            </c:numRef>
          </c:val>
          <c:smooth val="0"/>
        </c:ser>
        <c:ser>
          <c:idx val="0"/>
          <c:order val="2"/>
          <c:tx>
            <c:strRef>
              <c:f>PNO!$W$15</c:f>
              <c:strCache>
                <c:ptCount val="1"/>
                <c:pt idx="0">
                  <c:v>2012</c:v>
                </c:pt>
              </c:strCache>
            </c:strRef>
          </c:tx>
          <c:spPr>
            <a:ln>
              <a:solidFill>
                <a:srgbClr val="0000FF"/>
              </a:solidFill>
            </a:ln>
          </c:spPr>
          <c:marker>
            <c:symbol val="square"/>
            <c:size val="5"/>
            <c:spPr>
              <a:solidFill>
                <a:srgbClr val="0000FF"/>
              </a:solidFill>
              <a:ln>
                <a:solidFill>
                  <a:srgbClr val="0000FF"/>
                </a:solidFill>
              </a:ln>
            </c:spPr>
          </c:marker>
          <c:val>
            <c:numRef>
              <c:f>PNO!$W$16:$W$27</c:f>
              <c:numCache>
                <c:formatCode>0.0</c:formatCode>
                <c:ptCount val="12"/>
                <c:pt idx="0">
                  <c:v>7.988594155884357</c:v>
                </c:pt>
                <c:pt idx="1">
                  <c:v>8.1517117952462179</c:v>
                </c:pt>
                <c:pt idx="2">
                  <c:v>7.7314944257206308</c:v>
                </c:pt>
                <c:pt idx="3">
                  <c:v>7.2682000120502384</c:v>
                </c:pt>
                <c:pt idx="4">
                  <c:v>7.0060867847324761</c:v>
                </c:pt>
                <c:pt idx="5">
                  <c:v>6.8472742839678569</c:v>
                </c:pt>
                <c:pt idx="6">
                  <c:v>6.8877992259390135</c:v>
                </c:pt>
                <c:pt idx="7">
                  <c:v>6.9388187671209147</c:v>
                </c:pt>
                <c:pt idx="8">
                  <c:v>6.9851308691973273</c:v>
                </c:pt>
                <c:pt idx="9">
                  <c:v>7.2250795983345579</c:v>
                </c:pt>
                <c:pt idx="10">
                  <c:v>7.4896622802056241</c:v>
                </c:pt>
                <c:pt idx="11">
                  <c:v>8.130740649931159</c:v>
                </c:pt>
              </c:numCache>
            </c:numRef>
          </c:val>
          <c:smooth val="0"/>
        </c:ser>
        <c:ser>
          <c:idx val="4"/>
          <c:order val="3"/>
          <c:tx>
            <c:strRef>
              <c:f>PNO!$X$15</c:f>
              <c:strCache>
                <c:ptCount val="1"/>
                <c:pt idx="0">
                  <c:v>2013</c:v>
                </c:pt>
              </c:strCache>
            </c:strRef>
          </c:tx>
          <c:spPr>
            <a:ln>
              <a:solidFill>
                <a:srgbClr val="FF0000"/>
              </a:solidFill>
            </a:ln>
          </c:spPr>
          <c:marker>
            <c:symbol val="diamond"/>
            <c:size val="5"/>
            <c:spPr>
              <a:solidFill>
                <a:srgbClr val="FF0000"/>
              </a:solidFill>
              <a:ln>
                <a:solidFill>
                  <a:srgbClr val="FF0000"/>
                </a:solidFill>
              </a:ln>
            </c:spPr>
          </c:marker>
          <c:val>
            <c:numRef>
              <c:f>PNO!$X$16:$X$27</c:f>
              <c:numCache>
                <c:formatCode>0.0</c:formatCode>
                <c:ptCount val="12"/>
                <c:pt idx="0">
                  <c:v>9.0358822229936564</c:v>
                </c:pt>
                <c:pt idx="1">
                  <c:v>9.1999999999999993</c:v>
                </c:pt>
                <c:pt idx="2">
                  <c:v>9.1169586944145742</c:v>
                </c:pt>
                <c:pt idx="3">
                  <c:v>8.8107872217970691</c:v>
                </c:pt>
                <c:pt idx="4">
                  <c:v>8.5046084552660375</c:v>
                </c:pt>
                <c:pt idx="5">
                  <c:v>8.2514038275270494</c:v>
                </c:pt>
                <c:pt idx="6">
                  <c:v>8.4763159895582536</c:v>
                </c:pt>
                <c:pt idx="7">
                  <c:v>8.4571972098922004</c:v>
                </c:pt>
                <c:pt idx="8">
                  <c:v>8.5411127117192009</c:v>
                </c:pt>
                <c:pt idx="9">
                  <c:v>8.4777196280676801</c:v>
                </c:pt>
                <c:pt idx="10">
                  <c:v>8.6</c:v>
                </c:pt>
                <c:pt idx="11">
                  <c:v>9.2085168121770558</c:v>
                </c:pt>
              </c:numCache>
            </c:numRef>
          </c:val>
          <c:smooth val="0"/>
        </c:ser>
        <c:ser>
          <c:idx val="5"/>
          <c:order val="4"/>
          <c:tx>
            <c:strRef>
              <c:f>PNO!$Y$15</c:f>
              <c:strCache>
                <c:ptCount val="1"/>
                <c:pt idx="0">
                  <c:v>2014</c:v>
                </c:pt>
              </c:strCache>
            </c:strRef>
          </c:tx>
          <c:spPr>
            <a:ln>
              <a:solidFill>
                <a:schemeClr val="tx1"/>
              </a:solidFill>
            </a:ln>
          </c:spPr>
          <c:marker>
            <c:symbol val="circle"/>
            <c:size val="5"/>
            <c:spPr>
              <a:noFill/>
              <a:ln>
                <a:solidFill>
                  <a:schemeClr val="tx1"/>
                </a:solidFill>
              </a:ln>
            </c:spPr>
          </c:marker>
          <c:val>
            <c:numRef>
              <c:f>PNO!$Y$16:$Y$27</c:f>
              <c:numCache>
                <c:formatCode>0.0</c:formatCode>
                <c:ptCount val="12"/>
                <c:pt idx="0">
                  <c:v>9.9</c:v>
                </c:pt>
                <c:pt idx="1">
                  <c:v>9.9</c:v>
                </c:pt>
                <c:pt idx="2">
                  <c:v>9.5</c:v>
                </c:pt>
                <c:pt idx="3">
                  <c:v>8.9</c:v>
                </c:pt>
                <c:pt idx="4">
                  <c:v>8.5503923985159744</c:v>
                </c:pt>
                <c:pt idx="5">
                  <c:v>8.4</c:v>
                </c:pt>
                <c:pt idx="6">
                  <c:v>8.4823026955142957</c:v>
                </c:pt>
                <c:pt idx="7">
                  <c:v>8.3633197167407261</c:v>
                </c:pt>
                <c:pt idx="8">
                  <c:v>8.228517239390774</c:v>
                </c:pt>
                <c:pt idx="9">
                  <c:v>8.1</c:v>
                </c:pt>
                <c:pt idx="10">
                  <c:v>8.1</c:v>
                </c:pt>
                <c:pt idx="11">
                  <c:v>8.5142171118943519</c:v>
                </c:pt>
              </c:numCache>
            </c:numRef>
          </c:val>
          <c:smooth val="0"/>
        </c:ser>
        <c:dLbls>
          <c:showLegendKey val="0"/>
          <c:showVal val="0"/>
          <c:showCatName val="0"/>
          <c:showSerName val="0"/>
          <c:showPercent val="0"/>
          <c:showBubbleSize val="0"/>
        </c:dLbls>
        <c:marker val="1"/>
        <c:smooth val="0"/>
        <c:axId val="179721728"/>
        <c:axId val="179732480"/>
      </c:lineChart>
      <c:catAx>
        <c:axId val="179721728"/>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cs-CZ"/>
                  <a:t>období</a:t>
                </a:r>
              </a:p>
            </c:rich>
          </c:tx>
          <c:layout>
            <c:manualLayout>
              <c:xMode val="edge"/>
              <c:yMode val="edge"/>
              <c:x val="0.50360475289426032"/>
              <c:y val="0.934604099343073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Calibri"/>
                <a:ea typeface="Calibri"/>
                <a:cs typeface="Calibri"/>
              </a:defRPr>
            </a:pPr>
            <a:endParaRPr lang="cs-CZ"/>
          </a:p>
        </c:txPr>
        <c:crossAx val="179732480"/>
        <c:crossesAt val="5"/>
        <c:auto val="1"/>
        <c:lblAlgn val="ctr"/>
        <c:lblOffset val="100"/>
        <c:tickLblSkip val="1"/>
        <c:tickMarkSkip val="1"/>
        <c:noMultiLvlLbl val="0"/>
      </c:catAx>
      <c:valAx>
        <c:axId val="179732480"/>
        <c:scaling>
          <c:orientation val="minMax"/>
          <c:max val="10"/>
          <c:min val="5"/>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Podíl nezaměstnaných osob (%)</a:t>
                </a:r>
              </a:p>
            </c:rich>
          </c:tx>
          <c:layout>
            <c:manualLayout>
              <c:xMode val="edge"/>
              <c:yMode val="edge"/>
              <c:x val="1.9269974974058475E-2"/>
              <c:y val="0.1373530563690674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179721728"/>
        <c:crosses val="autoZero"/>
        <c:crossBetween val="midCat"/>
        <c:majorUnit val="1"/>
      </c:valAx>
      <c:spPr>
        <a:solidFill>
          <a:srgbClr val="FFFFFF"/>
        </a:solidFill>
        <a:ln w="12700">
          <a:solidFill>
            <a:srgbClr val="808080"/>
          </a:solidFill>
          <a:prstDash val="solid"/>
        </a:ln>
      </c:spPr>
    </c:plotArea>
    <c:legend>
      <c:legendPos val="r"/>
      <c:layout>
        <c:manualLayout>
          <c:xMode val="edge"/>
          <c:yMode val="edge"/>
          <c:x val="0.20930240480499215"/>
          <c:y val="0.72383073496659234"/>
          <c:w val="0.70077545905078842"/>
          <c:h val="8.6859688195991103E-2"/>
        </c:manualLayout>
      </c:layout>
      <c:overlay val="0"/>
      <c:spPr>
        <a:solidFill>
          <a:srgbClr val="FFFFFF"/>
        </a:solidFill>
        <a:ln w="3175">
          <a:solidFill>
            <a:srgbClr val="000000"/>
          </a:solidFill>
          <a:prstDash val="solid"/>
        </a:ln>
      </c:spPr>
      <c:txPr>
        <a:bodyPr/>
        <a:lstStyle/>
        <a:p>
          <a:pPr>
            <a:defRPr sz="1050" b="1" i="0" u="none" strike="noStrike" baseline="0">
              <a:solidFill>
                <a:srgbClr val="000000"/>
              </a:solidFill>
              <a:latin typeface="Calibri"/>
              <a:ea typeface="Calibri"/>
              <a:cs typeface="Calibri"/>
            </a:defRPr>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82111538383284"/>
          <c:y val="2.9273275695771882E-2"/>
          <c:w val="0.83797031165806257"/>
          <c:h val="0.81755677939101545"/>
        </c:manualLayout>
      </c:layout>
      <c:lineChart>
        <c:grouping val="standard"/>
        <c:varyColors val="0"/>
        <c:ser>
          <c:idx val="3"/>
          <c:order val="0"/>
          <c:tx>
            <c:strRef>
              <c:f>PNO!$U$29</c:f>
              <c:strCache>
                <c:ptCount val="1"/>
                <c:pt idx="0">
                  <c:v>2010</c:v>
                </c:pt>
              </c:strCache>
            </c:strRef>
          </c:tx>
          <c:spPr>
            <a:ln>
              <a:solidFill>
                <a:srgbClr val="663300"/>
              </a:solidFill>
            </a:ln>
          </c:spPr>
          <c:marker>
            <c:symbol val="x"/>
            <c:size val="5"/>
            <c:spPr>
              <a:noFill/>
              <a:ln>
                <a:solidFill>
                  <a:srgbClr val="663300"/>
                </a:solidFill>
              </a:ln>
            </c:spPr>
          </c:marker>
          <c:val>
            <c:numRef>
              <c:f>PNO!$U$30:$U$41</c:f>
              <c:numCache>
                <c:formatCode>0.0</c:formatCode>
                <c:ptCount val="12"/>
                <c:pt idx="0">
                  <c:v>7.8707291106055868</c:v>
                </c:pt>
                <c:pt idx="1">
                  <c:v>7.9459916554467407</c:v>
                </c:pt>
                <c:pt idx="2">
                  <c:v>7.6070186449099131</c:v>
                </c:pt>
                <c:pt idx="3">
                  <c:v>7.1606649250673655</c:v>
                </c:pt>
                <c:pt idx="4">
                  <c:v>7.0264665305553171</c:v>
                </c:pt>
                <c:pt idx="5">
                  <c:v>6.821157371039539</c:v>
                </c:pt>
                <c:pt idx="6">
                  <c:v>6.9129969101806683</c:v>
                </c:pt>
                <c:pt idx="7">
                  <c:v>6.8591930242716552</c:v>
                </c:pt>
                <c:pt idx="8">
                  <c:v>6.9167213114754098</c:v>
                </c:pt>
                <c:pt idx="9">
                  <c:v>6.9835705766995808</c:v>
                </c:pt>
                <c:pt idx="10">
                  <c:v>7.0269790137596271</c:v>
                </c:pt>
                <c:pt idx="11">
                  <c:v>7.98041326436842</c:v>
                </c:pt>
              </c:numCache>
            </c:numRef>
          </c:val>
          <c:smooth val="0"/>
        </c:ser>
        <c:ser>
          <c:idx val="2"/>
          <c:order val="1"/>
          <c:tx>
            <c:strRef>
              <c:f>PNO!$V$29</c:f>
              <c:strCache>
                <c:ptCount val="1"/>
                <c:pt idx="0">
                  <c:v>2011</c:v>
                </c:pt>
              </c:strCache>
            </c:strRef>
          </c:tx>
          <c:spPr>
            <a:ln>
              <a:solidFill>
                <a:srgbClr val="33CC33"/>
              </a:solidFill>
            </a:ln>
          </c:spPr>
          <c:marker>
            <c:symbol val="triangle"/>
            <c:size val="5"/>
            <c:spPr>
              <a:solidFill>
                <a:srgbClr val="33CC33"/>
              </a:solidFill>
              <a:ln>
                <a:solidFill>
                  <a:srgbClr val="33CC33"/>
                </a:solidFill>
              </a:ln>
            </c:spPr>
          </c:marker>
          <c:val>
            <c:numRef>
              <c:f>PNO!$V$30:$V$41</c:f>
              <c:numCache>
                <c:formatCode>0.0</c:formatCode>
                <c:ptCount val="12"/>
                <c:pt idx="0">
                  <c:v>8.3322085187868833</c:v>
                </c:pt>
                <c:pt idx="1">
                  <c:v>8.096153590194799</c:v>
                </c:pt>
                <c:pt idx="2">
                  <c:v>7.6529527454419837</c:v>
                </c:pt>
                <c:pt idx="3">
                  <c:v>7.3337997655775862</c:v>
                </c:pt>
                <c:pt idx="4">
                  <c:v>7.0378150294096065</c:v>
                </c:pt>
                <c:pt idx="5">
                  <c:v>6.7856000852696665</c:v>
                </c:pt>
                <c:pt idx="6">
                  <c:v>6.8511058346450397</c:v>
                </c:pt>
                <c:pt idx="7">
                  <c:v>6.6998611704399833</c:v>
                </c:pt>
                <c:pt idx="8">
                  <c:v>6.5323410338976267</c:v>
                </c:pt>
                <c:pt idx="9">
                  <c:v>6.5254767500689956</c:v>
                </c:pt>
                <c:pt idx="10">
                  <c:v>6.499991160389337</c:v>
                </c:pt>
                <c:pt idx="11">
                  <c:v>7.2511315246792902</c:v>
                </c:pt>
              </c:numCache>
            </c:numRef>
          </c:val>
          <c:smooth val="0"/>
        </c:ser>
        <c:ser>
          <c:idx val="1"/>
          <c:order val="2"/>
          <c:tx>
            <c:strRef>
              <c:f>PNO!$W$29</c:f>
              <c:strCache>
                <c:ptCount val="1"/>
                <c:pt idx="0">
                  <c:v>2012</c:v>
                </c:pt>
              </c:strCache>
            </c:strRef>
          </c:tx>
          <c:spPr>
            <a:ln>
              <a:solidFill>
                <a:srgbClr val="0000FF"/>
              </a:solidFill>
            </a:ln>
          </c:spPr>
          <c:marker>
            <c:symbol val="square"/>
            <c:size val="5"/>
            <c:spPr>
              <a:solidFill>
                <a:srgbClr val="0000FF"/>
              </a:solidFill>
              <a:ln>
                <a:solidFill>
                  <a:srgbClr val="0000FF"/>
                </a:solidFill>
              </a:ln>
            </c:spPr>
          </c:marker>
          <c:val>
            <c:numRef>
              <c:f>PNO!$W$30:$W$41</c:f>
              <c:numCache>
                <c:formatCode>0.0</c:formatCode>
                <c:ptCount val="12"/>
                <c:pt idx="0">
                  <c:v>7.587680998020244</c:v>
                </c:pt>
                <c:pt idx="1">
                  <c:v>7.7308076414333158</c:v>
                </c:pt>
                <c:pt idx="2">
                  <c:v>7.4511566855966658</c:v>
                </c:pt>
                <c:pt idx="3">
                  <c:v>6.9384641072082571</c:v>
                </c:pt>
                <c:pt idx="4">
                  <c:v>6.6971349809057461</c:v>
                </c:pt>
                <c:pt idx="5">
                  <c:v>6.4865670037871341</c:v>
                </c:pt>
                <c:pt idx="6">
                  <c:v>6.7541827217765542</c:v>
                </c:pt>
                <c:pt idx="7">
                  <c:v>6.7456028304231506</c:v>
                </c:pt>
                <c:pt idx="8">
                  <c:v>6.9152348078970292</c:v>
                </c:pt>
                <c:pt idx="9">
                  <c:v>6.9572596613639739</c:v>
                </c:pt>
                <c:pt idx="10">
                  <c:v>7.132363842203862</c:v>
                </c:pt>
                <c:pt idx="11">
                  <c:v>7.8458324910720298</c:v>
                </c:pt>
              </c:numCache>
            </c:numRef>
          </c:val>
          <c:smooth val="0"/>
        </c:ser>
        <c:ser>
          <c:idx val="0"/>
          <c:order val="3"/>
          <c:tx>
            <c:strRef>
              <c:f>PNO!$X$29</c:f>
              <c:strCache>
                <c:ptCount val="1"/>
                <c:pt idx="0">
                  <c:v>2013</c:v>
                </c:pt>
              </c:strCache>
            </c:strRef>
          </c:tx>
          <c:spPr>
            <a:ln>
              <a:solidFill>
                <a:srgbClr val="FF0000"/>
              </a:solidFill>
            </a:ln>
          </c:spPr>
          <c:marker>
            <c:spPr>
              <a:solidFill>
                <a:srgbClr val="FF0000"/>
              </a:solidFill>
              <a:ln>
                <a:solidFill>
                  <a:srgbClr val="FF0000"/>
                </a:solidFill>
              </a:ln>
            </c:spPr>
          </c:marker>
          <c:val>
            <c:numRef>
              <c:f>PNO!$X$30:$X$41</c:f>
              <c:numCache>
                <c:formatCode>0.0</c:formatCode>
                <c:ptCount val="12"/>
                <c:pt idx="0">
                  <c:v>8.5482822152378883</c:v>
                </c:pt>
                <c:pt idx="1">
                  <c:v>8.6999999999999993</c:v>
                </c:pt>
                <c:pt idx="2">
                  <c:v>8.3406794602291985</c:v>
                </c:pt>
                <c:pt idx="3">
                  <c:v>7.8222004863403569</c:v>
                </c:pt>
                <c:pt idx="4">
                  <c:v>7.3614793663743283</c:v>
                </c:pt>
                <c:pt idx="5">
                  <c:v>7.2169297768100158</c:v>
                </c:pt>
                <c:pt idx="6">
                  <c:v>7.3686074707789553</c:v>
                </c:pt>
                <c:pt idx="7">
                  <c:v>7.3854881158550727</c:v>
                </c:pt>
                <c:pt idx="8">
                  <c:v>7.5861598307513827</c:v>
                </c:pt>
                <c:pt idx="9">
                  <c:v>7.5925672906134718</c:v>
                </c:pt>
                <c:pt idx="10">
                  <c:v>7.7</c:v>
                </c:pt>
                <c:pt idx="11">
                  <c:v>8.3178235165316394</c:v>
                </c:pt>
              </c:numCache>
            </c:numRef>
          </c:val>
          <c:smooth val="0"/>
        </c:ser>
        <c:ser>
          <c:idx val="4"/>
          <c:order val="4"/>
          <c:tx>
            <c:strRef>
              <c:f>PNO!$Y$29</c:f>
              <c:strCache>
                <c:ptCount val="1"/>
                <c:pt idx="0">
                  <c:v>2014</c:v>
                </c:pt>
              </c:strCache>
            </c:strRef>
          </c:tx>
          <c:spPr>
            <a:ln>
              <a:solidFill>
                <a:schemeClr val="tx1"/>
              </a:solidFill>
            </a:ln>
          </c:spPr>
          <c:marker>
            <c:symbol val="circle"/>
            <c:size val="5"/>
            <c:spPr>
              <a:noFill/>
              <a:ln>
                <a:solidFill>
                  <a:schemeClr val="tx1"/>
                </a:solidFill>
              </a:ln>
            </c:spPr>
          </c:marker>
          <c:val>
            <c:numRef>
              <c:f>PNO!$Y$30:$Y$41</c:f>
              <c:numCache>
                <c:formatCode>0.0</c:formatCode>
                <c:ptCount val="12"/>
                <c:pt idx="0">
                  <c:v>8.6999999999999993</c:v>
                </c:pt>
                <c:pt idx="1">
                  <c:v>8.9</c:v>
                </c:pt>
                <c:pt idx="2">
                  <c:v>8.3000000000000007</c:v>
                </c:pt>
                <c:pt idx="3">
                  <c:v>7.6</c:v>
                </c:pt>
                <c:pt idx="4">
                  <c:v>7.0547173441064119</c:v>
                </c:pt>
                <c:pt idx="5">
                  <c:v>6.8</c:v>
                </c:pt>
                <c:pt idx="6">
                  <c:v>6.7951011421494432</c:v>
                </c:pt>
                <c:pt idx="7">
                  <c:v>6.6874328086666477</c:v>
                </c:pt>
                <c:pt idx="8">
                  <c:v>6.5947556450611744</c:v>
                </c:pt>
                <c:pt idx="9">
                  <c:v>6.5</c:v>
                </c:pt>
                <c:pt idx="10">
                  <c:v>6.4</c:v>
                </c:pt>
                <c:pt idx="11">
                  <c:v>6.8553180900771382</c:v>
                </c:pt>
              </c:numCache>
            </c:numRef>
          </c:val>
          <c:smooth val="0"/>
        </c:ser>
        <c:dLbls>
          <c:showLegendKey val="0"/>
          <c:showVal val="0"/>
          <c:showCatName val="0"/>
          <c:showSerName val="0"/>
          <c:showPercent val="0"/>
          <c:showBubbleSize val="0"/>
        </c:dLbls>
        <c:marker val="1"/>
        <c:smooth val="0"/>
        <c:axId val="179763840"/>
        <c:axId val="181273728"/>
      </c:lineChart>
      <c:catAx>
        <c:axId val="179763840"/>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cs-CZ"/>
                  <a:t>období</a:t>
                </a:r>
              </a:p>
            </c:rich>
          </c:tx>
          <c:layout>
            <c:manualLayout>
              <c:xMode val="edge"/>
              <c:yMode val="edge"/>
              <c:x val="0.50360475289426032"/>
              <c:y val="0.934604099343073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Calibri"/>
                <a:ea typeface="Calibri"/>
                <a:cs typeface="Calibri"/>
              </a:defRPr>
            </a:pPr>
            <a:endParaRPr lang="cs-CZ"/>
          </a:p>
        </c:txPr>
        <c:crossAx val="181273728"/>
        <c:crossesAt val="4"/>
        <c:auto val="1"/>
        <c:lblAlgn val="ctr"/>
        <c:lblOffset val="100"/>
        <c:tickLblSkip val="1"/>
        <c:tickMarkSkip val="1"/>
        <c:noMultiLvlLbl val="0"/>
      </c:catAx>
      <c:valAx>
        <c:axId val="181273728"/>
        <c:scaling>
          <c:orientation val="minMax"/>
          <c:max val="9"/>
          <c:min val="6"/>
        </c:scaling>
        <c:delete val="0"/>
        <c:axPos val="l"/>
        <c:majorGridlines>
          <c:spPr>
            <a:ln w="3175">
              <a:solidFill>
                <a:srgbClr val="00000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Podíl nezaměstnaných osob (%)</a:t>
                </a:r>
              </a:p>
            </c:rich>
          </c:tx>
          <c:layout>
            <c:manualLayout>
              <c:xMode val="edge"/>
              <c:yMode val="edge"/>
              <c:x val="1.9269974974058475E-2"/>
              <c:y val="0.19303233049626023"/>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cs-CZ"/>
          </a:p>
        </c:txPr>
        <c:crossAx val="179763840"/>
        <c:crosses val="autoZero"/>
        <c:crossBetween val="midCat"/>
        <c:majorUnit val="0.5"/>
      </c:valAx>
      <c:spPr>
        <a:solidFill>
          <a:srgbClr val="FFFFFF"/>
        </a:solidFill>
        <a:ln w="12700">
          <a:solidFill>
            <a:srgbClr val="808080"/>
          </a:solidFill>
          <a:prstDash val="solid"/>
        </a:ln>
      </c:spPr>
    </c:plotArea>
    <c:legend>
      <c:legendPos val="r"/>
      <c:layout>
        <c:manualLayout>
          <c:xMode val="edge"/>
          <c:yMode val="edge"/>
          <c:x val="0.21136950904392765"/>
          <c:y val="0.75129918337045287"/>
          <c:w val="0.654263813538568"/>
          <c:h val="7.9435783221974754E-2"/>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cs-CZ"/>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39B2-FC6D-45A0-8D82-019638D9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16499</Words>
  <Characters>97350</Characters>
  <Application>Microsoft Office Word</Application>
  <DocSecurity>0</DocSecurity>
  <Lines>811</Lines>
  <Paragraphs>227</Paragraphs>
  <ScaleCrop>false</ScaleCrop>
  <HeadingPairs>
    <vt:vector size="2" baseType="variant">
      <vt:variant>
        <vt:lpstr>Název</vt:lpstr>
      </vt:variant>
      <vt:variant>
        <vt:i4>1</vt:i4>
      </vt:variant>
    </vt:vector>
  </HeadingPairs>
  <TitlesOfParts>
    <vt:vector size="1" baseType="lpstr">
      <vt:lpstr>II</vt:lpstr>
    </vt:vector>
  </TitlesOfParts>
  <Company>MPSV</Company>
  <LinksUpToDate>false</LinksUpToDate>
  <CharactersWithSpaces>113622</CharactersWithSpaces>
  <SharedDoc>false</SharedDoc>
  <HLinks>
    <vt:vector size="132" baseType="variant">
      <vt:variant>
        <vt:i4>26476880</vt:i4>
      </vt:variant>
      <vt:variant>
        <vt:i4>63</vt:i4>
      </vt:variant>
      <vt:variant>
        <vt:i4>0</vt:i4>
      </vt:variant>
      <vt:variant>
        <vt:i4>5</vt:i4>
      </vt:variant>
      <vt:variant>
        <vt:lpwstr/>
      </vt:variant>
      <vt:variant>
        <vt:lpwstr>_Příloha_III.3._NEZAMĚSTNANOST_V OBC</vt:lpwstr>
      </vt:variant>
      <vt:variant>
        <vt:i4>393520</vt:i4>
      </vt:variant>
      <vt:variant>
        <vt:i4>60</vt:i4>
      </vt:variant>
      <vt:variant>
        <vt:i4>0</vt:i4>
      </vt:variant>
      <vt:variant>
        <vt:i4>5</vt:i4>
      </vt:variant>
      <vt:variant>
        <vt:lpwstr/>
      </vt:variant>
      <vt:variant>
        <vt:lpwstr>_Příloha_III.2._VÝVOJ_MN V OKRESECH </vt:lpwstr>
      </vt:variant>
      <vt:variant>
        <vt:i4>26214720</vt:i4>
      </vt:variant>
      <vt:variant>
        <vt:i4>57</vt:i4>
      </vt:variant>
      <vt:variant>
        <vt:i4>0</vt:i4>
      </vt:variant>
      <vt:variant>
        <vt:i4>5</vt:i4>
      </vt:variant>
      <vt:variant>
        <vt:lpwstr/>
      </vt:variant>
      <vt:variant>
        <vt:lpwstr>_PŘÍloha_III.1._Nezaměstnanost_v kra</vt:lpwstr>
      </vt:variant>
      <vt:variant>
        <vt:i4>3670079</vt:i4>
      </vt:variant>
      <vt:variant>
        <vt:i4>54</vt:i4>
      </vt:variant>
      <vt:variant>
        <vt:i4>0</vt:i4>
      </vt:variant>
      <vt:variant>
        <vt:i4>5</vt:i4>
      </vt:variant>
      <vt:variant>
        <vt:lpwstr/>
      </vt:variant>
      <vt:variant>
        <vt:lpwstr>_V.2_Rekvalifikace</vt:lpwstr>
      </vt:variant>
      <vt:variant>
        <vt:i4>32702778</vt:i4>
      </vt:variant>
      <vt:variant>
        <vt:i4>51</vt:i4>
      </vt:variant>
      <vt:variant>
        <vt:i4>0</vt:i4>
      </vt:variant>
      <vt:variant>
        <vt:i4>5</vt:i4>
      </vt:variant>
      <vt:variant>
        <vt:lpwstr/>
      </vt:variant>
      <vt:variant>
        <vt:lpwstr>_V.1_Nově_vytvořená_pracovní místa a</vt:lpwstr>
      </vt:variant>
      <vt:variant>
        <vt:i4>6947287</vt:i4>
      </vt:variant>
      <vt:variant>
        <vt:i4>48</vt:i4>
      </vt:variant>
      <vt:variant>
        <vt:i4>0</vt:i4>
      </vt:variant>
      <vt:variant>
        <vt:i4>5</vt:i4>
      </vt:variant>
      <vt:variant>
        <vt:lpwstr/>
      </vt:variant>
      <vt:variant>
        <vt:lpwstr>_V._Aktivní_politika_zaměstnanosti</vt:lpwstr>
      </vt:variant>
      <vt:variant>
        <vt:i4>5710049</vt:i4>
      </vt:variant>
      <vt:variant>
        <vt:i4>45</vt:i4>
      </vt:variant>
      <vt:variant>
        <vt:i4>0</vt:i4>
      </vt:variant>
      <vt:variant>
        <vt:i4>5</vt:i4>
      </vt:variant>
      <vt:variant>
        <vt:lpwstr/>
      </vt:variant>
      <vt:variant>
        <vt:lpwstr>_Severovýchod_–_Vidnavsko,_Javornick</vt:lpwstr>
      </vt:variant>
      <vt:variant>
        <vt:i4>25821217</vt:i4>
      </vt:variant>
      <vt:variant>
        <vt:i4>42</vt:i4>
      </vt:variant>
      <vt:variant>
        <vt:i4>0</vt:i4>
      </vt:variant>
      <vt:variant>
        <vt:i4>5</vt:i4>
      </vt:variant>
      <vt:variant>
        <vt:lpwstr/>
      </vt:variant>
      <vt:variant>
        <vt:lpwstr>_III.4.2_Uchazeči_se_zdravotním post</vt:lpwstr>
      </vt:variant>
      <vt:variant>
        <vt:i4>11469161</vt:i4>
      </vt:variant>
      <vt:variant>
        <vt:i4>39</vt:i4>
      </vt:variant>
      <vt:variant>
        <vt:i4>0</vt:i4>
      </vt:variant>
      <vt:variant>
        <vt:i4>5</vt:i4>
      </vt:variant>
      <vt:variant>
        <vt:lpwstr/>
      </vt:variant>
      <vt:variant>
        <vt:lpwstr>_III.4.1_Absolventi_škol_a mladiství</vt:lpwstr>
      </vt:variant>
      <vt:variant>
        <vt:i4>28639562</vt:i4>
      </vt:variant>
      <vt:variant>
        <vt:i4>36</vt:i4>
      </vt:variant>
      <vt:variant>
        <vt:i4>0</vt:i4>
      </vt:variant>
      <vt:variant>
        <vt:i4>5</vt:i4>
      </vt:variant>
      <vt:variant>
        <vt:lpwstr/>
      </vt:variant>
      <vt:variant>
        <vt:lpwstr>_III.4_Vybrané_skupiny_uchazečů o za</vt:lpwstr>
      </vt:variant>
      <vt:variant>
        <vt:i4>22544477</vt:i4>
      </vt:variant>
      <vt:variant>
        <vt:i4>33</vt:i4>
      </vt:variant>
      <vt:variant>
        <vt:i4>0</vt:i4>
      </vt:variant>
      <vt:variant>
        <vt:i4>5</vt:i4>
      </vt:variant>
      <vt:variant>
        <vt:lpwstr/>
      </vt:variant>
      <vt:variant>
        <vt:lpwstr>_III.2__Struktura_uchazečů o zaměstn</vt:lpwstr>
      </vt:variant>
      <vt:variant>
        <vt:i4>14614621</vt:i4>
      </vt:variant>
      <vt:variant>
        <vt:i4>30</vt:i4>
      </vt:variant>
      <vt:variant>
        <vt:i4>0</vt:i4>
      </vt:variant>
      <vt:variant>
        <vt:i4>5</vt:i4>
      </vt:variant>
      <vt:variant>
        <vt:lpwstr/>
      </vt:variant>
      <vt:variant>
        <vt:lpwstr>_III.1_Základní_charakteristika_vývo</vt:lpwstr>
      </vt:variant>
      <vt:variant>
        <vt:i4>14614621</vt:i4>
      </vt:variant>
      <vt:variant>
        <vt:i4>27</vt:i4>
      </vt:variant>
      <vt:variant>
        <vt:i4>0</vt:i4>
      </vt:variant>
      <vt:variant>
        <vt:i4>5</vt:i4>
      </vt:variant>
      <vt:variant>
        <vt:lpwstr/>
      </vt:variant>
      <vt:variant>
        <vt:lpwstr>_III.1_Základní_charakteristika_vývo</vt:lpwstr>
      </vt:variant>
      <vt:variant>
        <vt:i4>11730984</vt:i4>
      </vt:variant>
      <vt:variant>
        <vt:i4>24</vt:i4>
      </vt:variant>
      <vt:variant>
        <vt:i4>0</vt:i4>
      </vt:variant>
      <vt:variant>
        <vt:i4>5</vt:i4>
      </vt:variant>
      <vt:variant>
        <vt:lpwstr/>
      </vt:variant>
      <vt:variant>
        <vt:lpwstr>_II.3_Volná_pracovní_místa</vt:lpwstr>
      </vt:variant>
      <vt:variant>
        <vt:i4>9503194</vt:i4>
      </vt:variant>
      <vt:variant>
        <vt:i4>21</vt:i4>
      </vt:variant>
      <vt:variant>
        <vt:i4>0</vt:i4>
      </vt:variant>
      <vt:variant>
        <vt:i4>5</vt:i4>
      </vt:variant>
      <vt:variant>
        <vt:lpwstr/>
      </vt:variant>
      <vt:variant>
        <vt:lpwstr>_II.2__Zaměstnanost_u nejvýznamnější</vt:lpwstr>
      </vt:variant>
      <vt:variant>
        <vt:i4>21692561</vt:i4>
      </vt:variant>
      <vt:variant>
        <vt:i4>18</vt:i4>
      </vt:variant>
      <vt:variant>
        <vt:i4>0</vt:i4>
      </vt:variant>
      <vt:variant>
        <vt:i4>5</vt:i4>
      </vt:variant>
      <vt:variant>
        <vt:lpwstr/>
      </vt:variant>
      <vt:variant>
        <vt:lpwstr>_II.1_Celková_zaměstnanost</vt:lpwstr>
      </vt:variant>
      <vt:variant>
        <vt:i4>23855230</vt:i4>
      </vt:variant>
      <vt:variant>
        <vt:i4>15</vt:i4>
      </vt:variant>
      <vt:variant>
        <vt:i4>0</vt:i4>
      </vt:variant>
      <vt:variant>
        <vt:i4>5</vt:i4>
      </vt:variant>
      <vt:variant>
        <vt:lpwstr/>
      </vt:variant>
      <vt:variant>
        <vt:lpwstr>_II.__Zaměstnanost</vt:lpwstr>
      </vt:variant>
      <vt:variant>
        <vt:i4>14614726</vt:i4>
      </vt:variant>
      <vt:variant>
        <vt:i4>12</vt:i4>
      </vt:variant>
      <vt:variant>
        <vt:i4>0</vt:i4>
      </vt:variant>
      <vt:variant>
        <vt:i4>5</vt:i4>
      </vt:variant>
      <vt:variant>
        <vt:lpwstr/>
      </vt:variant>
      <vt:variant>
        <vt:lpwstr>_I.4_Slabé_stránky_kraje</vt:lpwstr>
      </vt:variant>
      <vt:variant>
        <vt:i4>13959375</vt:i4>
      </vt:variant>
      <vt:variant>
        <vt:i4>9</vt:i4>
      </vt:variant>
      <vt:variant>
        <vt:i4>0</vt:i4>
      </vt:variant>
      <vt:variant>
        <vt:i4>5</vt:i4>
      </vt:variant>
      <vt:variant>
        <vt:lpwstr/>
      </vt:variant>
      <vt:variant>
        <vt:lpwstr>_I.3_Silné_stránky_kraje</vt:lpwstr>
      </vt:variant>
      <vt:variant>
        <vt:i4>15597682</vt:i4>
      </vt:variant>
      <vt:variant>
        <vt:i4>6</vt:i4>
      </vt:variant>
      <vt:variant>
        <vt:i4>0</vt:i4>
      </vt:variant>
      <vt:variant>
        <vt:i4>5</vt:i4>
      </vt:variant>
      <vt:variant>
        <vt:lpwstr/>
      </vt:variant>
      <vt:variant>
        <vt:lpwstr>_I.2_Ekonomická,_sociální_a demograf</vt:lpwstr>
      </vt:variant>
      <vt:variant>
        <vt:i4>3342562</vt:i4>
      </vt:variant>
      <vt:variant>
        <vt:i4>3</vt:i4>
      </vt:variant>
      <vt:variant>
        <vt:i4>0</vt:i4>
      </vt:variant>
      <vt:variant>
        <vt:i4>5</vt:i4>
      </vt:variant>
      <vt:variant>
        <vt:lpwstr/>
      </vt:variant>
      <vt:variant>
        <vt:lpwstr>_I._Celková_charakteristika_Olomouck</vt:lpwstr>
      </vt:variant>
      <vt:variant>
        <vt:i4>3342562</vt:i4>
      </vt:variant>
      <vt:variant>
        <vt:i4>0</vt:i4>
      </vt:variant>
      <vt:variant>
        <vt:i4>0</vt:i4>
      </vt:variant>
      <vt:variant>
        <vt:i4>5</vt:i4>
      </vt:variant>
      <vt:variant>
        <vt:lpwstr/>
      </vt:variant>
      <vt:variant>
        <vt:lpwstr>_I._Celková_charakteristika_Olomouck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Miksanikj</dc:creator>
  <cp:lastModifiedBy>Jiříček Petr Ing. (MPSV)</cp:lastModifiedBy>
  <cp:revision>2</cp:revision>
  <cp:lastPrinted>2015-02-16T16:44:00Z</cp:lastPrinted>
  <dcterms:created xsi:type="dcterms:W3CDTF">2015-03-20T08:56:00Z</dcterms:created>
  <dcterms:modified xsi:type="dcterms:W3CDTF">2015-03-20T08:56:00Z</dcterms:modified>
</cp:coreProperties>
</file>