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4DD" w:rsidRPr="00FE6EF0" w:rsidRDefault="00B044DD" w:rsidP="00B044DD">
      <w:pPr>
        <w:pStyle w:val="Zhlav"/>
        <w:ind w:left="426"/>
        <w:rPr>
          <w:b/>
          <w:color w:val="548DD4"/>
          <w:sz w:val="24"/>
          <w:szCs w:val="24"/>
        </w:rPr>
      </w:pPr>
      <w:bookmarkStart w:id="0" w:name="_GoBack"/>
      <w:bookmarkEnd w:id="0"/>
      <w:r w:rsidRPr="00B044DD">
        <w:rPr>
          <w:rFonts w:ascii="Arial" w:hAnsi="Arial" w:cs="Arial"/>
          <w:b/>
          <w:i/>
          <w:noProof/>
          <w:sz w:val="24"/>
          <w:szCs w:val="24"/>
        </w:rPr>
        <w:drawing>
          <wp:anchor distT="0" distB="0" distL="114300" distR="114300" simplePos="0" relativeHeight="251659264" behindDoc="0" locked="0" layoutInCell="1" allowOverlap="1">
            <wp:simplePos x="0" y="0"/>
            <wp:positionH relativeFrom="column">
              <wp:posOffset>-118745</wp:posOffset>
            </wp:positionH>
            <wp:positionV relativeFrom="paragraph">
              <wp:posOffset>-299720</wp:posOffset>
            </wp:positionV>
            <wp:extent cx="666115" cy="666750"/>
            <wp:effectExtent l="19050" t="0" r="635" b="0"/>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srcRect/>
                    <a:stretch>
                      <a:fillRect/>
                    </a:stretch>
                  </pic:blipFill>
                  <pic:spPr bwMode="auto">
                    <a:xfrm>
                      <a:off x="0" y="0"/>
                      <a:ext cx="666115" cy="666750"/>
                    </a:xfrm>
                    <a:prstGeom prst="rect">
                      <a:avLst/>
                    </a:prstGeom>
                    <a:noFill/>
                    <a:ln w="9525">
                      <a:noFill/>
                      <a:miter lim="800000"/>
                      <a:headEnd/>
                      <a:tailEnd/>
                    </a:ln>
                  </pic:spPr>
                </pic:pic>
              </a:graphicData>
            </a:graphic>
          </wp:anchor>
        </w:drawing>
      </w:r>
      <w:r w:rsidR="00984252">
        <w:rPr>
          <w:rFonts w:ascii="Arial" w:hAnsi="Arial" w:cs="Arial"/>
          <w:b/>
          <w:i/>
          <w:sz w:val="24"/>
          <w:szCs w:val="24"/>
        </w:rPr>
        <w:t>+</w:t>
      </w:r>
      <w:r>
        <w:rPr>
          <w:rFonts w:ascii="Arial" w:hAnsi="Arial" w:cs="Arial"/>
          <w:b/>
          <w:i/>
          <w:sz w:val="24"/>
          <w:szCs w:val="24"/>
        </w:rPr>
        <w:t xml:space="preserve">        </w:t>
      </w:r>
      <w:r w:rsidRPr="00B044DD">
        <w:rPr>
          <w:rFonts w:ascii="Arial" w:hAnsi="Arial" w:cs="Arial"/>
          <w:b/>
          <w:i/>
          <w:sz w:val="24"/>
          <w:szCs w:val="24"/>
        </w:rPr>
        <w:t xml:space="preserve"> </w:t>
      </w:r>
      <w:r w:rsidRPr="00FE6EF0">
        <w:rPr>
          <w:b/>
          <w:color w:val="548DD4"/>
          <w:sz w:val="24"/>
          <w:szCs w:val="24"/>
        </w:rPr>
        <w:t>Úřad práce České republiky, Krajská pobočka v Ostravě</w:t>
      </w:r>
    </w:p>
    <w:p w:rsidR="00B044DD" w:rsidRDefault="00B044DD" w:rsidP="00B044DD">
      <w:pPr>
        <w:pStyle w:val="Zhlav"/>
      </w:pPr>
    </w:p>
    <w:p w:rsidR="00284CC7" w:rsidRPr="003A33F2" w:rsidRDefault="00B044DD">
      <w:pPr>
        <w:rPr>
          <w:b/>
          <w:i/>
          <w:sz w:val="24"/>
        </w:rPr>
      </w:pPr>
      <w:r>
        <w:rPr>
          <w:b/>
          <w:i/>
          <w:sz w:val="24"/>
        </w:rPr>
        <w:t xml:space="preserve">         </w:t>
      </w:r>
      <w:r>
        <w:rPr>
          <w:b/>
          <w:i/>
          <w:sz w:val="24"/>
        </w:rPr>
        <w:br/>
      </w:r>
    </w:p>
    <w:p w:rsidR="00284CC7" w:rsidRPr="003A33F2" w:rsidRDefault="00284CC7"/>
    <w:p w:rsidR="00284CC7" w:rsidRPr="003A33F2" w:rsidRDefault="00284CC7"/>
    <w:p w:rsidR="00284CC7" w:rsidRPr="003A33F2" w:rsidRDefault="00284CC7"/>
    <w:p w:rsidR="00284CC7" w:rsidRPr="003A33F2" w:rsidRDefault="00284CC7"/>
    <w:p w:rsidR="00284CC7" w:rsidRPr="003A33F2" w:rsidRDefault="00284CC7"/>
    <w:p w:rsidR="00284CC7" w:rsidRPr="003A33F2" w:rsidRDefault="00284CC7"/>
    <w:p w:rsidR="00284CC7" w:rsidRPr="003A33F2" w:rsidRDefault="00284CC7"/>
    <w:p w:rsidR="00284CC7" w:rsidRPr="003A33F2" w:rsidRDefault="00284CC7"/>
    <w:p w:rsidR="00284CC7" w:rsidRDefault="00284CC7"/>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DD08A6" w:rsidRDefault="00B16FC9" w:rsidP="00B16FC9">
      <w:pPr>
        <w:pStyle w:val="Nadpis1"/>
        <w:ind w:left="360"/>
        <w:jc w:val="center"/>
        <w:rPr>
          <w:b/>
          <w:i w:val="0"/>
          <w:sz w:val="48"/>
          <w:szCs w:val="48"/>
        </w:rPr>
      </w:pPr>
      <w:r w:rsidRPr="00FE6EF0">
        <w:rPr>
          <w:b/>
          <w:i w:val="0"/>
          <w:sz w:val="48"/>
          <w:szCs w:val="48"/>
        </w:rPr>
        <w:t>Zpráva o situaci na trhu práce</w:t>
      </w:r>
      <w:r w:rsidR="00DD08A6">
        <w:rPr>
          <w:b/>
          <w:i w:val="0"/>
          <w:sz w:val="48"/>
          <w:szCs w:val="48"/>
        </w:rPr>
        <w:t xml:space="preserve"> v Moravskoslezském kraji</w:t>
      </w:r>
      <w:r w:rsidRPr="00FE6EF0">
        <w:rPr>
          <w:b/>
          <w:i w:val="0"/>
          <w:sz w:val="48"/>
          <w:szCs w:val="48"/>
        </w:rPr>
        <w:t xml:space="preserve">, </w:t>
      </w:r>
    </w:p>
    <w:p w:rsidR="00DD08A6" w:rsidRDefault="00C84AEE" w:rsidP="00B16FC9">
      <w:pPr>
        <w:pStyle w:val="Nadpis1"/>
        <w:ind w:left="360"/>
        <w:jc w:val="center"/>
        <w:rPr>
          <w:b/>
          <w:i w:val="0"/>
          <w:sz w:val="48"/>
          <w:szCs w:val="48"/>
        </w:rPr>
      </w:pPr>
      <w:r>
        <w:rPr>
          <w:b/>
          <w:i w:val="0"/>
          <w:sz w:val="48"/>
          <w:szCs w:val="48"/>
        </w:rPr>
        <w:t>o realizaci APZ v roce 2014</w:t>
      </w:r>
      <w:r w:rsidR="00B16FC9" w:rsidRPr="00FE6EF0">
        <w:rPr>
          <w:b/>
          <w:i w:val="0"/>
          <w:sz w:val="48"/>
          <w:szCs w:val="48"/>
        </w:rPr>
        <w:t xml:space="preserve"> </w:t>
      </w:r>
    </w:p>
    <w:p w:rsidR="00B16FC9" w:rsidRPr="00FE6EF0" w:rsidRDefault="00B16FC9" w:rsidP="00B16FC9">
      <w:pPr>
        <w:pStyle w:val="Nadpis1"/>
        <w:ind w:left="360"/>
        <w:jc w:val="center"/>
        <w:rPr>
          <w:b/>
          <w:i w:val="0"/>
          <w:sz w:val="48"/>
          <w:szCs w:val="48"/>
        </w:rPr>
      </w:pPr>
      <w:r w:rsidRPr="00FE6EF0">
        <w:rPr>
          <w:b/>
          <w:i w:val="0"/>
          <w:sz w:val="48"/>
          <w:szCs w:val="48"/>
        </w:rPr>
        <w:t xml:space="preserve">a </w:t>
      </w:r>
      <w:r w:rsidR="00C84AEE">
        <w:rPr>
          <w:b/>
          <w:i w:val="0"/>
          <w:sz w:val="48"/>
          <w:szCs w:val="48"/>
        </w:rPr>
        <w:t>strategie APZ pro rok 2015</w:t>
      </w:r>
    </w:p>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FE6EF0" w:rsidRDefault="00FE6EF0"/>
    <w:p w:rsidR="008E4235" w:rsidRDefault="008E4235"/>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B16FC9" w:rsidRDefault="00B16FC9"/>
    <w:p w:rsidR="00FE6EF0" w:rsidRDefault="00FE6EF0"/>
    <w:p w:rsidR="00B16FC9" w:rsidRDefault="00B16FC9"/>
    <w:p w:rsidR="00B16FC9" w:rsidRPr="003A33F2" w:rsidRDefault="00B16FC9"/>
    <w:p w:rsidR="00284CC7" w:rsidRPr="00FE6EF0" w:rsidRDefault="00B16FC9" w:rsidP="00B16FC9">
      <w:pPr>
        <w:jc w:val="right"/>
        <w:rPr>
          <w:b/>
          <w:sz w:val="24"/>
          <w:szCs w:val="24"/>
        </w:rPr>
      </w:pPr>
      <w:r w:rsidRPr="00FE6EF0">
        <w:rPr>
          <w:b/>
          <w:color w:val="548DD4"/>
          <w:sz w:val="24"/>
          <w:szCs w:val="24"/>
        </w:rPr>
        <w:t>Zpráva o</w:t>
      </w:r>
      <w:r w:rsidR="00C84AEE">
        <w:rPr>
          <w:b/>
          <w:color w:val="548DD4"/>
          <w:sz w:val="24"/>
          <w:szCs w:val="24"/>
        </w:rPr>
        <w:t xml:space="preserve"> plnění zaměření APZ v roce 2014</w:t>
      </w:r>
      <w:r w:rsidRPr="00FE6EF0">
        <w:rPr>
          <w:b/>
          <w:color w:val="548DD4"/>
          <w:sz w:val="24"/>
          <w:szCs w:val="24"/>
        </w:rPr>
        <w:t xml:space="preserve"> v Moravskoslezském kraji</w:t>
      </w:r>
    </w:p>
    <w:p w:rsidR="00E27755" w:rsidRPr="003A33F2" w:rsidRDefault="00E27755">
      <w:pPr>
        <w:jc w:val="center"/>
        <w:rPr>
          <w:b/>
          <w:i/>
          <w:sz w:val="24"/>
        </w:rPr>
        <w:sectPr w:rsidR="00E27755" w:rsidRPr="003A33F2">
          <w:headerReference w:type="default" r:id="rId10"/>
          <w:footerReference w:type="even" r:id="rId11"/>
          <w:pgSz w:w="11906" w:h="16838"/>
          <w:pgMar w:top="1417" w:right="1417" w:bottom="1417" w:left="1417" w:header="708" w:footer="708" w:gutter="0"/>
          <w:cols w:space="708"/>
        </w:sectPr>
      </w:pPr>
    </w:p>
    <w:p w:rsidR="00284CC7" w:rsidRPr="003A33F2" w:rsidRDefault="00284CC7">
      <w:pPr>
        <w:rPr>
          <w:b/>
          <w:i/>
          <w:sz w:val="24"/>
        </w:rPr>
        <w:sectPr w:rsidR="00284CC7" w:rsidRPr="003A33F2">
          <w:footerReference w:type="default" r:id="rId12"/>
          <w:pgSz w:w="11906" w:h="16838"/>
          <w:pgMar w:top="1417" w:right="1417" w:bottom="1417" w:left="1417" w:header="708" w:footer="708" w:gutter="0"/>
          <w:cols w:space="708"/>
        </w:sectPr>
      </w:pPr>
    </w:p>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3A33F2" w:rsidRDefault="00FF30BD" w:rsidP="00FF30BD"/>
    <w:p w:rsidR="00FF30BD" w:rsidRPr="00BA0EF9" w:rsidRDefault="00FF30BD" w:rsidP="00FF30BD">
      <w:pPr>
        <w:pStyle w:val="dka"/>
        <w:spacing w:after="60"/>
        <w:rPr>
          <w:rFonts w:asciiTheme="minorHAnsi" w:hAnsiTheme="minorHAnsi" w:cstheme="minorHAnsi"/>
          <w:color w:val="auto"/>
        </w:rPr>
      </w:pPr>
      <w:r w:rsidRPr="00BA0EF9">
        <w:rPr>
          <w:rFonts w:asciiTheme="minorHAnsi" w:hAnsiTheme="minorHAnsi" w:cstheme="minorHAnsi"/>
          <w:b/>
          <w:color w:val="auto"/>
        </w:rPr>
        <w:t>Spolupráce a podklady</w:t>
      </w:r>
      <w:r w:rsidRPr="00BA0EF9">
        <w:rPr>
          <w:rFonts w:asciiTheme="minorHAnsi" w:hAnsiTheme="minorHAnsi" w:cstheme="minorHAnsi"/>
          <w:color w:val="auto"/>
        </w:rPr>
        <w:t>:</w:t>
      </w:r>
    </w:p>
    <w:p w:rsidR="00FF30BD" w:rsidRPr="00BA0EF9" w:rsidRDefault="00FF30BD" w:rsidP="00FF30BD">
      <w:pPr>
        <w:pStyle w:val="odsazen"/>
        <w:spacing w:before="60" w:after="60"/>
        <w:ind w:left="357" w:hanging="357"/>
        <w:rPr>
          <w:rFonts w:asciiTheme="minorHAnsi" w:hAnsiTheme="minorHAnsi" w:cstheme="minorHAnsi"/>
        </w:rPr>
      </w:pPr>
      <w:r w:rsidRPr="00BA0EF9">
        <w:rPr>
          <w:rFonts w:asciiTheme="minorHAnsi" w:hAnsiTheme="minorHAnsi" w:cstheme="minorHAnsi"/>
        </w:rPr>
        <w:t>Česká správa</w:t>
      </w:r>
      <w:r w:rsidR="00EF2724" w:rsidRPr="00BA0EF9">
        <w:rPr>
          <w:rFonts w:asciiTheme="minorHAnsi" w:hAnsiTheme="minorHAnsi" w:cstheme="minorHAnsi"/>
        </w:rPr>
        <w:t xml:space="preserve"> sociálního zabezpečení - pracoviště </w:t>
      </w:r>
      <w:r w:rsidR="005502DD" w:rsidRPr="00BA0EF9">
        <w:rPr>
          <w:rFonts w:asciiTheme="minorHAnsi" w:hAnsiTheme="minorHAnsi" w:cstheme="minorHAnsi"/>
        </w:rPr>
        <w:t>Ostrava</w:t>
      </w:r>
    </w:p>
    <w:p w:rsidR="00FF30BD" w:rsidRPr="00BA0EF9" w:rsidRDefault="00FF30BD" w:rsidP="00FF30BD">
      <w:pPr>
        <w:pStyle w:val="odsazen"/>
        <w:spacing w:before="60" w:after="60"/>
        <w:ind w:left="357" w:hanging="357"/>
        <w:rPr>
          <w:rFonts w:asciiTheme="minorHAnsi" w:hAnsiTheme="minorHAnsi" w:cstheme="minorHAnsi"/>
        </w:rPr>
      </w:pPr>
      <w:r w:rsidRPr="00BA0EF9">
        <w:rPr>
          <w:rFonts w:asciiTheme="minorHAnsi" w:hAnsiTheme="minorHAnsi" w:cstheme="minorHAnsi"/>
        </w:rPr>
        <w:t>Český statistický úřa</w:t>
      </w:r>
      <w:r w:rsidR="00E52688" w:rsidRPr="00BA0EF9">
        <w:rPr>
          <w:rFonts w:asciiTheme="minorHAnsi" w:hAnsiTheme="minorHAnsi" w:cstheme="minorHAnsi"/>
        </w:rPr>
        <w:t>d</w:t>
      </w:r>
    </w:p>
    <w:p w:rsidR="00FF30BD" w:rsidRPr="00BA0EF9" w:rsidRDefault="00FF30BD" w:rsidP="00FF30BD">
      <w:pPr>
        <w:pStyle w:val="odsazen"/>
        <w:spacing w:before="60" w:after="60"/>
        <w:ind w:left="357" w:hanging="357"/>
        <w:rPr>
          <w:rFonts w:asciiTheme="minorHAnsi" w:hAnsiTheme="minorHAnsi" w:cstheme="minorHAnsi"/>
        </w:rPr>
      </w:pPr>
      <w:r w:rsidRPr="00BA0EF9">
        <w:rPr>
          <w:rFonts w:asciiTheme="minorHAnsi" w:hAnsiTheme="minorHAnsi" w:cstheme="minorHAnsi"/>
        </w:rPr>
        <w:t>Úřa</w:t>
      </w:r>
      <w:r w:rsidR="007C681D">
        <w:rPr>
          <w:rFonts w:asciiTheme="minorHAnsi" w:hAnsiTheme="minorHAnsi" w:cstheme="minorHAnsi"/>
        </w:rPr>
        <w:t>d práce ČR, K</w:t>
      </w:r>
      <w:r w:rsidR="00F74782" w:rsidRPr="00BA0EF9">
        <w:rPr>
          <w:rFonts w:asciiTheme="minorHAnsi" w:hAnsiTheme="minorHAnsi" w:cstheme="minorHAnsi"/>
        </w:rPr>
        <w:t>rajská pobočka v Ostravě</w:t>
      </w:r>
    </w:p>
    <w:p w:rsidR="00FF30BD" w:rsidRPr="00BA0EF9" w:rsidRDefault="00FF30BD" w:rsidP="00FF30BD">
      <w:pPr>
        <w:pStyle w:val="dka"/>
        <w:rPr>
          <w:rFonts w:asciiTheme="minorHAnsi" w:hAnsiTheme="minorHAnsi" w:cstheme="minorHAnsi"/>
          <w:color w:val="auto"/>
        </w:rPr>
      </w:pPr>
    </w:p>
    <w:p w:rsidR="00694D3B" w:rsidRPr="00BA0EF9" w:rsidRDefault="007D2628" w:rsidP="00186DFA">
      <w:pPr>
        <w:pStyle w:val="dka"/>
        <w:jc w:val="both"/>
        <w:rPr>
          <w:rFonts w:asciiTheme="minorHAnsi" w:hAnsiTheme="minorHAnsi" w:cstheme="minorHAnsi"/>
          <w:color w:val="auto"/>
        </w:rPr>
      </w:pPr>
      <w:r w:rsidRPr="00BA0EF9">
        <w:rPr>
          <w:rFonts w:asciiTheme="minorHAnsi" w:hAnsiTheme="minorHAnsi" w:cstheme="minorHAnsi"/>
        </w:rPr>
        <w:t xml:space="preserve">Z důvodu </w:t>
      </w:r>
      <w:r w:rsidR="003D29C9" w:rsidRPr="00BA0EF9">
        <w:rPr>
          <w:rFonts w:asciiTheme="minorHAnsi" w:hAnsiTheme="minorHAnsi" w:cstheme="minorHAnsi"/>
        </w:rPr>
        <w:t xml:space="preserve">změny </w:t>
      </w:r>
      <w:r w:rsidR="00186DFA" w:rsidRPr="00BA0EF9">
        <w:rPr>
          <w:rFonts w:asciiTheme="minorHAnsi" w:hAnsiTheme="minorHAnsi" w:cstheme="minorHAnsi"/>
        </w:rPr>
        <w:t>i</w:t>
      </w:r>
      <w:r w:rsidR="003D29C9" w:rsidRPr="00BA0EF9">
        <w:rPr>
          <w:rFonts w:asciiTheme="minorHAnsi" w:hAnsiTheme="minorHAnsi" w:cstheme="minorHAnsi"/>
        </w:rPr>
        <w:t xml:space="preserve">nformačního systému jsou </w:t>
      </w:r>
      <w:r w:rsidR="00186DFA" w:rsidRPr="00BA0EF9">
        <w:rPr>
          <w:rFonts w:asciiTheme="minorHAnsi" w:hAnsiTheme="minorHAnsi" w:cstheme="minorHAnsi"/>
        </w:rPr>
        <w:t>dat</w:t>
      </w:r>
      <w:r w:rsidR="003D29C9" w:rsidRPr="00BA0EF9">
        <w:rPr>
          <w:rFonts w:asciiTheme="minorHAnsi" w:hAnsiTheme="minorHAnsi" w:cstheme="minorHAnsi"/>
        </w:rPr>
        <w:t xml:space="preserve">a v kapitole </w:t>
      </w:r>
      <w:r w:rsidR="00186DFA" w:rsidRPr="00BA0EF9">
        <w:rPr>
          <w:rFonts w:asciiTheme="minorHAnsi" w:hAnsiTheme="minorHAnsi" w:cstheme="minorHAnsi"/>
        </w:rPr>
        <w:t>Zahran</w:t>
      </w:r>
      <w:r w:rsidRPr="00BA0EF9">
        <w:rPr>
          <w:rFonts w:asciiTheme="minorHAnsi" w:hAnsiTheme="minorHAnsi" w:cstheme="minorHAnsi"/>
        </w:rPr>
        <w:t>iční zaměstnanost dopočítává</w:t>
      </w:r>
      <w:r w:rsidR="003D29C9" w:rsidRPr="00BA0EF9">
        <w:rPr>
          <w:rFonts w:asciiTheme="minorHAnsi" w:hAnsiTheme="minorHAnsi" w:cstheme="minorHAnsi"/>
        </w:rPr>
        <w:t xml:space="preserve">na </w:t>
      </w:r>
      <w:r w:rsidRPr="00BA0EF9">
        <w:rPr>
          <w:rFonts w:asciiTheme="minorHAnsi" w:hAnsiTheme="minorHAnsi" w:cstheme="minorHAnsi"/>
        </w:rPr>
        <w:t xml:space="preserve">ručně,  </w:t>
      </w:r>
      <w:r w:rsidR="00186DFA" w:rsidRPr="00BA0EF9">
        <w:rPr>
          <w:rFonts w:asciiTheme="minorHAnsi" w:hAnsiTheme="minorHAnsi" w:cstheme="minorHAnsi"/>
        </w:rPr>
        <w:t>proto je jejich vypo</w:t>
      </w:r>
      <w:r w:rsidRPr="00BA0EF9">
        <w:rPr>
          <w:rFonts w:asciiTheme="minorHAnsi" w:hAnsiTheme="minorHAnsi" w:cstheme="minorHAnsi"/>
        </w:rPr>
        <w:t>vída</w:t>
      </w:r>
      <w:r w:rsidR="00186DFA" w:rsidRPr="00BA0EF9">
        <w:rPr>
          <w:rFonts w:asciiTheme="minorHAnsi" w:hAnsiTheme="minorHAnsi" w:cstheme="minorHAnsi"/>
        </w:rPr>
        <w:t xml:space="preserve">cí </w:t>
      </w:r>
      <w:r w:rsidRPr="00BA0EF9">
        <w:rPr>
          <w:rFonts w:asciiTheme="minorHAnsi" w:hAnsiTheme="minorHAnsi" w:cstheme="minorHAnsi"/>
        </w:rPr>
        <w:t xml:space="preserve">schopnost </w:t>
      </w:r>
      <w:r w:rsidR="00186DFA" w:rsidRPr="00BA0EF9">
        <w:rPr>
          <w:rFonts w:asciiTheme="minorHAnsi" w:hAnsiTheme="minorHAnsi" w:cstheme="minorHAnsi"/>
        </w:rPr>
        <w:t>pouze orientační.</w:t>
      </w:r>
    </w:p>
    <w:p w:rsidR="00694D3B" w:rsidRPr="00BA0EF9" w:rsidRDefault="00694D3B" w:rsidP="00FF30BD">
      <w:pPr>
        <w:pStyle w:val="dka"/>
        <w:rPr>
          <w:rFonts w:asciiTheme="minorHAnsi" w:hAnsiTheme="minorHAnsi" w:cstheme="minorHAnsi"/>
          <w:color w:val="auto"/>
        </w:rPr>
      </w:pPr>
    </w:p>
    <w:p w:rsidR="00694D3B" w:rsidRPr="00BA0EF9" w:rsidRDefault="00694D3B" w:rsidP="00FF30BD">
      <w:pPr>
        <w:pStyle w:val="dka"/>
        <w:rPr>
          <w:rFonts w:asciiTheme="minorHAnsi" w:hAnsiTheme="minorHAnsi" w:cstheme="minorHAnsi"/>
          <w:color w:val="auto"/>
        </w:rPr>
      </w:pPr>
    </w:p>
    <w:p w:rsidR="00694D3B" w:rsidRPr="00BA0EF9" w:rsidRDefault="00694D3B" w:rsidP="00FF30BD">
      <w:pPr>
        <w:pStyle w:val="dka"/>
        <w:rPr>
          <w:rFonts w:asciiTheme="minorHAnsi" w:hAnsiTheme="minorHAnsi" w:cstheme="minorHAnsi"/>
          <w:color w:val="auto"/>
        </w:rPr>
      </w:pPr>
    </w:p>
    <w:p w:rsidR="00E52688" w:rsidRPr="00BA0EF9" w:rsidRDefault="00E52688" w:rsidP="00FF30BD">
      <w:pPr>
        <w:pStyle w:val="dka"/>
        <w:rPr>
          <w:rFonts w:asciiTheme="minorHAnsi" w:hAnsiTheme="minorHAnsi" w:cstheme="minorHAnsi"/>
          <w:b/>
          <w:color w:val="auto"/>
        </w:rPr>
      </w:pPr>
    </w:p>
    <w:p w:rsidR="0011567B" w:rsidRDefault="0011567B" w:rsidP="00FF30BD">
      <w:pPr>
        <w:pStyle w:val="dka"/>
        <w:rPr>
          <w:rFonts w:asciiTheme="minorHAnsi" w:hAnsiTheme="minorHAnsi" w:cstheme="minorHAnsi"/>
          <w:b/>
          <w:color w:val="auto"/>
        </w:rPr>
      </w:pPr>
    </w:p>
    <w:p w:rsidR="00BA0EF9" w:rsidRPr="00BA0EF9" w:rsidRDefault="00BA0EF9" w:rsidP="00FF30BD">
      <w:pPr>
        <w:pStyle w:val="dka"/>
        <w:rPr>
          <w:rFonts w:asciiTheme="minorHAnsi" w:hAnsiTheme="minorHAnsi" w:cstheme="minorHAnsi"/>
          <w:b/>
          <w:color w:val="auto"/>
        </w:rPr>
      </w:pPr>
    </w:p>
    <w:p w:rsidR="00FF30BD" w:rsidRPr="00BA0EF9" w:rsidRDefault="00FF30BD" w:rsidP="00FF30BD">
      <w:pPr>
        <w:pStyle w:val="dka"/>
        <w:rPr>
          <w:rFonts w:asciiTheme="minorHAnsi" w:hAnsiTheme="minorHAnsi" w:cstheme="minorHAnsi"/>
          <w:b/>
          <w:color w:val="auto"/>
        </w:rPr>
      </w:pPr>
    </w:p>
    <w:p w:rsidR="00FF30BD" w:rsidRPr="00BA0EF9" w:rsidRDefault="00FF30BD" w:rsidP="00FF30BD">
      <w:pPr>
        <w:pStyle w:val="dka"/>
        <w:rPr>
          <w:rFonts w:asciiTheme="minorHAnsi" w:hAnsiTheme="minorHAnsi" w:cstheme="minorHAnsi"/>
          <w:b/>
          <w:i/>
          <w:color w:val="auto"/>
        </w:rPr>
      </w:pPr>
      <w:r w:rsidRPr="00BA0EF9">
        <w:rPr>
          <w:rFonts w:asciiTheme="minorHAnsi" w:hAnsiTheme="minorHAnsi" w:cstheme="minorHAnsi"/>
          <w:b/>
          <w:i/>
          <w:color w:val="auto"/>
        </w:rPr>
        <w:t>Zpra</w:t>
      </w:r>
      <w:r w:rsidR="00E70DF0" w:rsidRPr="00BA0EF9">
        <w:rPr>
          <w:rFonts w:asciiTheme="minorHAnsi" w:hAnsiTheme="minorHAnsi" w:cstheme="minorHAnsi"/>
          <w:b/>
          <w:i/>
          <w:color w:val="auto"/>
        </w:rPr>
        <w:t>coval referát trhu práce</w:t>
      </w:r>
      <w:r w:rsidRPr="00BA0EF9">
        <w:rPr>
          <w:rFonts w:asciiTheme="minorHAnsi" w:hAnsiTheme="minorHAnsi" w:cstheme="minorHAnsi"/>
          <w:b/>
          <w:i/>
          <w:color w:val="auto"/>
        </w:rPr>
        <w:t xml:space="preserve"> Úřadu práce</w:t>
      </w:r>
      <w:r w:rsidR="007C681D">
        <w:rPr>
          <w:rFonts w:asciiTheme="minorHAnsi" w:hAnsiTheme="minorHAnsi" w:cstheme="minorHAnsi"/>
          <w:b/>
          <w:i/>
          <w:color w:val="auto"/>
        </w:rPr>
        <w:t xml:space="preserve"> ČR, K</w:t>
      </w:r>
      <w:r w:rsidR="00F74782" w:rsidRPr="00BA0EF9">
        <w:rPr>
          <w:rFonts w:asciiTheme="minorHAnsi" w:hAnsiTheme="minorHAnsi" w:cstheme="minorHAnsi"/>
          <w:b/>
          <w:i/>
          <w:color w:val="auto"/>
        </w:rPr>
        <w:t>rajské pobočky</w:t>
      </w:r>
      <w:r w:rsidRPr="00BA0EF9">
        <w:rPr>
          <w:rFonts w:asciiTheme="minorHAnsi" w:hAnsiTheme="minorHAnsi" w:cstheme="minorHAnsi"/>
          <w:b/>
          <w:i/>
          <w:color w:val="auto"/>
        </w:rPr>
        <w:t xml:space="preserve"> v Ostravě</w:t>
      </w:r>
    </w:p>
    <w:p w:rsidR="00FF30BD" w:rsidRPr="00BA0EF9" w:rsidRDefault="00FF30BD" w:rsidP="00FF30BD">
      <w:pPr>
        <w:rPr>
          <w:rFonts w:asciiTheme="minorHAnsi" w:hAnsiTheme="minorHAnsi" w:cstheme="minorHAnsi"/>
        </w:rPr>
      </w:pPr>
    </w:p>
    <w:p w:rsidR="00FF30BD" w:rsidRPr="00BA0EF9" w:rsidRDefault="00FF30BD" w:rsidP="00FF30BD">
      <w:pPr>
        <w:rPr>
          <w:rFonts w:asciiTheme="minorHAnsi" w:hAnsiTheme="minorHAnsi" w:cstheme="minorHAnsi"/>
        </w:rPr>
      </w:pPr>
    </w:p>
    <w:p w:rsidR="00284CC7" w:rsidRPr="00BA0EF9" w:rsidRDefault="00FF30BD" w:rsidP="00FF30BD">
      <w:pPr>
        <w:rPr>
          <w:rFonts w:asciiTheme="minorHAnsi" w:hAnsiTheme="minorHAnsi" w:cstheme="minorHAnsi"/>
          <w:b/>
          <w:i/>
          <w:sz w:val="24"/>
        </w:rPr>
      </w:pPr>
      <w:r w:rsidRPr="00BA0EF9">
        <w:rPr>
          <w:rFonts w:asciiTheme="minorHAnsi" w:hAnsiTheme="minorHAnsi" w:cstheme="minorHAnsi"/>
        </w:rPr>
        <w:br w:type="page"/>
      </w:r>
    </w:p>
    <w:p w:rsidR="00284CC7" w:rsidRPr="003A33F2" w:rsidRDefault="00284CC7">
      <w:pPr>
        <w:rPr>
          <w:b/>
          <w:i/>
          <w:sz w:val="24"/>
        </w:rPr>
      </w:pPr>
    </w:p>
    <w:p w:rsidR="00284CC7" w:rsidRPr="00BA0EF9" w:rsidRDefault="00284CC7">
      <w:pPr>
        <w:rPr>
          <w:rFonts w:asciiTheme="minorHAnsi" w:hAnsiTheme="minorHAnsi" w:cstheme="minorHAnsi"/>
          <w:b/>
          <w:sz w:val="24"/>
        </w:rPr>
      </w:pPr>
      <w:r w:rsidRPr="00BA0EF9">
        <w:rPr>
          <w:rFonts w:asciiTheme="minorHAnsi" w:hAnsiTheme="minorHAnsi" w:cstheme="minorHAnsi"/>
          <w:b/>
          <w:sz w:val="24"/>
        </w:rPr>
        <w:t>OBSAH</w:t>
      </w: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sz w:val="24"/>
        </w:rPr>
      </w:pPr>
    </w:p>
    <w:tbl>
      <w:tblPr>
        <w:tblW w:w="0" w:type="auto"/>
        <w:tblLayout w:type="fixed"/>
        <w:tblCellMar>
          <w:left w:w="70" w:type="dxa"/>
          <w:right w:w="70" w:type="dxa"/>
        </w:tblCellMar>
        <w:tblLook w:val="0000" w:firstRow="0" w:lastRow="0" w:firstColumn="0" w:lastColumn="0" w:noHBand="0" w:noVBand="0"/>
      </w:tblPr>
      <w:tblGrid>
        <w:gridCol w:w="779"/>
        <w:gridCol w:w="6662"/>
        <w:gridCol w:w="850"/>
      </w:tblGrid>
      <w:tr w:rsidR="00284CC7" w:rsidRPr="00BA0EF9">
        <w:trPr>
          <w:trHeight w:val="567"/>
        </w:trPr>
        <w:tc>
          <w:tcPr>
            <w:tcW w:w="779" w:type="dxa"/>
            <w:vAlign w:val="center"/>
          </w:tcPr>
          <w:p w:rsidR="00284CC7" w:rsidRPr="00BA0EF9" w:rsidRDefault="00284CC7" w:rsidP="00764E8D">
            <w:pPr>
              <w:jc w:val="center"/>
              <w:rPr>
                <w:rFonts w:asciiTheme="minorHAnsi" w:hAnsiTheme="minorHAnsi" w:cstheme="minorHAnsi"/>
                <w:sz w:val="24"/>
              </w:rPr>
            </w:pPr>
          </w:p>
        </w:tc>
        <w:tc>
          <w:tcPr>
            <w:tcW w:w="6662" w:type="dxa"/>
            <w:vAlign w:val="center"/>
          </w:tcPr>
          <w:p w:rsidR="00284CC7" w:rsidRPr="00BA0EF9" w:rsidRDefault="00284CC7" w:rsidP="00764E8D">
            <w:pPr>
              <w:jc w:val="center"/>
              <w:rPr>
                <w:rFonts w:asciiTheme="minorHAnsi" w:hAnsiTheme="minorHAnsi" w:cstheme="minorHAnsi"/>
                <w:sz w:val="24"/>
              </w:rPr>
            </w:pPr>
          </w:p>
        </w:tc>
        <w:tc>
          <w:tcPr>
            <w:tcW w:w="850" w:type="dxa"/>
            <w:vAlign w:val="center"/>
          </w:tcPr>
          <w:p w:rsidR="00284CC7" w:rsidRPr="00BA0EF9" w:rsidRDefault="00284CC7" w:rsidP="00764E8D">
            <w:pPr>
              <w:jc w:val="center"/>
              <w:rPr>
                <w:rFonts w:asciiTheme="minorHAnsi" w:hAnsiTheme="minorHAnsi" w:cstheme="minorHAnsi"/>
                <w:sz w:val="24"/>
              </w:rPr>
            </w:pPr>
            <w:r w:rsidRPr="00BA0EF9">
              <w:rPr>
                <w:rFonts w:asciiTheme="minorHAnsi" w:hAnsiTheme="minorHAnsi" w:cstheme="minorHAnsi"/>
                <w:sz w:val="24"/>
              </w:rPr>
              <w:t>strana</w:t>
            </w:r>
          </w:p>
        </w:tc>
      </w:tr>
      <w:tr w:rsidR="00284CC7" w:rsidRPr="00BA0EF9">
        <w:trPr>
          <w:trHeight w:val="567"/>
        </w:trPr>
        <w:tc>
          <w:tcPr>
            <w:tcW w:w="779" w:type="dxa"/>
            <w:vAlign w:val="center"/>
          </w:tcPr>
          <w:p w:rsidR="00284CC7" w:rsidRPr="00BA0EF9" w:rsidRDefault="00284CC7" w:rsidP="007708A7">
            <w:pPr>
              <w:rPr>
                <w:rFonts w:asciiTheme="minorHAnsi" w:hAnsiTheme="minorHAnsi" w:cstheme="minorHAnsi"/>
                <w:sz w:val="24"/>
              </w:rPr>
            </w:pPr>
            <w:r w:rsidRPr="00BA0EF9">
              <w:rPr>
                <w:rFonts w:asciiTheme="minorHAnsi" w:hAnsiTheme="minorHAnsi" w:cstheme="minorHAnsi"/>
                <w:sz w:val="24"/>
              </w:rPr>
              <w:t>I.</w:t>
            </w:r>
          </w:p>
        </w:tc>
        <w:tc>
          <w:tcPr>
            <w:tcW w:w="6662" w:type="dxa"/>
            <w:vAlign w:val="center"/>
          </w:tcPr>
          <w:p w:rsidR="00284CC7" w:rsidRPr="00BA0EF9" w:rsidRDefault="00284CC7" w:rsidP="00764E8D">
            <w:pPr>
              <w:rPr>
                <w:rFonts w:asciiTheme="minorHAnsi" w:hAnsiTheme="minorHAnsi" w:cstheme="minorHAnsi"/>
                <w:sz w:val="24"/>
              </w:rPr>
            </w:pPr>
            <w:r w:rsidRPr="00BA0EF9">
              <w:rPr>
                <w:rFonts w:asciiTheme="minorHAnsi" w:hAnsiTheme="minorHAnsi" w:cstheme="minorHAnsi"/>
                <w:sz w:val="24"/>
              </w:rPr>
              <w:t>Celková charakteristika Moravskoslezského kraje</w:t>
            </w:r>
          </w:p>
        </w:tc>
        <w:tc>
          <w:tcPr>
            <w:tcW w:w="850" w:type="dxa"/>
            <w:vAlign w:val="center"/>
          </w:tcPr>
          <w:p w:rsidR="00284CC7" w:rsidRPr="00BA0EF9" w:rsidRDefault="00646FB8" w:rsidP="007708A7">
            <w:pPr>
              <w:jc w:val="center"/>
              <w:rPr>
                <w:rFonts w:asciiTheme="minorHAnsi" w:hAnsiTheme="minorHAnsi" w:cstheme="minorHAnsi"/>
                <w:sz w:val="24"/>
              </w:rPr>
            </w:pPr>
            <w:r>
              <w:rPr>
                <w:rFonts w:asciiTheme="minorHAnsi" w:hAnsiTheme="minorHAnsi" w:cstheme="minorHAnsi"/>
                <w:sz w:val="24"/>
              </w:rPr>
              <w:t>3</w:t>
            </w:r>
          </w:p>
        </w:tc>
      </w:tr>
      <w:tr w:rsidR="00284CC7" w:rsidRPr="00BA0EF9">
        <w:trPr>
          <w:trHeight w:val="567"/>
        </w:trPr>
        <w:tc>
          <w:tcPr>
            <w:tcW w:w="779" w:type="dxa"/>
            <w:vAlign w:val="center"/>
          </w:tcPr>
          <w:p w:rsidR="00284CC7" w:rsidRPr="00BA0EF9" w:rsidRDefault="00284CC7" w:rsidP="007708A7">
            <w:pPr>
              <w:rPr>
                <w:rFonts w:asciiTheme="minorHAnsi" w:hAnsiTheme="minorHAnsi" w:cstheme="minorHAnsi"/>
                <w:sz w:val="24"/>
              </w:rPr>
            </w:pPr>
            <w:r w:rsidRPr="00BA0EF9">
              <w:rPr>
                <w:rFonts w:asciiTheme="minorHAnsi" w:hAnsiTheme="minorHAnsi" w:cstheme="minorHAnsi"/>
                <w:sz w:val="24"/>
              </w:rPr>
              <w:t>II.</w:t>
            </w:r>
          </w:p>
        </w:tc>
        <w:tc>
          <w:tcPr>
            <w:tcW w:w="6662" w:type="dxa"/>
            <w:vAlign w:val="center"/>
          </w:tcPr>
          <w:p w:rsidR="00284CC7" w:rsidRPr="00BA0EF9" w:rsidRDefault="00284CC7" w:rsidP="00764E8D">
            <w:pPr>
              <w:rPr>
                <w:rFonts w:asciiTheme="minorHAnsi" w:hAnsiTheme="minorHAnsi" w:cstheme="minorHAnsi"/>
                <w:sz w:val="24"/>
              </w:rPr>
            </w:pPr>
            <w:r w:rsidRPr="00BA0EF9">
              <w:rPr>
                <w:rFonts w:asciiTheme="minorHAnsi" w:hAnsiTheme="minorHAnsi" w:cstheme="minorHAnsi"/>
                <w:sz w:val="24"/>
              </w:rPr>
              <w:t>Zaměstnanost</w:t>
            </w:r>
          </w:p>
        </w:tc>
        <w:tc>
          <w:tcPr>
            <w:tcW w:w="850" w:type="dxa"/>
            <w:vAlign w:val="center"/>
          </w:tcPr>
          <w:p w:rsidR="00284CC7" w:rsidRPr="00BA0EF9" w:rsidRDefault="00646FB8" w:rsidP="007708A7">
            <w:pPr>
              <w:jc w:val="center"/>
              <w:rPr>
                <w:rFonts w:asciiTheme="minorHAnsi" w:hAnsiTheme="minorHAnsi" w:cstheme="minorHAnsi"/>
                <w:sz w:val="24"/>
              </w:rPr>
            </w:pPr>
            <w:r>
              <w:rPr>
                <w:rFonts w:asciiTheme="minorHAnsi" w:hAnsiTheme="minorHAnsi" w:cstheme="minorHAnsi"/>
                <w:sz w:val="24"/>
              </w:rPr>
              <w:t>7</w:t>
            </w:r>
          </w:p>
        </w:tc>
      </w:tr>
      <w:tr w:rsidR="00284CC7" w:rsidRPr="00BA0EF9">
        <w:trPr>
          <w:trHeight w:val="567"/>
        </w:trPr>
        <w:tc>
          <w:tcPr>
            <w:tcW w:w="779" w:type="dxa"/>
            <w:vAlign w:val="center"/>
          </w:tcPr>
          <w:p w:rsidR="00284CC7" w:rsidRPr="00BA0EF9" w:rsidRDefault="00284CC7" w:rsidP="007708A7">
            <w:pPr>
              <w:rPr>
                <w:rFonts w:asciiTheme="minorHAnsi" w:hAnsiTheme="minorHAnsi" w:cstheme="minorHAnsi"/>
                <w:sz w:val="24"/>
              </w:rPr>
            </w:pPr>
            <w:r w:rsidRPr="00BA0EF9">
              <w:rPr>
                <w:rFonts w:asciiTheme="minorHAnsi" w:hAnsiTheme="minorHAnsi" w:cstheme="minorHAnsi"/>
                <w:sz w:val="24"/>
              </w:rPr>
              <w:t>I</w:t>
            </w:r>
            <w:r w:rsidR="00FF30BD" w:rsidRPr="00BA0EF9">
              <w:rPr>
                <w:rFonts w:asciiTheme="minorHAnsi" w:hAnsiTheme="minorHAnsi" w:cstheme="minorHAnsi"/>
                <w:sz w:val="24"/>
              </w:rPr>
              <w:t>II</w:t>
            </w:r>
            <w:r w:rsidRPr="00BA0EF9">
              <w:rPr>
                <w:rFonts w:asciiTheme="minorHAnsi" w:hAnsiTheme="minorHAnsi" w:cstheme="minorHAnsi"/>
                <w:sz w:val="24"/>
              </w:rPr>
              <w:t>.</w:t>
            </w:r>
          </w:p>
        </w:tc>
        <w:tc>
          <w:tcPr>
            <w:tcW w:w="6662" w:type="dxa"/>
            <w:vAlign w:val="center"/>
          </w:tcPr>
          <w:p w:rsidR="00284CC7" w:rsidRPr="00BA0EF9" w:rsidRDefault="00284CC7" w:rsidP="00764E8D">
            <w:pPr>
              <w:rPr>
                <w:rFonts w:asciiTheme="minorHAnsi" w:hAnsiTheme="minorHAnsi" w:cstheme="minorHAnsi"/>
                <w:sz w:val="24"/>
              </w:rPr>
            </w:pPr>
            <w:r w:rsidRPr="00BA0EF9">
              <w:rPr>
                <w:rFonts w:asciiTheme="minorHAnsi" w:hAnsiTheme="minorHAnsi" w:cstheme="minorHAnsi"/>
                <w:sz w:val="24"/>
              </w:rPr>
              <w:t>Nezaměstnanost</w:t>
            </w:r>
          </w:p>
        </w:tc>
        <w:tc>
          <w:tcPr>
            <w:tcW w:w="850" w:type="dxa"/>
            <w:vAlign w:val="center"/>
          </w:tcPr>
          <w:p w:rsidR="00284CC7" w:rsidRPr="00BA0EF9" w:rsidRDefault="00646FB8" w:rsidP="007708A7">
            <w:pPr>
              <w:jc w:val="center"/>
              <w:rPr>
                <w:rFonts w:asciiTheme="minorHAnsi" w:hAnsiTheme="minorHAnsi" w:cstheme="minorHAnsi"/>
                <w:sz w:val="24"/>
              </w:rPr>
            </w:pPr>
            <w:r>
              <w:rPr>
                <w:rFonts w:asciiTheme="minorHAnsi" w:hAnsiTheme="minorHAnsi" w:cstheme="minorHAnsi"/>
                <w:sz w:val="24"/>
              </w:rPr>
              <w:t>22</w:t>
            </w:r>
          </w:p>
        </w:tc>
      </w:tr>
      <w:tr w:rsidR="00284CC7" w:rsidRPr="00BA0EF9">
        <w:trPr>
          <w:trHeight w:val="567"/>
        </w:trPr>
        <w:tc>
          <w:tcPr>
            <w:tcW w:w="779" w:type="dxa"/>
            <w:vAlign w:val="center"/>
          </w:tcPr>
          <w:p w:rsidR="00284CC7" w:rsidRPr="00BA0EF9" w:rsidRDefault="00FF30BD" w:rsidP="007708A7">
            <w:pPr>
              <w:rPr>
                <w:rFonts w:asciiTheme="minorHAnsi" w:hAnsiTheme="minorHAnsi" w:cstheme="minorHAnsi"/>
                <w:sz w:val="24"/>
              </w:rPr>
            </w:pPr>
            <w:r w:rsidRPr="00BA0EF9">
              <w:rPr>
                <w:rFonts w:asciiTheme="minorHAnsi" w:hAnsiTheme="minorHAnsi" w:cstheme="minorHAnsi"/>
                <w:sz w:val="24"/>
              </w:rPr>
              <w:t>I</w:t>
            </w:r>
            <w:r w:rsidR="00284CC7" w:rsidRPr="00BA0EF9">
              <w:rPr>
                <w:rFonts w:asciiTheme="minorHAnsi" w:hAnsiTheme="minorHAnsi" w:cstheme="minorHAnsi"/>
                <w:sz w:val="24"/>
              </w:rPr>
              <w:t>V.</w:t>
            </w:r>
          </w:p>
        </w:tc>
        <w:tc>
          <w:tcPr>
            <w:tcW w:w="6662" w:type="dxa"/>
            <w:vAlign w:val="center"/>
          </w:tcPr>
          <w:p w:rsidR="00284CC7" w:rsidRPr="00BA0EF9" w:rsidRDefault="004E5380" w:rsidP="00764E8D">
            <w:pPr>
              <w:rPr>
                <w:rFonts w:asciiTheme="minorHAnsi" w:hAnsiTheme="minorHAnsi" w:cstheme="minorHAnsi"/>
                <w:sz w:val="24"/>
              </w:rPr>
            </w:pPr>
            <w:r w:rsidRPr="00BA0EF9">
              <w:rPr>
                <w:rFonts w:asciiTheme="minorHAnsi" w:hAnsiTheme="minorHAnsi" w:cstheme="minorHAnsi"/>
                <w:sz w:val="24"/>
              </w:rPr>
              <w:t>Zahraniční zaměstnanost</w:t>
            </w:r>
          </w:p>
        </w:tc>
        <w:tc>
          <w:tcPr>
            <w:tcW w:w="850" w:type="dxa"/>
            <w:vAlign w:val="center"/>
          </w:tcPr>
          <w:p w:rsidR="00284CC7" w:rsidRPr="00BA0EF9" w:rsidRDefault="00646FB8" w:rsidP="007708A7">
            <w:pPr>
              <w:jc w:val="center"/>
              <w:rPr>
                <w:rFonts w:asciiTheme="minorHAnsi" w:hAnsiTheme="minorHAnsi" w:cstheme="minorHAnsi"/>
                <w:sz w:val="24"/>
              </w:rPr>
            </w:pPr>
            <w:r>
              <w:rPr>
                <w:rFonts w:asciiTheme="minorHAnsi" w:hAnsiTheme="minorHAnsi" w:cstheme="minorHAnsi"/>
                <w:sz w:val="24"/>
              </w:rPr>
              <w:t>31</w:t>
            </w:r>
          </w:p>
        </w:tc>
      </w:tr>
      <w:tr w:rsidR="00FE6EF0" w:rsidRPr="00BA0EF9">
        <w:trPr>
          <w:trHeight w:val="567"/>
        </w:trPr>
        <w:tc>
          <w:tcPr>
            <w:tcW w:w="779" w:type="dxa"/>
            <w:vAlign w:val="center"/>
          </w:tcPr>
          <w:p w:rsidR="00FE6EF0" w:rsidRPr="00BA0EF9" w:rsidRDefault="003B3D1A" w:rsidP="007708A7">
            <w:pPr>
              <w:rPr>
                <w:rFonts w:asciiTheme="minorHAnsi" w:hAnsiTheme="minorHAnsi" w:cstheme="minorHAnsi"/>
                <w:sz w:val="24"/>
              </w:rPr>
            </w:pPr>
            <w:r w:rsidRPr="00BA0EF9">
              <w:rPr>
                <w:rFonts w:asciiTheme="minorHAnsi" w:hAnsiTheme="minorHAnsi" w:cstheme="minorHAnsi"/>
                <w:sz w:val="24"/>
              </w:rPr>
              <w:t>V</w:t>
            </w:r>
            <w:r w:rsidR="00FE6EF0" w:rsidRPr="00BA0EF9">
              <w:rPr>
                <w:rFonts w:asciiTheme="minorHAnsi" w:hAnsiTheme="minorHAnsi" w:cstheme="minorHAnsi"/>
                <w:sz w:val="24"/>
              </w:rPr>
              <w:t>.</w:t>
            </w:r>
          </w:p>
        </w:tc>
        <w:tc>
          <w:tcPr>
            <w:tcW w:w="6662" w:type="dxa"/>
            <w:vAlign w:val="center"/>
          </w:tcPr>
          <w:p w:rsidR="00FE6EF0" w:rsidRPr="00BA0EF9" w:rsidRDefault="00FE6EF0" w:rsidP="00764E8D">
            <w:pPr>
              <w:rPr>
                <w:rFonts w:asciiTheme="minorHAnsi" w:hAnsiTheme="minorHAnsi" w:cstheme="minorHAnsi"/>
                <w:sz w:val="24"/>
              </w:rPr>
            </w:pPr>
            <w:r w:rsidRPr="00BA0EF9">
              <w:rPr>
                <w:rFonts w:asciiTheme="minorHAnsi" w:hAnsiTheme="minorHAnsi" w:cstheme="minorHAnsi"/>
                <w:sz w:val="24"/>
              </w:rPr>
              <w:t>Aktivní politika zaměstnanosti</w:t>
            </w:r>
          </w:p>
        </w:tc>
        <w:tc>
          <w:tcPr>
            <w:tcW w:w="850" w:type="dxa"/>
            <w:vAlign w:val="center"/>
          </w:tcPr>
          <w:p w:rsidR="00FE6EF0" w:rsidRPr="00BA0EF9" w:rsidRDefault="00B813FC" w:rsidP="007708A7">
            <w:pPr>
              <w:jc w:val="center"/>
              <w:rPr>
                <w:rFonts w:asciiTheme="minorHAnsi" w:hAnsiTheme="minorHAnsi" w:cstheme="minorHAnsi"/>
                <w:sz w:val="24"/>
              </w:rPr>
            </w:pPr>
            <w:r>
              <w:rPr>
                <w:rFonts w:asciiTheme="minorHAnsi" w:hAnsiTheme="minorHAnsi" w:cstheme="minorHAnsi"/>
                <w:sz w:val="24"/>
              </w:rPr>
              <w:t>37</w:t>
            </w:r>
          </w:p>
        </w:tc>
      </w:tr>
      <w:tr w:rsidR="002A060A" w:rsidRPr="00BA0EF9">
        <w:trPr>
          <w:trHeight w:val="567"/>
        </w:trPr>
        <w:tc>
          <w:tcPr>
            <w:tcW w:w="779" w:type="dxa"/>
            <w:vAlign w:val="center"/>
          </w:tcPr>
          <w:p w:rsidR="002A060A" w:rsidRPr="00BA0EF9" w:rsidRDefault="00EE0269" w:rsidP="007708A7">
            <w:pPr>
              <w:rPr>
                <w:rFonts w:asciiTheme="minorHAnsi" w:hAnsiTheme="minorHAnsi" w:cstheme="minorHAnsi"/>
                <w:sz w:val="24"/>
              </w:rPr>
            </w:pPr>
            <w:r w:rsidRPr="00BA0EF9">
              <w:rPr>
                <w:rFonts w:asciiTheme="minorHAnsi" w:hAnsiTheme="minorHAnsi" w:cstheme="minorHAnsi"/>
                <w:sz w:val="24"/>
              </w:rPr>
              <w:t>VI</w:t>
            </w:r>
            <w:r w:rsidR="002A060A" w:rsidRPr="00BA0EF9">
              <w:rPr>
                <w:rFonts w:asciiTheme="minorHAnsi" w:hAnsiTheme="minorHAnsi" w:cstheme="minorHAnsi"/>
                <w:sz w:val="24"/>
              </w:rPr>
              <w:t>.</w:t>
            </w:r>
          </w:p>
        </w:tc>
        <w:tc>
          <w:tcPr>
            <w:tcW w:w="6662" w:type="dxa"/>
            <w:vAlign w:val="center"/>
          </w:tcPr>
          <w:p w:rsidR="002A060A" w:rsidRPr="00BA0EF9" w:rsidRDefault="002A060A" w:rsidP="00764E8D">
            <w:pPr>
              <w:rPr>
                <w:rFonts w:asciiTheme="minorHAnsi" w:hAnsiTheme="minorHAnsi" w:cstheme="minorHAnsi"/>
                <w:sz w:val="24"/>
              </w:rPr>
            </w:pPr>
            <w:r w:rsidRPr="00BA0EF9">
              <w:rPr>
                <w:rFonts w:asciiTheme="minorHAnsi" w:hAnsiTheme="minorHAnsi" w:cstheme="minorHAnsi"/>
                <w:sz w:val="24"/>
              </w:rPr>
              <w:t>Strategie realizace APZ pro rok 201</w:t>
            </w:r>
            <w:r w:rsidR="00B813FC">
              <w:rPr>
                <w:rFonts w:asciiTheme="minorHAnsi" w:hAnsiTheme="minorHAnsi" w:cstheme="minorHAnsi"/>
                <w:sz w:val="24"/>
              </w:rPr>
              <w:t>5</w:t>
            </w:r>
          </w:p>
        </w:tc>
        <w:tc>
          <w:tcPr>
            <w:tcW w:w="850" w:type="dxa"/>
            <w:vAlign w:val="center"/>
          </w:tcPr>
          <w:p w:rsidR="002A060A" w:rsidRPr="00BA0EF9" w:rsidRDefault="00B813FC" w:rsidP="007708A7">
            <w:pPr>
              <w:jc w:val="center"/>
              <w:rPr>
                <w:rFonts w:asciiTheme="minorHAnsi" w:hAnsiTheme="minorHAnsi" w:cstheme="minorHAnsi"/>
                <w:sz w:val="24"/>
              </w:rPr>
            </w:pPr>
            <w:r>
              <w:rPr>
                <w:rFonts w:asciiTheme="minorHAnsi" w:hAnsiTheme="minorHAnsi" w:cstheme="minorHAnsi"/>
                <w:sz w:val="24"/>
              </w:rPr>
              <w:t>51</w:t>
            </w:r>
          </w:p>
        </w:tc>
      </w:tr>
      <w:tr w:rsidR="00284CC7" w:rsidRPr="00BA0EF9">
        <w:trPr>
          <w:trHeight w:val="567"/>
        </w:trPr>
        <w:tc>
          <w:tcPr>
            <w:tcW w:w="779" w:type="dxa"/>
            <w:vAlign w:val="center"/>
          </w:tcPr>
          <w:p w:rsidR="00284CC7" w:rsidRPr="00BA0EF9" w:rsidRDefault="003849B6" w:rsidP="007708A7">
            <w:pPr>
              <w:rPr>
                <w:rFonts w:asciiTheme="minorHAnsi" w:hAnsiTheme="minorHAnsi" w:cstheme="minorHAnsi"/>
                <w:sz w:val="24"/>
              </w:rPr>
            </w:pPr>
            <w:r w:rsidRPr="00BA0EF9">
              <w:rPr>
                <w:rFonts w:asciiTheme="minorHAnsi" w:hAnsiTheme="minorHAnsi" w:cstheme="minorHAnsi"/>
                <w:sz w:val="24"/>
              </w:rPr>
              <w:t>VI</w:t>
            </w:r>
            <w:r w:rsidR="002A060A" w:rsidRPr="00BA0EF9">
              <w:rPr>
                <w:rFonts w:asciiTheme="minorHAnsi" w:hAnsiTheme="minorHAnsi" w:cstheme="minorHAnsi"/>
                <w:sz w:val="24"/>
              </w:rPr>
              <w:t>I</w:t>
            </w:r>
            <w:r w:rsidR="00FE6EF0" w:rsidRPr="00BA0EF9">
              <w:rPr>
                <w:rFonts w:asciiTheme="minorHAnsi" w:hAnsiTheme="minorHAnsi" w:cstheme="minorHAnsi"/>
                <w:sz w:val="24"/>
              </w:rPr>
              <w:t>.</w:t>
            </w:r>
          </w:p>
        </w:tc>
        <w:tc>
          <w:tcPr>
            <w:tcW w:w="6662" w:type="dxa"/>
            <w:vAlign w:val="center"/>
          </w:tcPr>
          <w:p w:rsidR="00284CC7" w:rsidRPr="00BA0EF9" w:rsidRDefault="00284CC7" w:rsidP="00764E8D">
            <w:pPr>
              <w:rPr>
                <w:rFonts w:asciiTheme="minorHAnsi" w:hAnsiTheme="minorHAnsi" w:cstheme="minorHAnsi"/>
                <w:sz w:val="24"/>
              </w:rPr>
            </w:pPr>
            <w:r w:rsidRPr="00BA0EF9">
              <w:rPr>
                <w:rFonts w:asciiTheme="minorHAnsi" w:hAnsiTheme="minorHAnsi" w:cstheme="minorHAnsi"/>
                <w:sz w:val="24"/>
              </w:rPr>
              <w:t>Prognó</w:t>
            </w:r>
            <w:r w:rsidR="00E97C96" w:rsidRPr="00BA0EF9">
              <w:rPr>
                <w:rFonts w:asciiTheme="minorHAnsi" w:hAnsiTheme="minorHAnsi" w:cstheme="minorHAnsi"/>
                <w:sz w:val="24"/>
              </w:rPr>
              <w:t>za vývoje trhu práce v roce 201</w:t>
            </w:r>
            <w:r w:rsidR="00B813FC">
              <w:rPr>
                <w:rFonts w:asciiTheme="minorHAnsi" w:hAnsiTheme="minorHAnsi" w:cstheme="minorHAnsi"/>
                <w:sz w:val="24"/>
              </w:rPr>
              <w:t>5</w:t>
            </w:r>
          </w:p>
        </w:tc>
        <w:tc>
          <w:tcPr>
            <w:tcW w:w="850" w:type="dxa"/>
            <w:vAlign w:val="center"/>
          </w:tcPr>
          <w:p w:rsidR="00284CC7" w:rsidRPr="00BA0EF9" w:rsidRDefault="00B813FC" w:rsidP="007708A7">
            <w:pPr>
              <w:jc w:val="center"/>
              <w:rPr>
                <w:rFonts w:asciiTheme="minorHAnsi" w:hAnsiTheme="minorHAnsi" w:cstheme="minorHAnsi"/>
                <w:sz w:val="24"/>
              </w:rPr>
            </w:pPr>
            <w:r>
              <w:rPr>
                <w:rFonts w:asciiTheme="minorHAnsi" w:hAnsiTheme="minorHAnsi" w:cstheme="minorHAnsi"/>
                <w:sz w:val="24"/>
              </w:rPr>
              <w:t>53</w:t>
            </w:r>
          </w:p>
        </w:tc>
      </w:tr>
      <w:tr w:rsidR="00284CC7" w:rsidRPr="00BA0EF9">
        <w:trPr>
          <w:trHeight w:val="567"/>
        </w:trPr>
        <w:tc>
          <w:tcPr>
            <w:tcW w:w="779" w:type="dxa"/>
            <w:vAlign w:val="center"/>
          </w:tcPr>
          <w:p w:rsidR="00284CC7" w:rsidRPr="00BA0EF9" w:rsidRDefault="00322710" w:rsidP="007708A7">
            <w:pPr>
              <w:rPr>
                <w:rFonts w:asciiTheme="minorHAnsi" w:hAnsiTheme="minorHAnsi" w:cstheme="minorHAnsi"/>
                <w:sz w:val="24"/>
              </w:rPr>
            </w:pPr>
            <w:r w:rsidRPr="00BA0EF9">
              <w:rPr>
                <w:rFonts w:asciiTheme="minorHAnsi" w:hAnsiTheme="minorHAnsi" w:cstheme="minorHAnsi"/>
                <w:sz w:val="24"/>
              </w:rPr>
              <w:t>VIII</w:t>
            </w:r>
            <w:r w:rsidR="00284CC7" w:rsidRPr="00BA0EF9">
              <w:rPr>
                <w:rFonts w:asciiTheme="minorHAnsi" w:hAnsiTheme="minorHAnsi" w:cstheme="minorHAnsi"/>
                <w:sz w:val="24"/>
              </w:rPr>
              <w:t>.</w:t>
            </w:r>
          </w:p>
        </w:tc>
        <w:tc>
          <w:tcPr>
            <w:tcW w:w="6662" w:type="dxa"/>
            <w:vAlign w:val="center"/>
          </w:tcPr>
          <w:p w:rsidR="00284CC7" w:rsidRPr="00BA0EF9" w:rsidRDefault="00284CC7" w:rsidP="00764E8D">
            <w:pPr>
              <w:rPr>
                <w:rFonts w:asciiTheme="minorHAnsi" w:hAnsiTheme="minorHAnsi" w:cstheme="minorHAnsi"/>
                <w:sz w:val="24"/>
                <w:szCs w:val="24"/>
              </w:rPr>
            </w:pPr>
            <w:r w:rsidRPr="00BA0EF9">
              <w:rPr>
                <w:rFonts w:asciiTheme="minorHAnsi" w:hAnsiTheme="minorHAnsi" w:cstheme="minorHAnsi"/>
                <w:sz w:val="24"/>
                <w:szCs w:val="24"/>
              </w:rPr>
              <w:t>Přílohy</w:t>
            </w:r>
          </w:p>
        </w:tc>
        <w:tc>
          <w:tcPr>
            <w:tcW w:w="850" w:type="dxa"/>
            <w:vAlign w:val="center"/>
          </w:tcPr>
          <w:p w:rsidR="00284CC7" w:rsidRPr="00BA0EF9" w:rsidRDefault="00B813FC" w:rsidP="007708A7">
            <w:pPr>
              <w:jc w:val="center"/>
              <w:rPr>
                <w:rFonts w:asciiTheme="minorHAnsi" w:hAnsiTheme="minorHAnsi" w:cstheme="minorHAnsi"/>
                <w:sz w:val="24"/>
              </w:rPr>
            </w:pPr>
            <w:r>
              <w:rPr>
                <w:rFonts w:asciiTheme="minorHAnsi" w:hAnsiTheme="minorHAnsi" w:cstheme="minorHAnsi"/>
                <w:sz w:val="24"/>
              </w:rPr>
              <w:t>63</w:t>
            </w:r>
          </w:p>
        </w:tc>
      </w:tr>
      <w:tr w:rsidR="00D9477E" w:rsidRPr="00BA0EF9">
        <w:trPr>
          <w:trHeight w:val="567"/>
        </w:trPr>
        <w:tc>
          <w:tcPr>
            <w:tcW w:w="779" w:type="dxa"/>
            <w:vAlign w:val="center"/>
          </w:tcPr>
          <w:p w:rsidR="00D9477E" w:rsidRPr="00BA0EF9" w:rsidRDefault="00D9477E" w:rsidP="007708A7">
            <w:pPr>
              <w:rPr>
                <w:rFonts w:asciiTheme="minorHAnsi" w:hAnsiTheme="minorHAnsi" w:cstheme="minorHAnsi"/>
                <w:sz w:val="24"/>
              </w:rPr>
            </w:pPr>
          </w:p>
        </w:tc>
        <w:tc>
          <w:tcPr>
            <w:tcW w:w="6662" w:type="dxa"/>
            <w:vAlign w:val="center"/>
          </w:tcPr>
          <w:p w:rsidR="00D9477E" w:rsidRPr="00BA0EF9" w:rsidRDefault="00D9477E" w:rsidP="00764E8D">
            <w:pPr>
              <w:rPr>
                <w:rFonts w:asciiTheme="minorHAnsi" w:hAnsiTheme="minorHAnsi" w:cstheme="minorHAnsi"/>
                <w:sz w:val="24"/>
                <w:szCs w:val="24"/>
              </w:rPr>
            </w:pPr>
            <w:r w:rsidRPr="00BA0EF9">
              <w:rPr>
                <w:rFonts w:asciiTheme="minorHAnsi" w:hAnsiTheme="minorHAnsi" w:cstheme="minorHAnsi"/>
                <w:sz w:val="24"/>
                <w:szCs w:val="24"/>
              </w:rPr>
              <w:t>Seznam použitých zkratek</w:t>
            </w:r>
          </w:p>
        </w:tc>
        <w:tc>
          <w:tcPr>
            <w:tcW w:w="850" w:type="dxa"/>
            <w:vAlign w:val="center"/>
          </w:tcPr>
          <w:p w:rsidR="00D9477E" w:rsidRPr="00BA0EF9" w:rsidRDefault="00B813FC" w:rsidP="007708A7">
            <w:pPr>
              <w:jc w:val="center"/>
              <w:rPr>
                <w:rFonts w:asciiTheme="minorHAnsi" w:hAnsiTheme="minorHAnsi" w:cstheme="minorHAnsi"/>
                <w:sz w:val="24"/>
              </w:rPr>
            </w:pPr>
            <w:r>
              <w:rPr>
                <w:rFonts w:asciiTheme="minorHAnsi" w:hAnsiTheme="minorHAnsi" w:cstheme="minorHAnsi"/>
                <w:sz w:val="24"/>
              </w:rPr>
              <w:t>76</w:t>
            </w:r>
          </w:p>
        </w:tc>
      </w:tr>
    </w:tbl>
    <w:p w:rsidR="00284CC7" w:rsidRPr="00BA0EF9" w:rsidRDefault="00284CC7">
      <w:pPr>
        <w:rPr>
          <w:rFonts w:asciiTheme="minorHAnsi" w:hAnsiTheme="minorHAnsi" w:cstheme="minorHAnsi"/>
          <w:sz w:val="24"/>
        </w:rPr>
      </w:pPr>
    </w:p>
    <w:p w:rsidR="00284CC7" w:rsidRPr="00BA0EF9" w:rsidRDefault="00284CC7">
      <w:pPr>
        <w:rPr>
          <w:rFonts w:asciiTheme="minorHAnsi" w:hAnsiTheme="minorHAnsi" w:cstheme="minorHAnsi"/>
          <w:i/>
          <w:sz w:val="24"/>
        </w:rPr>
      </w:pPr>
    </w:p>
    <w:p w:rsidR="00284CC7" w:rsidRPr="00BA0EF9" w:rsidRDefault="00284CC7" w:rsidP="00777874">
      <w:pPr>
        <w:pStyle w:val="Nadpis8"/>
        <w:jc w:val="both"/>
        <w:rPr>
          <w:rFonts w:asciiTheme="minorHAnsi" w:hAnsiTheme="minorHAnsi" w:cstheme="minorHAnsi"/>
          <w:sz w:val="28"/>
          <w:szCs w:val="28"/>
        </w:rPr>
      </w:pPr>
      <w:r w:rsidRPr="00BA0EF9">
        <w:rPr>
          <w:rFonts w:asciiTheme="minorHAnsi" w:hAnsiTheme="minorHAnsi" w:cstheme="minorHAnsi"/>
          <w:i/>
        </w:rPr>
        <w:br w:type="page"/>
      </w:r>
      <w:r w:rsidR="008251E0" w:rsidRPr="00BA0EF9">
        <w:rPr>
          <w:rFonts w:asciiTheme="minorHAnsi" w:hAnsiTheme="minorHAnsi" w:cstheme="minorHAnsi"/>
          <w:i/>
        </w:rPr>
        <w:t xml:space="preserve"> </w:t>
      </w:r>
      <w:r w:rsidRPr="00BA0EF9">
        <w:rPr>
          <w:rFonts w:asciiTheme="minorHAnsi" w:hAnsiTheme="minorHAnsi" w:cstheme="minorHAnsi"/>
          <w:sz w:val="28"/>
          <w:szCs w:val="28"/>
        </w:rPr>
        <w:t>I. CELKOVÁ</w:t>
      </w:r>
      <w:r w:rsidR="00AA57B0" w:rsidRPr="00BA0EF9">
        <w:rPr>
          <w:rFonts w:asciiTheme="minorHAnsi" w:hAnsiTheme="minorHAnsi" w:cstheme="minorHAnsi"/>
          <w:sz w:val="28"/>
          <w:szCs w:val="28"/>
        </w:rPr>
        <w:t xml:space="preserve"> </w:t>
      </w:r>
      <w:r w:rsidRPr="00BA0EF9">
        <w:rPr>
          <w:rFonts w:asciiTheme="minorHAnsi" w:hAnsiTheme="minorHAnsi" w:cstheme="minorHAnsi"/>
          <w:sz w:val="28"/>
          <w:szCs w:val="28"/>
        </w:rPr>
        <w:t xml:space="preserve"> CHARAKTERISTIKA</w:t>
      </w:r>
      <w:r w:rsidR="00AA57B0" w:rsidRPr="00BA0EF9">
        <w:rPr>
          <w:rFonts w:asciiTheme="minorHAnsi" w:hAnsiTheme="minorHAnsi" w:cstheme="minorHAnsi"/>
          <w:sz w:val="28"/>
          <w:szCs w:val="28"/>
        </w:rPr>
        <w:t xml:space="preserve"> </w:t>
      </w:r>
      <w:r w:rsidRPr="00BA0EF9">
        <w:rPr>
          <w:rFonts w:asciiTheme="minorHAnsi" w:hAnsiTheme="minorHAnsi" w:cstheme="minorHAnsi"/>
          <w:sz w:val="28"/>
          <w:szCs w:val="28"/>
        </w:rPr>
        <w:t xml:space="preserve"> MORAVSKOSLEZSKÉHO</w:t>
      </w:r>
      <w:r w:rsidR="00AA57B0" w:rsidRPr="00BA0EF9">
        <w:rPr>
          <w:rFonts w:asciiTheme="minorHAnsi" w:hAnsiTheme="minorHAnsi" w:cstheme="minorHAnsi"/>
          <w:sz w:val="28"/>
          <w:szCs w:val="28"/>
        </w:rPr>
        <w:t xml:space="preserve"> </w:t>
      </w:r>
      <w:r w:rsidR="00777874" w:rsidRPr="00BA0EF9">
        <w:rPr>
          <w:rFonts w:asciiTheme="minorHAnsi" w:hAnsiTheme="minorHAnsi" w:cstheme="minorHAnsi"/>
          <w:sz w:val="28"/>
          <w:szCs w:val="28"/>
        </w:rPr>
        <w:t xml:space="preserve"> </w:t>
      </w:r>
      <w:r w:rsidRPr="00BA0EF9">
        <w:rPr>
          <w:rFonts w:asciiTheme="minorHAnsi" w:hAnsiTheme="minorHAnsi" w:cstheme="minorHAnsi"/>
          <w:sz w:val="28"/>
          <w:szCs w:val="28"/>
        </w:rPr>
        <w:t>KRAJE</w:t>
      </w:r>
    </w:p>
    <w:p w:rsidR="00284CC7" w:rsidRPr="00BA0EF9" w:rsidRDefault="00284CC7">
      <w:pPr>
        <w:rPr>
          <w:rFonts w:asciiTheme="minorHAnsi" w:hAnsiTheme="minorHAnsi" w:cstheme="minorHAnsi"/>
          <w:b/>
        </w:rPr>
      </w:pPr>
    </w:p>
    <w:p w:rsidR="00284CC7" w:rsidRPr="00BA0EF9" w:rsidRDefault="00284CC7">
      <w:pPr>
        <w:pStyle w:val="Nadpis6"/>
        <w:rPr>
          <w:rFonts w:asciiTheme="minorHAnsi" w:hAnsiTheme="minorHAnsi" w:cstheme="minorHAnsi"/>
        </w:rPr>
      </w:pPr>
      <w:r w:rsidRPr="00BA0EF9">
        <w:rPr>
          <w:rFonts w:asciiTheme="minorHAnsi" w:hAnsiTheme="minorHAnsi" w:cstheme="minorHAnsi"/>
        </w:rPr>
        <w:t>1</w:t>
      </w:r>
      <w:r w:rsidR="00224D20" w:rsidRPr="00BA0EF9">
        <w:rPr>
          <w:rFonts w:asciiTheme="minorHAnsi" w:hAnsiTheme="minorHAnsi" w:cstheme="minorHAnsi"/>
        </w:rPr>
        <w:t>. Ekonomická a sociální situace</w:t>
      </w:r>
    </w:p>
    <w:p w:rsidR="00284CC7" w:rsidRPr="00BA0EF9" w:rsidRDefault="00284CC7">
      <w:pPr>
        <w:jc w:val="both"/>
        <w:rPr>
          <w:rFonts w:asciiTheme="minorHAnsi" w:hAnsiTheme="minorHAnsi" w:cstheme="minorHAnsi"/>
          <w:b/>
          <w:i/>
          <w:sz w:val="24"/>
          <w:szCs w:val="24"/>
        </w:rPr>
      </w:pPr>
    </w:p>
    <w:p w:rsidR="00284CC7" w:rsidRPr="00BA0EF9" w:rsidRDefault="00284CC7">
      <w:pPr>
        <w:pStyle w:val="Zkladntextodsazen"/>
        <w:rPr>
          <w:rFonts w:asciiTheme="minorHAnsi" w:hAnsiTheme="minorHAnsi" w:cstheme="minorHAnsi"/>
        </w:rPr>
      </w:pPr>
      <w:r w:rsidRPr="00BA0EF9">
        <w:rPr>
          <w:rFonts w:asciiTheme="minorHAnsi" w:hAnsiTheme="minorHAnsi" w:cstheme="minorHAnsi"/>
        </w:rPr>
        <w:t xml:space="preserve">Moravskoslezský kraj se nachází na severovýchodním území České republiky a v </w:t>
      </w:r>
      <w:r w:rsidR="006C049E" w:rsidRPr="00BA0EF9">
        <w:rPr>
          <w:rFonts w:asciiTheme="minorHAnsi" w:hAnsiTheme="minorHAnsi" w:cstheme="minorHAnsi"/>
        </w:rPr>
        <w:t>její</w:t>
      </w:r>
      <w:r w:rsidR="00095D7C" w:rsidRPr="00BA0EF9">
        <w:rPr>
          <w:rFonts w:asciiTheme="minorHAnsi" w:hAnsiTheme="minorHAnsi" w:cstheme="minorHAnsi"/>
        </w:rPr>
        <w:t>m rámci sousedí s</w:t>
      </w:r>
      <w:r w:rsidR="00B413FB" w:rsidRPr="00BA0EF9">
        <w:rPr>
          <w:rFonts w:asciiTheme="minorHAnsi" w:hAnsiTheme="minorHAnsi" w:cstheme="minorHAnsi"/>
        </w:rPr>
        <w:t xml:space="preserve"> </w:t>
      </w:r>
      <w:r w:rsidR="00095D7C" w:rsidRPr="00BA0EF9">
        <w:rPr>
          <w:rFonts w:asciiTheme="minorHAnsi" w:hAnsiTheme="minorHAnsi" w:cstheme="minorHAnsi"/>
        </w:rPr>
        <w:t xml:space="preserve">Olomouckým a </w:t>
      </w:r>
      <w:r w:rsidR="00AA57B0" w:rsidRPr="00BA0EF9">
        <w:rPr>
          <w:rFonts w:asciiTheme="minorHAnsi" w:hAnsiTheme="minorHAnsi" w:cstheme="minorHAnsi"/>
        </w:rPr>
        <w:t>Zlínským</w:t>
      </w:r>
      <w:r w:rsidR="00095D7C" w:rsidRPr="00BA0EF9">
        <w:rPr>
          <w:rFonts w:asciiTheme="minorHAnsi" w:hAnsiTheme="minorHAnsi" w:cstheme="minorHAnsi"/>
        </w:rPr>
        <w:t xml:space="preserve"> k</w:t>
      </w:r>
      <w:r w:rsidRPr="00BA0EF9">
        <w:rPr>
          <w:rFonts w:asciiTheme="minorHAnsi" w:hAnsiTheme="minorHAnsi" w:cstheme="minorHAnsi"/>
        </w:rPr>
        <w:t xml:space="preserve">rajem. Vně České republiky tvoří </w:t>
      </w:r>
      <w:r w:rsidR="008D0C5A" w:rsidRPr="00BA0EF9">
        <w:rPr>
          <w:rFonts w:asciiTheme="minorHAnsi" w:hAnsiTheme="minorHAnsi" w:cstheme="minorHAnsi"/>
        </w:rPr>
        <w:t>část hranic</w:t>
      </w:r>
      <w:r w:rsidRPr="00BA0EF9">
        <w:rPr>
          <w:rFonts w:asciiTheme="minorHAnsi" w:hAnsiTheme="minorHAnsi" w:cstheme="minorHAnsi"/>
        </w:rPr>
        <w:t xml:space="preserve"> s</w:t>
      </w:r>
      <w:r w:rsidR="006D63C0" w:rsidRPr="00BA0EF9">
        <w:rPr>
          <w:rFonts w:asciiTheme="minorHAnsi" w:hAnsiTheme="minorHAnsi" w:cstheme="minorHAnsi"/>
        </w:rPr>
        <w:t> </w:t>
      </w:r>
      <w:r w:rsidRPr="00BA0EF9">
        <w:rPr>
          <w:rFonts w:asciiTheme="minorHAnsi" w:hAnsiTheme="minorHAnsi" w:cstheme="minorHAnsi"/>
        </w:rPr>
        <w:t>Polskem a Slovenskem. Kraj zahrnuje okresy Bruntál, Frýdek-Místek, Karvi</w:t>
      </w:r>
      <w:r w:rsidR="00EF2724" w:rsidRPr="00BA0EF9">
        <w:rPr>
          <w:rFonts w:asciiTheme="minorHAnsi" w:hAnsiTheme="minorHAnsi" w:cstheme="minorHAnsi"/>
        </w:rPr>
        <w:t xml:space="preserve">ná, Nový Jičín, Opava a </w:t>
      </w:r>
      <w:r w:rsidR="002B68DA" w:rsidRPr="00BA0EF9">
        <w:rPr>
          <w:rFonts w:asciiTheme="minorHAnsi" w:hAnsiTheme="minorHAnsi" w:cstheme="minorHAnsi"/>
        </w:rPr>
        <w:t>Ostrava</w:t>
      </w:r>
      <w:r w:rsidRPr="00BA0EF9">
        <w:rPr>
          <w:rFonts w:asciiTheme="minorHAnsi" w:hAnsiTheme="minorHAnsi" w:cstheme="minorHAnsi"/>
        </w:rPr>
        <w:t xml:space="preserve">. Tento územní celek je svým charakterem různorodý, přičemž jeho jádrem je ostravsko-karvinská aglomerace. Jedná se o tradiční industriální oblast s vysokým podílem tzv. „velkého“ průmyslu - především </w:t>
      </w:r>
      <w:r w:rsidR="00344CDD" w:rsidRPr="00BA0EF9">
        <w:rPr>
          <w:rFonts w:asciiTheme="minorHAnsi" w:hAnsiTheme="minorHAnsi" w:cstheme="minorHAnsi"/>
        </w:rPr>
        <w:t>hutnictví,</w:t>
      </w:r>
      <w:r w:rsidR="00E33612" w:rsidRPr="00BA0EF9">
        <w:rPr>
          <w:rFonts w:asciiTheme="minorHAnsi" w:hAnsiTheme="minorHAnsi" w:cstheme="minorHAnsi"/>
        </w:rPr>
        <w:t xml:space="preserve"> těžkého strojírenství</w:t>
      </w:r>
      <w:r w:rsidR="00344CDD" w:rsidRPr="00BA0EF9">
        <w:rPr>
          <w:rFonts w:asciiTheme="minorHAnsi" w:hAnsiTheme="minorHAnsi" w:cstheme="minorHAnsi"/>
        </w:rPr>
        <w:t xml:space="preserve"> a hornictví</w:t>
      </w:r>
      <w:r w:rsidR="00E33612" w:rsidRPr="00BA0EF9">
        <w:rPr>
          <w:rFonts w:asciiTheme="minorHAnsi" w:hAnsiTheme="minorHAnsi" w:cstheme="minorHAnsi"/>
        </w:rPr>
        <w:t>.</w:t>
      </w:r>
      <w:r w:rsidR="00F62C7C" w:rsidRPr="00BA0EF9">
        <w:rPr>
          <w:rFonts w:asciiTheme="minorHAnsi" w:hAnsiTheme="minorHAnsi" w:cstheme="minorHAnsi"/>
        </w:rPr>
        <w:t xml:space="preserve"> </w:t>
      </w:r>
      <w:r w:rsidRPr="00BA0EF9">
        <w:rPr>
          <w:rFonts w:asciiTheme="minorHAnsi" w:hAnsiTheme="minorHAnsi" w:cstheme="minorHAnsi"/>
        </w:rPr>
        <w:t>Dalšími významnými sektory jsou</w:t>
      </w:r>
      <w:r w:rsidR="00344CDD" w:rsidRPr="00BA0EF9">
        <w:rPr>
          <w:rFonts w:asciiTheme="minorHAnsi" w:hAnsiTheme="minorHAnsi" w:cstheme="minorHAnsi"/>
        </w:rPr>
        <w:t xml:space="preserve"> lehké strojírenství, elektrotechnický</w:t>
      </w:r>
      <w:r w:rsidR="00B93A01" w:rsidRPr="00BA0EF9">
        <w:rPr>
          <w:rFonts w:asciiTheme="minorHAnsi" w:hAnsiTheme="minorHAnsi" w:cstheme="minorHAnsi"/>
        </w:rPr>
        <w:t>,</w:t>
      </w:r>
      <w:r w:rsidR="00344CDD" w:rsidRPr="00BA0EF9">
        <w:rPr>
          <w:rFonts w:asciiTheme="minorHAnsi" w:hAnsiTheme="minorHAnsi" w:cstheme="minorHAnsi"/>
        </w:rPr>
        <w:t xml:space="preserve"> </w:t>
      </w:r>
      <w:r w:rsidR="00B93A01" w:rsidRPr="00BA0EF9">
        <w:rPr>
          <w:rFonts w:asciiTheme="minorHAnsi" w:hAnsiTheme="minorHAnsi" w:cstheme="minorHAnsi"/>
        </w:rPr>
        <w:t xml:space="preserve">potravinářský, </w:t>
      </w:r>
      <w:r w:rsidR="00EF2724" w:rsidRPr="00BA0EF9">
        <w:rPr>
          <w:rFonts w:asciiTheme="minorHAnsi" w:hAnsiTheme="minorHAnsi" w:cstheme="minorHAnsi"/>
        </w:rPr>
        <w:t xml:space="preserve">v </w:t>
      </w:r>
      <w:r w:rsidR="00F22690" w:rsidRPr="00BA0EF9">
        <w:rPr>
          <w:rFonts w:asciiTheme="minorHAnsi" w:hAnsiTheme="minorHAnsi" w:cstheme="minorHAnsi"/>
        </w:rPr>
        <w:t>poslední době</w:t>
      </w:r>
      <w:r w:rsidR="00B93A01" w:rsidRPr="00BA0EF9">
        <w:rPr>
          <w:rFonts w:asciiTheme="minorHAnsi" w:hAnsiTheme="minorHAnsi" w:cstheme="minorHAnsi"/>
        </w:rPr>
        <w:t xml:space="preserve"> také automobi</w:t>
      </w:r>
      <w:r w:rsidR="00F74782" w:rsidRPr="00BA0EF9">
        <w:rPr>
          <w:rFonts w:asciiTheme="minorHAnsi" w:hAnsiTheme="minorHAnsi" w:cstheme="minorHAnsi"/>
        </w:rPr>
        <w:t xml:space="preserve">lový průmysl, dále stavebnictví, </w:t>
      </w:r>
      <w:r w:rsidR="00B93A01" w:rsidRPr="00BA0EF9">
        <w:rPr>
          <w:rFonts w:asciiTheme="minorHAnsi" w:hAnsiTheme="minorHAnsi" w:cstheme="minorHAnsi"/>
        </w:rPr>
        <w:t>výroba plastových výrobků</w:t>
      </w:r>
      <w:r w:rsidR="00BA0EF9">
        <w:rPr>
          <w:rFonts w:asciiTheme="minorHAnsi" w:hAnsiTheme="minorHAnsi" w:cstheme="minorHAnsi"/>
        </w:rPr>
        <w:t xml:space="preserve"> a informační a </w:t>
      </w:r>
      <w:r w:rsidR="00F74782" w:rsidRPr="00BA0EF9">
        <w:rPr>
          <w:rFonts w:asciiTheme="minorHAnsi" w:hAnsiTheme="minorHAnsi" w:cstheme="minorHAnsi"/>
        </w:rPr>
        <w:t>komunikační technologie</w:t>
      </w:r>
      <w:r w:rsidR="008776D7" w:rsidRPr="00BA0EF9">
        <w:rPr>
          <w:rFonts w:asciiTheme="minorHAnsi" w:hAnsiTheme="minorHAnsi" w:cstheme="minorHAnsi"/>
        </w:rPr>
        <w:t>. Zemědělství</w:t>
      </w:r>
      <w:r w:rsidRPr="00BA0EF9">
        <w:rPr>
          <w:rFonts w:asciiTheme="minorHAnsi" w:hAnsiTheme="minorHAnsi" w:cstheme="minorHAnsi"/>
        </w:rPr>
        <w:t xml:space="preserve"> má celoplošn</w:t>
      </w:r>
      <w:r w:rsidR="00EF2724" w:rsidRPr="00BA0EF9">
        <w:rPr>
          <w:rFonts w:asciiTheme="minorHAnsi" w:hAnsiTheme="minorHAnsi" w:cstheme="minorHAnsi"/>
        </w:rPr>
        <w:t xml:space="preserve">ý charakter, v podhůří Beskyd a </w:t>
      </w:r>
      <w:r w:rsidRPr="00BA0EF9">
        <w:rPr>
          <w:rFonts w:asciiTheme="minorHAnsi" w:hAnsiTheme="minorHAnsi" w:cstheme="minorHAnsi"/>
        </w:rPr>
        <w:t>Jeseníků je zastoupeno lesní hospodářství.</w:t>
      </w:r>
    </w:p>
    <w:p w:rsidR="00284CC7" w:rsidRPr="00BA0EF9" w:rsidRDefault="003117E1">
      <w:pPr>
        <w:pStyle w:val="Zkladntextodsazen"/>
        <w:rPr>
          <w:rFonts w:asciiTheme="minorHAnsi" w:hAnsiTheme="minorHAnsi" w:cstheme="minorHAnsi"/>
        </w:rPr>
      </w:pPr>
      <w:r w:rsidRPr="00BA0EF9">
        <w:rPr>
          <w:rFonts w:asciiTheme="minorHAnsi" w:hAnsiTheme="minorHAnsi" w:cstheme="minorHAnsi"/>
        </w:rPr>
        <w:t>Od roku 1990 probíhala</w:t>
      </w:r>
      <w:r w:rsidR="00284CC7" w:rsidRPr="00BA0EF9">
        <w:rPr>
          <w:rFonts w:asciiTheme="minorHAnsi" w:hAnsiTheme="minorHAnsi" w:cstheme="minorHAnsi"/>
        </w:rPr>
        <w:t xml:space="preserve"> v kraji rozsáhlá restrukturalizace hospodářs</w:t>
      </w:r>
      <w:r w:rsidRPr="00BA0EF9">
        <w:rPr>
          <w:rFonts w:asciiTheme="minorHAnsi" w:hAnsiTheme="minorHAnsi" w:cstheme="minorHAnsi"/>
        </w:rPr>
        <w:t>ké základny, která bouřlivě měnila</w:t>
      </w:r>
      <w:r w:rsidR="00284CC7" w:rsidRPr="00BA0EF9">
        <w:rPr>
          <w:rFonts w:asciiTheme="minorHAnsi" w:hAnsiTheme="minorHAnsi" w:cstheme="minorHAnsi"/>
        </w:rPr>
        <w:t xml:space="preserve"> jeho tvář </w:t>
      </w:r>
      <w:r w:rsidRPr="00BA0EF9">
        <w:rPr>
          <w:rFonts w:asciiTheme="minorHAnsi" w:hAnsiTheme="minorHAnsi" w:cstheme="minorHAnsi"/>
        </w:rPr>
        <w:t>a několik let byla</w:t>
      </w:r>
      <w:r w:rsidR="00284CC7" w:rsidRPr="00BA0EF9">
        <w:rPr>
          <w:rFonts w:asciiTheme="minorHAnsi" w:hAnsiTheme="minorHAnsi" w:cstheme="minorHAnsi"/>
        </w:rPr>
        <w:t xml:space="preserve"> provázena uvolňováním desetitisíců zaměstnanců. MSK patří v rámci celé republiky ke strukturálně nejpostiženějším oblastem, pro něž je charakteristický razantní útlum těžkého průmyslu a až do roku 2004 téměř neustále se zvyšující nezaměstnanost. Intenzita jejího nárůstu a tempo poklesu personálních stavů u morav</w:t>
      </w:r>
      <w:r w:rsidR="00A71AF3" w:rsidRPr="00BA0EF9">
        <w:rPr>
          <w:rFonts w:asciiTheme="minorHAnsi" w:hAnsiTheme="minorHAnsi" w:cstheme="minorHAnsi"/>
        </w:rPr>
        <w:t>skoslezských zaměstnavatelů byly</w:t>
      </w:r>
      <w:r w:rsidR="00284CC7" w:rsidRPr="00BA0EF9">
        <w:rPr>
          <w:rFonts w:asciiTheme="minorHAnsi" w:hAnsiTheme="minorHAnsi" w:cstheme="minorHAnsi"/>
        </w:rPr>
        <w:t xml:space="preserve"> zatím nejvýraznější v letech 1997 až 1999, kdy za třicet šest měsíců stoupl počet evidovaných uchazečů o </w:t>
      </w:r>
      <w:r w:rsidR="007222DC" w:rsidRPr="00BA0EF9">
        <w:rPr>
          <w:rFonts w:asciiTheme="minorHAnsi" w:hAnsiTheme="minorHAnsi" w:cstheme="minorHAnsi"/>
        </w:rPr>
        <w:t xml:space="preserve">zaměstnání o 57 </w:t>
      </w:r>
      <w:r w:rsidR="00284CC7" w:rsidRPr="00BA0EF9">
        <w:rPr>
          <w:rFonts w:asciiTheme="minorHAnsi" w:hAnsiTheme="minorHAnsi" w:cstheme="minorHAnsi"/>
        </w:rPr>
        <w:t>013 (+155,5 %) a</w:t>
      </w:r>
      <w:r w:rsidR="0008771A" w:rsidRPr="00BA0EF9">
        <w:rPr>
          <w:rFonts w:asciiTheme="minorHAnsi" w:hAnsiTheme="minorHAnsi" w:cstheme="minorHAnsi"/>
        </w:rPr>
        <w:t> </w:t>
      </w:r>
      <w:r w:rsidR="00284CC7" w:rsidRPr="00BA0EF9">
        <w:rPr>
          <w:rFonts w:asciiTheme="minorHAnsi" w:hAnsiTheme="minorHAnsi" w:cstheme="minorHAnsi"/>
        </w:rPr>
        <w:t>celková zaměstnanost u</w:t>
      </w:r>
      <w:r w:rsidR="00564CC6" w:rsidRPr="00BA0EF9">
        <w:rPr>
          <w:rFonts w:asciiTheme="minorHAnsi" w:hAnsiTheme="minorHAnsi" w:cstheme="minorHAnsi"/>
        </w:rPr>
        <w:t xml:space="preserve"> </w:t>
      </w:r>
      <w:r w:rsidR="00284CC7" w:rsidRPr="00BA0EF9">
        <w:rPr>
          <w:rFonts w:asciiTheme="minorHAnsi" w:hAnsiTheme="minorHAnsi" w:cstheme="minorHAnsi"/>
        </w:rPr>
        <w:t>moravs</w:t>
      </w:r>
      <w:r w:rsidR="007222DC" w:rsidRPr="00BA0EF9">
        <w:rPr>
          <w:rFonts w:asciiTheme="minorHAnsi" w:hAnsiTheme="minorHAnsi" w:cstheme="minorHAnsi"/>
        </w:rPr>
        <w:t xml:space="preserve">koslezských firem poklesla o 80 </w:t>
      </w:r>
      <w:r w:rsidR="00284CC7" w:rsidRPr="00BA0EF9">
        <w:rPr>
          <w:rFonts w:asciiTheme="minorHAnsi" w:hAnsiTheme="minorHAnsi" w:cstheme="minorHAnsi"/>
        </w:rPr>
        <w:t>130 (-15,4 %) osob.</w:t>
      </w:r>
    </w:p>
    <w:p w:rsidR="003A33F2" w:rsidRPr="00BA0EF9" w:rsidRDefault="00564CC6" w:rsidP="007014FF">
      <w:pPr>
        <w:pStyle w:val="Zkladntextodsazen"/>
        <w:rPr>
          <w:rFonts w:asciiTheme="minorHAnsi" w:hAnsiTheme="minorHAnsi" w:cstheme="minorHAnsi"/>
        </w:rPr>
      </w:pPr>
      <w:r w:rsidRPr="00BA0EF9">
        <w:rPr>
          <w:rFonts w:asciiTheme="minorHAnsi" w:hAnsiTheme="minorHAnsi" w:cstheme="minorHAnsi"/>
        </w:rPr>
        <w:t xml:space="preserve">V </w:t>
      </w:r>
      <w:r w:rsidR="002C05B1" w:rsidRPr="00BA0EF9">
        <w:rPr>
          <w:rFonts w:asciiTheme="minorHAnsi" w:hAnsiTheme="minorHAnsi" w:cstheme="minorHAnsi"/>
        </w:rPr>
        <w:t xml:space="preserve">roce </w:t>
      </w:r>
      <w:r w:rsidR="002F7EE2" w:rsidRPr="00BA0EF9">
        <w:rPr>
          <w:rFonts w:asciiTheme="minorHAnsi" w:hAnsiTheme="minorHAnsi" w:cstheme="minorHAnsi"/>
        </w:rPr>
        <w:t>2004</w:t>
      </w:r>
      <w:r w:rsidR="00473FF6" w:rsidRPr="00BA0EF9">
        <w:rPr>
          <w:rFonts w:asciiTheme="minorHAnsi" w:hAnsiTheme="minorHAnsi" w:cstheme="minorHAnsi"/>
        </w:rPr>
        <w:t xml:space="preserve"> se ale situace </w:t>
      </w:r>
      <w:r w:rsidRPr="00BA0EF9">
        <w:rPr>
          <w:rFonts w:asciiTheme="minorHAnsi" w:hAnsiTheme="minorHAnsi" w:cstheme="minorHAnsi"/>
        </w:rPr>
        <w:t xml:space="preserve">na trhu práce v </w:t>
      </w:r>
      <w:r w:rsidR="00904899" w:rsidRPr="00BA0EF9">
        <w:rPr>
          <w:rFonts w:asciiTheme="minorHAnsi" w:hAnsiTheme="minorHAnsi" w:cstheme="minorHAnsi"/>
        </w:rPr>
        <w:t xml:space="preserve">MSK </w:t>
      </w:r>
      <w:r w:rsidR="009308E8" w:rsidRPr="00BA0EF9">
        <w:rPr>
          <w:rFonts w:asciiTheme="minorHAnsi" w:hAnsiTheme="minorHAnsi" w:cstheme="minorHAnsi"/>
        </w:rPr>
        <w:t>začala p</w:t>
      </w:r>
      <w:r w:rsidRPr="00BA0EF9">
        <w:rPr>
          <w:rFonts w:asciiTheme="minorHAnsi" w:hAnsiTheme="minorHAnsi" w:cstheme="minorHAnsi"/>
        </w:rPr>
        <w:t xml:space="preserve">omalu obracet k </w:t>
      </w:r>
      <w:r w:rsidR="000700E7" w:rsidRPr="00BA0EF9">
        <w:rPr>
          <w:rFonts w:asciiTheme="minorHAnsi" w:hAnsiTheme="minorHAnsi" w:cstheme="minorHAnsi"/>
        </w:rPr>
        <w:t>lepšímu, a to přesto</w:t>
      </w:r>
      <w:r w:rsidR="009308E8" w:rsidRPr="00BA0EF9">
        <w:rPr>
          <w:rFonts w:asciiTheme="minorHAnsi" w:hAnsiTheme="minorHAnsi" w:cstheme="minorHAnsi"/>
        </w:rPr>
        <w:t xml:space="preserve">že </w:t>
      </w:r>
      <w:r w:rsidR="002F7EE2" w:rsidRPr="00BA0EF9">
        <w:rPr>
          <w:rFonts w:asciiTheme="minorHAnsi" w:hAnsiTheme="minorHAnsi" w:cstheme="minorHAnsi"/>
        </w:rPr>
        <w:t>zde stále ještě vliv restrukturalizace doznív</w:t>
      </w:r>
      <w:r w:rsidR="003C3026" w:rsidRPr="00BA0EF9">
        <w:rPr>
          <w:rFonts w:asciiTheme="minorHAnsi" w:hAnsiTheme="minorHAnsi" w:cstheme="minorHAnsi"/>
        </w:rPr>
        <w:t>al</w:t>
      </w:r>
      <w:r w:rsidR="002F7EE2" w:rsidRPr="00BA0EF9">
        <w:rPr>
          <w:rFonts w:asciiTheme="minorHAnsi" w:hAnsiTheme="minorHAnsi" w:cstheme="minorHAnsi"/>
        </w:rPr>
        <w:t>. Od února 2004, kd</w:t>
      </w:r>
      <w:r w:rsidR="004648FD" w:rsidRPr="00BA0EF9">
        <w:rPr>
          <w:rFonts w:asciiTheme="minorHAnsi" w:hAnsiTheme="minorHAnsi" w:cstheme="minorHAnsi"/>
        </w:rPr>
        <w:t xml:space="preserve">y byl stav evidovaných UoZ (110 </w:t>
      </w:r>
      <w:r w:rsidR="00F101B3" w:rsidRPr="00BA0EF9">
        <w:rPr>
          <w:rFonts w:asciiTheme="minorHAnsi" w:hAnsiTheme="minorHAnsi" w:cstheme="minorHAnsi"/>
        </w:rPr>
        <w:t xml:space="preserve">792) nejvyšší v </w:t>
      </w:r>
      <w:r w:rsidR="002F7EE2" w:rsidRPr="00BA0EF9">
        <w:rPr>
          <w:rFonts w:asciiTheme="minorHAnsi" w:hAnsiTheme="minorHAnsi" w:cstheme="minorHAnsi"/>
        </w:rPr>
        <w:t xml:space="preserve">celé </w:t>
      </w:r>
      <w:r w:rsidR="00A71AF3" w:rsidRPr="00BA0EF9">
        <w:rPr>
          <w:rFonts w:asciiTheme="minorHAnsi" w:hAnsiTheme="minorHAnsi" w:cstheme="minorHAnsi"/>
        </w:rPr>
        <w:t>historii ÚP</w:t>
      </w:r>
      <w:r w:rsidR="002F7EE2" w:rsidRPr="00BA0EF9">
        <w:rPr>
          <w:rFonts w:asciiTheme="minorHAnsi" w:hAnsiTheme="minorHAnsi" w:cstheme="minorHAnsi"/>
        </w:rPr>
        <w:t>, se</w:t>
      </w:r>
      <w:r w:rsidR="007C43AF" w:rsidRPr="00BA0EF9">
        <w:rPr>
          <w:rFonts w:asciiTheme="minorHAnsi" w:hAnsiTheme="minorHAnsi" w:cstheme="minorHAnsi"/>
        </w:rPr>
        <w:t xml:space="preserve"> jejich počet do konce roku 2008</w:t>
      </w:r>
      <w:r w:rsidR="002F7EE2" w:rsidRPr="00BA0EF9">
        <w:rPr>
          <w:rFonts w:asciiTheme="minorHAnsi" w:hAnsiTheme="minorHAnsi" w:cstheme="minorHAnsi"/>
        </w:rPr>
        <w:t xml:space="preserve"> snížil </w:t>
      </w:r>
      <w:r w:rsidR="001F267E" w:rsidRPr="00BA0EF9">
        <w:rPr>
          <w:rFonts w:asciiTheme="minorHAnsi" w:hAnsiTheme="minorHAnsi" w:cstheme="minorHAnsi"/>
        </w:rPr>
        <w:t xml:space="preserve">až </w:t>
      </w:r>
      <w:r w:rsidR="002F7EE2" w:rsidRPr="00BA0EF9">
        <w:rPr>
          <w:rFonts w:asciiTheme="minorHAnsi" w:hAnsiTheme="minorHAnsi" w:cstheme="minorHAnsi"/>
        </w:rPr>
        <w:t>o</w:t>
      </w:r>
      <w:r w:rsidR="002E6DDA" w:rsidRPr="00BA0EF9">
        <w:rPr>
          <w:rFonts w:asciiTheme="minorHAnsi" w:hAnsiTheme="minorHAnsi" w:cstheme="minorHAnsi"/>
        </w:rPr>
        <w:t> </w:t>
      </w:r>
      <w:r w:rsidR="004648FD" w:rsidRPr="00BA0EF9">
        <w:rPr>
          <w:rFonts w:asciiTheme="minorHAnsi" w:hAnsiTheme="minorHAnsi" w:cstheme="minorHAnsi"/>
        </w:rPr>
        <w:t>53 337</w:t>
      </w:r>
      <w:r w:rsidR="002F7EE2" w:rsidRPr="00BA0EF9">
        <w:rPr>
          <w:rFonts w:asciiTheme="minorHAnsi" w:hAnsiTheme="minorHAnsi" w:cstheme="minorHAnsi"/>
        </w:rPr>
        <w:t xml:space="preserve"> </w:t>
      </w:r>
      <w:r w:rsidR="00BA0EF9">
        <w:rPr>
          <w:rFonts w:asciiTheme="minorHAnsi" w:hAnsiTheme="minorHAnsi" w:cstheme="minorHAnsi"/>
        </w:rPr>
        <w:t xml:space="preserve">  </w:t>
      </w:r>
      <w:r w:rsidR="002F7EE2" w:rsidRPr="00BA0EF9">
        <w:rPr>
          <w:rFonts w:asciiTheme="minorHAnsi" w:hAnsiTheme="minorHAnsi" w:cstheme="minorHAnsi"/>
        </w:rPr>
        <w:t>(</w:t>
      </w:r>
      <w:r w:rsidR="004648FD" w:rsidRPr="00BA0EF9">
        <w:rPr>
          <w:rFonts w:asciiTheme="minorHAnsi" w:hAnsiTheme="minorHAnsi" w:cstheme="minorHAnsi"/>
        </w:rPr>
        <w:t>-48</w:t>
      </w:r>
      <w:r w:rsidR="00831DE2" w:rsidRPr="00BA0EF9">
        <w:rPr>
          <w:rFonts w:asciiTheme="minorHAnsi" w:hAnsiTheme="minorHAnsi" w:cstheme="minorHAnsi"/>
        </w:rPr>
        <w:t>,</w:t>
      </w:r>
      <w:r w:rsidR="004648FD" w:rsidRPr="00BA0EF9">
        <w:rPr>
          <w:rFonts w:asciiTheme="minorHAnsi" w:hAnsiTheme="minorHAnsi" w:cstheme="minorHAnsi"/>
        </w:rPr>
        <w:t>1</w:t>
      </w:r>
      <w:r w:rsidR="002F7EE2" w:rsidRPr="00BA0EF9">
        <w:rPr>
          <w:rFonts w:asciiTheme="minorHAnsi" w:hAnsiTheme="minorHAnsi" w:cstheme="minorHAnsi"/>
        </w:rPr>
        <w:t xml:space="preserve"> %</w:t>
      </w:r>
      <w:r w:rsidR="00BF79B0" w:rsidRPr="00BA0EF9">
        <w:rPr>
          <w:rFonts w:asciiTheme="minorHAnsi" w:hAnsiTheme="minorHAnsi" w:cstheme="minorHAnsi"/>
        </w:rPr>
        <w:t xml:space="preserve">) osob. </w:t>
      </w:r>
      <w:r w:rsidR="003C3026" w:rsidRPr="00BA0EF9">
        <w:rPr>
          <w:rFonts w:asciiTheme="minorHAnsi" w:hAnsiTheme="minorHAnsi" w:cstheme="minorHAnsi"/>
        </w:rPr>
        <w:t>Tento pozitivní vývoj byl</w:t>
      </w:r>
      <w:r w:rsidR="007014FF" w:rsidRPr="00BA0EF9">
        <w:rPr>
          <w:rFonts w:asciiTheme="minorHAnsi" w:hAnsiTheme="minorHAnsi" w:cstheme="minorHAnsi"/>
        </w:rPr>
        <w:t xml:space="preserve"> </w:t>
      </w:r>
      <w:r w:rsidR="003C3026" w:rsidRPr="00BA0EF9">
        <w:rPr>
          <w:rFonts w:asciiTheme="minorHAnsi" w:hAnsiTheme="minorHAnsi" w:cstheme="minorHAnsi"/>
        </w:rPr>
        <w:t xml:space="preserve">ale vlivem dopadu celosvětové krize zastaven a od </w:t>
      </w:r>
      <w:r w:rsidR="003A33F2" w:rsidRPr="00BA0EF9">
        <w:rPr>
          <w:rFonts w:asciiTheme="minorHAnsi" w:hAnsiTheme="minorHAnsi" w:cstheme="minorHAnsi"/>
        </w:rPr>
        <w:t>října</w:t>
      </w:r>
      <w:r w:rsidR="003C3026" w:rsidRPr="00BA0EF9">
        <w:rPr>
          <w:rFonts w:asciiTheme="minorHAnsi" w:hAnsiTheme="minorHAnsi" w:cstheme="minorHAnsi"/>
        </w:rPr>
        <w:t xml:space="preserve"> 2008</w:t>
      </w:r>
      <w:r w:rsidR="003A33F2" w:rsidRPr="00BA0EF9">
        <w:rPr>
          <w:rFonts w:asciiTheme="minorHAnsi" w:hAnsiTheme="minorHAnsi" w:cstheme="minorHAnsi"/>
        </w:rPr>
        <w:t>, kdy bylo dosaženo v</w:t>
      </w:r>
      <w:r w:rsidR="00F101B3" w:rsidRPr="00BA0EF9">
        <w:rPr>
          <w:rFonts w:asciiTheme="minorHAnsi" w:hAnsiTheme="minorHAnsi" w:cstheme="minorHAnsi"/>
        </w:rPr>
        <w:t xml:space="preserve"> </w:t>
      </w:r>
      <w:r w:rsidR="003A33F2" w:rsidRPr="00BA0EF9">
        <w:rPr>
          <w:rFonts w:asciiTheme="minorHAnsi" w:hAnsiTheme="minorHAnsi" w:cstheme="minorHAnsi"/>
        </w:rPr>
        <w:t>posledních letech nejnižší hodnoty (52 991 UoZ),</w:t>
      </w:r>
      <w:r w:rsidR="003C3026" w:rsidRPr="00BA0EF9">
        <w:rPr>
          <w:rFonts w:asciiTheme="minorHAnsi" w:hAnsiTheme="minorHAnsi" w:cstheme="minorHAnsi"/>
        </w:rPr>
        <w:t xml:space="preserve"> se </w:t>
      </w:r>
      <w:r w:rsidR="005C3884" w:rsidRPr="00BA0EF9">
        <w:rPr>
          <w:rFonts w:asciiTheme="minorHAnsi" w:hAnsiTheme="minorHAnsi" w:cstheme="minorHAnsi"/>
        </w:rPr>
        <w:t>za</w:t>
      </w:r>
      <w:r w:rsidR="00F101B3" w:rsidRPr="00BA0EF9">
        <w:rPr>
          <w:rFonts w:asciiTheme="minorHAnsi" w:hAnsiTheme="minorHAnsi" w:cstheme="minorHAnsi"/>
        </w:rPr>
        <w:t>čala evidovaná nezaměstnanost s</w:t>
      </w:r>
      <w:r w:rsidR="00AD6179">
        <w:rPr>
          <w:rFonts w:asciiTheme="minorHAnsi" w:hAnsiTheme="minorHAnsi" w:cstheme="minorHAnsi"/>
        </w:rPr>
        <w:t> určitými odchylkami</w:t>
      </w:r>
      <w:r w:rsidR="005C3884" w:rsidRPr="00BA0EF9">
        <w:rPr>
          <w:rFonts w:asciiTheme="minorHAnsi" w:hAnsiTheme="minorHAnsi" w:cstheme="minorHAnsi"/>
        </w:rPr>
        <w:t xml:space="preserve"> </w:t>
      </w:r>
      <w:r w:rsidR="003C3026" w:rsidRPr="00BA0EF9">
        <w:rPr>
          <w:rFonts w:asciiTheme="minorHAnsi" w:hAnsiTheme="minorHAnsi" w:cstheme="minorHAnsi"/>
        </w:rPr>
        <w:t xml:space="preserve">opět zvyšovat. </w:t>
      </w:r>
      <w:r w:rsidR="005B3D7B">
        <w:rPr>
          <w:rFonts w:asciiTheme="minorHAnsi" w:hAnsiTheme="minorHAnsi" w:cstheme="minorHAnsi"/>
        </w:rPr>
        <w:t xml:space="preserve">Nejvyšší hodnoty bylo následně dosaženo v lednu 2014, a to 93 714 UoZ. Poté začala nezaměstnanost s určitými výkyvy </w:t>
      </w:r>
      <w:r w:rsidR="00126DEF">
        <w:rPr>
          <w:rFonts w:asciiTheme="minorHAnsi" w:hAnsiTheme="minorHAnsi" w:cstheme="minorHAnsi"/>
        </w:rPr>
        <w:t xml:space="preserve">opět </w:t>
      </w:r>
      <w:r w:rsidR="005B3D7B">
        <w:rPr>
          <w:rFonts w:asciiTheme="minorHAnsi" w:hAnsiTheme="minorHAnsi" w:cstheme="minorHAnsi"/>
        </w:rPr>
        <w:t>klesat a ke konci minulého roku tak bylo registrováno v Moravskos</w:t>
      </w:r>
      <w:r w:rsidR="00126DEF">
        <w:rPr>
          <w:rFonts w:asciiTheme="minorHAnsi" w:hAnsiTheme="minorHAnsi" w:cstheme="minorHAnsi"/>
        </w:rPr>
        <w:t>lezském kraji 83 877 uchazečů o </w:t>
      </w:r>
      <w:r w:rsidR="005B3D7B">
        <w:rPr>
          <w:rFonts w:asciiTheme="minorHAnsi" w:hAnsiTheme="minorHAnsi" w:cstheme="minorHAnsi"/>
        </w:rPr>
        <w:t xml:space="preserve">zaměstnání. </w:t>
      </w:r>
    </w:p>
    <w:p w:rsidR="00E054C9" w:rsidRPr="00BA0EF9" w:rsidRDefault="00E054C9" w:rsidP="007014FF">
      <w:pPr>
        <w:pStyle w:val="Zkladntextodsazen"/>
        <w:rPr>
          <w:rFonts w:asciiTheme="minorHAnsi" w:hAnsiTheme="minorHAnsi" w:cstheme="minorHAnsi"/>
        </w:rPr>
      </w:pPr>
    </w:p>
    <w:p w:rsidR="00284CC7" w:rsidRPr="00BA0EF9" w:rsidRDefault="00284CC7">
      <w:pPr>
        <w:pStyle w:val="Nadpis6"/>
        <w:rPr>
          <w:rFonts w:asciiTheme="minorHAnsi" w:hAnsiTheme="minorHAnsi" w:cstheme="minorHAnsi"/>
        </w:rPr>
      </w:pPr>
      <w:r w:rsidRPr="00BA0EF9">
        <w:rPr>
          <w:rFonts w:asciiTheme="minorHAnsi" w:hAnsiTheme="minorHAnsi" w:cstheme="minorHAnsi"/>
        </w:rPr>
        <w:t xml:space="preserve">2. Demografická situace </w:t>
      </w:r>
    </w:p>
    <w:p w:rsidR="00284CC7" w:rsidRPr="00BA0EF9" w:rsidRDefault="00284CC7">
      <w:pPr>
        <w:rPr>
          <w:rFonts w:asciiTheme="minorHAnsi" w:hAnsiTheme="minorHAnsi" w:cstheme="minorHAnsi"/>
          <w:sz w:val="24"/>
          <w:szCs w:val="24"/>
        </w:rPr>
      </w:pPr>
    </w:p>
    <w:p w:rsidR="00831DE2" w:rsidRPr="00BA0EF9" w:rsidRDefault="00831DE2" w:rsidP="00831DE2">
      <w:pPr>
        <w:pStyle w:val="Zkladntextodsazen"/>
        <w:rPr>
          <w:rFonts w:asciiTheme="minorHAnsi" w:hAnsiTheme="minorHAnsi" w:cstheme="minorHAnsi"/>
        </w:rPr>
      </w:pPr>
      <w:r w:rsidRPr="00BA0EF9">
        <w:rPr>
          <w:rFonts w:asciiTheme="minorHAnsi" w:hAnsiTheme="minorHAnsi" w:cstheme="minorHAnsi"/>
        </w:rPr>
        <w:t xml:space="preserve">MSK, zejména jeho centrální část v okolí měst Ostrava, Havířov, Karviná a Frýdek-Místek, patří k nejhustěji osídleným oblastem České republiky. </w:t>
      </w:r>
      <w:r w:rsidR="00A07632" w:rsidRPr="00BA0EF9">
        <w:rPr>
          <w:rFonts w:asciiTheme="minorHAnsi" w:hAnsiTheme="minorHAnsi" w:cstheme="minorHAnsi"/>
        </w:rPr>
        <w:t>I přes klesající trend žije n</w:t>
      </w:r>
      <w:r w:rsidRPr="00BA0EF9">
        <w:rPr>
          <w:rFonts w:asciiTheme="minorHAnsi" w:hAnsiTheme="minorHAnsi" w:cstheme="minorHAnsi"/>
        </w:rPr>
        <w:t>a 6,9</w:t>
      </w:r>
      <w:r w:rsidR="00A07632" w:rsidRPr="00BA0EF9">
        <w:rPr>
          <w:rFonts w:asciiTheme="minorHAnsi" w:hAnsiTheme="minorHAnsi" w:cstheme="minorHAnsi"/>
        </w:rPr>
        <w:t xml:space="preserve"> % </w:t>
      </w:r>
      <w:r w:rsidRPr="00BA0EF9">
        <w:rPr>
          <w:rFonts w:asciiTheme="minorHAnsi" w:hAnsiTheme="minorHAnsi" w:cstheme="minorHAnsi"/>
        </w:rPr>
        <w:t>rozlo</w:t>
      </w:r>
      <w:r w:rsidR="003A7A0B">
        <w:rPr>
          <w:rFonts w:asciiTheme="minorHAnsi" w:hAnsiTheme="minorHAnsi" w:cstheme="minorHAnsi"/>
        </w:rPr>
        <w:t>hy kraje 11,6</w:t>
      </w:r>
      <w:r w:rsidR="00A07632" w:rsidRPr="00BA0EF9">
        <w:rPr>
          <w:rFonts w:asciiTheme="minorHAnsi" w:hAnsiTheme="minorHAnsi" w:cstheme="minorHAnsi"/>
        </w:rPr>
        <w:t xml:space="preserve"> % </w:t>
      </w:r>
      <w:r w:rsidR="00252681" w:rsidRPr="00BA0EF9">
        <w:rPr>
          <w:rFonts w:asciiTheme="minorHAnsi" w:hAnsiTheme="minorHAnsi" w:cstheme="minorHAnsi"/>
        </w:rPr>
        <w:t>obyvatel</w:t>
      </w:r>
      <w:r w:rsidR="00A07632" w:rsidRPr="00BA0EF9">
        <w:rPr>
          <w:rFonts w:asciiTheme="minorHAnsi" w:hAnsiTheme="minorHAnsi" w:cstheme="minorHAnsi"/>
        </w:rPr>
        <w:t xml:space="preserve"> ČR</w:t>
      </w:r>
      <w:r w:rsidR="00252681" w:rsidRPr="00BA0EF9">
        <w:rPr>
          <w:rFonts w:asciiTheme="minorHAnsi" w:hAnsiTheme="minorHAnsi" w:cstheme="minorHAnsi"/>
        </w:rPr>
        <w:t>.</w:t>
      </w:r>
    </w:p>
    <w:p w:rsidR="000A513D" w:rsidRPr="00BA0EF9" w:rsidRDefault="00831DE2" w:rsidP="00A07632">
      <w:pPr>
        <w:pStyle w:val="Zkladntextodsazen"/>
        <w:rPr>
          <w:rFonts w:asciiTheme="minorHAnsi" w:hAnsiTheme="minorHAnsi" w:cstheme="minorHAnsi"/>
        </w:rPr>
      </w:pPr>
      <w:r w:rsidRPr="00BA0EF9">
        <w:rPr>
          <w:rFonts w:asciiTheme="minorHAnsi" w:hAnsiTheme="minorHAnsi" w:cstheme="minorHAnsi"/>
        </w:rPr>
        <w:t xml:space="preserve">Počet obyvatel MSK </w:t>
      </w:r>
      <w:r w:rsidR="002E3184">
        <w:rPr>
          <w:rFonts w:asciiTheme="minorHAnsi" w:hAnsiTheme="minorHAnsi" w:cstheme="minorHAnsi"/>
        </w:rPr>
        <w:t>se během roku 2013</w:t>
      </w:r>
      <w:r w:rsidR="004A4AF7" w:rsidRPr="00BA0EF9">
        <w:rPr>
          <w:rFonts w:asciiTheme="minorHAnsi" w:hAnsiTheme="minorHAnsi" w:cstheme="minorHAnsi"/>
        </w:rPr>
        <w:t xml:space="preserve"> </w:t>
      </w:r>
      <w:r w:rsidR="00A07632" w:rsidRPr="00BA0EF9">
        <w:rPr>
          <w:rFonts w:asciiTheme="minorHAnsi" w:hAnsiTheme="minorHAnsi" w:cstheme="minorHAnsi"/>
        </w:rPr>
        <w:t xml:space="preserve">opět </w:t>
      </w:r>
      <w:r w:rsidR="004A4AF7" w:rsidRPr="00BA0EF9">
        <w:rPr>
          <w:rFonts w:asciiTheme="minorHAnsi" w:hAnsiTheme="minorHAnsi" w:cstheme="minorHAnsi"/>
        </w:rPr>
        <w:t xml:space="preserve">snížil a k </w:t>
      </w:r>
      <w:r w:rsidR="000700E7" w:rsidRPr="00BA0EF9">
        <w:rPr>
          <w:rFonts w:asciiTheme="minorHAnsi" w:hAnsiTheme="minorHAnsi" w:cstheme="minorHAnsi"/>
        </w:rPr>
        <w:t>31</w:t>
      </w:r>
      <w:r w:rsidRPr="00BA0EF9">
        <w:rPr>
          <w:rFonts w:asciiTheme="minorHAnsi" w:hAnsiTheme="minorHAnsi" w:cstheme="minorHAnsi"/>
        </w:rPr>
        <w:t>.</w:t>
      </w:r>
      <w:r w:rsidR="00D02A59" w:rsidRPr="00BA0EF9">
        <w:rPr>
          <w:rFonts w:asciiTheme="minorHAnsi" w:hAnsiTheme="minorHAnsi" w:cstheme="minorHAnsi"/>
        </w:rPr>
        <w:t xml:space="preserve"> </w:t>
      </w:r>
      <w:r w:rsidR="00F11061" w:rsidRPr="00BA0EF9">
        <w:rPr>
          <w:rFonts w:asciiTheme="minorHAnsi" w:hAnsiTheme="minorHAnsi" w:cstheme="minorHAnsi"/>
        </w:rPr>
        <w:t>prosinci</w:t>
      </w:r>
      <w:r w:rsidR="003A7A0B">
        <w:rPr>
          <w:rFonts w:asciiTheme="minorHAnsi" w:hAnsiTheme="minorHAnsi" w:cstheme="minorHAnsi"/>
        </w:rPr>
        <w:t xml:space="preserve"> 2013</w:t>
      </w:r>
      <w:r w:rsidR="00D54CA8" w:rsidRPr="00BA0EF9">
        <w:rPr>
          <w:rFonts w:asciiTheme="minorHAnsi" w:hAnsiTheme="minorHAnsi" w:cstheme="minorHAnsi"/>
        </w:rPr>
        <w:t xml:space="preserve"> zde žilo celkem 1</w:t>
      </w:r>
      <w:r w:rsidR="003A7A0B">
        <w:rPr>
          <w:rFonts w:asciiTheme="minorHAnsi" w:hAnsiTheme="minorHAnsi" w:cstheme="minorHAnsi"/>
        </w:rPr>
        <w:t> 221 83</w:t>
      </w:r>
      <w:r w:rsidR="004B748B" w:rsidRPr="00BA0EF9">
        <w:rPr>
          <w:rFonts w:asciiTheme="minorHAnsi" w:hAnsiTheme="minorHAnsi" w:cstheme="minorHAnsi"/>
        </w:rPr>
        <w:t>2</w:t>
      </w:r>
      <w:r w:rsidR="00A07632" w:rsidRPr="00BA0EF9">
        <w:rPr>
          <w:rFonts w:asciiTheme="minorHAnsi" w:hAnsiTheme="minorHAnsi" w:cstheme="minorHAnsi"/>
        </w:rPr>
        <w:t xml:space="preserve"> </w:t>
      </w:r>
      <w:r w:rsidRPr="00BA0EF9">
        <w:rPr>
          <w:rFonts w:asciiTheme="minorHAnsi" w:hAnsiTheme="minorHAnsi" w:cstheme="minorHAnsi"/>
        </w:rPr>
        <w:t>trva</w:t>
      </w:r>
      <w:r w:rsidR="004B748B" w:rsidRPr="00BA0EF9">
        <w:rPr>
          <w:rFonts w:asciiTheme="minorHAnsi" w:hAnsiTheme="minorHAnsi" w:cstheme="minorHAnsi"/>
        </w:rPr>
        <w:t>le by</w:t>
      </w:r>
      <w:r w:rsidR="003A7A0B">
        <w:rPr>
          <w:rFonts w:asciiTheme="minorHAnsi" w:hAnsiTheme="minorHAnsi" w:cstheme="minorHAnsi"/>
        </w:rPr>
        <w:t>dlících obyvatel, což je o 4 770</w:t>
      </w:r>
      <w:r w:rsidR="004A4AF7" w:rsidRPr="00BA0EF9">
        <w:rPr>
          <w:rFonts w:asciiTheme="minorHAnsi" w:hAnsiTheme="minorHAnsi" w:cstheme="minorHAnsi"/>
        </w:rPr>
        <w:t xml:space="preserve"> (-</w:t>
      </w:r>
      <w:r w:rsidR="004B748B" w:rsidRPr="00BA0EF9">
        <w:rPr>
          <w:rFonts w:asciiTheme="minorHAnsi" w:hAnsiTheme="minorHAnsi" w:cstheme="minorHAnsi"/>
        </w:rPr>
        <w:t>0</w:t>
      </w:r>
      <w:r w:rsidRPr="00BA0EF9">
        <w:rPr>
          <w:rFonts w:asciiTheme="minorHAnsi" w:hAnsiTheme="minorHAnsi" w:cstheme="minorHAnsi"/>
        </w:rPr>
        <w:t>,</w:t>
      </w:r>
      <w:r w:rsidR="003A7A0B">
        <w:rPr>
          <w:rFonts w:asciiTheme="minorHAnsi" w:hAnsiTheme="minorHAnsi" w:cstheme="minorHAnsi"/>
        </w:rPr>
        <w:t>4</w:t>
      </w:r>
      <w:r w:rsidR="004A4AF7" w:rsidRPr="00BA0EF9">
        <w:rPr>
          <w:rFonts w:asciiTheme="minorHAnsi" w:hAnsiTheme="minorHAnsi" w:cstheme="minorHAnsi"/>
        </w:rPr>
        <w:t xml:space="preserve"> %) méně</w:t>
      </w:r>
      <w:r w:rsidR="00207D6A" w:rsidRPr="00BA0EF9">
        <w:rPr>
          <w:rFonts w:asciiTheme="minorHAnsi" w:hAnsiTheme="minorHAnsi" w:cstheme="minorHAnsi"/>
        </w:rPr>
        <w:t xml:space="preserve"> než o rok dříve</w:t>
      </w:r>
      <w:r w:rsidRPr="00BA0EF9">
        <w:rPr>
          <w:rFonts w:asciiTheme="minorHAnsi" w:hAnsiTheme="minorHAnsi" w:cstheme="minorHAnsi"/>
        </w:rPr>
        <w:t>. Velice vážným celospolečenským problémem, který se neustále prohlubuje, je soustavný úbytek mla</w:t>
      </w:r>
      <w:r w:rsidR="000700E7" w:rsidRPr="00BA0EF9">
        <w:rPr>
          <w:rFonts w:asciiTheme="minorHAnsi" w:hAnsiTheme="minorHAnsi" w:cstheme="minorHAnsi"/>
        </w:rPr>
        <w:t xml:space="preserve">dých lidí do 14 let věku. </w:t>
      </w:r>
      <w:r w:rsidR="00D02A59" w:rsidRPr="00BA0EF9">
        <w:rPr>
          <w:rFonts w:asciiTheme="minorHAnsi" w:hAnsiTheme="minorHAnsi" w:cstheme="minorHAnsi"/>
        </w:rPr>
        <w:t xml:space="preserve">V </w:t>
      </w:r>
      <w:r w:rsidR="00A07632" w:rsidRPr="00BA0EF9">
        <w:rPr>
          <w:rFonts w:asciiTheme="minorHAnsi" w:hAnsiTheme="minorHAnsi" w:cstheme="minorHAnsi"/>
        </w:rPr>
        <w:t>roce 2010 se však tento pokles zastavil a k</w:t>
      </w:r>
      <w:r w:rsidR="00D02A59" w:rsidRPr="00BA0EF9">
        <w:rPr>
          <w:rFonts w:asciiTheme="minorHAnsi" w:hAnsiTheme="minorHAnsi" w:cstheme="minorHAnsi"/>
        </w:rPr>
        <w:t xml:space="preserve"> </w:t>
      </w:r>
      <w:r w:rsidR="000700E7" w:rsidRPr="00BA0EF9">
        <w:rPr>
          <w:rFonts w:asciiTheme="minorHAnsi" w:hAnsiTheme="minorHAnsi" w:cstheme="minorHAnsi"/>
        </w:rPr>
        <w:t>31.12</w:t>
      </w:r>
      <w:r w:rsidR="002E3184">
        <w:rPr>
          <w:rFonts w:asciiTheme="minorHAnsi" w:hAnsiTheme="minorHAnsi" w:cstheme="minorHAnsi"/>
        </w:rPr>
        <w:t>.2013</w:t>
      </w:r>
      <w:r w:rsidR="00B96DB9" w:rsidRPr="00BA0EF9">
        <w:rPr>
          <w:rFonts w:asciiTheme="minorHAnsi" w:hAnsiTheme="minorHAnsi" w:cstheme="minorHAnsi"/>
        </w:rPr>
        <w:t xml:space="preserve"> bylo evidováno </w:t>
      </w:r>
      <w:r w:rsidR="00A07632" w:rsidRPr="00BA0EF9">
        <w:rPr>
          <w:rFonts w:asciiTheme="minorHAnsi" w:hAnsiTheme="minorHAnsi" w:cstheme="minorHAnsi"/>
        </w:rPr>
        <w:t>178</w:t>
      </w:r>
      <w:r w:rsidR="004A4AF7" w:rsidRPr="00BA0EF9">
        <w:rPr>
          <w:rFonts w:asciiTheme="minorHAnsi" w:hAnsiTheme="minorHAnsi" w:cstheme="minorHAnsi"/>
        </w:rPr>
        <w:t xml:space="preserve"> </w:t>
      </w:r>
      <w:r w:rsidR="002E3184">
        <w:rPr>
          <w:rFonts w:asciiTheme="minorHAnsi" w:hAnsiTheme="minorHAnsi" w:cstheme="minorHAnsi"/>
        </w:rPr>
        <w:t>789</w:t>
      </w:r>
      <w:r w:rsidRPr="00BA0EF9">
        <w:rPr>
          <w:rFonts w:asciiTheme="minorHAnsi" w:hAnsiTheme="minorHAnsi" w:cstheme="minorHAnsi"/>
        </w:rPr>
        <w:t xml:space="preserve"> lidí do 14 let věku. </w:t>
      </w:r>
      <w:r w:rsidR="00B53175" w:rsidRPr="00BA0EF9">
        <w:rPr>
          <w:rFonts w:asciiTheme="minorHAnsi" w:hAnsiTheme="minorHAnsi" w:cstheme="minorHAnsi"/>
        </w:rPr>
        <w:t>I tak se o</w:t>
      </w:r>
      <w:r w:rsidR="00252681" w:rsidRPr="00BA0EF9">
        <w:rPr>
          <w:rFonts w:asciiTheme="minorHAnsi" w:hAnsiTheme="minorHAnsi" w:cstheme="minorHAnsi"/>
        </w:rPr>
        <w:t>d roku 2001</w:t>
      </w:r>
      <w:r w:rsidR="00B53175" w:rsidRPr="00BA0EF9">
        <w:rPr>
          <w:rFonts w:asciiTheme="minorHAnsi" w:hAnsiTheme="minorHAnsi" w:cstheme="minorHAnsi"/>
        </w:rPr>
        <w:t xml:space="preserve"> </w:t>
      </w:r>
      <w:r w:rsidR="00D02A59" w:rsidRPr="00BA0EF9">
        <w:rPr>
          <w:rFonts w:asciiTheme="minorHAnsi" w:hAnsiTheme="minorHAnsi" w:cstheme="minorHAnsi"/>
        </w:rPr>
        <w:t xml:space="preserve">jejich počet v MSK snížil o </w:t>
      </w:r>
      <w:r w:rsidR="002B3233">
        <w:rPr>
          <w:rFonts w:asciiTheme="minorHAnsi" w:hAnsiTheme="minorHAnsi" w:cstheme="minorHAnsi"/>
        </w:rPr>
        <w:t>32 596</w:t>
      </w:r>
      <w:r w:rsidR="00B53175" w:rsidRPr="00BA0EF9">
        <w:rPr>
          <w:rFonts w:asciiTheme="minorHAnsi" w:hAnsiTheme="minorHAnsi" w:cstheme="minorHAnsi"/>
        </w:rPr>
        <w:t>, tj. o 15,4</w:t>
      </w:r>
      <w:r w:rsidRPr="00BA0EF9">
        <w:rPr>
          <w:rFonts w:asciiTheme="minorHAnsi" w:hAnsiTheme="minorHAnsi" w:cstheme="minorHAnsi"/>
        </w:rPr>
        <w:t xml:space="preserve"> %. </w:t>
      </w:r>
      <w:r w:rsidR="00AC7E90" w:rsidRPr="00BA0EF9">
        <w:rPr>
          <w:rFonts w:asciiTheme="minorHAnsi" w:hAnsiTheme="minorHAnsi" w:cstheme="minorHAnsi"/>
        </w:rPr>
        <w:t xml:space="preserve">Jejich podílové zastoupení na </w:t>
      </w:r>
      <w:r w:rsidR="00D02A59" w:rsidRPr="00BA0EF9">
        <w:rPr>
          <w:rFonts w:asciiTheme="minorHAnsi" w:hAnsiTheme="minorHAnsi" w:cstheme="minorHAnsi"/>
        </w:rPr>
        <w:t xml:space="preserve">celé populaci v </w:t>
      </w:r>
      <w:r w:rsidR="00252681" w:rsidRPr="00BA0EF9">
        <w:rPr>
          <w:rFonts w:asciiTheme="minorHAnsi" w:hAnsiTheme="minorHAnsi" w:cstheme="minorHAnsi"/>
        </w:rPr>
        <w:t>MSK od roku 2001 pokleslo z</w:t>
      </w:r>
      <w:r w:rsidR="00D02A59" w:rsidRPr="00BA0EF9">
        <w:rPr>
          <w:rFonts w:asciiTheme="minorHAnsi" w:hAnsiTheme="minorHAnsi" w:cstheme="minorHAnsi"/>
        </w:rPr>
        <w:t xml:space="preserve"> </w:t>
      </w:r>
      <w:r w:rsidR="00252681" w:rsidRPr="00BA0EF9">
        <w:rPr>
          <w:rFonts w:asciiTheme="minorHAnsi" w:hAnsiTheme="minorHAnsi" w:cstheme="minorHAnsi"/>
        </w:rPr>
        <w:t>16</w:t>
      </w:r>
      <w:r w:rsidR="00AC7E90" w:rsidRPr="00BA0EF9">
        <w:rPr>
          <w:rFonts w:asciiTheme="minorHAnsi" w:hAnsiTheme="minorHAnsi" w:cstheme="minorHAnsi"/>
        </w:rPr>
        <w:t>,</w:t>
      </w:r>
      <w:r w:rsidR="00F43431" w:rsidRPr="00BA0EF9">
        <w:rPr>
          <w:rFonts w:asciiTheme="minorHAnsi" w:hAnsiTheme="minorHAnsi" w:cstheme="minorHAnsi"/>
        </w:rPr>
        <w:t>8 % na 14,6</w:t>
      </w:r>
      <w:r w:rsidR="00AC7E90" w:rsidRPr="00BA0EF9">
        <w:rPr>
          <w:rFonts w:asciiTheme="minorHAnsi" w:hAnsiTheme="minorHAnsi" w:cstheme="minorHAnsi"/>
        </w:rPr>
        <w:t xml:space="preserve"> %. </w:t>
      </w:r>
      <w:r w:rsidRPr="00BA0EF9">
        <w:rPr>
          <w:rFonts w:asciiTheme="minorHAnsi" w:hAnsiTheme="minorHAnsi" w:cstheme="minorHAnsi"/>
        </w:rPr>
        <w:t>Klesající absolutní počet i podíl mladých lidí na celkovém stavu obyvatel se promítá do stoupajícího průměrného věku ob</w:t>
      </w:r>
      <w:r w:rsidR="002B3233">
        <w:rPr>
          <w:rFonts w:asciiTheme="minorHAnsi" w:hAnsiTheme="minorHAnsi" w:cstheme="minorHAnsi"/>
        </w:rPr>
        <w:t>yvatel MSK, který nyní činí 41,5</w:t>
      </w:r>
      <w:r w:rsidRPr="00BA0EF9">
        <w:rPr>
          <w:rFonts w:asciiTheme="minorHAnsi" w:hAnsiTheme="minorHAnsi" w:cstheme="minorHAnsi"/>
        </w:rPr>
        <w:t xml:space="preserve"> roku.</w:t>
      </w:r>
    </w:p>
    <w:p w:rsidR="00C239C3" w:rsidRDefault="00C239C3" w:rsidP="00134589">
      <w:pPr>
        <w:pStyle w:val="Zkladntextodsazen"/>
        <w:ind w:firstLine="0"/>
        <w:rPr>
          <w:rFonts w:asciiTheme="minorHAnsi" w:hAnsiTheme="minorHAnsi" w:cstheme="minorHAnsi"/>
        </w:rPr>
      </w:pPr>
    </w:p>
    <w:p w:rsidR="00C239C3" w:rsidRDefault="00C239C3" w:rsidP="00134589">
      <w:pPr>
        <w:pStyle w:val="Zkladntextodsazen"/>
        <w:ind w:firstLine="0"/>
        <w:rPr>
          <w:rFonts w:asciiTheme="minorHAnsi" w:hAnsiTheme="minorHAnsi" w:cstheme="minorHAnsi"/>
        </w:rPr>
      </w:pPr>
    </w:p>
    <w:p w:rsidR="00C239C3" w:rsidRPr="00BA0EF9" w:rsidRDefault="00C239C3" w:rsidP="00134589">
      <w:pPr>
        <w:pStyle w:val="Zkladntextodsazen"/>
        <w:ind w:firstLine="0"/>
        <w:rPr>
          <w:rFonts w:asciiTheme="minorHAnsi" w:hAnsiTheme="minorHAnsi" w:cstheme="minorHAnsi"/>
        </w:rPr>
      </w:pPr>
    </w:p>
    <w:p w:rsidR="00831DE2" w:rsidRPr="00BA0EF9" w:rsidRDefault="00831DE2" w:rsidP="00831DE2">
      <w:pPr>
        <w:rPr>
          <w:rFonts w:asciiTheme="minorHAnsi" w:hAnsiTheme="minorHAnsi" w:cstheme="minorHAnsi"/>
          <w:sz w:val="24"/>
        </w:rPr>
      </w:pPr>
      <w:r w:rsidRPr="00BA0EF9">
        <w:rPr>
          <w:rFonts w:asciiTheme="minorHAnsi" w:hAnsiTheme="minorHAnsi" w:cstheme="minorHAnsi"/>
          <w:b/>
          <w:bCs/>
          <w:sz w:val="24"/>
        </w:rPr>
        <w:t>Graf I/1</w:t>
      </w:r>
      <w:r w:rsidR="00B14898" w:rsidRPr="00BA0EF9">
        <w:rPr>
          <w:rFonts w:asciiTheme="minorHAnsi" w:hAnsiTheme="minorHAnsi" w:cstheme="minorHAnsi"/>
          <w:sz w:val="24"/>
        </w:rPr>
        <w:t xml:space="preserve"> -</w:t>
      </w:r>
      <w:r w:rsidRPr="00BA0EF9">
        <w:rPr>
          <w:rFonts w:asciiTheme="minorHAnsi" w:hAnsiTheme="minorHAnsi" w:cstheme="minorHAnsi"/>
          <w:sz w:val="24"/>
        </w:rPr>
        <w:t xml:space="preserve"> Věková str</w:t>
      </w:r>
      <w:r w:rsidR="008C7ED7" w:rsidRPr="00BA0EF9">
        <w:rPr>
          <w:rFonts w:asciiTheme="minorHAnsi" w:hAnsiTheme="minorHAnsi" w:cstheme="minorHAnsi"/>
          <w:sz w:val="24"/>
        </w:rPr>
        <w:t>uktura obyva</w:t>
      </w:r>
      <w:r w:rsidR="00B03A42" w:rsidRPr="00BA0EF9">
        <w:rPr>
          <w:rFonts w:asciiTheme="minorHAnsi" w:hAnsiTheme="minorHAnsi" w:cstheme="minorHAnsi"/>
          <w:sz w:val="24"/>
        </w:rPr>
        <w:t xml:space="preserve">tel MSK k </w:t>
      </w:r>
      <w:r w:rsidR="00BD48C0" w:rsidRPr="00BA0EF9">
        <w:rPr>
          <w:rFonts w:asciiTheme="minorHAnsi" w:hAnsiTheme="minorHAnsi" w:cstheme="minorHAnsi"/>
          <w:sz w:val="24"/>
        </w:rPr>
        <w:t>31</w:t>
      </w:r>
      <w:r w:rsidR="0021159B">
        <w:rPr>
          <w:rFonts w:asciiTheme="minorHAnsi" w:hAnsiTheme="minorHAnsi" w:cstheme="minorHAnsi"/>
          <w:sz w:val="24"/>
        </w:rPr>
        <w:t>.12.2013</w:t>
      </w:r>
    </w:p>
    <w:p w:rsidR="00831DE2" w:rsidRPr="003A33F2" w:rsidRDefault="0021159B" w:rsidP="00831DE2">
      <w:r w:rsidRPr="0021159B">
        <w:rPr>
          <w:noProof/>
        </w:rPr>
        <w:drawing>
          <wp:inline distT="0" distB="0" distL="0" distR="0">
            <wp:extent cx="5939790" cy="3382974"/>
            <wp:effectExtent l="1905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9790" cy="3382974"/>
                    </a:xfrm>
                    <a:prstGeom prst="rect">
                      <a:avLst/>
                    </a:prstGeom>
                    <a:noFill/>
                    <a:ln w="9525">
                      <a:noFill/>
                      <a:miter lim="800000"/>
                      <a:headEnd/>
                      <a:tailEnd/>
                    </a:ln>
                  </pic:spPr>
                </pic:pic>
              </a:graphicData>
            </a:graphic>
          </wp:inline>
        </w:drawing>
      </w:r>
    </w:p>
    <w:p w:rsidR="00831DE2" w:rsidRPr="00BA0EF9" w:rsidRDefault="00831DE2" w:rsidP="00831DE2">
      <w:pPr>
        <w:rPr>
          <w:rFonts w:asciiTheme="minorHAnsi" w:hAnsiTheme="minorHAnsi" w:cstheme="minorHAnsi"/>
        </w:rPr>
      </w:pPr>
    </w:p>
    <w:p w:rsidR="00284CC7" w:rsidRPr="00BA0EF9" w:rsidRDefault="00284CC7" w:rsidP="00831DE2">
      <w:pPr>
        <w:rPr>
          <w:rFonts w:asciiTheme="minorHAnsi" w:hAnsiTheme="minorHAnsi" w:cstheme="minorHAnsi"/>
        </w:rPr>
      </w:pPr>
      <w:r w:rsidRPr="00BA0EF9">
        <w:rPr>
          <w:rFonts w:asciiTheme="minorHAnsi" w:hAnsiTheme="minorHAnsi" w:cstheme="minorHAnsi"/>
          <w:b/>
          <w:sz w:val="24"/>
        </w:rPr>
        <w:t>Tabulka I/1</w:t>
      </w:r>
      <w:r w:rsidRPr="00BA0EF9">
        <w:rPr>
          <w:rFonts w:asciiTheme="minorHAnsi" w:hAnsiTheme="minorHAnsi" w:cstheme="minorHAnsi"/>
          <w:sz w:val="24"/>
        </w:rPr>
        <w:t xml:space="preserve"> - Vývoj počtu obyvatel trvale bydlících v Moravskoslezském kraji</w:t>
      </w:r>
    </w:p>
    <w:tbl>
      <w:tblPr>
        <w:tblW w:w="9498" w:type="dxa"/>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694"/>
        <w:gridCol w:w="1134"/>
        <w:gridCol w:w="1134"/>
        <w:gridCol w:w="1134"/>
        <w:gridCol w:w="1134"/>
        <w:gridCol w:w="1134"/>
        <w:gridCol w:w="1134"/>
      </w:tblGrid>
      <w:tr w:rsidR="00186DFA" w:rsidRPr="00BA0EF9" w:rsidTr="00EB445F">
        <w:trPr>
          <w:cantSplit/>
        </w:trPr>
        <w:tc>
          <w:tcPr>
            <w:tcW w:w="2694" w:type="dxa"/>
            <w:vMerge w:val="restart"/>
            <w:tcBorders>
              <w:top w:val="single" w:sz="12" w:space="0" w:color="auto"/>
              <w:bottom w:val="single" w:sz="6" w:space="0" w:color="auto"/>
              <w:right w:val="single" w:sz="12" w:space="0" w:color="auto"/>
            </w:tcBorders>
            <w:vAlign w:val="center"/>
          </w:tcPr>
          <w:p w:rsidR="00186DFA" w:rsidRPr="00BA0EF9" w:rsidRDefault="00186DFA">
            <w:pPr>
              <w:jc w:val="center"/>
              <w:rPr>
                <w:rFonts w:asciiTheme="minorHAnsi" w:hAnsiTheme="minorHAnsi" w:cstheme="minorHAnsi"/>
                <w:sz w:val="24"/>
              </w:rPr>
            </w:pPr>
            <w:r w:rsidRPr="00BA0EF9">
              <w:rPr>
                <w:rFonts w:asciiTheme="minorHAnsi" w:hAnsiTheme="minorHAnsi" w:cstheme="minorHAnsi"/>
                <w:sz w:val="24"/>
              </w:rPr>
              <w:t xml:space="preserve">ukazatel </w:t>
            </w:r>
            <w:r w:rsidRPr="00BA0EF9">
              <w:rPr>
                <w:rFonts w:asciiTheme="minorHAnsi" w:hAnsiTheme="minorHAnsi" w:cstheme="minorHAnsi"/>
                <w:sz w:val="24"/>
                <w:vertAlign w:val="superscript"/>
              </w:rPr>
              <w:t>1)</w:t>
            </w:r>
          </w:p>
          <w:p w:rsidR="00186DFA" w:rsidRPr="00BA0EF9" w:rsidRDefault="00186DFA">
            <w:pPr>
              <w:jc w:val="center"/>
              <w:rPr>
                <w:rFonts w:asciiTheme="minorHAnsi" w:hAnsiTheme="minorHAnsi" w:cstheme="minorHAnsi"/>
                <w:sz w:val="24"/>
              </w:rPr>
            </w:pPr>
            <w:r w:rsidRPr="00BA0EF9">
              <w:rPr>
                <w:rFonts w:asciiTheme="minorHAnsi" w:hAnsiTheme="minorHAnsi" w:cstheme="minorHAnsi"/>
                <w:sz w:val="24"/>
              </w:rPr>
              <w:t>(celkový počet)</w:t>
            </w:r>
          </w:p>
        </w:tc>
        <w:tc>
          <w:tcPr>
            <w:tcW w:w="2268" w:type="dxa"/>
            <w:gridSpan w:val="2"/>
            <w:tcBorders>
              <w:top w:val="single" w:sz="12" w:space="0" w:color="auto"/>
              <w:left w:val="single" w:sz="12" w:space="0" w:color="auto"/>
              <w:bottom w:val="single" w:sz="6" w:space="0" w:color="auto"/>
              <w:right w:val="single" w:sz="12" w:space="0" w:color="auto"/>
            </w:tcBorders>
          </w:tcPr>
          <w:p w:rsidR="00186DFA" w:rsidRPr="00BA0EF9" w:rsidRDefault="00186DFA" w:rsidP="005724CB">
            <w:pPr>
              <w:jc w:val="center"/>
              <w:rPr>
                <w:rFonts w:asciiTheme="minorHAnsi" w:hAnsiTheme="minorHAnsi" w:cstheme="minorHAnsi"/>
                <w:sz w:val="24"/>
              </w:rPr>
            </w:pPr>
            <w:r w:rsidRPr="00BA0EF9">
              <w:rPr>
                <w:rFonts w:asciiTheme="minorHAnsi" w:hAnsiTheme="minorHAnsi" w:cstheme="minorHAnsi"/>
                <w:sz w:val="24"/>
              </w:rPr>
              <w:t>stav k 31.12.20</w:t>
            </w:r>
            <w:r w:rsidR="009A673B" w:rsidRPr="00BA0EF9">
              <w:rPr>
                <w:rFonts w:asciiTheme="minorHAnsi" w:hAnsiTheme="minorHAnsi" w:cstheme="minorHAnsi"/>
                <w:sz w:val="24"/>
              </w:rPr>
              <w:t>1</w:t>
            </w:r>
            <w:r w:rsidR="00A93118">
              <w:rPr>
                <w:rFonts w:asciiTheme="minorHAnsi" w:hAnsiTheme="minorHAnsi" w:cstheme="minorHAnsi"/>
                <w:sz w:val="24"/>
              </w:rPr>
              <w:t>1</w:t>
            </w:r>
          </w:p>
        </w:tc>
        <w:tc>
          <w:tcPr>
            <w:tcW w:w="2268" w:type="dxa"/>
            <w:gridSpan w:val="2"/>
            <w:tcBorders>
              <w:top w:val="single" w:sz="12" w:space="0" w:color="auto"/>
              <w:bottom w:val="single" w:sz="6" w:space="0" w:color="auto"/>
              <w:right w:val="single" w:sz="12" w:space="0" w:color="auto"/>
            </w:tcBorders>
          </w:tcPr>
          <w:p w:rsidR="00186DFA" w:rsidRPr="00BA0EF9" w:rsidRDefault="00186DFA" w:rsidP="005724CB">
            <w:pPr>
              <w:jc w:val="center"/>
              <w:rPr>
                <w:rFonts w:asciiTheme="minorHAnsi" w:hAnsiTheme="minorHAnsi" w:cstheme="minorHAnsi"/>
                <w:sz w:val="24"/>
              </w:rPr>
            </w:pPr>
            <w:r w:rsidRPr="00BA0EF9">
              <w:rPr>
                <w:rFonts w:asciiTheme="minorHAnsi" w:hAnsiTheme="minorHAnsi" w:cstheme="minorHAnsi"/>
                <w:sz w:val="24"/>
              </w:rPr>
              <w:t>stav k 31.12.201</w:t>
            </w:r>
            <w:r w:rsidR="00A93118">
              <w:rPr>
                <w:rFonts w:asciiTheme="minorHAnsi" w:hAnsiTheme="minorHAnsi" w:cstheme="minorHAnsi"/>
                <w:sz w:val="24"/>
              </w:rPr>
              <w:t>2</w:t>
            </w:r>
          </w:p>
        </w:tc>
        <w:tc>
          <w:tcPr>
            <w:tcW w:w="2268" w:type="dxa"/>
            <w:gridSpan w:val="2"/>
            <w:tcBorders>
              <w:top w:val="single" w:sz="12" w:space="0" w:color="auto"/>
              <w:bottom w:val="single" w:sz="6" w:space="0" w:color="auto"/>
              <w:right w:val="single" w:sz="12" w:space="0" w:color="auto"/>
            </w:tcBorders>
          </w:tcPr>
          <w:p w:rsidR="00186DFA" w:rsidRPr="00BA0EF9" w:rsidRDefault="00186DFA">
            <w:pPr>
              <w:jc w:val="center"/>
              <w:rPr>
                <w:rFonts w:asciiTheme="minorHAnsi" w:hAnsiTheme="minorHAnsi" w:cstheme="minorHAnsi"/>
                <w:sz w:val="24"/>
              </w:rPr>
            </w:pPr>
            <w:r w:rsidRPr="00BA0EF9">
              <w:rPr>
                <w:rFonts w:asciiTheme="minorHAnsi" w:hAnsiTheme="minorHAnsi" w:cstheme="minorHAnsi"/>
                <w:sz w:val="24"/>
              </w:rPr>
              <w:t>stav k 31.12.201</w:t>
            </w:r>
            <w:r w:rsidR="00A93118">
              <w:rPr>
                <w:rFonts w:asciiTheme="minorHAnsi" w:hAnsiTheme="minorHAnsi" w:cstheme="minorHAnsi"/>
                <w:sz w:val="24"/>
              </w:rPr>
              <w:t>3</w:t>
            </w:r>
          </w:p>
        </w:tc>
      </w:tr>
      <w:tr w:rsidR="00451B1E" w:rsidRPr="00BA0EF9">
        <w:trPr>
          <w:cantSplit/>
        </w:trPr>
        <w:tc>
          <w:tcPr>
            <w:tcW w:w="2694" w:type="dxa"/>
            <w:vMerge/>
            <w:tcBorders>
              <w:top w:val="single" w:sz="6" w:space="0" w:color="auto"/>
              <w:bottom w:val="single" w:sz="12" w:space="0" w:color="auto"/>
              <w:right w:val="single" w:sz="12" w:space="0" w:color="auto"/>
            </w:tcBorders>
            <w:vAlign w:val="center"/>
          </w:tcPr>
          <w:p w:rsidR="00451B1E" w:rsidRPr="00BA0EF9" w:rsidRDefault="00451B1E">
            <w:pPr>
              <w:jc w:val="center"/>
              <w:rPr>
                <w:rFonts w:asciiTheme="minorHAnsi" w:hAnsiTheme="minorHAnsi" w:cstheme="minorHAnsi"/>
                <w:sz w:val="24"/>
              </w:rPr>
            </w:pPr>
          </w:p>
        </w:tc>
        <w:tc>
          <w:tcPr>
            <w:tcW w:w="1134" w:type="dxa"/>
            <w:tcBorders>
              <w:top w:val="single" w:sz="6" w:space="0" w:color="auto"/>
              <w:left w:val="single" w:sz="12" w:space="0" w:color="auto"/>
              <w:bottom w:val="single" w:sz="12" w:space="0" w:color="auto"/>
              <w:right w:val="single" w:sz="4"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celkem</w:t>
            </w:r>
          </w:p>
        </w:tc>
        <w:tc>
          <w:tcPr>
            <w:tcW w:w="1134" w:type="dxa"/>
            <w:tcBorders>
              <w:top w:val="single" w:sz="6" w:space="0" w:color="auto"/>
              <w:left w:val="single" w:sz="4" w:space="0" w:color="auto"/>
              <w:bottom w:val="single" w:sz="12" w:space="0" w:color="auto"/>
              <w:right w:val="single" w:sz="12"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z toho ženy</w:t>
            </w:r>
          </w:p>
        </w:tc>
        <w:tc>
          <w:tcPr>
            <w:tcW w:w="1134" w:type="dxa"/>
            <w:tcBorders>
              <w:top w:val="single" w:sz="6" w:space="0" w:color="auto"/>
              <w:left w:val="single" w:sz="12" w:space="0" w:color="auto"/>
              <w:bottom w:val="single" w:sz="12"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celkem</w:t>
            </w:r>
          </w:p>
        </w:tc>
        <w:tc>
          <w:tcPr>
            <w:tcW w:w="1134" w:type="dxa"/>
            <w:tcBorders>
              <w:top w:val="single" w:sz="6" w:space="0" w:color="auto"/>
              <w:bottom w:val="single" w:sz="12"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z toho ženy</w:t>
            </w:r>
          </w:p>
        </w:tc>
        <w:tc>
          <w:tcPr>
            <w:tcW w:w="1134" w:type="dxa"/>
            <w:tcBorders>
              <w:top w:val="single" w:sz="6" w:space="0" w:color="auto"/>
              <w:left w:val="single" w:sz="12" w:space="0" w:color="auto"/>
              <w:bottom w:val="single" w:sz="12"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celkem</w:t>
            </w:r>
          </w:p>
        </w:tc>
        <w:tc>
          <w:tcPr>
            <w:tcW w:w="1134" w:type="dxa"/>
            <w:tcBorders>
              <w:top w:val="single" w:sz="6" w:space="0" w:color="auto"/>
              <w:bottom w:val="single" w:sz="12" w:space="0" w:color="auto"/>
              <w:right w:val="single" w:sz="12" w:space="0" w:color="auto"/>
            </w:tcBorders>
            <w:vAlign w:val="center"/>
          </w:tcPr>
          <w:p w:rsidR="00451B1E" w:rsidRPr="00BA0EF9" w:rsidRDefault="00451B1E" w:rsidP="00500296">
            <w:pPr>
              <w:jc w:val="center"/>
              <w:rPr>
                <w:rFonts w:asciiTheme="minorHAnsi" w:hAnsiTheme="minorHAnsi" w:cstheme="minorHAnsi"/>
                <w:sz w:val="24"/>
              </w:rPr>
            </w:pPr>
            <w:r w:rsidRPr="00BA0EF9">
              <w:rPr>
                <w:rFonts w:asciiTheme="minorHAnsi" w:hAnsiTheme="minorHAnsi" w:cstheme="minorHAnsi"/>
                <w:sz w:val="24"/>
              </w:rPr>
              <w:t>z toho ženy</w:t>
            </w:r>
          </w:p>
        </w:tc>
      </w:tr>
      <w:tr w:rsidR="00A93118" w:rsidRPr="00BA0EF9" w:rsidTr="00F66491">
        <w:tc>
          <w:tcPr>
            <w:tcW w:w="2694" w:type="dxa"/>
            <w:tcBorders>
              <w:top w:val="nil"/>
              <w:right w:val="single" w:sz="12" w:space="0" w:color="auto"/>
            </w:tcBorders>
            <w:vAlign w:val="center"/>
          </w:tcPr>
          <w:p w:rsidR="00A93118" w:rsidRPr="00BA0EF9" w:rsidRDefault="00A93118">
            <w:pPr>
              <w:rPr>
                <w:rFonts w:asciiTheme="minorHAnsi" w:hAnsiTheme="minorHAnsi" w:cstheme="minorHAnsi"/>
                <w:sz w:val="24"/>
              </w:rPr>
            </w:pPr>
            <w:r w:rsidRPr="00BA0EF9">
              <w:rPr>
                <w:rFonts w:asciiTheme="minorHAnsi" w:hAnsiTheme="minorHAnsi" w:cstheme="minorHAnsi"/>
                <w:sz w:val="24"/>
              </w:rPr>
              <w:t>obyvatelé</w:t>
            </w:r>
          </w:p>
        </w:tc>
        <w:tc>
          <w:tcPr>
            <w:tcW w:w="1134" w:type="dxa"/>
            <w:tcBorders>
              <w:top w:val="nil"/>
              <w:left w:val="single" w:sz="12" w:space="0" w:color="auto"/>
              <w:right w:val="single" w:sz="4"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1 230 613</w:t>
            </w:r>
          </w:p>
        </w:tc>
        <w:tc>
          <w:tcPr>
            <w:tcW w:w="1134" w:type="dxa"/>
            <w:tcBorders>
              <w:top w:val="nil"/>
              <w:left w:val="single" w:sz="4" w:space="0" w:color="auto"/>
              <w:righ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628 505</w:t>
            </w:r>
          </w:p>
        </w:tc>
        <w:tc>
          <w:tcPr>
            <w:tcW w:w="1134" w:type="dxa"/>
            <w:tcBorders>
              <w:top w:val="nil"/>
              <w:lef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1 226 602</w:t>
            </w:r>
          </w:p>
        </w:tc>
        <w:tc>
          <w:tcPr>
            <w:tcW w:w="1134" w:type="dxa"/>
            <w:tcBorders>
              <w:top w:val="nil"/>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626 122</w:t>
            </w:r>
          </w:p>
        </w:tc>
        <w:tc>
          <w:tcPr>
            <w:tcW w:w="1134" w:type="dxa"/>
            <w:tcBorders>
              <w:top w:val="nil"/>
              <w:left w:val="single" w:sz="12" w:space="0" w:color="auto"/>
            </w:tcBorders>
            <w:vAlign w:val="center"/>
          </w:tcPr>
          <w:p w:rsidR="00A93118" w:rsidRPr="00BA0EF9" w:rsidRDefault="003A7A0B" w:rsidP="00B14898">
            <w:pPr>
              <w:jc w:val="center"/>
              <w:rPr>
                <w:rFonts w:asciiTheme="minorHAnsi" w:hAnsiTheme="minorHAnsi" w:cstheme="minorHAnsi"/>
                <w:sz w:val="24"/>
                <w:szCs w:val="24"/>
              </w:rPr>
            </w:pPr>
            <w:r>
              <w:rPr>
                <w:rFonts w:asciiTheme="minorHAnsi" w:hAnsiTheme="minorHAnsi" w:cstheme="minorHAnsi"/>
                <w:sz w:val="24"/>
                <w:szCs w:val="24"/>
              </w:rPr>
              <w:t>1 221 832</w:t>
            </w:r>
          </w:p>
        </w:tc>
        <w:tc>
          <w:tcPr>
            <w:tcW w:w="1134" w:type="dxa"/>
            <w:tcBorders>
              <w:top w:val="nil"/>
              <w:right w:val="single" w:sz="12" w:space="0" w:color="auto"/>
            </w:tcBorders>
            <w:vAlign w:val="center"/>
          </w:tcPr>
          <w:p w:rsidR="00A93118" w:rsidRPr="00BA0EF9" w:rsidRDefault="003A7A0B" w:rsidP="00B14898">
            <w:pPr>
              <w:jc w:val="center"/>
              <w:rPr>
                <w:rFonts w:asciiTheme="minorHAnsi" w:hAnsiTheme="minorHAnsi" w:cstheme="minorHAnsi"/>
                <w:sz w:val="24"/>
                <w:szCs w:val="24"/>
              </w:rPr>
            </w:pPr>
            <w:r>
              <w:rPr>
                <w:rFonts w:asciiTheme="minorHAnsi" w:hAnsiTheme="minorHAnsi" w:cstheme="minorHAnsi"/>
                <w:sz w:val="24"/>
                <w:szCs w:val="24"/>
              </w:rPr>
              <w:t>623 561</w:t>
            </w:r>
          </w:p>
        </w:tc>
      </w:tr>
      <w:tr w:rsidR="00A93118" w:rsidRPr="00BA0EF9" w:rsidTr="00B14898">
        <w:tc>
          <w:tcPr>
            <w:tcW w:w="2694" w:type="dxa"/>
            <w:tcBorders>
              <w:bottom w:val="single" w:sz="12" w:space="0" w:color="auto"/>
              <w:right w:val="single" w:sz="12" w:space="0" w:color="auto"/>
            </w:tcBorders>
            <w:vAlign w:val="center"/>
          </w:tcPr>
          <w:p w:rsidR="00A93118" w:rsidRPr="00BA0EF9" w:rsidRDefault="00A93118">
            <w:pPr>
              <w:rPr>
                <w:rFonts w:asciiTheme="minorHAnsi" w:hAnsiTheme="minorHAnsi" w:cstheme="minorHAnsi"/>
                <w:sz w:val="24"/>
              </w:rPr>
            </w:pPr>
            <w:r w:rsidRPr="00BA0EF9">
              <w:rPr>
                <w:rFonts w:asciiTheme="minorHAnsi" w:hAnsiTheme="minorHAnsi" w:cstheme="minorHAnsi"/>
                <w:sz w:val="24"/>
              </w:rPr>
              <w:t>obyvatelé věkové kategorie 0 - 14 let</w:t>
            </w:r>
          </w:p>
        </w:tc>
        <w:tc>
          <w:tcPr>
            <w:tcW w:w="1134" w:type="dxa"/>
            <w:tcBorders>
              <w:left w:val="single" w:sz="12" w:space="0" w:color="auto"/>
              <w:bottom w:val="single" w:sz="12" w:space="0" w:color="auto"/>
              <w:right w:val="single" w:sz="4"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178 888</w:t>
            </w:r>
          </w:p>
        </w:tc>
        <w:tc>
          <w:tcPr>
            <w:tcW w:w="1134" w:type="dxa"/>
            <w:tcBorders>
              <w:left w:val="single" w:sz="4" w:space="0" w:color="auto"/>
              <w:bottom w:val="single" w:sz="12" w:space="0" w:color="auto"/>
              <w:righ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87 345</w:t>
            </w:r>
          </w:p>
        </w:tc>
        <w:tc>
          <w:tcPr>
            <w:tcW w:w="1134" w:type="dxa"/>
            <w:tcBorders>
              <w:left w:val="single" w:sz="12" w:space="0" w:color="auto"/>
              <w:bottom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178 845</w:t>
            </w:r>
          </w:p>
        </w:tc>
        <w:tc>
          <w:tcPr>
            <w:tcW w:w="1134" w:type="dxa"/>
            <w:tcBorders>
              <w:bottom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87 329</w:t>
            </w:r>
          </w:p>
        </w:tc>
        <w:tc>
          <w:tcPr>
            <w:tcW w:w="1134" w:type="dxa"/>
            <w:tcBorders>
              <w:left w:val="single" w:sz="12" w:space="0" w:color="auto"/>
              <w:bottom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178 789</w:t>
            </w:r>
          </w:p>
        </w:tc>
        <w:tc>
          <w:tcPr>
            <w:tcW w:w="1134" w:type="dxa"/>
            <w:tcBorders>
              <w:bottom w:val="single" w:sz="12" w:space="0" w:color="auto"/>
              <w:right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87 210</w:t>
            </w:r>
          </w:p>
        </w:tc>
      </w:tr>
      <w:tr w:rsidR="00A93118" w:rsidRPr="00BA0EF9" w:rsidTr="00B14898">
        <w:tc>
          <w:tcPr>
            <w:tcW w:w="2694" w:type="dxa"/>
            <w:tcBorders>
              <w:top w:val="nil"/>
              <w:right w:val="single" w:sz="12" w:space="0" w:color="auto"/>
            </w:tcBorders>
            <w:vAlign w:val="center"/>
          </w:tcPr>
          <w:p w:rsidR="00A93118" w:rsidRPr="00BA0EF9" w:rsidRDefault="00A93118" w:rsidP="000B238B">
            <w:pPr>
              <w:rPr>
                <w:rFonts w:asciiTheme="minorHAnsi" w:hAnsiTheme="minorHAnsi" w:cstheme="minorHAnsi"/>
                <w:sz w:val="24"/>
              </w:rPr>
            </w:pPr>
            <w:r w:rsidRPr="00BA0EF9">
              <w:rPr>
                <w:rFonts w:asciiTheme="minorHAnsi" w:hAnsiTheme="minorHAnsi" w:cstheme="minorHAnsi"/>
                <w:sz w:val="24"/>
              </w:rPr>
              <w:t xml:space="preserve">obyvatelé </w:t>
            </w:r>
          </w:p>
          <w:p w:rsidR="00A93118" w:rsidRPr="00BA0EF9" w:rsidRDefault="00A93118" w:rsidP="000B238B">
            <w:pPr>
              <w:rPr>
                <w:rFonts w:asciiTheme="minorHAnsi" w:hAnsiTheme="minorHAnsi" w:cstheme="minorHAnsi"/>
                <w:sz w:val="24"/>
              </w:rPr>
            </w:pPr>
            <w:r w:rsidRPr="00BA0EF9">
              <w:rPr>
                <w:rFonts w:asciiTheme="minorHAnsi" w:hAnsiTheme="minorHAnsi" w:cstheme="minorHAnsi"/>
                <w:sz w:val="24"/>
              </w:rPr>
              <w:t xml:space="preserve">v „produktivním věku“ </w:t>
            </w:r>
            <w:r w:rsidRPr="00BA0EF9">
              <w:rPr>
                <w:rFonts w:asciiTheme="minorHAnsi" w:hAnsiTheme="minorHAnsi" w:cstheme="minorHAnsi"/>
                <w:sz w:val="24"/>
                <w:vertAlign w:val="superscript"/>
              </w:rPr>
              <w:t>2)</w:t>
            </w:r>
          </w:p>
        </w:tc>
        <w:tc>
          <w:tcPr>
            <w:tcW w:w="1134" w:type="dxa"/>
            <w:tcBorders>
              <w:top w:val="nil"/>
              <w:left w:val="single" w:sz="12" w:space="0" w:color="auto"/>
              <w:right w:val="single" w:sz="4"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857 430</w:t>
            </w:r>
          </w:p>
        </w:tc>
        <w:tc>
          <w:tcPr>
            <w:tcW w:w="1134" w:type="dxa"/>
            <w:tcBorders>
              <w:top w:val="nil"/>
              <w:left w:val="single" w:sz="4" w:space="0" w:color="auto"/>
              <w:righ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424 036</w:t>
            </w:r>
          </w:p>
        </w:tc>
        <w:tc>
          <w:tcPr>
            <w:tcW w:w="1134" w:type="dxa"/>
            <w:tcBorders>
              <w:top w:val="nil"/>
              <w:lef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846 615</w:t>
            </w:r>
          </w:p>
        </w:tc>
        <w:tc>
          <w:tcPr>
            <w:tcW w:w="1134" w:type="dxa"/>
            <w:tcBorders>
              <w:top w:val="nil"/>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418 035</w:t>
            </w:r>
          </w:p>
        </w:tc>
        <w:tc>
          <w:tcPr>
            <w:tcW w:w="1134" w:type="dxa"/>
            <w:tcBorders>
              <w:top w:val="nil"/>
              <w:left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835 577</w:t>
            </w:r>
          </w:p>
        </w:tc>
        <w:tc>
          <w:tcPr>
            <w:tcW w:w="1134" w:type="dxa"/>
            <w:tcBorders>
              <w:top w:val="nil"/>
              <w:right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412 318</w:t>
            </w:r>
          </w:p>
        </w:tc>
      </w:tr>
      <w:tr w:rsidR="00A93118" w:rsidRPr="00BA0EF9" w:rsidTr="00B14898">
        <w:tc>
          <w:tcPr>
            <w:tcW w:w="2694" w:type="dxa"/>
            <w:tcBorders>
              <w:top w:val="single" w:sz="12" w:space="0" w:color="auto"/>
              <w:bottom w:val="single" w:sz="12" w:space="0" w:color="auto"/>
              <w:right w:val="single" w:sz="12" w:space="0" w:color="auto"/>
            </w:tcBorders>
            <w:vAlign w:val="center"/>
          </w:tcPr>
          <w:p w:rsidR="00A93118" w:rsidRPr="00BA0EF9" w:rsidRDefault="00A93118">
            <w:pPr>
              <w:rPr>
                <w:rFonts w:asciiTheme="minorHAnsi" w:hAnsiTheme="minorHAnsi" w:cstheme="minorHAnsi"/>
                <w:sz w:val="24"/>
              </w:rPr>
            </w:pPr>
            <w:r w:rsidRPr="00BA0EF9">
              <w:rPr>
                <w:rFonts w:asciiTheme="minorHAnsi" w:hAnsiTheme="minorHAnsi" w:cstheme="minorHAnsi"/>
                <w:sz w:val="24"/>
              </w:rPr>
              <w:t>průměrný věk obyvatel</w:t>
            </w:r>
          </w:p>
        </w:tc>
        <w:tc>
          <w:tcPr>
            <w:tcW w:w="1134" w:type="dxa"/>
            <w:tcBorders>
              <w:top w:val="single" w:sz="12" w:space="0" w:color="auto"/>
              <w:left w:val="single" w:sz="12" w:space="0" w:color="auto"/>
              <w:bottom w:val="single" w:sz="12" w:space="0" w:color="auto"/>
              <w:right w:val="single" w:sz="4"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40,9</w:t>
            </w:r>
          </w:p>
        </w:tc>
        <w:tc>
          <w:tcPr>
            <w:tcW w:w="1134" w:type="dxa"/>
            <w:tcBorders>
              <w:top w:val="single" w:sz="12" w:space="0" w:color="auto"/>
              <w:left w:val="single" w:sz="4" w:space="0" w:color="auto"/>
              <w:bottom w:val="single" w:sz="12" w:space="0" w:color="auto"/>
              <w:right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42,5</w:t>
            </w:r>
          </w:p>
        </w:tc>
        <w:tc>
          <w:tcPr>
            <w:tcW w:w="1134" w:type="dxa"/>
            <w:tcBorders>
              <w:top w:val="single" w:sz="12" w:space="0" w:color="auto"/>
              <w:left w:val="single" w:sz="12" w:space="0" w:color="auto"/>
              <w:bottom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41,2</w:t>
            </w:r>
          </w:p>
        </w:tc>
        <w:tc>
          <w:tcPr>
            <w:tcW w:w="1134" w:type="dxa"/>
            <w:tcBorders>
              <w:top w:val="single" w:sz="12" w:space="0" w:color="auto"/>
              <w:bottom w:val="single" w:sz="12" w:space="0" w:color="auto"/>
            </w:tcBorders>
            <w:vAlign w:val="center"/>
          </w:tcPr>
          <w:p w:rsidR="00A93118" w:rsidRPr="00BA0EF9" w:rsidRDefault="00A93118" w:rsidP="00027ABA">
            <w:pPr>
              <w:jc w:val="center"/>
              <w:rPr>
                <w:rFonts w:asciiTheme="minorHAnsi" w:hAnsiTheme="minorHAnsi" w:cstheme="minorHAnsi"/>
                <w:sz w:val="24"/>
                <w:szCs w:val="24"/>
              </w:rPr>
            </w:pPr>
            <w:r w:rsidRPr="00BA0EF9">
              <w:rPr>
                <w:rFonts w:asciiTheme="minorHAnsi" w:hAnsiTheme="minorHAnsi" w:cstheme="minorHAnsi"/>
                <w:sz w:val="24"/>
                <w:szCs w:val="24"/>
              </w:rPr>
              <w:t>42,7</w:t>
            </w:r>
          </w:p>
        </w:tc>
        <w:tc>
          <w:tcPr>
            <w:tcW w:w="1134" w:type="dxa"/>
            <w:tcBorders>
              <w:top w:val="single" w:sz="12" w:space="0" w:color="auto"/>
              <w:left w:val="single" w:sz="12" w:space="0" w:color="auto"/>
              <w:bottom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41,5</w:t>
            </w:r>
          </w:p>
        </w:tc>
        <w:tc>
          <w:tcPr>
            <w:tcW w:w="1134" w:type="dxa"/>
            <w:tcBorders>
              <w:top w:val="single" w:sz="12" w:space="0" w:color="auto"/>
              <w:bottom w:val="single" w:sz="12" w:space="0" w:color="auto"/>
              <w:right w:val="single" w:sz="12" w:space="0" w:color="auto"/>
            </w:tcBorders>
            <w:vAlign w:val="center"/>
          </w:tcPr>
          <w:p w:rsidR="00A93118" w:rsidRPr="00BA0EF9" w:rsidRDefault="002E3184" w:rsidP="00B14898">
            <w:pPr>
              <w:jc w:val="center"/>
              <w:rPr>
                <w:rFonts w:asciiTheme="minorHAnsi" w:hAnsiTheme="minorHAnsi" w:cstheme="minorHAnsi"/>
                <w:sz w:val="24"/>
                <w:szCs w:val="24"/>
              </w:rPr>
            </w:pPr>
            <w:r>
              <w:rPr>
                <w:rFonts w:asciiTheme="minorHAnsi" w:hAnsiTheme="minorHAnsi" w:cstheme="minorHAnsi"/>
                <w:sz w:val="24"/>
                <w:szCs w:val="24"/>
              </w:rPr>
              <w:t>43,0</w:t>
            </w:r>
          </w:p>
        </w:tc>
      </w:tr>
    </w:tbl>
    <w:p w:rsidR="00284CC7" w:rsidRPr="00BA0EF9" w:rsidRDefault="00284CC7" w:rsidP="00284CC7">
      <w:pPr>
        <w:pStyle w:val="dka"/>
        <w:numPr>
          <w:ilvl w:val="0"/>
          <w:numId w:val="4"/>
        </w:numPr>
        <w:tabs>
          <w:tab w:val="clear" w:pos="360"/>
          <w:tab w:val="num" w:pos="284"/>
        </w:tabs>
        <w:ind w:left="284" w:right="140" w:hanging="284"/>
        <w:jc w:val="both"/>
        <w:rPr>
          <w:rFonts w:asciiTheme="minorHAnsi" w:hAnsiTheme="minorHAnsi" w:cstheme="minorHAnsi"/>
          <w:i/>
          <w:color w:val="auto"/>
          <w:sz w:val="20"/>
        </w:rPr>
      </w:pPr>
      <w:r w:rsidRPr="00BA0EF9">
        <w:rPr>
          <w:rFonts w:asciiTheme="minorHAnsi" w:hAnsiTheme="minorHAnsi" w:cstheme="minorHAnsi"/>
          <w:i/>
          <w:color w:val="auto"/>
          <w:sz w:val="20"/>
        </w:rPr>
        <w:t>Od roku 19</w:t>
      </w:r>
      <w:r w:rsidR="009D59DB" w:rsidRPr="00BA0EF9">
        <w:rPr>
          <w:rFonts w:asciiTheme="minorHAnsi" w:hAnsiTheme="minorHAnsi" w:cstheme="minorHAnsi"/>
          <w:i/>
          <w:color w:val="auto"/>
          <w:sz w:val="20"/>
        </w:rPr>
        <w:t xml:space="preserve">96 jsou na základě metodiky </w:t>
      </w:r>
      <w:r w:rsidRPr="00BA0EF9">
        <w:rPr>
          <w:rFonts w:asciiTheme="minorHAnsi" w:hAnsiTheme="minorHAnsi" w:cstheme="minorHAnsi"/>
          <w:i/>
          <w:color w:val="auto"/>
          <w:sz w:val="20"/>
        </w:rPr>
        <w:t>MPSV ČR používána při hodnocení demografického vývoje data, která poskytuje Český statistický úřad. Údaje z demografické statistiky jsou za uplynulý rok k dispozici vždy v květnu dalšího roku, což znamená, že skutečnost z konce předchozího roku je platná po celých následujících dvanáct měsíců.</w:t>
      </w:r>
    </w:p>
    <w:p w:rsidR="008C7ED7" w:rsidRPr="00BA0EF9" w:rsidRDefault="008C7ED7" w:rsidP="00284CC7">
      <w:pPr>
        <w:pStyle w:val="dka"/>
        <w:numPr>
          <w:ilvl w:val="0"/>
          <w:numId w:val="4"/>
        </w:numPr>
        <w:tabs>
          <w:tab w:val="clear" w:pos="360"/>
          <w:tab w:val="num" w:pos="284"/>
        </w:tabs>
        <w:ind w:left="284" w:right="140" w:hanging="284"/>
        <w:jc w:val="both"/>
        <w:rPr>
          <w:rFonts w:asciiTheme="minorHAnsi" w:hAnsiTheme="minorHAnsi" w:cstheme="minorHAnsi"/>
          <w:i/>
          <w:color w:val="auto"/>
          <w:sz w:val="20"/>
        </w:rPr>
      </w:pPr>
      <w:r w:rsidRPr="00BA0EF9">
        <w:rPr>
          <w:rFonts w:asciiTheme="minorHAnsi" w:hAnsiTheme="minorHAnsi" w:cstheme="minorHAnsi"/>
          <w:i/>
          <w:color w:val="auto"/>
          <w:sz w:val="20"/>
        </w:rPr>
        <w:t>Věková skupina 15-64 let</w:t>
      </w:r>
    </w:p>
    <w:p w:rsidR="00284CC7" w:rsidRPr="00BA0EF9" w:rsidRDefault="00284CC7">
      <w:pPr>
        <w:jc w:val="both"/>
        <w:rPr>
          <w:rFonts w:asciiTheme="minorHAnsi" w:hAnsiTheme="minorHAnsi" w:cstheme="minorHAnsi"/>
          <w:sz w:val="24"/>
        </w:rPr>
      </w:pPr>
    </w:p>
    <w:p w:rsidR="00284CC7" w:rsidRPr="00BA0EF9" w:rsidRDefault="00284CC7">
      <w:pPr>
        <w:pStyle w:val="Nadpis6"/>
        <w:rPr>
          <w:rFonts w:asciiTheme="minorHAnsi" w:hAnsiTheme="minorHAnsi" w:cstheme="minorHAnsi"/>
        </w:rPr>
      </w:pPr>
      <w:r w:rsidRPr="00BA0EF9">
        <w:rPr>
          <w:rFonts w:asciiTheme="minorHAnsi" w:hAnsiTheme="minorHAnsi" w:cstheme="minorHAnsi"/>
        </w:rPr>
        <w:t>3. Silné stránky Moravskoslezského kraje</w:t>
      </w:r>
    </w:p>
    <w:p w:rsidR="00284CC7" w:rsidRPr="00BA0EF9" w:rsidRDefault="00284CC7">
      <w:pPr>
        <w:pStyle w:val="odsazen"/>
        <w:numPr>
          <w:ilvl w:val="0"/>
          <w:numId w:val="0"/>
        </w:numPr>
        <w:rPr>
          <w:rFonts w:asciiTheme="minorHAnsi" w:hAnsiTheme="minorHAnsi" w:cstheme="minorHAnsi"/>
        </w:rPr>
      </w:pPr>
    </w:p>
    <w:p w:rsidR="00284CC7" w:rsidRPr="00BA0EF9" w:rsidRDefault="00284CC7">
      <w:pPr>
        <w:pStyle w:val="odsazen"/>
        <w:numPr>
          <w:ilvl w:val="0"/>
          <w:numId w:val="3"/>
        </w:numPr>
        <w:rPr>
          <w:rFonts w:asciiTheme="minorHAnsi" w:hAnsiTheme="minorHAnsi" w:cstheme="minorHAnsi"/>
          <w:b/>
          <w:i/>
        </w:rPr>
      </w:pPr>
      <w:r w:rsidRPr="00BA0EF9">
        <w:rPr>
          <w:rFonts w:asciiTheme="minorHAnsi" w:hAnsiTheme="minorHAnsi" w:cstheme="minorHAnsi"/>
        </w:rPr>
        <w:t xml:space="preserve">MSK </w:t>
      </w:r>
      <w:r w:rsidR="00AA57B0" w:rsidRPr="00BA0EF9">
        <w:rPr>
          <w:rFonts w:asciiTheme="minorHAnsi" w:hAnsiTheme="minorHAnsi" w:cstheme="minorHAnsi"/>
        </w:rPr>
        <w:t xml:space="preserve">byl a </w:t>
      </w:r>
      <w:r w:rsidR="00B03A42" w:rsidRPr="00BA0EF9">
        <w:rPr>
          <w:rFonts w:asciiTheme="minorHAnsi" w:hAnsiTheme="minorHAnsi" w:cstheme="minorHAnsi"/>
        </w:rPr>
        <w:t xml:space="preserve">zůstává jednou z </w:t>
      </w:r>
      <w:r w:rsidRPr="00BA0EF9">
        <w:rPr>
          <w:rFonts w:asciiTheme="minorHAnsi" w:hAnsiTheme="minorHAnsi" w:cstheme="minorHAnsi"/>
        </w:rPr>
        <w:t>hospodá</w:t>
      </w:r>
      <w:r w:rsidR="00B03A42" w:rsidRPr="00BA0EF9">
        <w:rPr>
          <w:rFonts w:asciiTheme="minorHAnsi" w:hAnsiTheme="minorHAnsi" w:cstheme="minorHAnsi"/>
        </w:rPr>
        <w:t>řsky nejvýznamnějších oblastí v </w:t>
      </w:r>
      <w:r w:rsidRPr="00BA0EF9">
        <w:rPr>
          <w:rFonts w:asciiTheme="minorHAnsi" w:hAnsiTheme="minorHAnsi" w:cstheme="minorHAnsi"/>
        </w:rPr>
        <w:t>České republice.</w:t>
      </w:r>
    </w:p>
    <w:p w:rsidR="00284CC7" w:rsidRPr="00BA0EF9" w:rsidRDefault="00284CC7">
      <w:pPr>
        <w:pStyle w:val="odsazen"/>
        <w:numPr>
          <w:ilvl w:val="0"/>
          <w:numId w:val="3"/>
        </w:numPr>
        <w:rPr>
          <w:rFonts w:asciiTheme="minorHAnsi" w:hAnsiTheme="minorHAnsi" w:cstheme="minorHAnsi"/>
          <w:b/>
          <w:i/>
        </w:rPr>
      </w:pPr>
      <w:r w:rsidRPr="00BA0EF9">
        <w:rPr>
          <w:rFonts w:asciiTheme="minorHAnsi" w:hAnsiTheme="minorHAnsi" w:cstheme="minorHAnsi"/>
        </w:rPr>
        <w:t>Rozmanitost průmyslových odvětví</w:t>
      </w:r>
      <w:r w:rsidR="00E05CBD" w:rsidRPr="00BA0EF9">
        <w:rPr>
          <w:rFonts w:asciiTheme="minorHAnsi" w:hAnsiTheme="minorHAnsi" w:cstheme="minorHAnsi"/>
        </w:rPr>
        <w:t xml:space="preserve"> včetně rozvoje oborů z oblasti informačních a komunikačních technologií</w:t>
      </w:r>
      <w:r w:rsidRPr="00BA0EF9">
        <w:rPr>
          <w:rFonts w:asciiTheme="minorHAnsi" w:hAnsiTheme="minorHAnsi" w:cstheme="minorHAnsi"/>
        </w:rPr>
        <w: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Existence řady perspektivních firem </w:t>
      </w:r>
      <w:r w:rsidR="00127687" w:rsidRPr="00BA0EF9">
        <w:rPr>
          <w:rFonts w:asciiTheme="minorHAnsi" w:hAnsiTheme="minorHAnsi" w:cstheme="minorHAnsi"/>
        </w:rPr>
        <w:t>vytvářejících ve s</w:t>
      </w:r>
      <w:r w:rsidRPr="00BA0EF9">
        <w:rPr>
          <w:rFonts w:asciiTheme="minorHAnsi" w:hAnsiTheme="minorHAnsi" w:cstheme="minorHAnsi"/>
        </w:rPr>
        <w:t>rovnání s jinými kraji velký základní ekonomický rozvojový potenciál.</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Řada zavedených obchodních značek a relativně vysoká expo</w:t>
      </w:r>
      <w:r w:rsidR="00C239C3">
        <w:rPr>
          <w:rFonts w:asciiTheme="minorHAnsi" w:hAnsiTheme="minorHAnsi" w:cstheme="minorHAnsi"/>
        </w:rPr>
        <w:t>rtovatelnost hutních a </w:t>
      </w:r>
      <w:r w:rsidR="00F126E6" w:rsidRPr="00BA0EF9">
        <w:rPr>
          <w:rFonts w:asciiTheme="minorHAnsi" w:hAnsiTheme="minorHAnsi" w:cstheme="minorHAnsi"/>
        </w:rPr>
        <w:t>mnohých</w:t>
      </w:r>
      <w:r w:rsidRPr="00BA0EF9">
        <w:rPr>
          <w:rFonts w:asciiTheme="minorHAnsi" w:hAnsiTheme="minorHAnsi" w:cstheme="minorHAnsi"/>
        </w:rPr>
        <w:t xml:space="preserve"> strojírenských výrobků.</w:t>
      </w:r>
    </w:p>
    <w:p w:rsidR="00284CC7" w:rsidRPr="00BA0EF9" w:rsidRDefault="00366A48">
      <w:pPr>
        <w:pStyle w:val="odsazen"/>
        <w:numPr>
          <w:ilvl w:val="0"/>
          <w:numId w:val="3"/>
        </w:numPr>
        <w:rPr>
          <w:rFonts w:asciiTheme="minorHAnsi" w:hAnsiTheme="minorHAnsi" w:cstheme="minorHAnsi"/>
        </w:rPr>
      </w:pPr>
      <w:r w:rsidRPr="00BA0EF9">
        <w:rPr>
          <w:rFonts w:asciiTheme="minorHAnsi" w:hAnsiTheme="minorHAnsi" w:cstheme="minorHAnsi"/>
        </w:rPr>
        <w:t xml:space="preserve">Existence většího počtu </w:t>
      </w:r>
      <w:r w:rsidR="00284CC7" w:rsidRPr="00BA0EF9">
        <w:rPr>
          <w:rFonts w:asciiTheme="minorHAnsi" w:hAnsiTheme="minorHAnsi" w:cstheme="minorHAnsi"/>
        </w:rPr>
        <w:t>vhodných obje</w:t>
      </w:r>
      <w:r w:rsidR="00AA57B0" w:rsidRPr="00BA0EF9">
        <w:rPr>
          <w:rFonts w:asciiTheme="minorHAnsi" w:hAnsiTheme="minorHAnsi" w:cstheme="minorHAnsi"/>
        </w:rPr>
        <w:t>ktů a pozemků pro nové investiční záměry i starých průmyslových areálů</w:t>
      </w:r>
      <w:r w:rsidR="00D87157" w:rsidRPr="00BA0EF9">
        <w:rPr>
          <w:rFonts w:asciiTheme="minorHAnsi" w:hAnsiTheme="minorHAnsi" w:cstheme="minorHAnsi"/>
        </w:rPr>
        <w:t xml:space="preserve"> vybavených</w:t>
      </w:r>
      <w:r w:rsidR="00284CC7" w:rsidRPr="00BA0EF9">
        <w:rPr>
          <w:rFonts w:asciiTheme="minorHAnsi" w:hAnsiTheme="minorHAnsi" w:cstheme="minorHAnsi"/>
        </w:rPr>
        <w:t xml:space="preserve"> infrastrukturou, tzv. „brownfields“, s možností jejich využití pro rozvoj nových podnikatelských aktivit.</w:t>
      </w:r>
    </w:p>
    <w:p w:rsidR="00284CC7" w:rsidRPr="00BA0EF9" w:rsidRDefault="005C6A09">
      <w:pPr>
        <w:pStyle w:val="odsazen"/>
        <w:numPr>
          <w:ilvl w:val="0"/>
          <w:numId w:val="3"/>
        </w:numPr>
        <w:rPr>
          <w:rFonts w:asciiTheme="minorHAnsi" w:hAnsiTheme="minorHAnsi" w:cstheme="minorHAnsi"/>
        </w:rPr>
      </w:pPr>
      <w:r w:rsidRPr="00BA0EF9">
        <w:rPr>
          <w:rFonts w:asciiTheme="minorHAnsi" w:hAnsiTheme="minorHAnsi" w:cstheme="minorHAnsi"/>
        </w:rPr>
        <w:t>Fungující</w:t>
      </w:r>
      <w:r w:rsidR="003E6FE8" w:rsidRPr="00BA0EF9">
        <w:rPr>
          <w:rFonts w:asciiTheme="minorHAnsi" w:hAnsiTheme="minorHAnsi" w:cstheme="minorHAnsi"/>
        </w:rPr>
        <w:t xml:space="preserve"> a </w:t>
      </w:r>
      <w:r w:rsidR="00284CC7" w:rsidRPr="00BA0EF9">
        <w:rPr>
          <w:rFonts w:asciiTheme="minorHAnsi" w:hAnsiTheme="minorHAnsi" w:cstheme="minorHAnsi"/>
        </w:rPr>
        <w:t>připravované</w:t>
      </w:r>
      <w:r w:rsidR="00D87157" w:rsidRPr="00BA0EF9">
        <w:rPr>
          <w:rFonts w:asciiTheme="minorHAnsi" w:hAnsiTheme="minorHAnsi" w:cstheme="minorHAnsi"/>
        </w:rPr>
        <w:t xml:space="preserve"> další</w:t>
      </w:r>
      <w:r w:rsidR="00284CC7" w:rsidRPr="00BA0EF9">
        <w:rPr>
          <w:rFonts w:asciiTheme="minorHAnsi" w:hAnsiTheme="minorHAnsi" w:cstheme="minorHAnsi"/>
        </w:rPr>
        <w:t xml:space="preserve"> průmyslové zóny</w:t>
      </w:r>
      <w:r w:rsidRPr="00BA0EF9">
        <w:rPr>
          <w:rFonts w:asciiTheme="minorHAnsi" w:hAnsiTheme="minorHAnsi" w:cstheme="minorHAnsi"/>
        </w:rPr>
        <w:t xml:space="preserve">; </w:t>
      </w:r>
      <w:r w:rsidR="00492E9E" w:rsidRPr="00BA0EF9">
        <w:rPr>
          <w:rFonts w:asciiTheme="minorHAnsi" w:hAnsiTheme="minorHAnsi" w:cstheme="minorHAnsi"/>
        </w:rPr>
        <w:t>postupný rozvoj podnikatelských aktivit firem působících v těchto zónách.</w:t>
      </w:r>
    </w:p>
    <w:p w:rsidR="00284CC7" w:rsidRPr="00BA0EF9" w:rsidRDefault="005502DD">
      <w:pPr>
        <w:pStyle w:val="odsazen"/>
        <w:numPr>
          <w:ilvl w:val="0"/>
          <w:numId w:val="3"/>
        </w:numPr>
        <w:rPr>
          <w:rFonts w:asciiTheme="minorHAnsi" w:hAnsiTheme="minorHAnsi" w:cstheme="minorHAnsi"/>
        </w:rPr>
      </w:pPr>
      <w:r w:rsidRPr="00BA0EF9">
        <w:rPr>
          <w:rFonts w:asciiTheme="minorHAnsi" w:hAnsiTheme="minorHAnsi" w:cstheme="minorHAnsi"/>
        </w:rPr>
        <w:t>Určitý p</w:t>
      </w:r>
      <w:r w:rsidR="00284CC7" w:rsidRPr="00BA0EF9">
        <w:rPr>
          <w:rFonts w:asciiTheme="minorHAnsi" w:hAnsiTheme="minorHAnsi" w:cstheme="minorHAnsi"/>
        </w:rPr>
        <w:t>otenciál kvalifikované, popřípadě v řadě oborů dobře rekvalifikovatelné</w:t>
      </w:r>
      <w:r w:rsidR="0084210E" w:rsidRPr="00BA0EF9">
        <w:rPr>
          <w:rFonts w:asciiTheme="minorHAnsi" w:hAnsiTheme="minorHAnsi" w:cstheme="minorHAnsi"/>
        </w:rPr>
        <w:t xml:space="preserve">, </w:t>
      </w:r>
      <w:r w:rsidR="00284CC7" w:rsidRPr="00BA0EF9">
        <w:rPr>
          <w:rFonts w:asciiTheme="minorHAnsi" w:hAnsiTheme="minorHAnsi" w:cstheme="minorHAnsi"/>
        </w:rPr>
        <w:t>pracovní síly využitelné při rozvoji nových ekonomických aktivit.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Postupně se zlepšující životní prostředí.</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Pohoří Beskyd a Jeseníků - vhodné oblasti pro roz</w:t>
      </w:r>
      <w:r w:rsidR="003253CE" w:rsidRPr="00BA0EF9">
        <w:rPr>
          <w:rFonts w:asciiTheme="minorHAnsi" w:hAnsiTheme="minorHAnsi" w:cstheme="minorHAnsi"/>
        </w:rPr>
        <w:t>voj podnikání v cestovním ruchu a ve službách</w:t>
      </w:r>
      <w:r w:rsidR="00157AF1" w:rsidRPr="00BA0EF9">
        <w:rPr>
          <w:rFonts w:asciiTheme="minorHAnsi" w:hAnsiTheme="minorHAnsi" w:cstheme="minorHAnsi"/>
        </w:rPr>
        <w: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Výhodná geografická poloha z pohledu perspektivních dopravních tras - kraj leží na dopravní křižovatce Česko, Polsko, Slovensko a Rakousko s dobrou pozicí do východních zemí.</w:t>
      </w:r>
    </w:p>
    <w:p w:rsidR="00284CC7" w:rsidRPr="00BA0EF9" w:rsidRDefault="00097176">
      <w:pPr>
        <w:pStyle w:val="odsazen"/>
        <w:numPr>
          <w:ilvl w:val="0"/>
          <w:numId w:val="3"/>
        </w:numPr>
        <w:rPr>
          <w:rFonts w:asciiTheme="minorHAnsi" w:hAnsiTheme="minorHAnsi" w:cstheme="minorHAnsi"/>
        </w:rPr>
      </w:pPr>
      <w:r w:rsidRPr="00BA0EF9">
        <w:rPr>
          <w:rFonts w:asciiTheme="minorHAnsi" w:hAnsiTheme="minorHAnsi" w:cstheme="minorHAnsi"/>
        </w:rPr>
        <w:t>Od 21. prosince 2007 vstup do</w:t>
      </w:r>
      <w:r w:rsidR="00157AF1" w:rsidRPr="00BA0EF9">
        <w:rPr>
          <w:rFonts w:asciiTheme="minorHAnsi" w:hAnsiTheme="minorHAnsi" w:cstheme="minorHAnsi"/>
        </w:rPr>
        <w:t xml:space="preserve"> Schengenského prostoru, spojený</w:t>
      </w:r>
      <w:r w:rsidRPr="00BA0EF9">
        <w:rPr>
          <w:rFonts w:asciiTheme="minorHAnsi" w:hAnsiTheme="minorHAnsi" w:cstheme="minorHAnsi"/>
        </w:rPr>
        <w:t xml:space="preserve"> s ukončením hraničních kontrol na hranicích se sousedními státy</w:t>
      </w:r>
      <w:r w:rsidR="00284CC7" w:rsidRPr="00BA0EF9">
        <w:rPr>
          <w:rFonts w:asciiTheme="minorHAnsi" w:hAnsiTheme="minorHAnsi" w:cstheme="minorHAnsi"/>
        </w:rPr>
        <w:t>.</w:t>
      </w:r>
    </w:p>
    <w:p w:rsidR="007222DC"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Relativně hustá síť </w:t>
      </w:r>
      <w:r w:rsidR="007222DC" w:rsidRPr="00BA0EF9">
        <w:rPr>
          <w:rFonts w:asciiTheme="minorHAnsi" w:hAnsiTheme="minorHAnsi" w:cstheme="minorHAnsi"/>
        </w:rPr>
        <w:t>železniční a auto</w:t>
      </w:r>
      <w:r w:rsidR="003253CE" w:rsidRPr="00BA0EF9">
        <w:rPr>
          <w:rFonts w:asciiTheme="minorHAnsi" w:hAnsiTheme="minorHAnsi" w:cstheme="minorHAnsi"/>
        </w:rPr>
        <w:t>busové dopravy k využití osobní a nákladní přepravy.</w:t>
      </w:r>
    </w:p>
    <w:p w:rsidR="00284CC7" w:rsidRPr="00BA0EF9" w:rsidRDefault="00412170">
      <w:pPr>
        <w:pStyle w:val="odsazen"/>
        <w:numPr>
          <w:ilvl w:val="0"/>
          <w:numId w:val="3"/>
        </w:numPr>
        <w:rPr>
          <w:rFonts w:asciiTheme="minorHAnsi" w:hAnsiTheme="minorHAnsi" w:cstheme="minorHAnsi"/>
        </w:rPr>
      </w:pPr>
      <w:r w:rsidRPr="00BA0EF9">
        <w:rPr>
          <w:rFonts w:asciiTheme="minorHAnsi" w:hAnsiTheme="minorHAnsi" w:cstheme="minorHAnsi"/>
        </w:rPr>
        <w:t>Zlepšení dopravní dostupnosti z</w:t>
      </w:r>
      <w:r w:rsidR="007222DC" w:rsidRPr="00BA0EF9">
        <w:rPr>
          <w:rFonts w:asciiTheme="minorHAnsi" w:hAnsiTheme="minorHAnsi" w:cstheme="minorHAnsi"/>
        </w:rPr>
        <w:t>provoznění</w:t>
      </w:r>
      <w:r w:rsidRPr="00BA0EF9">
        <w:rPr>
          <w:rFonts w:asciiTheme="minorHAnsi" w:hAnsiTheme="minorHAnsi" w:cstheme="minorHAnsi"/>
        </w:rPr>
        <w:t>m dálnice D1</w:t>
      </w:r>
      <w:r w:rsidR="007222DC" w:rsidRPr="00BA0EF9">
        <w:rPr>
          <w:rFonts w:asciiTheme="minorHAnsi" w:hAnsiTheme="minorHAnsi" w:cstheme="minorHAnsi"/>
        </w:rPr>
        <w: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Letiště pro mezinárodní provoz v b</w:t>
      </w:r>
      <w:r w:rsidR="003253CE" w:rsidRPr="00BA0EF9">
        <w:rPr>
          <w:rFonts w:asciiTheme="minorHAnsi" w:hAnsiTheme="minorHAnsi" w:cstheme="minorHAnsi"/>
        </w:rPr>
        <w:t>lízkosti centra kraje s perspektivou výraznějšího</w:t>
      </w:r>
      <w:r w:rsidRPr="00BA0EF9">
        <w:rPr>
          <w:rFonts w:asciiTheme="minorHAnsi" w:hAnsiTheme="minorHAnsi" w:cstheme="minorHAnsi"/>
        </w:rPr>
        <w:t xml:space="preserve"> rozvoje.</w:t>
      </w:r>
    </w:p>
    <w:p w:rsidR="00284CC7" w:rsidRPr="00BA0EF9" w:rsidRDefault="003253CE">
      <w:pPr>
        <w:pStyle w:val="odsazen"/>
        <w:numPr>
          <w:ilvl w:val="0"/>
          <w:numId w:val="3"/>
        </w:numPr>
        <w:rPr>
          <w:rFonts w:asciiTheme="minorHAnsi" w:hAnsiTheme="minorHAnsi" w:cstheme="minorHAnsi"/>
        </w:rPr>
      </w:pPr>
      <w:r w:rsidRPr="00BA0EF9">
        <w:rPr>
          <w:rFonts w:asciiTheme="minorHAnsi" w:hAnsiTheme="minorHAnsi" w:cstheme="minorHAnsi"/>
        </w:rPr>
        <w:t>Dlouhodobě fungující s</w:t>
      </w:r>
      <w:r w:rsidR="00284CC7" w:rsidRPr="00BA0EF9">
        <w:rPr>
          <w:rFonts w:asciiTheme="minorHAnsi" w:hAnsiTheme="minorHAnsi" w:cstheme="minorHAnsi"/>
        </w:rPr>
        <w:t>ystém vysokoškolského technického, ekonomického a humanitního vzdělávání (existence tří univerzit a soukromé Vysoké školy podnikání, a.</w:t>
      </w:r>
      <w:r w:rsidR="007222DC" w:rsidRPr="00BA0EF9">
        <w:rPr>
          <w:rFonts w:asciiTheme="minorHAnsi" w:hAnsiTheme="minorHAnsi" w:cstheme="minorHAnsi"/>
        </w:rPr>
        <w:t xml:space="preserve"> </w:t>
      </w:r>
      <w:r w:rsidR="00284CC7" w:rsidRPr="00BA0EF9">
        <w:rPr>
          <w:rFonts w:asciiTheme="minorHAnsi" w:hAnsiTheme="minorHAnsi" w:cstheme="minorHAnsi"/>
        </w:rPr>
        <w:t>s.).</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Dostatečná kapacitně dimenzovaná síť středních a vyšších odborných škol.</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Zvyšující se nabídka vzdělávacích organizací s možností občanů rozšířit a doplnit si </w:t>
      </w:r>
      <w:r w:rsidR="00D87157" w:rsidRPr="00BA0EF9">
        <w:rPr>
          <w:rFonts w:asciiTheme="minorHAnsi" w:hAnsiTheme="minorHAnsi" w:cstheme="minorHAnsi"/>
        </w:rPr>
        <w:t xml:space="preserve">potřebné </w:t>
      </w:r>
      <w:r w:rsidRPr="00BA0EF9">
        <w:rPr>
          <w:rFonts w:asciiTheme="minorHAnsi" w:hAnsiTheme="minorHAnsi" w:cstheme="minorHAnsi"/>
        </w:rPr>
        <w:t>vzdělání</w:t>
      </w:r>
      <w:r w:rsidR="00D87157" w:rsidRPr="00BA0EF9">
        <w:rPr>
          <w:rFonts w:asciiTheme="minorHAnsi" w:hAnsiTheme="minorHAnsi" w:cstheme="minorHAnsi"/>
        </w:rPr>
        <w:t>, v budoucnu i v rámci systému celoživotního vzdělávání.</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Značný potenciál technické odbornosti.</w:t>
      </w:r>
    </w:p>
    <w:p w:rsidR="005F2609" w:rsidRPr="00BA0EF9" w:rsidRDefault="00284CC7" w:rsidP="005F2609">
      <w:pPr>
        <w:pStyle w:val="odsazen"/>
        <w:numPr>
          <w:ilvl w:val="0"/>
          <w:numId w:val="3"/>
        </w:numPr>
        <w:rPr>
          <w:rFonts w:asciiTheme="minorHAnsi" w:hAnsiTheme="minorHAnsi" w:cstheme="minorHAnsi"/>
        </w:rPr>
      </w:pPr>
      <w:r w:rsidRPr="00BA0EF9">
        <w:rPr>
          <w:rFonts w:asciiTheme="minorHAnsi" w:hAnsiTheme="minorHAnsi" w:cstheme="minorHAnsi"/>
        </w:rPr>
        <w:t>Funkční institucionální zázemí pro ř</w:t>
      </w:r>
      <w:r w:rsidR="00D74DED" w:rsidRPr="00BA0EF9">
        <w:rPr>
          <w:rFonts w:asciiTheme="minorHAnsi" w:hAnsiTheme="minorHAnsi" w:cstheme="minorHAnsi"/>
        </w:rPr>
        <w:t>ešení problémů trhu práce (úřad</w:t>
      </w:r>
      <w:r w:rsidRPr="00BA0EF9">
        <w:rPr>
          <w:rFonts w:asciiTheme="minorHAnsi" w:hAnsiTheme="minorHAnsi" w:cstheme="minorHAnsi"/>
        </w:rPr>
        <w:t xml:space="preserve"> práce, zaměstnanecké agentury, Agentura pro regionální rozvoj, Sdružení pro rozvoj Moravskoslezského kraje, rekvalifikační a poradenské instituce apod.).</w:t>
      </w:r>
    </w:p>
    <w:p w:rsidR="005F2609" w:rsidRPr="00BA0EF9" w:rsidRDefault="00683B89" w:rsidP="00840736">
      <w:pPr>
        <w:pStyle w:val="odsazen"/>
        <w:numPr>
          <w:ilvl w:val="0"/>
          <w:numId w:val="3"/>
        </w:numPr>
        <w:rPr>
          <w:rFonts w:asciiTheme="minorHAnsi" w:hAnsiTheme="minorHAnsi" w:cstheme="minorHAnsi"/>
        </w:rPr>
      </w:pPr>
      <w:r w:rsidRPr="00BA0EF9">
        <w:rPr>
          <w:rFonts w:asciiTheme="minorHAnsi" w:hAnsiTheme="minorHAnsi" w:cstheme="minorHAnsi"/>
        </w:rPr>
        <w:t>V roce 2011 vznik Moravskoslezského paktu zaměstnanosti mezi Moravskoslezským krajem, Sdružením pro</w:t>
      </w:r>
      <w:r w:rsidR="005F2609" w:rsidRPr="00BA0EF9">
        <w:rPr>
          <w:rFonts w:asciiTheme="minorHAnsi" w:hAnsiTheme="minorHAnsi" w:cstheme="minorHAnsi"/>
        </w:rPr>
        <w:t xml:space="preserve"> rozvoj Moravskoslezského kraje, Kraj</w:t>
      </w:r>
      <w:r w:rsidR="00C239C3">
        <w:rPr>
          <w:rFonts w:asciiTheme="minorHAnsi" w:hAnsiTheme="minorHAnsi" w:cstheme="minorHAnsi"/>
        </w:rPr>
        <w:t>skou hospodářskou komorou MSK a </w:t>
      </w:r>
      <w:r w:rsidR="005F2609" w:rsidRPr="00BA0EF9">
        <w:rPr>
          <w:rFonts w:asciiTheme="minorHAnsi" w:hAnsiTheme="minorHAnsi" w:cstheme="minorHAnsi"/>
        </w:rPr>
        <w:t xml:space="preserve">Regionální radou Regionu soudržnosti Moravskoslezsko. Jedná se o </w:t>
      </w:r>
      <w:r w:rsidR="00F16332" w:rsidRPr="00BA0EF9">
        <w:rPr>
          <w:rFonts w:asciiTheme="minorHAnsi" w:hAnsiTheme="minorHAnsi" w:cstheme="minorHAnsi"/>
        </w:rPr>
        <w:t xml:space="preserve">dlouhodobé </w:t>
      </w:r>
      <w:r w:rsidR="005F2609" w:rsidRPr="00BA0EF9">
        <w:rPr>
          <w:rFonts w:asciiTheme="minorHAnsi" w:hAnsiTheme="minorHAnsi" w:cstheme="minorHAnsi"/>
        </w:rPr>
        <w:t>strategické partnerství desítek podnikatelských subjektů, škol a dalších institucí v</w:t>
      </w:r>
      <w:r w:rsidR="003217B6" w:rsidRPr="00BA0EF9">
        <w:rPr>
          <w:rFonts w:asciiTheme="minorHAnsi" w:hAnsiTheme="minorHAnsi" w:cstheme="minorHAnsi"/>
        </w:rPr>
        <w:t> </w:t>
      </w:r>
      <w:r w:rsidR="005F2609" w:rsidRPr="00BA0EF9">
        <w:rPr>
          <w:rFonts w:asciiTheme="minorHAnsi" w:hAnsiTheme="minorHAnsi" w:cstheme="minorHAnsi"/>
        </w:rPr>
        <w:t>MSK</w:t>
      </w:r>
      <w:r w:rsidR="003217B6" w:rsidRPr="00BA0EF9">
        <w:rPr>
          <w:rFonts w:asciiTheme="minorHAnsi" w:hAnsiTheme="minorHAnsi" w:cstheme="minorHAnsi"/>
        </w:rPr>
        <w:t xml:space="preserve"> včetně KrP v Ostravě</w:t>
      </w:r>
      <w:r w:rsidR="005F2609" w:rsidRPr="00BA0EF9">
        <w:rPr>
          <w:rFonts w:asciiTheme="minorHAnsi" w:hAnsiTheme="minorHAnsi" w:cstheme="minorHAnsi"/>
        </w:rPr>
        <w:t xml:space="preserve">, které si klade za cíl </w:t>
      </w:r>
      <w:r w:rsidR="00040DB1" w:rsidRPr="00BA0EF9">
        <w:rPr>
          <w:rFonts w:asciiTheme="minorHAnsi" w:hAnsiTheme="minorHAnsi" w:cstheme="minorHAnsi"/>
        </w:rPr>
        <w:t>už</w:t>
      </w:r>
      <w:r w:rsidR="00E711CF" w:rsidRPr="00BA0EF9">
        <w:rPr>
          <w:rFonts w:asciiTheme="minorHAnsi" w:hAnsiTheme="minorHAnsi" w:cstheme="minorHAnsi"/>
        </w:rPr>
        <w:t xml:space="preserve">ší </w:t>
      </w:r>
      <w:r w:rsidR="005F2609" w:rsidRPr="00BA0EF9">
        <w:rPr>
          <w:rFonts w:asciiTheme="minorHAnsi" w:hAnsiTheme="minorHAnsi" w:cstheme="minorHAnsi"/>
        </w:rPr>
        <w:t>spolupráci, komplex</w:t>
      </w:r>
      <w:r w:rsidR="00840736" w:rsidRPr="00BA0EF9">
        <w:rPr>
          <w:rFonts w:asciiTheme="minorHAnsi" w:hAnsiTheme="minorHAnsi" w:cstheme="minorHAnsi"/>
        </w:rPr>
        <w:t xml:space="preserve">nější </w:t>
      </w:r>
      <w:r w:rsidR="005F2609" w:rsidRPr="00BA0EF9">
        <w:rPr>
          <w:rFonts w:asciiTheme="minorHAnsi" w:hAnsiTheme="minorHAnsi" w:cstheme="minorHAnsi"/>
        </w:rPr>
        <w:t>řešení problémů</w:t>
      </w:r>
      <w:r w:rsidR="000F5DCF" w:rsidRPr="00BA0EF9">
        <w:rPr>
          <w:rFonts w:asciiTheme="minorHAnsi" w:hAnsiTheme="minorHAnsi" w:cstheme="minorHAnsi"/>
        </w:rPr>
        <w:t xml:space="preserve"> </w:t>
      </w:r>
      <w:r w:rsidR="00E711CF" w:rsidRPr="00BA0EF9">
        <w:rPr>
          <w:rFonts w:asciiTheme="minorHAnsi" w:hAnsiTheme="minorHAnsi" w:cstheme="minorHAnsi"/>
        </w:rPr>
        <w:t>a </w:t>
      </w:r>
      <w:r w:rsidR="002642E9" w:rsidRPr="00BA0EF9">
        <w:rPr>
          <w:rFonts w:asciiTheme="minorHAnsi" w:hAnsiTheme="minorHAnsi" w:cstheme="minorHAnsi"/>
        </w:rPr>
        <w:t>konečnou změnu v dlouhodobé nepříznivé</w:t>
      </w:r>
      <w:r w:rsidR="005F2609" w:rsidRPr="00BA0EF9">
        <w:rPr>
          <w:rFonts w:asciiTheme="minorHAnsi" w:hAnsiTheme="minorHAnsi" w:cstheme="minorHAnsi"/>
        </w:rPr>
        <w:t xml:space="preserve"> situaci na zdejším trhu práce.</w:t>
      </w:r>
    </w:p>
    <w:p w:rsidR="00284CC7" w:rsidRPr="00BA0EF9" w:rsidRDefault="005F2609" w:rsidP="005F2609">
      <w:pPr>
        <w:pStyle w:val="odsazen"/>
        <w:numPr>
          <w:ilvl w:val="0"/>
          <w:numId w:val="0"/>
        </w:numPr>
        <w:rPr>
          <w:rFonts w:asciiTheme="minorHAnsi" w:hAnsiTheme="minorHAnsi" w:cstheme="minorHAnsi"/>
        </w:rPr>
      </w:pPr>
      <w:r w:rsidRPr="00BA0EF9">
        <w:rPr>
          <w:rFonts w:asciiTheme="minorHAnsi" w:hAnsiTheme="minorHAnsi" w:cstheme="minorHAnsi"/>
        </w:rPr>
        <w:t xml:space="preserve"> </w:t>
      </w:r>
    </w:p>
    <w:p w:rsidR="00284CC7" w:rsidRPr="00BA0EF9" w:rsidRDefault="00284CC7">
      <w:pPr>
        <w:pStyle w:val="Nadpis6"/>
        <w:rPr>
          <w:rFonts w:asciiTheme="minorHAnsi" w:hAnsiTheme="minorHAnsi" w:cstheme="minorHAnsi"/>
        </w:rPr>
      </w:pPr>
      <w:r w:rsidRPr="00BA0EF9">
        <w:rPr>
          <w:rFonts w:asciiTheme="minorHAnsi" w:hAnsiTheme="minorHAnsi" w:cstheme="minorHAnsi"/>
        </w:rPr>
        <w:t>4. Slabé stránky Moravskoslezského kraje</w:t>
      </w:r>
    </w:p>
    <w:p w:rsidR="00284CC7" w:rsidRPr="00BA0EF9" w:rsidRDefault="00284CC7">
      <w:pPr>
        <w:rPr>
          <w:rFonts w:asciiTheme="minorHAnsi" w:hAnsiTheme="minorHAnsi" w:cstheme="minorHAnsi"/>
          <w:sz w:val="24"/>
        </w:rPr>
      </w:pP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Nepříznivá struktura ekonomiky daná historickým vývojem - silné soustředění průmyslové činnosti na těžbu uhlí, hutnictví a </w:t>
      </w:r>
      <w:r w:rsidR="00D87157" w:rsidRPr="00BA0EF9">
        <w:rPr>
          <w:rFonts w:asciiTheme="minorHAnsi" w:hAnsiTheme="minorHAnsi" w:cstheme="minorHAnsi"/>
        </w:rPr>
        <w:t xml:space="preserve">těžké </w:t>
      </w:r>
      <w:r w:rsidRPr="00BA0EF9">
        <w:rPr>
          <w:rFonts w:asciiTheme="minorHAnsi" w:hAnsiTheme="minorHAnsi" w:cstheme="minorHAnsi"/>
        </w:rPr>
        <w:t>strojírenství.</w:t>
      </w:r>
    </w:p>
    <w:p w:rsidR="008647EE" w:rsidRPr="00BA0EF9" w:rsidRDefault="00284CC7" w:rsidP="008647EE">
      <w:pPr>
        <w:pStyle w:val="odsazen"/>
        <w:numPr>
          <w:ilvl w:val="0"/>
          <w:numId w:val="3"/>
        </w:numPr>
        <w:rPr>
          <w:rFonts w:asciiTheme="minorHAnsi" w:hAnsiTheme="minorHAnsi" w:cstheme="minorHAnsi"/>
        </w:rPr>
      </w:pPr>
      <w:r w:rsidRPr="00BA0EF9">
        <w:rPr>
          <w:rFonts w:asciiTheme="minorHAnsi" w:hAnsiTheme="minorHAnsi" w:cstheme="minorHAnsi"/>
        </w:rPr>
        <w:t>Značná územní konc</w:t>
      </w:r>
      <w:r w:rsidR="004C6AF5" w:rsidRPr="00BA0EF9">
        <w:rPr>
          <w:rFonts w:asciiTheme="minorHAnsi" w:hAnsiTheme="minorHAnsi" w:cstheme="minorHAnsi"/>
        </w:rPr>
        <w:t>entrace podniků metalurgického,</w:t>
      </w:r>
      <w:r w:rsidRPr="00BA0EF9">
        <w:rPr>
          <w:rFonts w:asciiTheme="minorHAnsi" w:hAnsiTheme="minorHAnsi" w:cstheme="minorHAnsi"/>
        </w:rPr>
        <w:t xml:space="preserve"> strojírenského</w:t>
      </w:r>
      <w:r w:rsidR="004C6AF5" w:rsidRPr="00BA0EF9">
        <w:rPr>
          <w:rFonts w:asciiTheme="minorHAnsi" w:hAnsiTheme="minorHAnsi" w:cstheme="minorHAnsi"/>
        </w:rPr>
        <w:t xml:space="preserve"> a těžebního</w:t>
      </w:r>
      <w:r w:rsidR="008647EE" w:rsidRPr="00BA0EF9">
        <w:rPr>
          <w:rFonts w:asciiTheme="minorHAnsi" w:hAnsiTheme="minorHAnsi" w:cstheme="minorHAnsi"/>
        </w:rPr>
        <w:t xml:space="preserve"> průmyslu, které v posledních letech procházely rozsáhlou restrukturalizací.</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Pomalé tempo zvyšování technologické úrovně výrob (zavádění progresivních technologií), způsobující stále ještě příliš nízkou produktivitu práce, velkou energetickou náročnost a vysoké režijní náklady. </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Nedostatek podnikatelské infrastruktury a zařízení pro podporu rozvoje malých a středních firem.</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Obtížně řešitelné ekologické problémy spojené zejména s předchozí (Ostrava) a současnou (okresy Karvi</w:t>
      </w:r>
      <w:r w:rsidR="00D87157" w:rsidRPr="00BA0EF9">
        <w:rPr>
          <w:rFonts w:asciiTheme="minorHAnsi" w:hAnsiTheme="minorHAnsi" w:cstheme="minorHAnsi"/>
        </w:rPr>
        <w:t>ná a Frýdek-Místek)</w:t>
      </w:r>
      <w:r w:rsidR="00A74DF6" w:rsidRPr="00BA0EF9">
        <w:rPr>
          <w:rFonts w:asciiTheme="minorHAnsi" w:hAnsiTheme="minorHAnsi" w:cstheme="minorHAnsi"/>
        </w:rPr>
        <w:t xml:space="preserve"> těžbou uhlí, popřípadě i jejím útlumem</w:t>
      </w:r>
      <w:r w:rsidR="00D87157" w:rsidRPr="00BA0EF9">
        <w:rPr>
          <w:rFonts w:asciiTheme="minorHAnsi" w:hAnsiTheme="minorHAnsi" w:cstheme="minorHAnsi"/>
        </w:rPr>
        <w: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Na značné části území kraje ztížené podmínky zemědělského hospodaření (ekologické zábrany, klimatické podmínky apod.), což omezuje možnosti pěstování ekonomicky výhodných plodin a způsobuje útlum zemědělských výrob zejména v podhorských a horských oblastech.</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Morální i fyzická zastaralost značné části dopravní infrastruktury. </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Soustavný růst jízdného a přepravného, </w:t>
      </w:r>
      <w:r w:rsidR="00E7245B" w:rsidRPr="00BA0EF9">
        <w:rPr>
          <w:rFonts w:asciiTheme="minorHAnsi" w:hAnsiTheme="minorHAnsi" w:cstheme="minorHAnsi"/>
        </w:rPr>
        <w:t>snižující se hustota</w:t>
      </w:r>
      <w:r w:rsidRPr="00BA0EF9">
        <w:rPr>
          <w:rFonts w:asciiTheme="minorHAnsi" w:hAnsiTheme="minorHAnsi" w:cstheme="minorHAnsi"/>
        </w:rPr>
        <w:t xml:space="preserve"> hromadné dopravy. Dopravní obslužnost je v okresech MSK a zvláště v některýc</w:t>
      </w:r>
      <w:r w:rsidR="00A122F5" w:rsidRPr="00BA0EF9">
        <w:rPr>
          <w:rFonts w:asciiTheme="minorHAnsi" w:hAnsiTheme="minorHAnsi" w:cstheme="minorHAnsi"/>
        </w:rPr>
        <w:t xml:space="preserve">h mikroregionech velmi rozdílná a složitější. </w:t>
      </w:r>
      <w:r w:rsidRPr="00BA0EF9">
        <w:rPr>
          <w:rFonts w:asciiTheme="minorHAnsi" w:hAnsiTheme="minorHAnsi" w:cstheme="minorHAnsi"/>
        </w:rPr>
        <w:t xml:space="preserve">V okresních městech dopravní dostupnost pohyb pracovních sil příliš nekomplikuje. Dojíždění do zaměstnání, doprovázené rostoucími náklady na dopravné, však představuje téměř neřešitelný problém především </w:t>
      </w:r>
      <w:r w:rsidR="00C42695" w:rsidRPr="00BA0EF9">
        <w:rPr>
          <w:rFonts w:asciiTheme="minorHAnsi" w:hAnsiTheme="minorHAnsi" w:cstheme="minorHAnsi"/>
        </w:rPr>
        <w:t xml:space="preserve">pro obyvatele </w:t>
      </w:r>
      <w:r w:rsidRPr="00BA0EF9">
        <w:rPr>
          <w:rFonts w:asciiTheme="minorHAnsi" w:hAnsiTheme="minorHAnsi" w:cstheme="minorHAnsi"/>
        </w:rPr>
        <w:t>v ob</w:t>
      </w:r>
      <w:r w:rsidR="00C42695" w:rsidRPr="00BA0EF9">
        <w:rPr>
          <w:rFonts w:asciiTheme="minorHAnsi" w:hAnsiTheme="minorHAnsi" w:cstheme="minorHAnsi"/>
        </w:rPr>
        <w:t>cích, které</w:t>
      </w:r>
      <w:r w:rsidRPr="00BA0EF9">
        <w:rPr>
          <w:rFonts w:asciiTheme="minorHAnsi" w:hAnsiTheme="minorHAnsi" w:cstheme="minorHAnsi"/>
        </w:rPr>
        <w:t xml:space="preserve"> se nacházejí v řídce osídlených územích, kde byla autobusová a železniční doprava v předchozím období navíc ještě značně omezena. Špatné možnosti dopravy do zaměstnání jsou zejména ve dnech pracovního klidu a pracovního volna nebo při dojíždění na odpolední a noční směny.</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Růst</w:t>
      </w:r>
      <w:r w:rsidR="00D87157" w:rsidRPr="00BA0EF9">
        <w:rPr>
          <w:rFonts w:asciiTheme="minorHAnsi" w:hAnsiTheme="minorHAnsi" w:cstheme="minorHAnsi"/>
        </w:rPr>
        <w:t xml:space="preserve"> počtu sociálně nepřizpůsobených</w:t>
      </w:r>
      <w:r w:rsidRPr="00BA0EF9">
        <w:rPr>
          <w:rFonts w:asciiTheme="minorHAnsi" w:hAnsiTheme="minorHAnsi" w:cstheme="minorHAnsi"/>
        </w:rPr>
        <w:t xml:space="preserve"> obyvatel (marginalizace určitých sociálních skupin).</w:t>
      </w:r>
    </w:p>
    <w:p w:rsidR="00922579" w:rsidRPr="00BA0EF9" w:rsidRDefault="00284CC7" w:rsidP="00922579">
      <w:pPr>
        <w:pStyle w:val="odsazen"/>
        <w:numPr>
          <w:ilvl w:val="0"/>
          <w:numId w:val="3"/>
        </w:numPr>
        <w:rPr>
          <w:rFonts w:asciiTheme="minorHAnsi" w:hAnsiTheme="minorHAnsi" w:cstheme="minorHAnsi"/>
        </w:rPr>
      </w:pPr>
      <w:r w:rsidRPr="00BA0EF9">
        <w:rPr>
          <w:rFonts w:asciiTheme="minorHAnsi" w:hAnsiTheme="minorHAnsi" w:cstheme="minorHAnsi"/>
        </w:rPr>
        <w:t xml:space="preserve">Pomalu se rozvíjející intelektuální základna, velký problém získat vysokoškolsky vzdělané odborníky z jiných částí </w:t>
      </w:r>
      <w:r w:rsidR="001A673D" w:rsidRPr="00BA0EF9">
        <w:rPr>
          <w:rFonts w:asciiTheme="minorHAnsi" w:hAnsiTheme="minorHAnsi" w:cstheme="minorHAnsi"/>
        </w:rPr>
        <w:t>ČR</w:t>
      </w:r>
      <w:r w:rsidRPr="00BA0EF9">
        <w:rPr>
          <w:rFonts w:asciiTheme="minorHAnsi" w:hAnsiTheme="minorHAnsi" w:cstheme="minorHAnsi"/>
        </w:rPr>
        <w:t>.</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 xml:space="preserve">Nižší zastoupení obyvatel s vyšším stupněm vzdělání, </w:t>
      </w:r>
      <w:r w:rsidR="00C42695" w:rsidRPr="00BA0EF9">
        <w:rPr>
          <w:rFonts w:asciiTheme="minorHAnsi" w:hAnsiTheme="minorHAnsi" w:cstheme="minorHAnsi"/>
        </w:rPr>
        <w:t xml:space="preserve">dlouhodobá </w:t>
      </w:r>
      <w:r w:rsidRPr="00BA0EF9">
        <w:rPr>
          <w:rFonts w:asciiTheme="minorHAnsi" w:hAnsiTheme="minorHAnsi" w:cstheme="minorHAnsi"/>
        </w:rPr>
        <w:t>tendence kvali</w:t>
      </w:r>
      <w:r w:rsidR="001A673D" w:rsidRPr="00BA0EF9">
        <w:rPr>
          <w:rFonts w:asciiTheme="minorHAnsi" w:hAnsiTheme="minorHAnsi" w:cstheme="minorHAnsi"/>
        </w:rPr>
        <w:t>fikovaných osob, zejména mladších ročníků</w:t>
      </w:r>
      <w:r w:rsidRPr="00BA0EF9">
        <w:rPr>
          <w:rFonts w:asciiTheme="minorHAnsi" w:hAnsiTheme="minorHAnsi" w:cstheme="minorHAnsi"/>
        </w:rPr>
        <w:t>, kraj opouštět.</w:t>
      </w:r>
    </w:p>
    <w:p w:rsidR="00284CC7" w:rsidRPr="00BA0EF9" w:rsidRDefault="00676BDD" w:rsidP="00D87157">
      <w:pPr>
        <w:pStyle w:val="odsazen"/>
        <w:numPr>
          <w:ilvl w:val="0"/>
          <w:numId w:val="3"/>
        </w:numPr>
        <w:rPr>
          <w:rFonts w:asciiTheme="minorHAnsi" w:hAnsiTheme="minorHAnsi" w:cstheme="minorHAnsi"/>
        </w:rPr>
      </w:pPr>
      <w:r w:rsidRPr="00BA0EF9">
        <w:rPr>
          <w:rFonts w:asciiTheme="minorHAnsi" w:hAnsiTheme="minorHAnsi" w:cstheme="minorHAnsi"/>
        </w:rPr>
        <w:t xml:space="preserve">Podíl nezaměstnaných osob </w:t>
      </w:r>
      <w:r w:rsidR="00C42695" w:rsidRPr="00BA0EF9">
        <w:rPr>
          <w:rFonts w:asciiTheme="minorHAnsi" w:hAnsiTheme="minorHAnsi" w:cstheme="minorHAnsi"/>
        </w:rPr>
        <w:t>po delší dobu</w:t>
      </w:r>
      <w:r w:rsidR="00284CC7" w:rsidRPr="00BA0EF9">
        <w:rPr>
          <w:rFonts w:asciiTheme="minorHAnsi" w:hAnsiTheme="minorHAnsi" w:cstheme="minorHAnsi"/>
        </w:rPr>
        <w:t xml:space="preserve"> </w:t>
      </w:r>
      <w:r w:rsidR="00224D20" w:rsidRPr="00BA0EF9">
        <w:rPr>
          <w:rFonts w:asciiTheme="minorHAnsi" w:hAnsiTheme="minorHAnsi" w:cstheme="minorHAnsi"/>
        </w:rPr>
        <w:t>p</w:t>
      </w:r>
      <w:r w:rsidR="00D87157" w:rsidRPr="00BA0EF9">
        <w:rPr>
          <w:rFonts w:asciiTheme="minorHAnsi" w:hAnsiTheme="minorHAnsi" w:cstheme="minorHAnsi"/>
        </w:rPr>
        <w:t>řevyšuje celorepublikový průměr se značným</w:t>
      </w:r>
      <w:r w:rsidR="00284CC7" w:rsidRPr="00BA0EF9">
        <w:rPr>
          <w:rFonts w:asciiTheme="minorHAnsi" w:hAnsiTheme="minorHAnsi" w:cstheme="minorHAnsi"/>
        </w:rPr>
        <w:t xml:space="preserve"> podíl</w:t>
      </w:r>
      <w:r w:rsidR="00D87157" w:rsidRPr="00BA0EF9">
        <w:rPr>
          <w:rFonts w:asciiTheme="minorHAnsi" w:hAnsiTheme="minorHAnsi" w:cstheme="minorHAnsi"/>
        </w:rPr>
        <w:t>em</w:t>
      </w:r>
      <w:r w:rsidR="00A122F5" w:rsidRPr="00BA0EF9">
        <w:rPr>
          <w:rFonts w:asciiTheme="minorHAnsi" w:hAnsiTheme="minorHAnsi" w:cstheme="minorHAnsi"/>
        </w:rPr>
        <w:t xml:space="preserve"> dlouhodobě nezaměstnaných osob, zejména z rizikových skupin.</w:t>
      </w:r>
    </w:p>
    <w:p w:rsidR="00284CC7" w:rsidRPr="00BA0EF9" w:rsidRDefault="00284CC7">
      <w:pPr>
        <w:pStyle w:val="odsazen"/>
        <w:numPr>
          <w:ilvl w:val="0"/>
          <w:numId w:val="3"/>
        </w:numPr>
        <w:rPr>
          <w:rFonts w:asciiTheme="minorHAnsi" w:hAnsiTheme="minorHAnsi" w:cstheme="minorHAnsi"/>
        </w:rPr>
      </w:pPr>
      <w:r w:rsidRPr="00BA0EF9">
        <w:rPr>
          <w:rFonts w:asciiTheme="minorHAnsi" w:hAnsiTheme="minorHAnsi" w:cstheme="minorHAnsi"/>
        </w:rPr>
        <w:t>Vysoký počet občanů se zdravotním postižením většinou jako důsledek jejich předchozího dlouholetého zaměstnání v těžkém průmyslu.</w:t>
      </w:r>
    </w:p>
    <w:p w:rsidR="00224D20" w:rsidRPr="00BA0EF9" w:rsidRDefault="00D87157">
      <w:pPr>
        <w:pStyle w:val="odsazen"/>
        <w:numPr>
          <w:ilvl w:val="0"/>
          <w:numId w:val="3"/>
        </w:numPr>
        <w:rPr>
          <w:rFonts w:asciiTheme="minorHAnsi" w:hAnsiTheme="minorHAnsi" w:cstheme="minorHAnsi"/>
        </w:rPr>
      </w:pPr>
      <w:r w:rsidRPr="00BA0EF9">
        <w:rPr>
          <w:rFonts w:asciiTheme="minorHAnsi" w:hAnsiTheme="minorHAnsi" w:cstheme="minorHAnsi"/>
        </w:rPr>
        <w:t>Dlouhodobý s</w:t>
      </w:r>
      <w:r w:rsidR="00224D20" w:rsidRPr="00BA0EF9">
        <w:rPr>
          <w:rFonts w:asciiTheme="minorHAnsi" w:hAnsiTheme="minorHAnsi" w:cstheme="minorHAnsi"/>
        </w:rPr>
        <w:t>trukturální nesoulad mezi nabídkovou a poptávkovou stranou trhu práce v</w:t>
      </w:r>
      <w:r w:rsidR="004B7C1B" w:rsidRPr="00BA0EF9">
        <w:rPr>
          <w:rFonts w:asciiTheme="minorHAnsi" w:hAnsiTheme="minorHAnsi" w:cstheme="minorHAnsi"/>
        </w:rPr>
        <w:t> </w:t>
      </w:r>
      <w:r w:rsidR="00224D20" w:rsidRPr="00BA0EF9">
        <w:rPr>
          <w:rFonts w:asciiTheme="minorHAnsi" w:hAnsiTheme="minorHAnsi" w:cstheme="minorHAnsi"/>
        </w:rPr>
        <w:t>MSK</w:t>
      </w:r>
      <w:r w:rsidR="004B7C1B" w:rsidRPr="00BA0EF9">
        <w:rPr>
          <w:rFonts w:asciiTheme="minorHAnsi" w:hAnsiTheme="minorHAnsi" w:cstheme="minorHAnsi"/>
        </w:rPr>
        <w:t xml:space="preserve"> (</w:t>
      </w:r>
      <w:r w:rsidR="00E365DF" w:rsidRPr="00BA0EF9">
        <w:rPr>
          <w:rFonts w:asciiTheme="minorHAnsi" w:hAnsiTheme="minorHAnsi" w:cstheme="minorHAnsi"/>
        </w:rPr>
        <w:t>především nedostatek pracovníků v řemeslných a technických profesích</w:t>
      </w:r>
      <w:r w:rsidR="004B7C1B" w:rsidRPr="00BA0EF9">
        <w:rPr>
          <w:rFonts w:asciiTheme="minorHAnsi" w:hAnsiTheme="minorHAnsi" w:cstheme="minorHAnsi"/>
        </w:rPr>
        <w:t>)</w:t>
      </w:r>
      <w:r w:rsidR="00224D20" w:rsidRPr="00BA0EF9">
        <w:rPr>
          <w:rFonts w:asciiTheme="minorHAnsi" w:hAnsiTheme="minorHAnsi" w:cstheme="minorHAnsi"/>
        </w:rPr>
        <w:t>.</w:t>
      </w:r>
    </w:p>
    <w:p w:rsidR="00284CC7" w:rsidRPr="00BA0EF9" w:rsidRDefault="00284CC7">
      <w:pPr>
        <w:pStyle w:val="odsazen"/>
        <w:numPr>
          <w:ilvl w:val="0"/>
          <w:numId w:val="0"/>
        </w:numPr>
        <w:rPr>
          <w:rFonts w:asciiTheme="minorHAnsi" w:hAnsiTheme="minorHAnsi" w:cstheme="minorHAnsi"/>
          <w:sz w:val="20"/>
        </w:rPr>
      </w:pPr>
    </w:p>
    <w:p w:rsidR="00027ABA" w:rsidRDefault="00BF3B12" w:rsidP="00BF3B12">
      <w:pPr>
        <w:pStyle w:val="Nadpis6"/>
        <w:rPr>
          <w:rFonts w:asciiTheme="minorHAnsi" w:hAnsiTheme="minorHAnsi" w:cstheme="minorHAnsi"/>
          <w:szCs w:val="24"/>
        </w:rPr>
      </w:pPr>
      <w:r>
        <w:rPr>
          <w:rFonts w:asciiTheme="minorHAnsi" w:hAnsiTheme="minorHAnsi" w:cstheme="minorHAnsi"/>
          <w:szCs w:val="24"/>
        </w:rPr>
        <w:br w:type="page"/>
      </w:r>
    </w:p>
    <w:p w:rsidR="00027ABA" w:rsidRPr="00C239C3" w:rsidRDefault="00027ABA" w:rsidP="00027ABA">
      <w:pPr>
        <w:pStyle w:val="Nadpis6"/>
        <w:jc w:val="both"/>
        <w:rPr>
          <w:rFonts w:asciiTheme="minorHAnsi" w:hAnsiTheme="minorHAnsi" w:cstheme="minorHAnsi"/>
          <w:i w:val="0"/>
        </w:rPr>
      </w:pPr>
      <w:r>
        <w:rPr>
          <w:rFonts w:asciiTheme="minorHAnsi" w:hAnsiTheme="minorHAnsi" w:cstheme="minorHAnsi"/>
          <w:i w:val="0"/>
          <w:sz w:val="28"/>
          <w:szCs w:val="28"/>
        </w:rPr>
        <w:t>I</w:t>
      </w:r>
      <w:r w:rsidRPr="00C239C3">
        <w:rPr>
          <w:rFonts w:asciiTheme="minorHAnsi" w:hAnsiTheme="minorHAnsi" w:cstheme="minorHAnsi"/>
          <w:i w:val="0"/>
          <w:sz w:val="28"/>
          <w:szCs w:val="28"/>
        </w:rPr>
        <w:t>I.  ZAMĚSTNANOST</w:t>
      </w:r>
    </w:p>
    <w:p w:rsidR="00027ABA" w:rsidRPr="00C239C3" w:rsidRDefault="00027ABA" w:rsidP="00027ABA">
      <w:pPr>
        <w:pStyle w:val="Nadpis2"/>
        <w:rPr>
          <w:rFonts w:asciiTheme="minorHAnsi" w:hAnsiTheme="minorHAnsi" w:cstheme="minorHAnsi"/>
          <w:szCs w:val="24"/>
        </w:rPr>
      </w:pPr>
    </w:p>
    <w:p w:rsidR="00027ABA" w:rsidRPr="00C239C3" w:rsidRDefault="00027ABA" w:rsidP="00027ABA">
      <w:pPr>
        <w:pStyle w:val="Nadpis6"/>
        <w:rPr>
          <w:rFonts w:asciiTheme="minorHAnsi" w:hAnsiTheme="minorHAnsi" w:cstheme="minorHAnsi"/>
        </w:rPr>
      </w:pPr>
      <w:r w:rsidRPr="00C239C3">
        <w:rPr>
          <w:rFonts w:asciiTheme="minorHAnsi" w:hAnsiTheme="minorHAnsi" w:cstheme="minorHAnsi"/>
        </w:rPr>
        <w:t>1. Celková zaměstnanost</w:t>
      </w:r>
    </w:p>
    <w:p w:rsidR="00027ABA" w:rsidRPr="00C239C3" w:rsidRDefault="00027ABA" w:rsidP="00027ABA">
      <w:pPr>
        <w:pStyle w:val="Zhlav"/>
        <w:tabs>
          <w:tab w:val="clear" w:pos="4536"/>
          <w:tab w:val="clear" w:pos="9072"/>
        </w:tabs>
        <w:rPr>
          <w:rFonts w:asciiTheme="minorHAnsi" w:hAnsiTheme="minorHAnsi" w:cstheme="minorHAnsi"/>
          <w:sz w:val="24"/>
          <w:szCs w:val="24"/>
        </w:rPr>
      </w:pPr>
    </w:p>
    <w:p w:rsidR="00027ABA" w:rsidRPr="00C239C3" w:rsidRDefault="00027ABA" w:rsidP="00027ABA">
      <w:pPr>
        <w:ind w:firstLine="709"/>
        <w:jc w:val="both"/>
        <w:rPr>
          <w:rFonts w:asciiTheme="minorHAnsi" w:hAnsiTheme="minorHAnsi" w:cstheme="minorHAnsi"/>
          <w:sz w:val="24"/>
          <w:szCs w:val="24"/>
        </w:rPr>
      </w:pPr>
      <w:r w:rsidRPr="00C239C3">
        <w:rPr>
          <w:rFonts w:asciiTheme="minorHAnsi" w:hAnsiTheme="minorHAnsi" w:cstheme="minorHAnsi"/>
          <w:sz w:val="24"/>
          <w:szCs w:val="24"/>
        </w:rPr>
        <w:t>Zaměstna</w:t>
      </w:r>
      <w:r>
        <w:rPr>
          <w:rFonts w:asciiTheme="minorHAnsi" w:hAnsiTheme="minorHAnsi" w:cstheme="minorHAnsi"/>
          <w:sz w:val="24"/>
          <w:szCs w:val="24"/>
        </w:rPr>
        <w:t xml:space="preserve">nost v Moravskoslezském kraji </w:t>
      </w:r>
      <w:r w:rsidRPr="00C239C3">
        <w:rPr>
          <w:rFonts w:asciiTheme="minorHAnsi" w:hAnsiTheme="minorHAnsi" w:cstheme="minorHAnsi"/>
          <w:sz w:val="24"/>
          <w:szCs w:val="24"/>
        </w:rPr>
        <w:t xml:space="preserve">vykázala </w:t>
      </w:r>
      <w:r>
        <w:rPr>
          <w:rFonts w:asciiTheme="minorHAnsi" w:hAnsiTheme="minorHAnsi" w:cstheme="minorHAnsi"/>
          <w:sz w:val="24"/>
          <w:szCs w:val="24"/>
        </w:rPr>
        <w:t xml:space="preserve">během sledovaného roku </w:t>
      </w:r>
      <w:r w:rsidRPr="00C239C3">
        <w:rPr>
          <w:rFonts w:asciiTheme="minorHAnsi" w:hAnsiTheme="minorHAnsi" w:cstheme="minorHAnsi"/>
          <w:sz w:val="24"/>
          <w:szCs w:val="24"/>
        </w:rPr>
        <w:t xml:space="preserve">zlepšení </w:t>
      </w:r>
      <w:r>
        <w:rPr>
          <w:rFonts w:asciiTheme="minorHAnsi" w:hAnsiTheme="minorHAnsi" w:cstheme="minorHAnsi"/>
          <w:sz w:val="24"/>
          <w:szCs w:val="24"/>
        </w:rPr>
        <w:t>a po tříletém poklesu došlo k jejímu nárůstu</w:t>
      </w:r>
      <w:r w:rsidRPr="00C239C3">
        <w:rPr>
          <w:rFonts w:asciiTheme="minorHAnsi" w:hAnsiTheme="minorHAnsi" w:cstheme="minorHAnsi"/>
          <w:sz w:val="24"/>
          <w:szCs w:val="24"/>
        </w:rPr>
        <w:t xml:space="preserve">. </w:t>
      </w:r>
      <w:r>
        <w:rPr>
          <w:rFonts w:asciiTheme="minorHAnsi" w:hAnsiTheme="minorHAnsi" w:cstheme="minorHAnsi"/>
          <w:sz w:val="24"/>
          <w:szCs w:val="24"/>
        </w:rPr>
        <w:t>I když d</w:t>
      </w:r>
      <w:r w:rsidRPr="00C239C3">
        <w:rPr>
          <w:rFonts w:asciiTheme="minorHAnsi" w:hAnsiTheme="minorHAnsi" w:cstheme="minorHAnsi"/>
          <w:sz w:val="24"/>
          <w:szCs w:val="24"/>
        </w:rPr>
        <w:t>opady světové finanční a hospodářské krize z ko</w:t>
      </w:r>
      <w:r>
        <w:rPr>
          <w:rFonts w:asciiTheme="minorHAnsi" w:hAnsiTheme="minorHAnsi" w:cstheme="minorHAnsi"/>
          <w:sz w:val="24"/>
          <w:szCs w:val="24"/>
        </w:rPr>
        <w:t>nce roku 2008 jsou stále patrné, můžeme rovněž říci, že se česká ekonomika nacházela v minulém roce ve fázi mírného ekonomického oživení. Tento vývoj se projevil nejen v růstu personálních stavů u monitorovaných firem, ale i v postupném zvyšování počtu</w:t>
      </w:r>
      <w:r w:rsidRPr="00C239C3">
        <w:rPr>
          <w:rFonts w:asciiTheme="minorHAnsi" w:hAnsiTheme="minorHAnsi" w:cstheme="minorHAnsi"/>
          <w:sz w:val="24"/>
          <w:szCs w:val="24"/>
        </w:rPr>
        <w:t xml:space="preserve"> volných pracovních míst</w:t>
      </w:r>
      <w:r>
        <w:rPr>
          <w:rFonts w:asciiTheme="minorHAnsi" w:hAnsiTheme="minorHAnsi" w:cstheme="minorHAnsi"/>
          <w:sz w:val="24"/>
          <w:szCs w:val="24"/>
        </w:rPr>
        <w:t>. Přestože</w:t>
      </w:r>
      <w:r w:rsidRPr="00C239C3">
        <w:rPr>
          <w:rFonts w:asciiTheme="minorHAnsi" w:hAnsiTheme="minorHAnsi" w:cstheme="minorHAnsi"/>
          <w:sz w:val="24"/>
          <w:szCs w:val="24"/>
        </w:rPr>
        <w:t xml:space="preserve"> se </w:t>
      </w:r>
      <w:r>
        <w:rPr>
          <w:rFonts w:asciiTheme="minorHAnsi" w:hAnsiTheme="minorHAnsi" w:cstheme="minorHAnsi"/>
          <w:sz w:val="24"/>
          <w:szCs w:val="24"/>
        </w:rPr>
        <w:t xml:space="preserve">ekonomická situace postupně zlepšuje, je ale </w:t>
      </w:r>
      <w:r w:rsidRPr="00C239C3">
        <w:rPr>
          <w:rFonts w:asciiTheme="minorHAnsi" w:hAnsiTheme="minorHAnsi" w:cstheme="minorHAnsi"/>
          <w:sz w:val="24"/>
          <w:szCs w:val="24"/>
        </w:rPr>
        <w:t xml:space="preserve">stále </w:t>
      </w:r>
      <w:r>
        <w:rPr>
          <w:rFonts w:asciiTheme="minorHAnsi" w:hAnsiTheme="minorHAnsi" w:cstheme="minorHAnsi"/>
          <w:sz w:val="24"/>
          <w:szCs w:val="24"/>
        </w:rPr>
        <w:t xml:space="preserve">nemálo firem, které během roku zaznamenávaly spíše stagnaci než oživení, a to nejen v důsledku velké konkurence, ale také z důvodů používání různých metod a ekonomických nástrojů v jednotlivých zemích při řešení nelehké hospodářské situace. Proto růst produkce, a tím i exportu u těchto organizací, je do značné míry ovlivněn nejen jejich samotnou ekonomickou kvalitou, ale rovněž politickými a hospodářskými poměry často nejen v EU, ale i v dalších zemích, přičemž je jejich situace mnohdy zatížena velkou mírou nejistoty. </w:t>
      </w:r>
      <w:r w:rsidRPr="00C239C3">
        <w:rPr>
          <w:rFonts w:asciiTheme="minorHAnsi" w:hAnsiTheme="minorHAnsi" w:cstheme="minorHAnsi"/>
          <w:sz w:val="24"/>
          <w:szCs w:val="24"/>
        </w:rPr>
        <w:t>Zároveň pořád platí, že odvětvová struktura minulosti přináší kraji stále n</w:t>
      </w:r>
      <w:r>
        <w:rPr>
          <w:rFonts w:asciiTheme="minorHAnsi" w:hAnsiTheme="minorHAnsi" w:cstheme="minorHAnsi"/>
          <w:sz w:val="24"/>
          <w:szCs w:val="24"/>
        </w:rPr>
        <w:t>emalé problémy, přesto se v roce 2014</w:t>
      </w:r>
      <w:r w:rsidRPr="00C239C3">
        <w:rPr>
          <w:rFonts w:asciiTheme="minorHAnsi" w:hAnsiTheme="minorHAnsi" w:cstheme="minorHAnsi"/>
          <w:sz w:val="24"/>
          <w:szCs w:val="24"/>
        </w:rPr>
        <w:t xml:space="preserve"> projevovala tendence nepropouštět </w:t>
      </w:r>
      <w:r>
        <w:rPr>
          <w:rFonts w:asciiTheme="minorHAnsi" w:hAnsiTheme="minorHAnsi" w:cstheme="minorHAnsi"/>
          <w:sz w:val="24"/>
          <w:szCs w:val="24"/>
        </w:rPr>
        <w:t>alespoň své kmenové zaměstnance.</w:t>
      </w:r>
    </w:p>
    <w:p w:rsidR="00027ABA" w:rsidRPr="00C239C3" w:rsidRDefault="00027ABA" w:rsidP="00027ABA">
      <w:pPr>
        <w:ind w:firstLine="708"/>
        <w:jc w:val="both"/>
        <w:rPr>
          <w:rFonts w:asciiTheme="minorHAnsi" w:hAnsiTheme="minorHAnsi" w:cstheme="minorHAnsi"/>
          <w:sz w:val="24"/>
          <w:szCs w:val="24"/>
        </w:rPr>
      </w:pPr>
    </w:p>
    <w:p w:rsidR="00027ABA" w:rsidRPr="00C239C3" w:rsidRDefault="00027ABA" w:rsidP="00027ABA">
      <w:pPr>
        <w:jc w:val="both"/>
        <w:rPr>
          <w:rFonts w:asciiTheme="minorHAnsi" w:hAnsiTheme="minorHAnsi" w:cstheme="minorHAnsi"/>
          <w:sz w:val="24"/>
          <w:szCs w:val="24"/>
        </w:rPr>
      </w:pPr>
      <w:r w:rsidRPr="00C239C3">
        <w:rPr>
          <w:rFonts w:asciiTheme="minorHAnsi" w:hAnsiTheme="minorHAnsi" w:cstheme="minorHAnsi"/>
          <w:sz w:val="24"/>
          <w:szCs w:val="24"/>
        </w:rPr>
        <w:t>Celkovou hospodářskou situaci můžeme charakterizovat těmito faktory:</w:t>
      </w:r>
    </w:p>
    <w:p w:rsidR="00027ABA" w:rsidRDefault="00027ABA" w:rsidP="00027ABA">
      <w:pPr>
        <w:numPr>
          <w:ilvl w:val="0"/>
          <w:numId w:val="16"/>
        </w:numPr>
        <w:jc w:val="both"/>
        <w:rPr>
          <w:rFonts w:asciiTheme="minorHAnsi" w:hAnsiTheme="minorHAnsi" w:cstheme="minorHAnsi"/>
          <w:sz w:val="24"/>
          <w:szCs w:val="24"/>
        </w:rPr>
      </w:pPr>
      <w:r w:rsidRPr="004F73A1">
        <w:rPr>
          <w:rFonts w:asciiTheme="minorHAnsi" w:hAnsiTheme="minorHAnsi" w:cstheme="minorHAnsi"/>
          <w:sz w:val="24"/>
          <w:szCs w:val="24"/>
        </w:rPr>
        <w:t xml:space="preserve">Během loňského roku docházelo k pozvolnému oživování ekonomické aktivity a podle odhadu MF </w:t>
      </w:r>
      <w:r>
        <w:rPr>
          <w:rFonts w:asciiTheme="minorHAnsi" w:hAnsiTheme="minorHAnsi" w:cstheme="minorHAnsi"/>
          <w:sz w:val="24"/>
          <w:szCs w:val="24"/>
        </w:rPr>
        <w:t xml:space="preserve">ČR </w:t>
      </w:r>
      <w:r w:rsidRPr="004F73A1">
        <w:rPr>
          <w:rFonts w:asciiTheme="minorHAnsi" w:hAnsiTheme="minorHAnsi" w:cstheme="minorHAnsi"/>
          <w:sz w:val="24"/>
          <w:szCs w:val="24"/>
        </w:rPr>
        <w:t xml:space="preserve">měl HDP za celý rok 2014 vzrůst o 2,4 %. </w:t>
      </w:r>
      <w:r>
        <w:rPr>
          <w:rFonts w:asciiTheme="minorHAnsi" w:hAnsiTheme="minorHAnsi" w:cstheme="minorHAnsi"/>
          <w:sz w:val="24"/>
          <w:szCs w:val="24"/>
        </w:rPr>
        <w:t>Meziroční růst HDP byl nakonec ovlivněn především domácí poptávkou.</w:t>
      </w:r>
    </w:p>
    <w:p w:rsidR="00027ABA" w:rsidRDefault="00027ABA" w:rsidP="00027ABA">
      <w:pPr>
        <w:numPr>
          <w:ilvl w:val="0"/>
          <w:numId w:val="16"/>
        </w:numPr>
        <w:jc w:val="both"/>
        <w:rPr>
          <w:rFonts w:asciiTheme="minorHAnsi" w:hAnsiTheme="minorHAnsi" w:cstheme="minorHAnsi"/>
          <w:sz w:val="24"/>
          <w:szCs w:val="24"/>
        </w:rPr>
      </w:pPr>
      <w:r>
        <w:rPr>
          <w:rFonts w:asciiTheme="minorHAnsi" w:hAnsiTheme="minorHAnsi" w:cstheme="minorHAnsi"/>
          <w:sz w:val="24"/>
          <w:szCs w:val="24"/>
        </w:rPr>
        <w:t>Strach z deflace v ČR vedl ČNB k intervencím na devizovém trhu, které vedly k oslabení kurzu české koruny nad hladinu 27 CZK/1 EUR. Tím sice kurz napomáhá exportérům, zlevňuje jejich zboží, dovoz však prodražuje. Dalšími faktory, které ovlivňují ekonomickou situaci, je výrazný pokles ceny ropy na světových trzích a růst hodnoty dolaru k evropské měně, a tím i koruně.</w:t>
      </w:r>
    </w:p>
    <w:p w:rsidR="00027ABA" w:rsidRPr="004F73A1" w:rsidRDefault="00027ABA" w:rsidP="00027ABA">
      <w:pPr>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Podnikatelské prostředí a samotný trh práce jistě ovlivní z konce minulého roku množství vydaných novel zákonů. Např.: o veřejných zakázkách, o dani z přidané hodnoty, jež zavádí druhou sníženou sazbu daně z přidané hodnoty ve výši 10 % na léky, knihy, dětskou výživu a vybrané potraviny. K tomu další novela zákona o DPH (měla by zlepšit výběr daní), novela zákona o spotřebních daních (v reakci na oslabení směnného kurzu koruny vůči euru byly upraveny sazby spotřební daně z tabákových výrobků), novela o daních z příjmů s daňovým zvýhodněním na děti, novela zákona o důchodovém spoření, o státní sociální podpoře, o veřejném zdravotním pojištění. Dále nařízení vlády o zvýšení minimální mzdy a novela zákona o zaměstnanosti, která opětovně např. zavádí kategorii osob zdravotně znevýhodněných, jejichž zaměstnávání bude podpořeno finančním příspěvkem ve výši až 5 000 Kč měsíčně. </w:t>
      </w:r>
    </w:p>
    <w:p w:rsidR="00027ABA" w:rsidRPr="00C239C3" w:rsidRDefault="00027ABA" w:rsidP="00027ABA">
      <w:pPr>
        <w:numPr>
          <w:ilvl w:val="0"/>
          <w:numId w:val="16"/>
        </w:numPr>
        <w:jc w:val="both"/>
        <w:rPr>
          <w:rFonts w:asciiTheme="minorHAnsi" w:hAnsiTheme="minorHAnsi" w:cstheme="minorHAnsi"/>
          <w:sz w:val="24"/>
          <w:szCs w:val="24"/>
        </w:rPr>
      </w:pPr>
      <w:r>
        <w:rPr>
          <w:rFonts w:asciiTheme="minorHAnsi" w:hAnsiTheme="minorHAnsi" w:cstheme="minorHAnsi"/>
          <w:sz w:val="24"/>
          <w:szCs w:val="24"/>
        </w:rPr>
        <w:t xml:space="preserve">Během minulého roku rostla průmyslová výroba a oblast obchodu. Po několikaletém poklesu vzrostla v meziročním srovnání i stavební produkce, je však třeba zároveň zdůraznit nízkou srovnávací základnu předminulého roku. </w:t>
      </w:r>
    </w:p>
    <w:p w:rsidR="00027ABA" w:rsidRPr="00C239C3" w:rsidRDefault="00027ABA" w:rsidP="00027ABA">
      <w:pPr>
        <w:numPr>
          <w:ilvl w:val="0"/>
          <w:numId w:val="16"/>
        </w:numPr>
        <w:jc w:val="both"/>
        <w:rPr>
          <w:rFonts w:asciiTheme="minorHAnsi" w:hAnsiTheme="minorHAnsi" w:cstheme="minorHAnsi"/>
          <w:sz w:val="24"/>
          <w:szCs w:val="24"/>
        </w:rPr>
      </w:pPr>
      <w:r w:rsidRPr="00C239C3">
        <w:rPr>
          <w:rFonts w:asciiTheme="minorHAnsi" w:hAnsiTheme="minorHAnsi" w:cstheme="minorHAnsi"/>
          <w:sz w:val="24"/>
          <w:szCs w:val="24"/>
        </w:rPr>
        <w:t>I zaměstnavatelé s pozitivním vývojem a zakázkovou naplněností výrobních kapacit vedli v</w:t>
      </w:r>
      <w:r>
        <w:rPr>
          <w:rFonts w:asciiTheme="minorHAnsi" w:hAnsiTheme="minorHAnsi" w:cstheme="minorHAnsi"/>
          <w:sz w:val="24"/>
          <w:szCs w:val="24"/>
        </w:rPr>
        <w:t> r. 2014 stále ještě spíše opatrnější personální politiku a b</w:t>
      </w:r>
      <w:r w:rsidRPr="00C239C3">
        <w:rPr>
          <w:rFonts w:asciiTheme="minorHAnsi" w:hAnsiTheme="minorHAnsi" w:cstheme="minorHAnsi"/>
          <w:sz w:val="24"/>
          <w:szCs w:val="24"/>
        </w:rPr>
        <w:t>yli-li nuceni propouštět, týka</w:t>
      </w:r>
      <w:r>
        <w:rPr>
          <w:rFonts w:asciiTheme="minorHAnsi" w:hAnsiTheme="minorHAnsi" w:cstheme="minorHAnsi"/>
          <w:sz w:val="24"/>
          <w:szCs w:val="24"/>
        </w:rPr>
        <w:t>lo se to v první řadě zaměstnanců personálních agentur.</w:t>
      </w:r>
    </w:p>
    <w:p w:rsidR="00027ABA" w:rsidRPr="00C239C3" w:rsidRDefault="00027ABA" w:rsidP="00027ABA">
      <w:pPr>
        <w:numPr>
          <w:ilvl w:val="0"/>
          <w:numId w:val="16"/>
        </w:numPr>
        <w:jc w:val="both"/>
        <w:rPr>
          <w:rFonts w:asciiTheme="minorHAnsi" w:hAnsiTheme="minorHAnsi" w:cstheme="minorHAnsi"/>
        </w:rPr>
      </w:pPr>
      <w:r w:rsidRPr="00C239C3">
        <w:rPr>
          <w:rFonts w:asciiTheme="minorHAnsi" w:hAnsiTheme="minorHAnsi" w:cstheme="minorHAnsi"/>
          <w:sz w:val="24"/>
          <w:szCs w:val="24"/>
        </w:rPr>
        <w:t>Některé firmy však během minulého roku musely přistoupit i k hromadnému propouštění (podle ust. § 62 ZP). Od ledna</w:t>
      </w:r>
      <w:r>
        <w:rPr>
          <w:rFonts w:asciiTheme="minorHAnsi" w:hAnsiTheme="minorHAnsi" w:cstheme="minorHAnsi"/>
          <w:sz w:val="24"/>
          <w:szCs w:val="24"/>
        </w:rPr>
        <w:t xml:space="preserve"> do prosince 2014 informovalo KrP v Ostravě 8 zaměstnavatelů </w:t>
      </w:r>
      <w:r w:rsidRPr="00C239C3">
        <w:rPr>
          <w:rFonts w:asciiTheme="minorHAnsi" w:hAnsiTheme="minorHAnsi" w:cstheme="minorHAnsi"/>
          <w:sz w:val="24"/>
          <w:szCs w:val="24"/>
        </w:rPr>
        <w:t>o připravovaných hromadných propouštěních v M</w:t>
      </w:r>
      <w:r>
        <w:rPr>
          <w:rFonts w:asciiTheme="minorHAnsi" w:hAnsiTheme="minorHAnsi" w:cstheme="minorHAnsi"/>
          <w:sz w:val="24"/>
          <w:szCs w:val="24"/>
        </w:rPr>
        <w:t>SK, která se týkala celkem 668</w:t>
      </w:r>
      <w:r w:rsidRPr="00C239C3">
        <w:rPr>
          <w:rFonts w:asciiTheme="minorHAnsi" w:hAnsiTheme="minorHAnsi" w:cstheme="minorHAnsi"/>
          <w:sz w:val="24"/>
          <w:szCs w:val="24"/>
        </w:rPr>
        <w:t xml:space="preserve"> zaměstnanců. </w:t>
      </w:r>
    </w:p>
    <w:p w:rsidR="00027ABA" w:rsidRPr="00C239C3" w:rsidRDefault="00027ABA" w:rsidP="00027ABA">
      <w:pPr>
        <w:ind w:left="360"/>
        <w:jc w:val="both"/>
        <w:rPr>
          <w:rFonts w:asciiTheme="minorHAnsi" w:hAnsiTheme="minorHAnsi" w:cstheme="minorHAnsi"/>
          <w:sz w:val="24"/>
          <w:szCs w:val="24"/>
        </w:rPr>
      </w:pPr>
    </w:p>
    <w:p w:rsidR="00027ABA" w:rsidRPr="00C239C3" w:rsidRDefault="00027ABA" w:rsidP="00027ABA">
      <w:pPr>
        <w:ind w:firstLine="720"/>
        <w:jc w:val="both"/>
        <w:rPr>
          <w:rFonts w:asciiTheme="minorHAnsi" w:hAnsiTheme="minorHAnsi" w:cstheme="minorHAnsi"/>
          <w:sz w:val="24"/>
          <w:szCs w:val="24"/>
        </w:rPr>
      </w:pPr>
      <w:r w:rsidRPr="00C239C3">
        <w:rPr>
          <w:rFonts w:asciiTheme="minorHAnsi" w:hAnsiTheme="minorHAnsi" w:cstheme="minorHAnsi"/>
          <w:sz w:val="24"/>
          <w:szCs w:val="24"/>
        </w:rPr>
        <w:t>Od ledna 2009 již OSSZ nevede přehled o vývoji počtu malých organizací a jejich pojištěnců (zaměstnanců u firem se stavem do 25 osob), ale sleduje tyto údaje za všechny zaměstnavatelské subjekty podle počtu pojistných vztahů. Úřad práce ČR, který údaje o malých firmách pravidelně získával a využíval pro výpočet celkové zaměstnanosti v daném okrese, není tak nadále s</w:t>
      </w:r>
      <w:r>
        <w:rPr>
          <w:rFonts w:asciiTheme="minorHAnsi" w:hAnsiTheme="minorHAnsi" w:cstheme="minorHAnsi"/>
          <w:sz w:val="24"/>
          <w:szCs w:val="24"/>
        </w:rPr>
        <w:t xml:space="preserve">chopen pokračovat ve sledování časových řad </w:t>
      </w:r>
      <w:r w:rsidRPr="00C239C3">
        <w:rPr>
          <w:rFonts w:asciiTheme="minorHAnsi" w:hAnsiTheme="minorHAnsi" w:cstheme="minorHAnsi"/>
          <w:sz w:val="24"/>
          <w:szCs w:val="24"/>
        </w:rPr>
        <w:t xml:space="preserve">a může využívat pouze své interní údaje z monitoringu zaměstnavatelů s počtem </w:t>
      </w:r>
      <w:smartTag w:uri="urn:schemas-microsoft-com:office:smarttags" w:element="metricconverter">
        <w:smartTagPr>
          <w:attr w:name="ProductID" w:val="26 a"/>
        </w:smartTagPr>
        <w:r w:rsidRPr="00C239C3">
          <w:rPr>
            <w:rFonts w:asciiTheme="minorHAnsi" w:hAnsiTheme="minorHAnsi" w:cstheme="minorHAnsi"/>
            <w:sz w:val="24"/>
            <w:szCs w:val="24"/>
          </w:rPr>
          <w:t>26 a</w:t>
        </w:r>
      </w:smartTag>
      <w:r>
        <w:rPr>
          <w:rFonts w:asciiTheme="minorHAnsi" w:hAnsiTheme="minorHAnsi" w:cstheme="minorHAnsi"/>
          <w:sz w:val="24"/>
          <w:szCs w:val="24"/>
        </w:rPr>
        <w:t xml:space="preserve"> více osob, popřípadě </w:t>
      </w:r>
      <w:r w:rsidRPr="00C239C3">
        <w:rPr>
          <w:rFonts w:asciiTheme="minorHAnsi" w:hAnsiTheme="minorHAnsi" w:cstheme="minorHAnsi"/>
          <w:sz w:val="24"/>
          <w:szCs w:val="24"/>
        </w:rPr>
        <w:t>ze zdrojů OSSZ pouze údaje o počtu OSVČ.</w:t>
      </w:r>
    </w:p>
    <w:p w:rsidR="00027ABA" w:rsidRPr="00C239C3" w:rsidRDefault="00027ABA" w:rsidP="00027ABA">
      <w:pPr>
        <w:ind w:firstLine="720"/>
        <w:jc w:val="both"/>
        <w:rPr>
          <w:rFonts w:asciiTheme="minorHAnsi" w:hAnsiTheme="minorHAnsi" w:cstheme="minorHAnsi"/>
          <w:sz w:val="24"/>
          <w:szCs w:val="24"/>
        </w:rPr>
      </w:pPr>
    </w:p>
    <w:p w:rsidR="00027ABA" w:rsidRPr="00C239C3" w:rsidRDefault="00027ABA" w:rsidP="00027ABA">
      <w:pPr>
        <w:jc w:val="both"/>
        <w:rPr>
          <w:rFonts w:asciiTheme="minorHAnsi" w:hAnsiTheme="minorHAnsi" w:cstheme="minorHAnsi"/>
          <w:b/>
          <w:i/>
          <w:sz w:val="24"/>
        </w:rPr>
      </w:pPr>
      <w:r w:rsidRPr="00C239C3">
        <w:rPr>
          <w:rFonts w:asciiTheme="minorHAnsi" w:hAnsiTheme="minorHAnsi" w:cstheme="minorHAnsi"/>
          <w:b/>
          <w:i/>
          <w:sz w:val="24"/>
        </w:rPr>
        <w:t xml:space="preserve">2. Vývoj zaměstnanosti u monitorovaných firem se stavem </w:t>
      </w:r>
      <w:smartTag w:uri="urn:schemas-microsoft-com:office:smarttags" w:element="metricconverter">
        <w:smartTagPr>
          <w:attr w:name="ProductID" w:val="26 a"/>
        </w:smartTagPr>
        <w:r w:rsidRPr="00C239C3">
          <w:rPr>
            <w:rFonts w:asciiTheme="minorHAnsi" w:hAnsiTheme="minorHAnsi" w:cstheme="minorHAnsi"/>
            <w:b/>
            <w:i/>
            <w:sz w:val="24"/>
          </w:rPr>
          <w:t>26 a</w:t>
        </w:r>
      </w:smartTag>
      <w:r w:rsidRPr="00C239C3">
        <w:rPr>
          <w:rFonts w:asciiTheme="minorHAnsi" w:hAnsiTheme="minorHAnsi" w:cstheme="minorHAnsi"/>
          <w:b/>
          <w:i/>
          <w:sz w:val="24"/>
        </w:rPr>
        <w:t xml:space="preserve"> více osob</w:t>
      </w:r>
    </w:p>
    <w:p w:rsidR="00027ABA" w:rsidRPr="00C239C3" w:rsidRDefault="00027ABA" w:rsidP="00027ABA">
      <w:pPr>
        <w:ind w:firstLine="708"/>
        <w:jc w:val="both"/>
        <w:rPr>
          <w:rFonts w:asciiTheme="minorHAnsi" w:hAnsiTheme="minorHAnsi" w:cstheme="minorHAnsi"/>
          <w:sz w:val="24"/>
        </w:rPr>
      </w:pPr>
      <w:r w:rsidRPr="00C239C3">
        <w:rPr>
          <w:rFonts w:asciiTheme="minorHAnsi" w:hAnsiTheme="minorHAnsi" w:cstheme="minorHAnsi"/>
          <w:sz w:val="24"/>
        </w:rPr>
        <w:tab/>
      </w:r>
    </w:p>
    <w:p w:rsidR="00027ABA" w:rsidRPr="00C239C3" w:rsidRDefault="00027ABA" w:rsidP="00027ABA">
      <w:pPr>
        <w:ind w:firstLine="708"/>
        <w:jc w:val="both"/>
        <w:rPr>
          <w:rFonts w:asciiTheme="minorHAnsi" w:hAnsiTheme="minorHAnsi" w:cstheme="minorHAnsi"/>
          <w:sz w:val="24"/>
        </w:rPr>
      </w:pPr>
      <w:r w:rsidRPr="00C239C3">
        <w:rPr>
          <w:rFonts w:asciiTheme="minorHAnsi" w:hAnsiTheme="minorHAnsi" w:cstheme="minorHAnsi"/>
          <w:sz w:val="24"/>
        </w:rPr>
        <w:t xml:space="preserve">V MSK úřad práce od začátku sledování zaměstnanosti monitoruje situaci a vývoj personálních stavů u zaměstnavatelských subjektů s počtem </w:t>
      </w:r>
      <w:smartTag w:uri="urn:schemas-microsoft-com:office:smarttags" w:element="metricconverter">
        <w:smartTagPr>
          <w:attr w:name="ProductID" w:val="26 a"/>
        </w:smartTagPr>
        <w:r w:rsidRPr="00C239C3">
          <w:rPr>
            <w:rFonts w:asciiTheme="minorHAnsi" w:hAnsiTheme="minorHAnsi" w:cstheme="minorHAnsi"/>
            <w:sz w:val="24"/>
          </w:rPr>
          <w:t>26 a</w:t>
        </w:r>
      </w:smartTag>
      <w:r w:rsidRPr="00C239C3">
        <w:rPr>
          <w:rFonts w:asciiTheme="minorHAnsi" w:hAnsiTheme="minorHAnsi" w:cstheme="minorHAnsi"/>
          <w:sz w:val="24"/>
        </w:rPr>
        <w:t xml:space="preserve"> více zaměstnanců. Ke konci roku bylo m</w:t>
      </w:r>
      <w:r>
        <w:rPr>
          <w:rFonts w:asciiTheme="minorHAnsi" w:hAnsiTheme="minorHAnsi" w:cstheme="minorHAnsi"/>
          <w:sz w:val="24"/>
        </w:rPr>
        <w:t>onitorováno v kraji celkem 2 261</w:t>
      </w:r>
      <w:r w:rsidRPr="00C239C3">
        <w:rPr>
          <w:rFonts w:asciiTheme="minorHAnsi" w:hAnsiTheme="minorHAnsi" w:cstheme="minorHAnsi"/>
          <w:sz w:val="24"/>
        </w:rPr>
        <w:t xml:space="preserve"> zaměs</w:t>
      </w:r>
      <w:r>
        <w:rPr>
          <w:rFonts w:asciiTheme="minorHAnsi" w:hAnsiTheme="minorHAnsi" w:cstheme="minorHAnsi"/>
          <w:sz w:val="24"/>
        </w:rPr>
        <w:t>tnavatelů, což je meziročně o 29 více. Celkově bylo k 31.12.2014 u těchto firem zaměstnáno 286 958</w:t>
      </w:r>
      <w:r w:rsidRPr="00C239C3">
        <w:rPr>
          <w:rFonts w:asciiTheme="minorHAnsi" w:hAnsiTheme="minorHAnsi" w:cstheme="minorHAnsi"/>
          <w:sz w:val="24"/>
        </w:rPr>
        <w:t xml:space="preserve"> osob. Během minulého roku se jejich stav </w:t>
      </w:r>
      <w:r>
        <w:rPr>
          <w:rFonts w:asciiTheme="minorHAnsi" w:hAnsiTheme="minorHAnsi" w:cstheme="minorHAnsi"/>
          <w:sz w:val="24"/>
        </w:rPr>
        <w:t>zvýšil, a to o 6 389 (+2,3</w:t>
      </w:r>
      <w:r w:rsidRPr="00C239C3">
        <w:rPr>
          <w:rFonts w:asciiTheme="minorHAnsi" w:hAnsiTheme="minorHAnsi" w:cstheme="minorHAnsi"/>
          <w:sz w:val="24"/>
        </w:rPr>
        <w:t xml:space="preserve"> %).</w:t>
      </w:r>
    </w:p>
    <w:p w:rsidR="00027ABA" w:rsidRDefault="00027ABA" w:rsidP="00027ABA">
      <w:pPr>
        <w:ind w:firstLine="708"/>
        <w:jc w:val="both"/>
        <w:rPr>
          <w:rFonts w:asciiTheme="minorHAnsi" w:hAnsiTheme="minorHAnsi" w:cstheme="minorHAnsi"/>
          <w:sz w:val="24"/>
          <w:szCs w:val="24"/>
        </w:rPr>
      </w:pPr>
      <w:r>
        <w:rPr>
          <w:rFonts w:asciiTheme="minorHAnsi" w:hAnsiTheme="minorHAnsi" w:cstheme="minorHAnsi"/>
          <w:sz w:val="24"/>
          <w:szCs w:val="24"/>
        </w:rPr>
        <w:t xml:space="preserve">Pozitivní skutečností je nárůst </w:t>
      </w:r>
      <w:r w:rsidRPr="00C239C3">
        <w:rPr>
          <w:rFonts w:asciiTheme="minorHAnsi" w:hAnsiTheme="minorHAnsi" w:cstheme="minorHAnsi"/>
          <w:sz w:val="24"/>
          <w:szCs w:val="24"/>
        </w:rPr>
        <w:t>zaměstnan</w:t>
      </w:r>
      <w:r>
        <w:rPr>
          <w:rFonts w:asciiTheme="minorHAnsi" w:hAnsiTheme="minorHAnsi" w:cstheme="minorHAnsi"/>
          <w:sz w:val="24"/>
          <w:szCs w:val="24"/>
        </w:rPr>
        <w:t>osti u všech okresů, nejvíce u okresů Ostrava                     (+2 722 osob) a Frýdek-Místek (+1 390 osob); naproti tomu nejmenší absolutní navýšení zaznamenal okres Bruntál (+486 osob).</w:t>
      </w:r>
    </w:p>
    <w:p w:rsidR="00027ABA" w:rsidRPr="00C239C3" w:rsidRDefault="00027ABA" w:rsidP="00027ABA">
      <w:pPr>
        <w:ind w:firstLine="708"/>
        <w:jc w:val="both"/>
        <w:rPr>
          <w:rFonts w:asciiTheme="minorHAnsi" w:hAnsiTheme="minorHAnsi" w:cstheme="minorHAnsi"/>
          <w:sz w:val="24"/>
        </w:rPr>
      </w:pPr>
    </w:p>
    <w:p w:rsidR="00027ABA" w:rsidRPr="008E390F" w:rsidRDefault="00027ABA" w:rsidP="00027ABA">
      <w:pPr>
        <w:pStyle w:val="dka"/>
        <w:jc w:val="both"/>
        <w:rPr>
          <w:color w:val="auto"/>
        </w:rPr>
      </w:pPr>
      <w:r w:rsidRPr="00C239C3">
        <w:rPr>
          <w:rFonts w:asciiTheme="minorHAnsi" w:hAnsiTheme="minorHAnsi" w:cstheme="minorHAnsi"/>
          <w:b/>
          <w:color w:val="auto"/>
        </w:rPr>
        <w:t>Graf II/1</w:t>
      </w:r>
      <w:r w:rsidRPr="00C239C3">
        <w:rPr>
          <w:rFonts w:asciiTheme="minorHAnsi" w:hAnsiTheme="minorHAnsi" w:cstheme="minorHAnsi"/>
          <w:color w:val="auto"/>
        </w:rPr>
        <w:t xml:space="preserve"> - Vývoj zaměstnanosti u monitorovaných firem MSK se stavem </w:t>
      </w:r>
      <w:smartTag w:uri="urn:schemas-microsoft-com:office:smarttags" w:element="metricconverter">
        <w:smartTagPr>
          <w:attr w:name="ProductID" w:val="26 a"/>
        </w:smartTagPr>
        <w:r w:rsidRPr="00C239C3">
          <w:rPr>
            <w:rFonts w:asciiTheme="minorHAnsi" w:hAnsiTheme="minorHAnsi" w:cstheme="minorHAnsi"/>
            <w:color w:val="auto"/>
          </w:rPr>
          <w:t>26 a</w:t>
        </w:r>
      </w:smartTag>
      <w:r w:rsidRPr="00C239C3">
        <w:rPr>
          <w:rFonts w:asciiTheme="minorHAnsi" w:hAnsiTheme="minorHAnsi" w:cstheme="minorHAnsi"/>
          <w:color w:val="auto"/>
        </w:rPr>
        <w:t xml:space="preserve"> více zaměstnanců od roku 1992</w:t>
      </w:r>
    </w:p>
    <w:p w:rsidR="00027ABA" w:rsidRPr="009966CC" w:rsidRDefault="00027ABA" w:rsidP="00027ABA">
      <w:pPr>
        <w:pStyle w:val="dka"/>
        <w:jc w:val="both"/>
        <w:rPr>
          <w:color w:val="auto"/>
        </w:rPr>
      </w:pPr>
    </w:p>
    <w:p w:rsidR="00027ABA" w:rsidRPr="00E73E4F" w:rsidRDefault="00027ABA" w:rsidP="00027ABA">
      <w:pPr>
        <w:pStyle w:val="dka"/>
        <w:jc w:val="both"/>
        <w:rPr>
          <w:color w:val="auto"/>
        </w:rPr>
      </w:pPr>
      <w:r w:rsidRPr="003F4A5D">
        <w:rPr>
          <w:noProof/>
        </w:rPr>
        <w:drawing>
          <wp:inline distT="0" distB="0" distL="0" distR="0">
            <wp:extent cx="5939790" cy="3679953"/>
            <wp:effectExtent l="19050" t="0" r="3810"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9790" cy="3679953"/>
                    </a:xfrm>
                    <a:prstGeom prst="rect">
                      <a:avLst/>
                    </a:prstGeom>
                    <a:noFill/>
                    <a:ln w="9525">
                      <a:noFill/>
                      <a:miter lim="800000"/>
                      <a:headEnd/>
                      <a:tailEnd/>
                    </a:ln>
                  </pic:spPr>
                </pic:pic>
              </a:graphicData>
            </a:graphic>
          </wp:inline>
        </w:drawing>
      </w:r>
    </w:p>
    <w:p w:rsidR="00027ABA" w:rsidRPr="00C239C3" w:rsidRDefault="00027ABA" w:rsidP="00027ABA">
      <w:pPr>
        <w:pStyle w:val="dka"/>
        <w:jc w:val="both"/>
        <w:rPr>
          <w:rFonts w:asciiTheme="minorHAnsi" w:hAnsiTheme="minorHAnsi" w:cstheme="minorHAnsi"/>
          <w:snapToGrid/>
          <w:color w:val="auto"/>
          <w:sz w:val="20"/>
        </w:rPr>
      </w:pPr>
    </w:p>
    <w:p w:rsidR="00027ABA" w:rsidRDefault="00027ABA" w:rsidP="00027ABA">
      <w:pPr>
        <w:pStyle w:val="dka"/>
        <w:jc w:val="both"/>
        <w:rPr>
          <w:rFonts w:asciiTheme="minorHAnsi" w:hAnsiTheme="minorHAnsi" w:cstheme="minorHAnsi"/>
          <w:snapToGrid/>
          <w:color w:val="auto"/>
          <w:sz w:val="20"/>
        </w:rPr>
      </w:pPr>
    </w:p>
    <w:p w:rsidR="00027ABA" w:rsidRDefault="00027ABA" w:rsidP="00027ABA">
      <w:pPr>
        <w:pStyle w:val="dka"/>
        <w:jc w:val="both"/>
        <w:rPr>
          <w:rFonts w:asciiTheme="minorHAnsi" w:hAnsiTheme="minorHAnsi" w:cstheme="minorHAnsi"/>
          <w:snapToGrid/>
          <w:color w:val="auto"/>
          <w:sz w:val="20"/>
        </w:rPr>
      </w:pPr>
    </w:p>
    <w:p w:rsidR="00027ABA" w:rsidRPr="00C239C3" w:rsidRDefault="00027ABA" w:rsidP="00027ABA">
      <w:pPr>
        <w:pStyle w:val="dka"/>
        <w:jc w:val="both"/>
        <w:rPr>
          <w:rFonts w:asciiTheme="minorHAnsi" w:hAnsiTheme="minorHAnsi" w:cstheme="minorHAnsi"/>
          <w:snapToGrid/>
          <w:color w:val="auto"/>
          <w:sz w:val="20"/>
        </w:rPr>
      </w:pPr>
    </w:p>
    <w:p w:rsidR="00027ABA" w:rsidRPr="00C239C3" w:rsidRDefault="00027ABA" w:rsidP="00027ABA">
      <w:pPr>
        <w:pStyle w:val="dka"/>
        <w:jc w:val="both"/>
        <w:rPr>
          <w:rFonts w:asciiTheme="minorHAnsi" w:hAnsiTheme="minorHAnsi" w:cstheme="minorHAnsi"/>
          <w:b/>
          <w:i/>
          <w:color w:val="auto"/>
        </w:rPr>
      </w:pPr>
      <w:r w:rsidRPr="00C239C3">
        <w:rPr>
          <w:rFonts w:asciiTheme="minorHAnsi" w:hAnsiTheme="minorHAnsi" w:cstheme="minorHAnsi"/>
          <w:b/>
          <w:i/>
          <w:color w:val="auto"/>
        </w:rPr>
        <w:t>2.1 Struktura podle počtu zaměstnanců</w:t>
      </w:r>
    </w:p>
    <w:p w:rsidR="00027ABA" w:rsidRPr="00C239C3" w:rsidRDefault="00027ABA" w:rsidP="00027ABA">
      <w:pPr>
        <w:pStyle w:val="dka"/>
        <w:jc w:val="both"/>
        <w:rPr>
          <w:rFonts w:asciiTheme="minorHAnsi" w:hAnsiTheme="minorHAnsi" w:cstheme="minorHAnsi"/>
          <w:b/>
          <w:color w:val="auto"/>
        </w:rPr>
      </w:pPr>
    </w:p>
    <w:p w:rsidR="00027ABA" w:rsidRPr="00C239C3" w:rsidRDefault="00027ABA" w:rsidP="00027ABA">
      <w:pPr>
        <w:pStyle w:val="dka"/>
        <w:ind w:firstLine="708"/>
        <w:jc w:val="both"/>
        <w:rPr>
          <w:rFonts w:asciiTheme="minorHAnsi" w:hAnsiTheme="minorHAnsi" w:cstheme="minorHAnsi"/>
          <w:snapToGrid/>
          <w:color w:val="auto"/>
          <w:szCs w:val="24"/>
        </w:rPr>
      </w:pPr>
      <w:r w:rsidRPr="00C239C3">
        <w:rPr>
          <w:rFonts w:asciiTheme="minorHAnsi" w:hAnsiTheme="minorHAnsi" w:cstheme="minorHAnsi"/>
          <w:snapToGrid/>
          <w:color w:val="auto"/>
          <w:szCs w:val="24"/>
        </w:rPr>
        <w:t>Od června 2002 členíme monitorované zaměstnavatelské subjekty podle kategorizace, která odpovídá definici a doporučením Mezinárodní organizace práce (ILO). Podle počtu zaměstnanců jsou firmy rozděleny na malé (1-49 pracovníků), střední (50-249 pracovníků) a velké (250 a více pracovníků).</w:t>
      </w:r>
    </w:p>
    <w:p w:rsidR="00027ABA" w:rsidRPr="00C239C3" w:rsidRDefault="00027ABA" w:rsidP="00027ABA">
      <w:pPr>
        <w:pStyle w:val="dka"/>
        <w:jc w:val="both"/>
        <w:rPr>
          <w:rFonts w:asciiTheme="minorHAnsi" w:hAnsiTheme="minorHAnsi" w:cstheme="minorHAnsi"/>
          <w:b/>
          <w:color w:val="auto"/>
        </w:rPr>
      </w:pPr>
    </w:p>
    <w:p w:rsidR="00027ABA" w:rsidRPr="00C239C3" w:rsidRDefault="00027ABA" w:rsidP="00027ABA">
      <w:pPr>
        <w:pStyle w:val="dka"/>
        <w:jc w:val="both"/>
        <w:rPr>
          <w:rFonts w:asciiTheme="minorHAnsi" w:hAnsiTheme="minorHAnsi" w:cstheme="minorHAnsi"/>
          <w:color w:val="auto"/>
        </w:rPr>
      </w:pPr>
      <w:r w:rsidRPr="00C239C3">
        <w:rPr>
          <w:rFonts w:asciiTheme="minorHAnsi" w:hAnsiTheme="minorHAnsi" w:cstheme="minorHAnsi"/>
          <w:b/>
          <w:color w:val="auto"/>
        </w:rPr>
        <w:t>Tabulka II/1</w:t>
      </w:r>
      <w:r w:rsidRPr="00C239C3">
        <w:rPr>
          <w:rFonts w:asciiTheme="minorHAnsi" w:hAnsiTheme="minorHAnsi" w:cstheme="minorHAnsi"/>
          <w:color w:val="auto"/>
        </w:rPr>
        <w:t xml:space="preserve"> - Zaměstnanost podle počtu zaměstnanců v organizacích - zaměstnavatelé se stavem </w:t>
      </w:r>
      <w:smartTag w:uri="urn:schemas-microsoft-com:office:smarttags" w:element="metricconverter">
        <w:smartTagPr>
          <w:attr w:name="ProductID" w:val="26 a"/>
        </w:smartTagPr>
        <w:r w:rsidRPr="00C239C3">
          <w:rPr>
            <w:rFonts w:asciiTheme="minorHAnsi" w:hAnsiTheme="minorHAnsi" w:cstheme="minorHAnsi"/>
            <w:color w:val="auto"/>
          </w:rPr>
          <w:t>26 a</w:t>
        </w:r>
      </w:smartTag>
      <w:r w:rsidRPr="00C239C3">
        <w:rPr>
          <w:rFonts w:asciiTheme="minorHAnsi" w:hAnsiTheme="minorHAnsi" w:cstheme="minorHAnsi"/>
          <w:color w:val="auto"/>
        </w:rPr>
        <w:t xml:space="preserve"> více osob</w:t>
      </w:r>
    </w:p>
    <w:tbl>
      <w:tblPr>
        <w:tblW w:w="0" w:type="auto"/>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959"/>
        <w:gridCol w:w="1230"/>
        <w:gridCol w:w="1181"/>
        <w:gridCol w:w="1281"/>
        <w:gridCol w:w="1281"/>
        <w:gridCol w:w="1180"/>
        <w:gridCol w:w="1231"/>
      </w:tblGrid>
      <w:tr w:rsidR="00027ABA" w:rsidRPr="00C239C3" w:rsidTr="00027ABA">
        <w:trPr>
          <w:cantSplit/>
          <w:trHeight w:val="241"/>
        </w:trPr>
        <w:tc>
          <w:tcPr>
            <w:tcW w:w="1959" w:type="dxa"/>
            <w:vMerge w:val="restart"/>
            <w:tcBorders>
              <w:top w:val="single" w:sz="12" w:space="0" w:color="auto"/>
              <w:bottom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r w:rsidRPr="00C239C3">
              <w:rPr>
                <w:rFonts w:asciiTheme="minorHAnsi" w:hAnsiTheme="minorHAnsi" w:cstheme="minorHAnsi"/>
                <w:sz w:val="24"/>
                <w:szCs w:val="24"/>
              </w:rPr>
              <w:t>kategorie</w:t>
            </w:r>
          </w:p>
        </w:tc>
        <w:tc>
          <w:tcPr>
            <w:tcW w:w="2411" w:type="dxa"/>
            <w:gridSpan w:val="2"/>
            <w:tcBorders>
              <w:top w:val="single" w:sz="12" w:space="0" w:color="auto"/>
              <w:left w:val="nil"/>
              <w:bottom w:val="nil"/>
              <w:right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k 31.12.201</w:t>
            </w:r>
            <w:r>
              <w:rPr>
                <w:rFonts w:asciiTheme="minorHAnsi" w:hAnsiTheme="minorHAnsi" w:cstheme="minorHAnsi"/>
                <w:color w:val="auto"/>
              </w:rPr>
              <w:t>3</w:t>
            </w:r>
          </w:p>
        </w:tc>
        <w:tc>
          <w:tcPr>
            <w:tcW w:w="2562" w:type="dxa"/>
            <w:gridSpan w:val="2"/>
            <w:tcBorders>
              <w:top w:val="single" w:sz="12" w:space="0" w:color="auto"/>
              <w:left w:val="single" w:sz="4" w:space="0" w:color="auto"/>
              <w:bottom w:val="nil"/>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k 31.12.201</w:t>
            </w:r>
            <w:r>
              <w:rPr>
                <w:rFonts w:asciiTheme="minorHAnsi" w:hAnsiTheme="minorHAnsi" w:cstheme="minorHAnsi"/>
                <w:color w:val="auto"/>
              </w:rPr>
              <w:t>4</w:t>
            </w:r>
          </w:p>
        </w:tc>
        <w:tc>
          <w:tcPr>
            <w:tcW w:w="2411" w:type="dxa"/>
            <w:gridSpan w:val="2"/>
            <w:tcBorders>
              <w:top w:val="single" w:sz="12" w:space="0" w:color="auto"/>
              <w:left w:val="single" w:sz="4" w:space="0" w:color="auto"/>
              <w:bottom w:val="nil"/>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12/2014</w:t>
            </w:r>
            <w:r w:rsidRPr="00C239C3">
              <w:rPr>
                <w:rFonts w:asciiTheme="minorHAnsi" w:hAnsiTheme="minorHAnsi" w:cstheme="minorHAnsi"/>
                <w:color w:val="auto"/>
              </w:rPr>
              <w:t xml:space="preserve"> - 12/201</w:t>
            </w:r>
            <w:r>
              <w:rPr>
                <w:rFonts w:asciiTheme="minorHAnsi" w:hAnsiTheme="minorHAnsi" w:cstheme="minorHAnsi"/>
                <w:color w:val="auto"/>
              </w:rPr>
              <w:t>3</w:t>
            </w:r>
          </w:p>
        </w:tc>
      </w:tr>
      <w:tr w:rsidR="00027ABA" w:rsidRPr="00C239C3" w:rsidTr="00027ABA">
        <w:trPr>
          <w:cantSplit/>
          <w:trHeight w:val="128"/>
        </w:trPr>
        <w:tc>
          <w:tcPr>
            <w:tcW w:w="1959" w:type="dxa"/>
            <w:vMerge/>
            <w:tcBorders>
              <w:top w:val="single" w:sz="6" w:space="0" w:color="auto"/>
              <w:bottom w:val="single" w:sz="12" w:space="0" w:color="auto"/>
              <w:right w:val="single" w:sz="12" w:space="0" w:color="auto"/>
            </w:tcBorders>
          </w:tcPr>
          <w:p w:rsidR="00027ABA" w:rsidRPr="00C239C3" w:rsidRDefault="00027ABA" w:rsidP="00027ABA">
            <w:pPr>
              <w:rPr>
                <w:rFonts w:asciiTheme="minorHAnsi" w:hAnsiTheme="minorHAnsi" w:cstheme="minorHAnsi"/>
              </w:rPr>
            </w:pPr>
          </w:p>
        </w:tc>
        <w:tc>
          <w:tcPr>
            <w:tcW w:w="1230" w:type="dxa"/>
            <w:tcBorders>
              <w:left w:val="nil"/>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181" w:type="dxa"/>
            <w:tcBorders>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c>
          <w:tcPr>
            <w:tcW w:w="1281" w:type="dxa"/>
            <w:tcBorders>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281" w:type="dxa"/>
            <w:tcBorders>
              <w:top w:val="single" w:sz="6" w:space="0" w:color="auto"/>
              <w:bottom w:val="nil"/>
              <w:right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c>
          <w:tcPr>
            <w:tcW w:w="1180" w:type="dxa"/>
            <w:tcBorders>
              <w:top w:val="single" w:sz="6" w:space="0" w:color="auto"/>
              <w:left w:val="single" w:sz="12" w:space="0" w:color="auto"/>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231" w:type="dxa"/>
            <w:tcBorders>
              <w:bottom w:val="nil"/>
              <w:right w:val="single" w:sz="12" w:space="0" w:color="auto"/>
            </w:tcBorders>
            <w:vAlign w:val="center"/>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r>
      <w:tr w:rsidR="00027ABA" w:rsidRPr="00C239C3" w:rsidTr="00027ABA">
        <w:trPr>
          <w:trHeight w:val="254"/>
        </w:trPr>
        <w:tc>
          <w:tcPr>
            <w:tcW w:w="1959" w:type="dxa"/>
            <w:tcBorders>
              <w:top w:val="nil"/>
              <w:bottom w:val="single" w:sz="6" w:space="0" w:color="auto"/>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1 až 49</w:t>
            </w:r>
          </w:p>
        </w:tc>
        <w:tc>
          <w:tcPr>
            <w:tcW w:w="1230" w:type="dxa"/>
            <w:tcBorders>
              <w:top w:val="single" w:sz="12" w:space="0" w:color="auto"/>
              <w:left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1 027</w:t>
            </w:r>
          </w:p>
        </w:tc>
        <w:tc>
          <w:tcPr>
            <w:tcW w:w="1181" w:type="dxa"/>
            <w:tcBorders>
              <w:top w:val="single" w:sz="12" w:space="0" w:color="auto"/>
              <w:bottom w:val="single" w:sz="6" w:space="0" w:color="auto"/>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46,0</w:t>
            </w:r>
          </w:p>
        </w:tc>
        <w:tc>
          <w:tcPr>
            <w:tcW w:w="1281" w:type="dxa"/>
            <w:tcBorders>
              <w:top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1 035</w:t>
            </w:r>
          </w:p>
        </w:tc>
        <w:tc>
          <w:tcPr>
            <w:tcW w:w="1281" w:type="dxa"/>
            <w:tcBorders>
              <w:top w:val="single" w:sz="12" w:space="0" w:color="auto"/>
              <w:bottom w:val="single" w:sz="6" w:space="0" w:color="auto"/>
              <w:right w:val="nil"/>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45,8</w:t>
            </w:r>
          </w:p>
        </w:tc>
        <w:tc>
          <w:tcPr>
            <w:tcW w:w="1180" w:type="dxa"/>
            <w:tcBorders>
              <w:top w:val="single" w:sz="12" w:space="0" w:color="auto"/>
              <w:left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+8</w:t>
            </w:r>
          </w:p>
        </w:tc>
        <w:tc>
          <w:tcPr>
            <w:tcW w:w="1231" w:type="dxa"/>
            <w:tcBorders>
              <w:top w:val="single" w:sz="12" w:space="0" w:color="auto"/>
              <w:bottom w:val="single" w:sz="6" w:space="0" w:color="auto"/>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+0,8</w:t>
            </w:r>
          </w:p>
        </w:tc>
      </w:tr>
      <w:tr w:rsidR="00027ABA" w:rsidRPr="00C239C3" w:rsidTr="00027ABA">
        <w:trPr>
          <w:trHeight w:val="241"/>
        </w:trPr>
        <w:tc>
          <w:tcPr>
            <w:tcW w:w="1959" w:type="dxa"/>
            <w:tcBorders>
              <w:top w:val="single" w:sz="6" w:space="0" w:color="auto"/>
              <w:bottom w:val="nil"/>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50 až 249</w:t>
            </w:r>
          </w:p>
        </w:tc>
        <w:tc>
          <w:tcPr>
            <w:tcW w:w="1230" w:type="dxa"/>
            <w:tcBorders>
              <w:top w:val="single" w:sz="6" w:space="0" w:color="auto"/>
              <w:left w:val="single" w:sz="12" w:space="0" w:color="auto"/>
              <w:bottom w:val="nil"/>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988</w:t>
            </w:r>
          </w:p>
        </w:tc>
        <w:tc>
          <w:tcPr>
            <w:tcW w:w="1181" w:type="dxa"/>
            <w:tcBorders>
              <w:top w:val="single" w:sz="6" w:space="0" w:color="auto"/>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44,3</w:t>
            </w:r>
          </w:p>
        </w:tc>
        <w:tc>
          <w:tcPr>
            <w:tcW w:w="1281" w:type="dxa"/>
            <w:tcBorders>
              <w:top w:val="single" w:sz="6" w:space="0" w:color="auto"/>
              <w:bottom w:val="nil"/>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999</w:t>
            </w:r>
          </w:p>
        </w:tc>
        <w:tc>
          <w:tcPr>
            <w:tcW w:w="1281" w:type="dxa"/>
            <w:tcBorders>
              <w:top w:val="single" w:sz="6" w:space="0" w:color="auto"/>
              <w:bottom w:val="nil"/>
              <w:right w:val="nil"/>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44,2</w:t>
            </w:r>
          </w:p>
        </w:tc>
        <w:tc>
          <w:tcPr>
            <w:tcW w:w="1180" w:type="dxa"/>
            <w:tcBorders>
              <w:top w:val="single" w:sz="6" w:space="0" w:color="auto"/>
              <w:left w:val="single" w:sz="12" w:space="0" w:color="auto"/>
              <w:bottom w:val="nil"/>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+11</w:t>
            </w:r>
          </w:p>
        </w:tc>
        <w:tc>
          <w:tcPr>
            <w:tcW w:w="1231" w:type="dxa"/>
            <w:tcBorders>
              <w:top w:val="single" w:sz="6" w:space="0" w:color="auto"/>
              <w:bottom w:val="nil"/>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+1,1</w:t>
            </w:r>
          </w:p>
        </w:tc>
      </w:tr>
      <w:tr w:rsidR="00027ABA" w:rsidRPr="00C239C3" w:rsidTr="00027ABA">
        <w:trPr>
          <w:trHeight w:val="254"/>
        </w:trPr>
        <w:tc>
          <w:tcPr>
            <w:tcW w:w="1959" w:type="dxa"/>
            <w:tcBorders>
              <w:top w:val="single" w:sz="6" w:space="0" w:color="auto"/>
              <w:bottom w:val="single" w:sz="4" w:space="0" w:color="auto"/>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250 a více</w:t>
            </w:r>
          </w:p>
        </w:tc>
        <w:tc>
          <w:tcPr>
            <w:tcW w:w="1230" w:type="dxa"/>
            <w:tcBorders>
              <w:top w:val="single" w:sz="6" w:space="0" w:color="auto"/>
              <w:left w:val="single" w:sz="12" w:space="0" w:color="auto"/>
              <w:bottom w:val="single" w:sz="4" w:space="0" w:color="auto"/>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217</w:t>
            </w:r>
          </w:p>
        </w:tc>
        <w:tc>
          <w:tcPr>
            <w:tcW w:w="1181" w:type="dxa"/>
            <w:tcBorders>
              <w:top w:val="single" w:sz="6" w:space="0" w:color="auto"/>
              <w:bottom w:val="single" w:sz="4" w:space="0" w:color="auto"/>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9,7</w:t>
            </w:r>
          </w:p>
        </w:tc>
        <w:tc>
          <w:tcPr>
            <w:tcW w:w="1281" w:type="dxa"/>
            <w:tcBorders>
              <w:top w:val="single" w:sz="6" w:space="0" w:color="auto"/>
              <w:bottom w:val="single" w:sz="4"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227</w:t>
            </w:r>
          </w:p>
        </w:tc>
        <w:tc>
          <w:tcPr>
            <w:tcW w:w="1281" w:type="dxa"/>
            <w:tcBorders>
              <w:top w:val="single" w:sz="6" w:space="0" w:color="auto"/>
              <w:bottom w:val="single" w:sz="4" w:space="0" w:color="auto"/>
              <w:right w:val="nil"/>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10,0</w:t>
            </w:r>
          </w:p>
        </w:tc>
        <w:tc>
          <w:tcPr>
            <w:tcW w:w="1180" w:type="dxa"/>
            <w:tcBorders>
              <w:top w:val="single" w:sz="6" w:space="0" w:color="auto"/>
              <w:left w:val="single" w:sz="12" w:space="0" w:color="auto"/>
              <w:bottom w:val="single" w:sz="4"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+10</w:t>
            </w:r>
          </w:p>
        </w:tc>
        <w:tc>
          <w:tcPr>
            <w:tcW w:w="1231" w:type="dxa"/>
            <w:tcBorders>
              <w:top w:val="single" w:sz="6" w:space="0" w:color="auto"/>
              <w:bottom w:val="single" w:sz="4" w:space="0" w:color="auto"/>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+4,6</w:t>
            </w:r>
          </w:p>
        </w:tc>
      </w:tr>
      <w:tr w:rsidR="00027ABA" w:rsidRPr="00C239C3" w:rsidTr="00027ABA">
        <w:trPr>
          <w:trHeight w:val="241"/>
        </w:trPr>
        <w:tc>
          <w:tcPr>
            <w:tcW w:w="1959" w:type="dxa"/>
            <w:tcBorders>
              <w:top w:val="single" w:sz="12" w:space="0" w:color="auto"/>
              <w:bottom w:val="single" w:sz="12" w:space="0" w:color="auto"/>
              <w:right w:val="nil"/>
            </w:tcBorders>
          </w:tcPr>
          <w:p w:rsidR="00027ABA" w:rsidRPr="00C239C3" w:rsidRDefault="00027ABA" w:rsidP="00027ABA">
            <w:pPr>
              <w:pStyle w:val="Texttabulky"/>
              <w:rPr>
                <w:rFonts w:asciiTheme="minorHAnsi" w:hAnsiTheme="minorHAnsi" w:cstheme="minorHAnsi"/>
                <w:b/>
                <w:color w:val="auto"/>
              </w:rPr>
            </w:pPr>
            <w:r w:rsidRPr="00C239C3">
              <w:rPr>
                <w:rFonts w:asciiTheme="minorHAnsi" w:hAnsiTheme="minorHAnsi" w:cstheme="minorHAnsi"/>
                <w:b/>
                <w:color w:val="auto"/>
              </w:rPr>
              <w:t>celkem</w:t>
            </w:r>
          </w:p>
        </w:tc>
        <w:tc>
          <w:tcPr>
            <w:tcW w:w="1230" w:type="dxa"/>
            <w:tcBorders>
              <w:top w:val="single" w:sz="12" w:space="0" w:color="auto"/>
              <w:left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sidRPr="00C239C3">
              <w:rPr>
                <w:rFonts w:asciiTheme="minorHAnsi" w:hAnsiTheme="minorHAnsi" w:cstheme="minorHAnsi"/>
                <w:b/>
                <w:bCs/>
                <w:sz w:val="24"/>
                <w:szCs w:val="24"/>
              </w:rPr>
              <w:t>2 232</w:t>
            </w:r>
          </w:p>
        </w:tc>
        <w:tc>
          <w:tcPr>
            <w:tcW w:w="1181" w:type="dxa"/>
            <w:tcBorders>
              <w:top w:val="single" w:sz="12" w:space="0" w:color="auto"/>
              <w:bottom w:val="single" w:sz="12" w:space="0" w:color="auto"/>
            </w:tcBorders>
          </w:tcPr>
          <w:p w:rsidR="00027ABA" w:rsidRPr="00C239C3" w:rsidRDefault="00027ABA" w:rsidP="00027ABA">
            <w:pPr>
              <w:pStyle w:val="Texttabulky"/>
              <w:jc w:val="center"/>
              <w:rPr>
                <w:rFonts w:asciiTheme="minorHAnsi" w:hAnsiTheme="minorHAnsi" w:cstheme="minorHAnsi"/>
                <w:b/>
                <w:color w:val="auto"/>
              </w:rPr>
            </w:pPr>
            <w:r w:rsidRPr="00C239C3">
              <w:rPr>
                <w:rFonts w:asciiTheme="minorHAnsi" w:hAnsiTheme="minorHAnsi" w:cstheme="minorHAnsi"/>
                <w:b/>
                <w:color w:val="auto"/>
              </w:rPr>
              <w:t>100,0</w:t>
            </w:r>
          </w:p>
        </w:tc>
        <w:tc>
          <w:tcPr>
            <w:tcW w:w="1281" w:type="dxa"/>
            <w:tcBorders>
              <w:top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Pr>
                <w:rFonts w:asciiTheme="minorHAnsi" w:hAnsiTheme="minorHAnsi" w:cstheme="minorHAnsi"/>
                <w:b/>
                <w:bCs/>
                <w:sz w:val="24"/>
                <w:szCs w:val="24"/>
              </w:rPr>
              <w:t>2 261</w:t>
            </w:r>
          </w:p>
        </w:tc>
        <w:tc>
          <w:tcPr>
            <w:tcW w:w="1281" w:type="dxa"/>
            <w:tcBorders>
              <w:top w:val="single" w:sz="12" w:space="0" w:color="auto"/>
              <w:bottom w:val="single" w:sz="12" w:space="0" w:color="auto"/>
              <w:right w:val="nil"/>
            </w:tcBorders>
          </w:tcPr>
          <w:p w:rsidR="00027ABA" w:rsidRPr="00C239C3" w:rsidRDefault="00027ABA" w:rsidP="00027ABA">
            <w:pPr>
              <w:pStyle w:val="Texttabulky"/>
              <w:jc w:val="center"/>
              <w:rPr>
                <w:rFonts w:asciiTheme="minorHAnsi" w:hAnsiTheme="minorHAnsi" w:cstheme="minorHAnsi"/>
                <w:b/>
                <w:color w:val="auto"/>
              </w:rPr>
            </w:pPr>
            <w:r w:rsidRPr="00C239C3">
              <w:rPr>
                <w:rFonts w:asciiTheme="minorHAnsi" w:hAnsiTheme="minorHAnsi" w:cstheme="minorHAnsi"/>
                <w:b/>
                <w:color w:val="auto"/>
              </w:rPr>
              <w:t>100,0</w:t>
            </w:r>
          </w:p>
        </w:tc>
        <w:tc>
          <w:tcPr>
            <w:tcW w:w="1180" w:type="dxa"/>
            <w:tcBorders>
              <w:top w:val="single" w:sz="12" w:space="0" w:color="auto"/>
              <w:left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Pr>
                <w:rFonts w:asciiTheme="minorHAnsi" w:hAnsiTheme="minorHAnsi" w:cstheme="minorHAnsi"/>
                <w:b/>
                <w:bCs/>
                <w:sz w:val="24"/>
                <w:szCs w:val="24"/>
              </w:rPr>
              <w:t>+29</w:t>
            </w:r>
          </w:p>
        </w:tc>
        <w:tc>
          <w:tcPr>
            <w:tcW w:w="1231" w:type="dxa"/>
            <w:tcBorders>
              <w:top w:val="single" w:sz="12" w:space="0" w:color="auto"/>
              <w:bottom w:val="single" w:sz="12" w:space="0" w:color="auto"/>
              <w:right w:val="single" w:sz="12" w:space="0" w:color="auto"/>
            </w:tcBorders>
          </w:tcPr>
          <w:p w:rsidR="00027ABA" w:rsidRPr="00C239C3" w:rsidRDefault="00027ABA" w:rsidP="00027ABA">
            <w:pPr>
              <w:pStyle w:val="Texttabulky"/>
              <w:jc w:val="center"/>
              <w:rPr>
                <w:rFonts w:asciiTheme="minorHAnsi" w:hAnsiTheme="minorHAnsi" w:cstheme="minorHAnsi"/>
                <w:b/>
                <w:color w:val="auto"/>
              </w:rPr>
            </w:pPr>
            <w:r>
              <w:rPr>
                <w:rFonts w:asciiTheme="minorHAnsi" w:hAnsiTheme="minorHAnsi" w:cstheme="minorHAnsi"/>
                <w:b/>
                <w:color w:val="auto"/>
              </w:rPr>
              <w:t>+1,3</w:t>
            </w:r>
          </w:p>
        </w:tc>
      </w:tr>
    </w:tbl>
    <w:p w:rsidR="00027ABA" w:rsidRPr="00C239C3" w:rsidRDefault="00027ABA" w:rsidP="00027ABA">
      <w:pPr>
        <w:rPr>
          <w:rFonts w:asciiTheme="minorHAnsi" w:hAnsiTheme="minorHAnsi" w:cstheme="minorHAnsi"/>
          <w:sz w:val="24"/>
          <w:szCs w:val="24"/>
        </w:rPr>
      </w:pPr>
    </w:p>
    <w:p w:rsidR="00027ABA" w:rsidRPr="00C239C3" w:rsidRDefault="00027ABA" w:rsidP="00027ABA">
      <w:pPr>
        <w:pStyle w:val="Zkladntextodsazen"/>
        <w:rPr>
          <w:rFonts w:asciiTheme="minorHAnsi" w:hAnsiTheme="minorHAnsi" w:cstheme="minorHAnsi"/>
        </w:rPr>
      </w:pPr>
      <w:r>
        <w:rPr>
          <w:rFonts w:asciiTheme="minorHAnsi" w:hAnsiTheme="minorHAnsi" w:cstheme="minorHAnsi"/>
        </w:rPr>
        <w:t xml:space="preserve">K celkovému ročnímu navýšení </w:t>
      </w:r>
      <w:r w:rsidRPr="00C239C3">
        <w:rPr>
          <w:rFonts w:asciiTheme="minorHAnsi" w:hAnsiTheme="minorHAnsi" w:cstheme="minorHAnsi"/>
        </w:rPr>
        <w:t>počtu zaměstnavatelských subjektů půs</w:t>
      </w:r>
      <w:r>
        <w:rPr>
          <w:rFonts w:asciiTheme="minorHAnsi" w:hAnsiTheme="minorHAnsi" w:cstheme="minorHAnsi"/>
        </w:rPr>
        <w:t>obících na trhu práce v MSK o 29 zaměstnavatelů (+1,3</w:t>
      </w:r>
      <w:r w:rsidRPr="00C239C3">
        <w:rPr>
          <w:rFonts w:asciiTheme="minorHAnsi" w:hAnsiTheme="minorHAnsi" w:cstheme="minorHAnsi"/>
        </w:rPr>
        <w:t xml:space="preserve"> %) přispěly monitorované firmy všech</w:t>
      </w:r>
      <w:r>
        <w:rPr>
          <w:rFonts w:asciiTheme="minorHAnsi" w:hAnsiTheme="minorHAnsi" w:cstheme="minorHAnsi"/>
        </w:rPr>
        <w:t xml:space="preserve"> kategorií. K největšímu nárůstu </w:t>
      </w:r>
      <w:r w:rsidRPr="00C239C3">
        <w:rPr>
          <w:rFonts w:asciiTheme="minorHAnsi" w:hAnsiTheme="minorHAnsi" w:cstheme="minorHAnsi"/>
        </w:rPr>
        <w:t xml:space="preserve">došlo u </w:t>
      </w:r>
      <w:r>
        <w:rPr>
          <w:rFonts w:asciiTheme="minorHAnsi" w:hAnsiTheme="minorHAnsi" w:cstheme="minorHAnsi"/>
        </w:rPr>
        <w:t>organizací v kategorii 50</w:t>
      </w:r>
      <w:r w:rsidRPr="00C239C3">
        <w:rPr>
          <w:rFonts w:asciiTheme="minorHAnsi" w:hAnsiTheme="minorHAnsi" w:cstheme="minorHAnsi"/>
        </w:rPr>
        <w:t>-</w:t>
      </w:r>
      <w:r>
        <w:rPr>
          <w:rFonts w:asciiTheme="minorHAnsi" w:hAnsiTheme="minorHAnsi" w:cstheme="minorHAnsi"/>
        </w:rPr>
        <w:t xml:space="preserve">249 zaměstnanců (+11), následuje kategorie 250 a více zaměstnanců (+10) a </w:t>
      </w:r>
      <w:r w:rsidR="004A0813">
        <w:rPr>
          <w:rFonts w:asciiTheme="minorHAnsi" w:hAnsiTheme="minorHAnsi" w:cstheme="minorHAnsi"/>
        </w:rPr>
        <w:t xml:space="preserve">nakonec malé firmy s maximálně </w:t>
      </w:r>
      <w:r>
        <w:rPr>
          <w:rFonts w:asciiTheme="minorHAnsi" w:hAnsiTheme="minorHAnsi" w:cstheme="minorHAnsi"/>
        </w:rPr>
        <w:t>49 zaměstnanci (+8).</w:t>
      </w:r>
    </w:p>
    <w:p w:rsidR="00027ABA" w:rsidRPr="00C239C3" w:rsidRDefault="00027ABA" w:rsidP="00027ABA">
      <w:pPr>
        <w:pStyle w:val="Zkladntextodsazen"/>
        <w:rPr>
          <w:rFonts w:asciiTheme="minorHAnsi" w:hAnsiTheme="minorHAnsi" w:cstheme="minorHAnsi"/>
        </w:rPr>
      </w:pPr>
      <w:r w:rsidRPr="00C239C3">
        <w:rPr>
          <w:rFonts w:asciiTheme="minorHAnsi" w:hAnsiTheme="minorHAnsi" w:cstheme="minorHAnsi"/>
        </w:rPr>
        <w:t xml:space="preserve"> </w:t>
      </w:r>
    </w:p>
    <w:p w:rsidR="00027ABA" w:rsidRPr="00C239C3" w:rsidRDefault="00027ABA" w:rsidP="00B521BC">
      <w:pPr>
        <w:pStyle w:val="Zkladntext"/>
        <w:spacing w:after="0"/>
        <w:jc w:val="both"/>
        <w:rPr>
          <w:rFonts w:asciiTheme="minorHAnsi" w:hAnsiTheme="minorHAnsi" w:cstheme="minorHAnsi"/>
          <w:b/>
          <w:sz w:val="24"/>
          <w:szCs w:val="24"/>
        </w:rPr>
      </w:pPr>
      <w:r w:rsidRPr="00C239C3">
        <w:rPr>
          <w:rFonts w:asciiTheme="minorHAnsi" w:hAnsiTheme="minorHAnsi" w:cstheme="minorHAnsi"/>
          <w:b/>
          <w:sz w:val="24"/>
          <w:szCs w:val="24"/>
        </w:rPr>
        <w:t>Tabulka II/2</w:t>
      </w:r>
      <w:r w:rsidRPr="00C239C3">
        <w:rPr>
          <w:rFonts w:asciiTheme="minorHAnsi" w:hAnsiTheme="minorHAnsi" w:cstheme="minorHAnsi"/>
          <w:sz w:val="24"/>
          <w:szCs w:val="24"/>
        </w:rPr>
        <w:t xml:space="preserve"> - Zaměstnanost podle počtu zaměstnanců v organizacích - zaměstnanci u firem se stavem 26 a více osob</w:t>
      </w:r>
    </w:p>
    <w:tbl>
      <w:tblPr>
        <w:tblW w:w="9328" w:type="dxa"/>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956"/>
        <w:gridCol w:w="1228"/>
        <w:gridCol w:w="1179"/>
        <w:gridCol w:w="1279"/>
        <w:gridCol w:w="1279"/>
        <w:gridCol w:w="1178"/>
        <w:gridCol w:w="1229"/>
      </w:tblGrid>
      <w:tr w:rsidR="00027ABA" w:rsidRPr="00C239C3" w:rsidTr="00027ABA">
        <w:trPr>
          <w:cantSplit/>
          <w:trHeight w:val="295"/>
        </w:trPr>
        <w:tc>
          <w:tcPr>
            <w:tcW w:w="1956" w:type="dxa"/>
            <w:vMerge w:val="restart"/>
            <w:tcBorders>
              <w:top w:val="single" w:sz="12" w:space="0" w:color="auto"/>
              <w:bottom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r w:rsidRPr="00C239C3">
              <w:rPr>
                <w:rFonts w:asciiTheme="minorHAnsi" w:hAnsiTheme="minorHAnsi" w:cstheme="minorHAnsi"/>
                <w:sz w:val="24"/>
                <w:szCs w:val="24"/>
              </w:rPr>
              <w:t>kategorie</w:t>
            </w:r>
          </w:p>
        </w:tc>
        <w:tc>
          <w:tcPr>
            <w:tcW w:w="2407" w:type="dxa"/>
            <w:gridSpan w:val="2"/>
            <w:tcBorders>
              <w:top w:val="single" w:sz="12" w:space="0" w:color="auto"/>
              <w:left w:val="nil"/>
              <w:bottom w:val="nil"/>
              <w:right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k 31.12.201</w:t>
            </w:r>
            <w:r>
              <w:rPr>
                <w:rFonts w:asciiTheme="minorHAnsi" w:hAnsiTheme="minorHAnsi" w:cstheme="minorHAnsi"/>
                <w:color w:val="auto"/>
              </w:rPr>
              <w:t>3</w:t>
            </w:r>
          </w:p>
        </w:tc>
        <w:tc>
          <w:tcPr>
            <w:tcW w:w="2558" w:type="dxa"/>
            <w:gridSpan w:val="2"/>
            <w:tcBorders>
              <w:top w:val="single" w:sz="12" w:space="0" w:color="auto"/>
              <w:left w:val="single" w:sz="4" w:space="0" w:color="auto"/>
              <w:bottom w:val="nil"/>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k 31.12.201</w:t>
            </w:r>
            <w:r>
              <w:rPr>
                <w:rFonts w:asciiTheme="minorHAnsi" w:hAnsiTheme="minorHAnsi" w:cstheme="minorHAnsi"/>
                <w:color w:val="auto"/>
              </w:rPr>
              <w:t>4</w:t>
            </w:r>
          </w:p>
        </w:tc>
        <w:tc>
          <w:tcPr>
            <w:tcW w:w="2407" w:type="dxa"/>
            <w:gridSpan w:val="2"/>
            <w:tcBorders>
              <w:top w:val="single" w:sz="12" w:space="0" w:color="auto"/>
              <w:left w:val="single" w:sz="4" w:space="0" w:color="auto"/>
              <w:bottom w:val="nil"/>
              <w:right w:val="single" w:sz="12" w:space="0" w:color="auto"/>
            </w:tcBorders>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12/2014</w:t>
            </w:r>
            <w:r w:rsidRPr="00C239C3">
              <w:rPr>
                <w:rFonts w:asciiTheme="minorHAnsi" w:hAnsiTheme="minorHAnsi" w:cstheme="minorHAnsi"/>
                <w:color w:val="auto"/>
              </w:rPr>
              <w:t xml:space="preserve"> - 12/201</w:t>
            </w:r>
            <w:r>
              <w:rPr>
                <w:rFonts w:asciiTheme="minorHAnsi" w:hAnsiTheme="minorHAnsi" w:cstheme="minorHAnsi"/>
                <w:color w:val="auto"/>
              </w:rPr>
              <w:t>3</w:t>
            </w:r>
          </w:p>
        </w:tc>
      </w:tr>
      <w:tr w:rsidR="00027ABA" w:rsidRPr="00C239C3" w:rsidTr="00027ABA">
        <w:trPr>
          <w:cantSplit/>
          <w:trHeight w:val="148"/>
        </w:trPr>
        <w:tc>
          <w:tcPr>
            <w:tcW w:w="1956" w:type="dxa"/>
            <w:vMerge/>
            <w:tcBorders>
              <w:top w:val="single" w:sz="6" w:space="0" w:color="auto"/>
              <w:bottom w:val="single" w:sz="12" w:space="0" w:color="auto"/>
              <w:right w:val="single" w:sz="12" w:space="0" w:color="auto"/>
            </w:tcBorders>
          </w:tcPr>
          <w:p w:rsidR="00027ABA" w:rsidRPr="00C239C3" w:rsidRDefault="00027ABA" w:rsidP="00027ABA">
            <w:pPr>
              <w:rPr>
                <w:rFonts w:asciiTheme="minorHAnsi" w:hAnsiTheme="minorHAnsi" w:cstheme="minorHAnsi"/>
              </w:rPr>
            </w:pPr>
          </w:p>
        </w:tc>
        <w:tc>
          <w:tcPr>
            <w:tcW w:w="1228" w:type="dxa"/>
            <w:tcBorders>
              <w:left w:val="nil"/>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179" w:type="dxa"/>
            <w:tcBorders>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c>
          <w:tcPr>
            <w:tcW w:w="1279" w:type="dxa"/>
            <w:tcBorders>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279" w:type="dxa"/>
            <w:tcBorders>
              <w:top w:val="single" w:sz="6" w:space="0" w:color="auto"/>
              <w:bottom w:val="nil"/>
              <w:right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c>
          <w:tcPr>
            <w:tcW w:w="1178" w:type="dxa"/>
            <w:tcBorders>
              <w:top w:val="single" w:sz="6" w:space="0" w:color="auto"/>
              <w:left w:val="single" w:sz="12" w:space="0" w:color="auto"/>
              <w:bottom w:val="nil"/>
            </w:tcBorders>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absolutně</w:t>
            </w:r>
          </w:p>
        </w:tc>
        <w:tc>
          <w:tcPr>
            <w:tcW w:w="1229" w:type="dxa"/>
            <w:tcBorders>
              <w:bottom w:val="nil"/>
              <w:right w:val="single" w:sz="12" w:space="0" w:color="auto"/>
            </w:tcBorders>
            <w:vAlign w:val="center"/>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w:t>
            </w:r>
          </w:p>
        </w:tc>
      </w:tr>
      <w:tr w:rsidR="00027ABA" w:rsidRPr="00C239C3" w:rsidTr="00027ABA">
        <w:trPr>
          <w:trHeight w:val="279"/>
        </w:trPr>
        <w:tc>
          <w:tcPr>
            <w:tcW w:w="1956" w:type="dxa"/>
            <w:tcBorders>
              <w:top w:val="nil"/>
              <w:bottom w:val="single" w:sz="6" w:space="0" w:color="auto"/>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1 až 49</w:t>
            </w:r>
          </w:p>
        </w:tc>
        <w:tc>
          <w:tcPr>
            <w:tcW w:w="1228" w:type="dxa"/>
            <w:tcBorders>
              <w:top w:val="single" w:sz="12" w:space="0" w:color="auto"/>
              <w:left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33 966</w:t>
            </w:r>
          </w:p>
        </w:tc>
        <w:tc>
          <w:tcPr>
            <w:tcW w:w="1179" w:type="dxa"/>
            <w:tcBorders>
              <w:top w:val="single" w:sz="12" w:space="0" w:color="auto"/>
              <w:bottom w:val="single" w:sz="6" w:space="0" w:color="auto"/>
            </w:tcBorders>
            <w:vAlign w:val="center"/>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12,1</w:t>
            </w:r>
          </w:p>
        </w:tc>
        <w:tc>
          <w:tcPr>
            <w:tcW w:w="1279" w:type="dxa"/>
            <w:tcBorders>
              <w:top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34 423</w:t>
            </w:r>
          </w:p>
        </w:tc>
        <w:tc>
          <w:tcPr>
            <w:tcW w:w="1279" w:type="dxa"/>
            <w:tcBorders>
              <w:top w:val="single" w:sz="12" w:space="0" w:color="auto"/>
              <w:bottom w:val="single" w:sz="6" w:space="0" w:color="auto"/>
              <w:right w:val="nil"/>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12,0</w:t>
            </w:r>
          </w:p>
        </w:tc>
        <w:tc>
          <w:tcPr>
            <w:tcW w:w="1178" w:type="dxa"/>
            <w:tcBorders>
              <w:top w:val="single" w:sz="12" w:space="0" w:color="auto"/>
              <w:left w:val="single" w:sz="12" w:space="0" w:color="auto"/>
              <w:bottom w:val="single" w:sz="6" w:space="0" w:color="auto"/>
            </w:tcBorders>
            <w:vAlign w:val="bottom"/>
          </w:tcPr>
          <w:p w:rsidR="00027ABA" w:rsidRPr="00C239C3" w:rsidRDefault="00027ABA" w:rsidP="00027ABA">
            <w:pPr>
              <w:jc w:val="center"/>
              <w:rPr>
                <w:rFonts w:asciiTheme="minorHAnsi" w:hAnsiTheme="minorHAnsi" w:cstheme="minorHAnsi"/>
                <w:sz w:val="24"/>
                <w:szCs w:val="24"/>
              </w:rPr>
            </w:pPr>
            <w:r>
              <w:rPr>
                <w:rFonts w:asciiTheme="minorHAnsi" w:hAnsiTheme="minorHAnsi" w:cstheme="minorHAnsi"/>
                <w:sz w:val="24"/>
                <w:szCs w:val="24"/>
              </w:rPr>
              <w:t>+457</w:t>
            </w:r>
          </w:p>
        </w:tc>
        <w:tc>
          <w:tcPr>
            <w:tcW w:w="1229" w:type="dxa"/>
            <w:tcBorders>
              <w:top w:val="single" w:sz="12" w:space="0" w:color="auto"/>
              <w:bottom w:val="single" w:sz="6" w:space="0" w:color="auto"/>
              <w:right w:val="single" w:sz="12" w:space="0" w:color="auto"/>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+1,3</w:t>
            </w:r>
          </w:p>
        </w:tc>
      </w:tr>
      <w:tr w:rsidR="00027ABA" w:rsidRPr="00C239C3" w:rsidTr="00027ABA">
        <w:trPr>
          <w:trHeight w:val="295"/>
        </w:trPr>
        <w:tc>
          <w:tcPr>
            <w:tcW w:w="1956" w:type="dxa"/>
            <w:tcBorders>
              <w:top w:val="single" w:sz="6" w:space="0" w:color="auto"/>
              <w:bottom w:val="nil"/>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50 až 249</w:t>
            </w:r>
          </w:p>
        </w:tc>
        <w:tc>
          <w:tcPr>
            <w:tcW w:w="1228" w:type="dxa"/>
            <w:tcBorders>
              <w:top w:val="single" w:sz="6" w:space="0" w:color="auto"/>
              <w:left w:val="single" w:sz="12" w:space="0" w:color="auto"/>
              <w:bottom w:val="nil"/>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101 359</w:t>
            </w:r>
          </w:p>
        </w:tc>
        <w:tc>
          <w:tcPr>
            <w:tcW w:w="1179" w:type="dxa"/>
            <w:tcBorders>
              <w:top w:val="single" w:sz="6" w:space="0" w:color="auto"/>
              <w:bottom w:val="nil"/>
            </w:tcBorders>
            <w:vAlign w:val="center"/>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36,1</w:t>
            </w:r>
          </w:p>
        </w:tc>
        <w:tc>
          <w:tcPr>
            <w:tcW w:w="1279" w:type="dxa"/>
            <w:tcBorders>
              <w:top w:val="single" w:sz="6" w:space="0" w:color="auto"/>
              <w:bottom w:val="nil"/>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102 963</w:t>
            </w:r>
          </w:p>
        </w:tc>
        <w:tc>
          <w:tcPr>
            <w:tcW w:w="1279" w:type="dxa"/>
            <w:tcBorders>
              <w:top w:val="single" w:sz="6" w:space="0" w:color="auto"/>
              <w:bottom w:val="nil"/>
              <w:right w:val="nil"/>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35,9</w:t>
            </w:r>
          </w:p>
        </w:tc>
        <w:tc>
          <w:tcPr>
            <w:tcW w:w="1178" w:type="dxa"/>
            <w:tcBorders>
              <w:top w:val="single" w:sz="6" w:space="0" w:color="auto"/>
              <w:left w:val="single" w:sz="12" w:space="0" w:color="auto"/>
              <w:bottom w:val="nil"/>
            </w:tcBorders>
            <w:vAlign w:val="bottom"/>
          </w:tcPr>
          <w:p w:rsidR="00027ABA" w:rsidRPr="00C239C3" w:rsidRDefault="00027ABA" w:rsidP="00027ABA">
            <w:pPr>
              <w:jc w:val="center"/>
              <w:rPr>
                <w:rFonts w:asciiTheme="minorHAnsi" w:hAnsiTheme="minorHAnsi" w:cstheme="minorHAnsi"/>
                <w:sz w:val="24"/>
                <w:szCs w:val="24"/>
              </w:rPr>
            </w:pPr>
            <w:r>
              <w:rPr>
                <w:rFonts w:asciiTheme="minorHAnsi" w:hAnsiTheme="minorHAnsi" w:cstheme="minorHAnsi"/>
                <w:sz w:val="24"/>
                <w:szCs w:val="24"/>
              </w:rPr>
              <w:t>+1 604</w:t>
            </w:r>
          </w:p>
        </w:tc>
        <w:tc>
          <w:tcPr>
            <w:tcW w:w="1229" w:type="dxa"/>
            <w:tcBorders>
              <w:top w:val="single" w:sz="6" w:space="0" w:color="auto"/>
              <w:bottom w:val="nil"/>
              <w:right w:val="single" w:sz="12" w:space="0" w:color="auto"/>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+1,6</w:t>
            </w:r>
          </w:p>
        </w:tc>
      </w:tr>
      <w:tr w:rsidR="00027ABA" w:rsidRPr="00C239C3" w:rsidTr="00027ABA">
        <w:trPr>
          <w:trHeight w:val="295"/>
        </w:trPr>
        <w:tc>
          <w:tcPr>
            <w:tcW w:w="1956" w:type="dxa"/>
            <w:tcBorders>
              <w:top w:val="single" w:sz="6" w:space="0" w:color="auto"/>
              <w:bottom w:val="single" w:sz="4" w:space="0" w:color="auto"/>
              <w:right w:val="nil"/>
            </w:tcBorders>
          </w:tcPr>
          <w:p w:rsidR="00027ABA" w:rsidRPr="00C239C3" w:rsidRDefault="00027ABA" w:rsidP="00027ABA">
            <w:pPr>
              <w:pStyle w:val="Texttabulky"/>
              <w:rPr>
                <w:rFonts w:asciiTheme="minorHAnsi" w:hAnsiTheme="minorHAnsi" w:cstheme="minorHAnsi"/>
                <w:color w:val="auto"/>
              </w:rPr>
            </w:pPr>
            <w:r w:rsidRPr="00C239C3">
              <w:rPr>
                <w:rFonts w:asciiTheme="minorHAnsi" w:hAnsiTheme="minorHAnsi" w:cstheme="minorHAnsi"/>
                <w:color w:val="auto"/>
              </w:rPr>
              <w:t>250 a více</w:t>
            </w:r>
          </w:p>
        </w:tc>
        <w:tc>
          <w:tcPr>
            <w:tcW w:w="1228" w:type="dxa"/>
            <w:tcBorders>
              <w:top w:val="single" w:sz="6" w:space="0" w:color="auto"/>
              <w:left w:val="single" w:sz="12" w:space="0" w:color="auto"/>
              <w:bottom w:val="single" w:sz="4" w:space="0" w:color="auto"/>
            </w:tcBorders>
            <w:vAlign w:val="bottom"/>
          </w:tcPr>
          <w:p w:rsidR="00027ABA" w:rsidRPr="00C239C3" w:rsidRDefault="00027ABA" w:rsidP="00027ABA">
            <w:pPr>
              <w:jc w:val="center"/>
              <w:rPr>
                <w:rFonts w:asciiTheme="minorHAnsi" w:hAnsiTheme="minorHAnsi" w:cstheme="minorHAnsi"/>
                <w:bCs/>
                <w:sz w:val="24"/>
                <w:szCs w:val="24"/>
              </w:rPr>
            </w:pPr>
            <w:r w:rsidRPr="00C239C3">
              <w:rPr>
                <w:rFonts w:asciiTheme="minorHAnsi" w:hAnsiTheme="minorHAnsi" w:cstheme="minorHAnsi"/>
                <w:bCs/>
                <w:sz w:val="24"/>
                <w:szCs w:val="24"/>
              </w:rPr>
              <w:t>145 244</w:t>
            </w:r>
          </w:p>
        </w:tc>
        <w:tc>
          <w:tcPr>
            <w:tcW w:w="1179" w:type="dxa"/>
            <w:tcBorders>
              <w:top w:val="single" w:sz="6" w:space="0" w:color="auto"/>
              <w:bottom w:val="single" w:sz="4" w:space="0" w:color="auto"/>
            </w:tcBorders>
            <w:vAlign w:val="center"/>
          </w:tcPr>
          <w:p w:rsidR="00027ABA" w:rsidRPr="00C239C3" w:rsidRDefault="00027ABA" w:rsidP="00027ABA">
            <w:pPr>
              <w:pStyle w:val="Texttabulky"/>
              <w:jc w:val="center"/>
              <w:rPr>
                <w:rFonts w:asciiTheme="minorHAnsi" w:hAnsiTheme="minorHAnsi" w:cstheme="minorHAnsi"/>
                <w:color w:val="auto"/>
              </w:rPr>
            </w:pPr>
            <w:r w:rsidRPr="00C239C3">
              <w:rPr>
                <w:rFonts w:asciiTheme="minorHAnsi" w:hAnsiTheme="minorHAnsi" w:cstheme="minorHAnsi"/>
                <w:color w:val="auto"/>
              </w:rPr>
              <w:t>51,8</w:t>
            </w:r>
          </w:p>
        </w:tc>
        <w:tc>
          <w:tcPr>
            <w:tcW w:w="1279" w:type="dxa"/>
            <w:tcBorders>
              <w:top w:val="single" w:sz="6" w:space="0" w:color="auto"/>
              <w:bottom w:val="single" w:sz="4" w:space="0" w:color="auto"/>
            </w:tcBorders>
            <w:vAlign w:val="bottom"/>
          </w:tcPr>
          <w:p w:rsidR="00027ABA" w:rsidRPr="00C239C3"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149 572</w:t>
            </w:r>
          </w:p>
        </w:tc>
        <w:tc>
          <w:tcPr>
            <w:tcW w:w="1279" w:type="dxa"/>
            <w:tcBorders>
              <w:top w:val="single" w:sz="6" w:space="0" w:color="auto"/>
              <w:bottom w:val="single" w:sz="4" w:space="0" w:color="auto"/>
              <w:right w:val="nil"/>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52,1</w:t>
            </w:r>
          </w:p>
        </w:tc>
        <w:tc>
          <w:tcPr>
            <w:tcW w:w="1178" w:type="dxa"/>
            <w:tcBorders>
              <w:top w:val="single" w:sz="6" w:space="0" w:color="auto"/>
              <w:left w:val="single" w:sz="12" w:space="0" w:color="auto"/>
              <w:bottom w:val="single" w:sz="4" w:space="0" w:color="auto"/>
            </w:tcBorders>
            <w:vAlign w:val="bottom"/>
          </w:tcPr>
          <w:p w:rsidR="00027ABA" w:rsidRPr="00C239C3" w:rsidRDefault="00027ABA" w:rsidP="00027ABA">
            <w:pPr>
              <w:jc w:val="center"/>
              <w:rPr>
                <w:rFonts w:asciiTheme="minorHAnsi" w:hAnsiTheme="minorHAnsi" w:cstheme="minorHAnsi"/>
                <w:sz w:val="24"/>
                <w:szCs w:val="24"/>
              </w:rPr>
            </w:pPr>
            <w:r>
              <w:rPr>
                <w:rFonts w:asciiTheme="minorHAnsi" w:hAnsiTheme="minorHAnsi" w:cstheme="minorHAnsi"/>
                <w:sz w:val="24"/>
                <w:szCs w:val="24"/>
              </w:rPr>
              <w:t>+4 328</w:t>
            </w:r>
          </w:p>
        </w:tc>
        <w:tc>
          <w:tcPr>
            <w:tcW w:w="1229" w:type="dxa"/>
            <w:tcBorders>
              <w:top w:val="single" w:sz="6" w:space="0" w:color="auto"/>
              <w:bottom w:val="single" w:sz="4" w:space="0" w:color="auto"/>
              <w:right w:val="single" w:sz="12" w:space="0" w:color="auto"/>
            </w:tcBorders>
            <w:vAlign w:val="center"/>
          </w:tcPr>
          <w:p w:rsidR="00027ABA" w:rsidRPr="00C239C3"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+3,0</w:t>
            </w:r>
          </w:p>
        </w:tc>
      </w:tr>
      <w:tr w:rsidR="00027ABA" w:rsidRPr="00C239C3" w:rsidTr="00027ABA">
        <w:trPr>
          <w:trHeight w:val="279"/>
        </w:trPr>
        <w:tc>
          <w:tcPr>
            <w:tcW w:w="1956" w:type="dxa"/>
            <w:tcBorders>
              <w:top w:val="single" w:sz="12" w:space="0" w:color="auto"/>
              <w:bottom w:val="single" w:sz="12" w:space="0" w:color="auto"/>
              <w:right w:val="nil"/>
            </w:tcBorders>
          </w:tcPr>
          <w:p w:rsidR="00027ABA" w:rsidRPr="00C239C3" w:rsidRDefault="00027ABA" w:rsidP="00027ABA">
            <w:pPr>
              <w:pStyle w:val="Texttabulky"/>
              <w:rPr>
                <w:rFonts w:asciiTheme="minorHAnsi" w:hAnsiTheme="minorHAnsi" w:cstheme="minorHAnsi"/>
                <w:b/>
                <w:color w:val="auto"/>
              </w:rPr>
            </w:pPr>
            <w:r w:rsidRPr="00C239C3">
              <w:rPr>
                <w:rFonts w:asciiTheme="minorHAnsi" w:hAnsiTheme="minorHAnsi" w:cstheme="minorHAnsi"/>
                <w:b/>
                <w:color w:val="auto"/>
              </w:rPr>
              <w:t>celkem</w:t>
            </w:r>
          </w:p>
        </w:tc>
        <w:tc>
          <w:tcPr>
            <w:tcW w:w="1228" w:type="dxa"/>
            <w:tcBorders>
              <w:top w:val="single" w:sz="12" w:space="0" w:color="auto"/>
              <w:left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sidRPr="00C239C3">
              <w:rPr>
                <w:rFonts w:asciiTheme="minorHAnsi" w:hAnsiTheme="minorHAnsi" w:cstheme="minorHAnsi"/>
                <w:b/>
                <w:bCs/>
                <w:sz w:val="24"/>
                <w:szCs w:val="24"/>
              </w:rPr>
              <w:t>280 569</w:t>
            </w:r>
          </w:p>
        </w:tc>
        <w:tc>
          <w:tcPr>
            <w:tcW w:w="1179" w:type="dxa"/>
            <w:tcBorders>
              <w:top w:val="single" w:sz="12" w:space="0" w:color="auto"/>
              <w:bottom w:val="single" w:sz="12" w:space="0" w:color="auto"/>
            </w:tcBorders>
            <w:vAlign w:val="center"/>
          </w:tcPr>
          <w:p w:rsidR="00027ABA" w:rsidRPr="00C239C3" w:rsidRDefault="00027ABA" w:rsidP="00027ABA">
            <w:pPr>
              <w:pStyle w:val="Texttabulky"/>
              <w:jc w:val="center"/>
              <w:rPr>
                <w:rFonts w:asciiTheme="minorHAnsi" w:hAnsiTheme="minorHAnsi" w:cstheme="minorHAnsi"/>
                <w:b/>
                <w:color w:val="auto"/>
              </w:rPr>
            </w:pPr>
            <w:r w:rsidRPr="00C239C3">
              <w:rPr>
                <w:rFonts w:asciiTheme="minorHAnsi" w:hAnsiTheme="minorHAnsi" w:cstheme="minorHAnsi"/>
                <w:b/>
                <w:color w:val="auto"/>
              </w:rPr>
              <w:t>100,0</w:t>
            </w:r>
          </w:p>
        </w:tc>
        <w:tc>
          <w:tcPr>
            <w:tcW w:w="1279" w:type="dxa"/>
            <w:tcBorders>
              <w:top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Pr>
                <w:rFonts w:asciiTheme="minorHAnsi" w:hAnsiTheme="minorHAnsi" w:cstheme="minorHAnsi"/>
                <w:b/>
                <w:bCs/>
                <w:sz w:val="24"/>
                <w:szCs w:val="24"/>
              </w:rPr>
              <w:t>286 958</w:t>
            </w:r>
          </w:p>
        </w:tc>
        <w:tc>
          <w:tcPr>
            <w:tcW w:w="1279" w:type="dxa"/>
            <w:tcBorders>
              <w:top w:val="single" w:sz="12" w:space="0" w:color="auto"/>
              <w:bottom w:val="single" w:sz="12" w:space="0" w:color="auto"/>
              <w:right w:val="nil"/>
            </w:tcBorders>
            <w:vAlign w:val="center"/>
          </w:tcPr>
          <w:p w:rsidR="00027ABA" w:rsidRPr="00C239C3" w:rsidRDefault="00027ABA" w:rsidP="00027ABA">
            <w:pPr>
              <w:pStyle w:val="Texttabulky"/>
              <w:jc w:val="center"/>
              <w:rPr>
                <w:rFonts w:asciiTheme="minorHAnsi" w:hAnsiTheme="minorHAnsi" w:cstheme="minorHAnsi"/>
                <w:b/>
                <w:color w:val="auto"/>
              </w:rPr>
            </w:pPr>
            <w:r w:rsidRPr="00C239C3">
              <w:rPr>
                <w:rFonts w:asciiTheme="minorHAnsi" w:hAnsiTheme="minorHAnsi" w:cstheme="minorHAnsi"/>
                <w:b/>
                <w:color w:val="auto"/>
              </w:rPr>
              <w:t>100,0</w:t>
            </w:r>
          </w:p>
        </w:tc>
        <w:tc>
          <w:tcPr>
            <w:tcW w:w="1178" w:type="dxa"/>
            <w:tcBorders>
              <w:top w:val="single" w:sz="12" w:space="0" w:color="auto"/>
              <w:left w:val="single" w:sz="12" w:space="0" w:color="auto"/>
              <w:bottom w:val="single" w:sz="12" w:space="0" w:color="auto"/>
            </w:tcBorders>
            <w:vAlign w:val="bottom"/>
          </w:tcPr>
          <w:p w:rsidR="00027ABA" w:rsidRPr="00C239C3" w:rsidRDefault="00027ABA" w:rsidP="00027ABA">
            <w:pPr>
              <w:jc w:val="center"/>
              <w:rPr>
                <w:rFonts w:asciiTheme="minorHAnsi" w:hAnsiTheme="minorHAnsi" w:cstheme="minorHAnsi"/>
                <w:b/>
                <w:bCs/>
                <w:sz w:val="24"/>
                <w:szCs w:val="24"/>
              </w:rPr>
            </w:pPr>
            <w:r>
              <w:rPr>
                <w:rFonts w:asciiTheme="minorHAnsi" w:hAnsiTheme="minorHAnsi" w:cstheme="minorHAnsi"/>
                <w:b/>
                <w:bCs/>
                <w:sz w:val="24"/>
                <w:szCs w:val="24"/>
              </w:rPr>
              <w:t>+6 389</w:t>
            </w:r>
          </w:p>
        </w:tc>
        <w:tc>
          <w:tcPr>
            <w:tcW w:w="1229" w:type="dxa"/>
            <w:tcBorders>
              <w:top w:val="single" w:sz="12" w:space="0" w:color="auto"/>
              <w:bottom w:val="single" w:sz="12" w:space="0" w:color="auto"/>
              <w:right w:val="single" w:sz="12" w:space="0" w:color="auto"/>
            </w:tcBorders>
            <w:vAlign w:val="center"/>
          </w:tcPr>
          <w:p w:rsidR="00027ABA" w:rsidRPr="00C239C3" w:rsidRDefault="00027ABA" w:rsidP="00027ABA">
            <w:pPr>
              <w:pStyle w:val="Texttabulky"/>
              <w:jc w:val="center"/>
              <w:rPr>
                <w:rFonts w:asciiTheme="minorHAnsi" w:hAnsiTheme="minorHAnsi" w:cstheme="minorHAnsi"/>
                <w:b/>
                <w:color w:val="auto"/>
              </w:rPr>
            </w:pPr>
            <w:r>
              <w:rPr>
                <w:rFonts w:asciiTheme="minorHAnsi" w:hAnsiTheme="minorHAnsi" w:cstheme="minorHAnsi"/>
                <w:b/>
                <w:color w:val="auto"/>
              </w:rPr>
              <w:t>+2,3</w:t>
            </w:r>
          </w:p>
        </w:tc>
      </w:tr>
    </w:tbl>
    <w:p w:rsidR="00027ABA" w:rsidRPr="00C239C3" w:rsidRDefault="00027ABA" w:rsidP="00027ABA">
      <w:pPr>
        <w:rPr>
          <w:rFonts w:asciiTheme="minorHAnsi" w:hAnsiTheme="minorHAnsi" w:cstheme="minorHAnsi"/>
          <w:iCs/>
          <w:sz w:val="24"/>
          <w:szCs w:val="24"/>
        </w:rPr>
      </w:pPr>
    </w:p>
    <w:p w:rsidR="00027ABA" w:rsidRPr="00C239C3" w:rsidRDefault="00027ABA" w:rsidP="00027ABA">
      <w:pPr>
        <w:pStyle w:val="Zkladntext"/>
        <w:spacing w:after="0"/>
        <w:ind w:firstLine="720"/>
        <w:jc w:val="both"/>
        <w:rPr>
          <w:rFonts w:asciiTheme="minorHAnsi" w:hAnsiTheme="minorHAnsi" w:cstheme="minorHAnsi"/>
          <w:sz w:val="24"/>
          <w:szCs w:val="24"/>
        </w:rPr>
      </w:pPr>
      <w:r>
        <w:rPr>
          <w:rFonts w:asciiTheme="minorHAnsi" w:hAnsiTheme="minorHAnsi" w:cstheme="minorHAnsi"/>
          <w:sz w:val="24"/>
          <w:szCs w:val="24"/>
        </w:rPr>
        <w:t>V roce 2014 došlo</w:t>
      </w:r>
      <w:r w:rsidRPr="00C239C3">
        <w:rPr>
          <w:rFonts w:asciiTheme="minorHAnsi" w:hAnsiTheme="minorHAnsi" w:cstheme="minorHAnsi"/>
          <w:sz w:val="24"/>
          <w:szCs w:val="24"/>
        </w:rPr>
        <w:t xml:space="preserve"> </w:t>
      </w:r>
      <w:r>
        <w:rPr>
          <w:rFonts w:asciiTheme="minorHAnsi" w:hAnsiTheme="minorHAnsi" w:cstheme="minorHAnsi"/>
          <w:sz w:val="24"/>
          <w:szCs w:val="24"/>
        </w:rPr>
        <w:t>k meziročnímu</w:t>
      </w:r>
      <w:r w:rsidRPr="00C239C3">
        <w:rPr>
          <w:rFonts w:asciiTheme="minorHAnsi" w:hAnsiTheme="minorHAnsi" w:cstheme="minorHAnsi"/>
          <w:sz w:val="24"/>
          <w:szCs w:val="24"/>
        </w:rPr>
        <w:t xml:space="preserve"> </w:t>
      </w:r>
      <w:r>
        <w:rPr>
          <w:rFonts w:asciiTheme="minorHAnsi" w:hAnsiTheme="minorHAnsi" w:cstheme="minorHAnsi"/>
          <w:sz w:val="24"/>
          <w:szCs w:val="24"/>
        </w:rPr>
        <w:t xml:space="preserve">nárůstu </w:t>
      </w:r>
      <w:r w:rsidRPr="00C239C3">
        <w:rPr>
          <w:rFonts w:asciiTheme="minorHAnsi" w:hAnsiTheme="minorHAnsi" w:cstheme="minorHAnsi"/>
          <w:sz w:val="24"/>
          <w:szCs w:val="24"/>
        </w:rPr>
        <w:t>zaměstnanost</w:t>
      </w:r>
      <w:r>
        <w:rPr>
          <w:rFonts w:asciiTheme="minorHAnsi" w:hAnsiTheme="minorHAnsi" w:cstheme="minorHAnsi"/>
          <w:sz w:val="24"/>
          <w:szCs w:val="24"/>
        </w:rPr>
        <w:t xml:space="preserve">i, a to o 6 389 zaměstnanců, tj. o 2,3 %. Navýšení počtu </w:t>
      </w:r>
      <w:r w:rsidRPr="00C239C3">
        <w:rPr>
          <w:rFonts w:asciiTheme="minorHAnsi" w:hAnsiTheme="minorHAnsi" w:cstheme="minorHAnsi"/>
          <w:sz w:val="24"/>
          <w:szCs w:val="24"/>
        </w:rPr>
        <w:t xml:space="preserve">zaměstnanců zaznamenaly </w:t>
      </w:r>
      <w:r>
        <w:rPr>
          <w:rFonts w:asciiTheme="minorHAnsi" w:hAnsiTheme="minorHAnsi" w:cstheme="minorHAnsi"/>
          <w:sz w:val="24"/>
          <w:szCs w:val="24"/>
        </w:rPr>
        <w:t xml:space="preserve">všechny velikostní kategorie, </w:t>
      </w:r>
      <w:r w:rsidRPr="00C239C3">
        <w:rPr>
          <w:rFonts w:asciiTheme="minorHAnsi" w:hAnsiTheme="minorHAnsi" w:cstheme="minorHAnsi"/>
          <w:sz w:val="24"/>
          <w:szCs w:val="24"/>
        </w:rPr>
        <w:t>nejvíce firmy s 250 a</w:t>
      </w:r>
      <w:r>
        <w:rPr>
          <w:rFonts w:asciiTheme="minorHAnsi" w:hAnsiTheme="minorHAnsi" w:cstheme="minorHAnsi"/>
          <w:sz w:val="24"/>
          <w:szCs w:val="24"/>
        </w:rPr>
        <w:t xml:space="preserve"> více pracovníky, kde jich přibylo 4 328 (+3,0</w:t>
      </w:r>
      <w:r w:rsidRPr="00C239C3">
        <w:rPr>
          <w:rFonts w:asciiTheme="minorHAnsi" w:hAnsiTheme="minorHAnsi" w:cstheme="minorHAnsi"/>
          <w:sz w:val="24"/>
          <w:szCs w:val="24"/>
        </w:rPr>
        <w:t xml:space="preserve"> %), </w:t>
      </w:r>
      <w:r>
        <w:rPr>
          <w:rFonts w:asciiTheme="minorHAnsi" w:hAnsiTheme="minorHAnsi" w:cstheme="minorHAnsi"/>
          <w:sz w:val="24"/>
          <w:szCs w:val="24"/>
        </w:rPr>
        <w:t>dále organizace</w:t>
      </w:r>
      <w:r w:rsidRPr="00C239C3">
        <w:rPr>
          <w:rFonts w:asciiTheme="minorHAnsi" w:hAnsiTheme="minorHAnsi" w:cstheme="minorHAnsi"/>
          <w:sz w:val="24"/>
          <w:szCs w:val="24"/>
        </w:rPr>
        <w:t xml:space="preserve"> </w:t>
      </w:r>
      <w:r>
        <w:rPr>
          <w:rFonts w:asciiTheme="minorHAnsi" w:hAnsiTheme="minorHAnsi" w:cstheme="minorHAnsi"/>
          <w:sz w:val="24"/>
          <w:szCs w:val="24"/>
        </w:rPr>
        <w:t>s 50 až 249 zaměstnanci, kde došlo k nárůstu o 1 604 (+1</w:t>
      </w:r>
      <w:r w:rsidRPr="00C239C3">
        <w:rPr>
          <w:rFonts w:asciiTheme="minorHAnsi" w:hAnsiTheme="minorHAnsi" w:cstheme="minorHAnsi"/>
          <w:sz w:val="24"/>
          <w:szCs w:val="24"/>
        </w:rPr>
        <w:t xml:space="preserve">,6 %) osob. </w:t>
      </w:r>
      <w:r>
        <w:rPr>
          <w:rFonts w:asciiTheme="minorHAnsi" w:hAnsiTheme="minorHAnsi" w:cstheme="minorHAnsi"/>
          <w:sz w:val="24"/>
          <w:szCs w:val="24"/>
        </w:rPr>
        <w:t>Nejmenší přírůstek zaznamenaly drobné firmy do 49 zaměstnanců, a to o 457 (+1,3 %) osob</w:t>
      </w:r>
      <w:r w:rsidRPr="00C239C3">
        <w:rPr>
          <w:rFonts w:asciiTheme="minorHAnsi" w:hAnsiTheme="minorHAnsi" w:cstheme="minorHAnsi"/>
          <w:sz w:val="24"/>
          <w:szCs w:val="24"/>
        </w:rPr>
        <w:t>.</w:t>
      </w:r>
    </w:p>
    <w:p w:rsidR="00027ABA" w:rsidRPr="00C239C3" w:rsidRDefault="00027ABA" w:rsidP="00027ABA">
      <w:pPr>
        <w:pStyle w:val="Zkladntextodsazen"/>
        <w:ind w:firstLine="0"/>
        <w:rPr>
          <w:rFonts w:asciiTheme="minorHAnsi" w:hAnsiTheme="minorHAnsi" w:cstheme="minorHAnsi"/>
          <w:szCs w:val="24"/>
        </w:rPr>
      </w:pPr>
    </w:p>
    <w:p w:rsidR="00027ABA" w:rsidRPr="00C239C3" w:rsidRDefault="00027ABA" w:rsidP="00027ABA">
      <w:pPr>
        <w:pStyle w:val="Zkladntext"/>
        <w:spacing w:after="0"/>
        <w:rPr>
          <w:rFonts w:asciiTheme="minorHAnsi" w:hAnsiTheme="minorHAnsi" w:cstheme="minorHAnsi"/>
          <w:b/>
          <w:i/>
          <w:sz w:val="24"/>
          <w:szCs w:val="24"/>
        </w:rPr>
      </w:pPr>
      <w:r w:rsidRPr="00C239C3">
        <w:rPr>
          <w:rFonts w:asciiTheme="minorHAnsi" w:hAnsiTheme="minorHAnsi" w:cstheme="minorHAnsi"/>
          <w:b/>
          <w:i/>
          <w:sz w:val="24"/>
          <w:szCs w:val="24"/>
        </w:rPr>
        <w:t>2.2 Struktura podle odvětví</w:t>
      </w:r>
    </w:p>
    <w:p w:rsidR="00027ABA" w:rsidRPr="00C239C3" w:rsidRDefault="00027ABA" w:rsidP="00027ABA">
      <w:pPr>
        <w:pStyle w:val="Zkladntext"/>
        <w:spacing w:after="0"/>
        <w:rPr>
          <w:rFonts w:asciiTheme="minorHAnsi" w:hAnsiTheme="minorHAnsi" w:cstheme="minorHAnsi"/>
          <w:sz w:val="24"/>
          <w:szCs w:val="24"/>
        </w:rPr>
      </w:pPr>
    </w:p>
    <w:p w:rsidR="00027ABA" w:rsidRPr="00C239C3" w:rsidRDefault="00027ABA" w:rsidP="00027ABA">
      <w:pPr>
        <w:pStyle w:val="Zkladntext"/>
        <w:spacing w:after="0"/>
        <w:ind w:firstLine="720"/>
        <w:jc w:val="both"/>
        <w:rPr>
          <w:rFonts w:asciiTheme="minorHAnsi" w:hAnsiTheme="minorHAnsi" w:cstheme="minorHAnsi"/>
          <w:sz w:val="24"/>
          <w:szCs w:val="24"/>
        </w:rPr>
      </w:pPr>
      <w:r w:rsidRPr="00C239C3">
        <w:rPr>
          <w:rFonts w:asciiTheme="minorHAnsi" w:hAnsiTheme="minorHAnsi" w:cstheme="minorHAnsi"/>
          <w:sz w:val="24"/>
          <w:szCs w:val="24"/>
        </w:rPr>
        <w:t xml:space="preserve">Monitorované firmy jsou od roku 2008 rozděleny podle klasifikace ekonomických činností (CZ-NACE), která byla vypracována na základě mezinárodní statistické klasifikace a nahradila původní Odvětvovou klasifikaci ekonomických činností (OKEČ). Klasifikace CZ-NACE zohledňuje technologický rozvoj a strukturální změny hospodářství v minulých letech, je relevantnější s ohledem na hospodářskou realitu a lépe srovnatelná s jinými mezinárodními klasifikacemi. V následující tabulce je navíc podrobněji rozčleněn zpracovatelský průmysl. </w:t>
      </w:r>
    </w:p>
    <w:p w:rsidR="00027ABA" w:rsidRPr="00C239C3" w:rsidRDefault="00027ABA" w:rsidP="00027ABA">
      <w:pPr>
        <w:pStyle w:val="Zkladntext"/>
        <w:spacing w:after="0"/>
        <w:ind w:firstLine="720"/>
        <w:jc w:val="both"/>
        <w:rPr>
          <w:rFonts w:asciiTheme="minorHAnsi" w:hAnsiTheme="minorHAnsi" w:cstheme="minorHAnsi"/>
          <w:sz w:val="24"/>
          <w:szCs w:val="24"/>
        </w:rPr>
      </w:pPr>
      <w:r>
        <w:rPr>
          <w:rFonts w:asciiTheme="minorHAnsi" w:hAnsiTheme="minorHAnsi" w:cstheme="minorHAnsi"/>
          <w:sz w:val="24"/>
          <w:szCs w:val="24"/>
        </w:rPr>
        <w:t>Na ročním nárůstu</w:t>
      </w:r>
      <w:r w:rsidRPr="00C239C3">
        <w:rPr>
          <w:rFonts w:asciiTheme="minorHAnsi" w:hAnsiTheme="minorHAnsi" w:cstheme="minorHAnsi"/>
          <w:sz w:val="24"/>
          <w:szCs w:val="24"/>
        </w:rPr>
        <w:t xml:space="preserve"> zaměs</w:t>
      </w:r>
      <w:r>
        <w:rPr>
          <w:rFonts w:asciiTheme="minorHAnsi" w:hAnsiTheme="minorHAnsi" w:cstheme="minorHAnsi"/>
          <w:sz w:val="24"/>
          <w:szCs w:val="24"/>
        </w:rPr>
        <w:t>tnanosti MSK se nejvíce podílely</w:t>
      </w:r>
      <w:r w:rsidRPr="00C239C3">
        <w:rPr>
          <w:rFonts w:asciiTheme="minorHAnsi" w:hAnsiTheme="minorHAnsi" w:cstheme="minorHAnsi"/>
          <w:sz w:val="24"/>
          <w:szCs w:val="24"/>
        </w:rPr>
        <w:t xml:space="preserve"> </w:t>
      </w:r>
      <w:r>
        <w:rPr>
          <w:rFonts w:asciiTheme="minorHAnsi" w:hAnsiTheme="minorHAnsi" w:cstheme="minorHAnsi"/>
          <w:sz w:val="24"/>
          <w:szCs w:val="24"/>
        </w:rPr>
        <w:t xml:space="preserve">administrativní a podpůrné činnosti (+2 125 osob), zpracovatelský průmysl (+1 369 osob), profesní, vědecké a technické činnosti (+976 osob), veřejná správa a obrana, povinné sociální zabezpečení (+797 osob), zdravotní a sociální péče (+774 osob), pododvětví výroby motorových vozidel (+611 osob), výroby elektrických zařízení (+582 osob) a výroby pryžových, plastových výrobků (+352 osob). </w:t>
      </w:r>
      <w:r w:rsidRPr="00C239C3">
        <w:rPr>
          <w:rFonts w:asciiTheme="minorHAnsi" w:hAnsiTheme="minorHAnsi" w:cstheme="minorHAnsi"/>
          <w:sz w:val="24"/>
          <w:szCs w:val="24"/>
        </w:rPr>
        <w:t xml:space="preserve">Naopak k výraznějším </w:t>
      </w:r>
      <w:r>
        <w:rPr>
          <w:rFonts w:asciiTheme="minorHAnsi" w:hAnsiTheme="minorHAnsi" w:cstheme="minorHAnsi"/>
          <w:sz w:val="24"/>
          <w:szCs w:val="24"/>
        </w:rPr>
        <w:t xml:space="preserve">úbytkům </w:t>
      </w:r>
      <w:r w:rsidRPr="00C239C3">
        <w:rPr>
          <w:rFonts w:asciiTheme="minorHAnsi" w:hAnsiTheme="minorHAnsi" w:cstheme="minorHAnsi"/>
          <w:sz w:val="24"/>
          <w:szCs w:val="24"/>
        </w:rPr>
        <w:t xml:space="preserve">stavů došlo </w:t>
      </w:r>
      <w:r>
        <w:rPr>
          <w:rFonts w:asciiTheme="minorHAnsi" w:hAnsiTheme="minorHAnsi" w:cstheme="minorHAnsi"/>
          <w:sz w:val="24"/>
          <w:szCs w:val="24"/>
        </w:rPr>
        <w:t>ve stavebnictví (-391 osob), velkoobchodě a maloobchodě, opravě a údržbě motorových vozidel (-200 osob), v pododvětví výroby</w:t>
      </w:r>
      <w:r w:rsidRPr="00C239C3">
        <w:rPr>
          <w:rFonts w:asciiTheme="minorHAnsi" w:hAnsiTheme="minorHAnsi" w:cstheme="minorHAnsi"/>
          <w:sz w:val="24"/>
          <w:szCs w:val="24"/>
        </w:rPr>
        <w:t xml:space="preserve"> </w:t>
      </w:r>
      <w:r>
        <w:rPr>
          <w:rFonts w:asciiTheme="minorHAnsi" w:hAnsiTheme="minorHAnsi" w:cstheme="minorHAnsi"/>
          <w:sz w:val="24"/>
          <w:szCs w:val="24"/>
        </w:rPr>
        <w:t>potravinářských výrobků, nápojů a tabákových výrobků (-148 osob) a výrobě koksu (-122 osob).</w:t>
      </w:r>
    </w:p>
    <w:p w:rsidR="00027ABA" w:rsidRPr="00C239C3" w:rsidRDefault="00027ABA" w:rsidP="00027ABA">
      <w:pPr>
        <w:pStyle w:val="Zkladntext"/>
        <w:spacing w:after="0"/>
        <w:jc w:val="both"/>
        <w:rPr>
          <w:rFonts w:asciiTheme="minorHAnsi" w:hAnsiTheme="minorHAnsi" w:cstheme="minorHAnsi"/>
          <w:sz w:val="24"/>
          <w:szCs w:val="24"/>
        </w:rPr>
      </w:pPr>
    </w:p>
    <w:p w:rsidR="00027ABA" w:rsidRPr="00C239C3" w:rsidRDefault="00027ABA" w:rsidP="00027ABA">
      <w:pPr>
        <w:pStyle w:val="Zkladntext"/>
        <w:spacing w:after="0"/>
        <w:jc w:val="both"/>
        <w:rPr>
          <w:rFonts w:asciiTheme="minorHAnsi" w:hAnsiTheme="minorHAnsi" w:cstheme="minorHAnsi"/>
          <w:sz w:val="24"/>
          <w:szCs w:val="24"/>
        </w:rPr>
      </w:pPr>
    </w:p>
    <w:p w:rsidR="00027ABA" w:rsidRDefault="00027ABA" w:rsidP="00027ABA">
      <w:pPr>
        <w:pStyle w:val="dka"/>
        <w:jc w:val="both"/>
        <w:rPr>
          <w:snapToGrid/>
          <w:color w:val="auto"/>
          <w:szCs w:val="24"/>
        </w:rPr>
      </w:pPr>
      <w:r>
        <w:rPr>
          <w:rFonts w:asciiTheme="minorHAnsi" w:hAnsiTheme="minorHAnsi" w:cstheme="minorHAnsi"/>
          <w:b/>
          <w:noProof/>
          <w:snapToGrid/>
          <w:color w:val="auto"/>
          <w:szCs w:val="24"/>
        </w:rPr>
        <w:drawing>
          <wp:anchor distT="0" distB="0" distL="114300" distR="114300" simplePos="0" relativeHeight="251668480" behindDoc="1" locked="0" layoutInCell="1" allowOverlap="1">
            <wp:simplePos x="0" y="0"/>
            <wp:positionH relativeFrom="column">
              <wp:posOffset>13970</wp:posOffset>
            </wp:positionH>
            <wp:positionV relativeFrom="paragraph">
              <wp:posOffset>558165</wp:posOffset>
            </wp:positionV>
            <wp:extent cx="6021705" cy="5868035"/>
            <wp:effectExtent l="190500" t="152400" r="169545" b="132715"/>
            <wp:wrapTight wrapText="bothSides">
              <wp:wrapPolygon edited="0">
                <wp:start x="0" y="-561"/>
                <wp:lineTo x="-410" y="-351"/>
                <wp:lineTo x="-683" y="70"/>
                <wp:lineTo x="-478" y="21878"/>
                <wp:lineTo x="0" y="22089"/>
                <wp:lineTo x="21525" y="22089"/>
                <wp:lineTo x="21593" y="22089"/>
                <wp:lineTo x="21935" y="21878"/>
                <wp:lineTo x="22003" y="21878"/>
                <wp:lineTo x="22208" y="20896"/>
                <wp:lineTo x="22208" y="210"/>
                <wp:lineTo x="21866" y="-421"/>
                <wp:lineTo x="21525" y="-561"/>
                <wp:lineTo x="0" y="-561"/>
              </wp:wrapPolygon>
            </wp:wrapTight>
            <wp:docPr id="11" name="Obrázek 4" descr="Krajská zaměstnanos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ská zaměstnanost 2014.jpg"/>
                    <pic:cNvPicPr/>
                  </pic:nvPicPr>
                  <pic:blipFill>
                    <a:blip r:embed="rId15" cstate="print"/>
                    <a:stretch>
                      <a:fillRect/>
                    </a:stretch>
                  </pic:blipFill>
                  <pic:spPr>
                    <a:xfrm>
                      <a:off x="0" y="0"/>
                      <a:ext cx="6021705" cy="5868035"/>
                    </a:xfrm>
                    <a:prstGeom prst="rect">
                      <a:avLst/>
                    </a:prstGeom>
                    <a:ln>
                      <a:noFill/>
                    </a:ln>
                    <a:effectLst>
                      <a:outerShdw blurRad="190500" algn="tl" rotWithShape="0">
                        <a:srgbClr val="000000">
                          <a:alpha val="70000"/>
                        </a:srgbClr>
                      </a:outerShdw>
                    </a:effectLst>
                  </pic:spPr>
                </pic:pic>
              </a:graphicData>
            </a:graphic>
          </wp:anchor>
        </w:drawing>
      </w:r>
      <w:r w:rsidRPr="00C239C3">
        <w:rPr>
          <w:rFonts w:asciiTheme="minorHAnsi" w:hAnsiTheme="minorHAnsi" w:cstheme="minorHAnsi"/>
          <w:b/>
          <w:snapToGrid/>
          <w:color w:val="auto"/>
          <w:szCs w:val="24"/>
        </w:rPr>
        <w:t>Mapa II/1</w:t>
      </w:r>
      <w:r w:rsidRPr="00C239C3">
        <w:rPr>
          <w:rFonts w:asciiTheme="minorHAnsi" w:hAnsiTheme="minorHAnsi" w:cstheme="minorHAnsi"/>
          <w:snapToGrid/>
          <w:color w:val="auto"/>
          <w:szCs w:val="24"/>
        </w:rPr>
        <w:t xml:space="preserve"> - Zaměstnanost u monitorovaných firem se stavem </w:t>
      </w:r>
      <w:smartTag w:uri="urn:schemas-microsoft-com:office:smarttags" w:element="metricconverter">
        <w:smartTagPr>
          <w:attr w:name="ProductID" w:val="26 a"/>
        </w:smartTagPr>
        <w:r w:rsidRPr="00C239C3">
          <w:rPr>
            <w:rFonts w:asciiTheme="minorHAnsi" w:hAnsiTheme="minorHAnsi" w:cstheme="minorHAnsi"/>
            <w:snapToGrid/>
            <w:color w:val="auto"/>
            <w:szCs w:val="24"/>
          </w:rPr>
          <w:t>26 a</w:t>
        </w:r>
      </w:smartTag>
      <w:r w:rsidRPr="00C239C3">
        <w:rPr>
          <w:rFonts w:asciiTheme="minorHAnsi" w:hAnsiTheme="minorHAnsi" w:cstheme="minorHAnsi"/>
          <w:snapToGrid/>
          <w:color w:val="auto"/>
          <w:szCs w:val="24"/>
        </w:rPr>
        <w:t xml:space="preserve"> více pracovníků v jednotlivých okresech MSK k 31.12.201</w:t>
      </w:r>
      <w:r>
        <w:rPr>
          <w:rFonts w:asciiTheme="minorHAnsi" w:hAnsiTheme="minorHAnsi" w:cstheme="minorHAnsi"/>
          <w:snapToGrid/>
          <w:color w:val="auto"/>
          <w:szCs w:val="24"/>
        </w:rPr>
        <w:t>4</w:t>
      </w:r>
    </w:p>
    <w:p w:rsidR="00027ABA" w:rsidRDefault="00027ABA" w:rsidP="00027ABA">
      <w:pPr>
        <w:pStyle w:val="dka"/>
        <w:jc w:val="both"/>
        <w:rPr>
          <w:snapToGrid/>
          <w:color w:val="auto"/>
          <w:szCs w:val="24"/>
        </w:rPr>
      </w:pPr>
    </w:p>
    <w:p w:rsidR="00027ABA" w:rsidRDefault="00027ABA" w:rsidP="00027ABA">
      <w:pPr>
        <w:pStyle w:val="dka"/>
        <w:rPr>
          <w:snapToGrid/>
          <w:color w:val="auto"/>
          <w:szCs w:val="24"/>
        </w:rPr>
      </w:pPr>
    </w:p>
    <w:p w:rsidR="004A0813" w:rsidRDefault="004A0813" w:rsidP="00027ABA">
      <w:pPr>
        <w:pStyle w:val="dka"/>
        <w:rPr>
          <w:snapToGrid/>
          <w:color w:val="auto"/>
          <w:szCs w:val="24"/>
        </w:rPr>
      </w:pPr>
    </w:p>
    <w:p w:rsidR="00027ABA" w:rsidRDefault="00027ABA" w:rsidP="00027ABA">
      <w:pPr>
        <w:pStyle w:val="dka"/>
        <w:rPr>
          <w:snapToGrid/>
          <w:color w:val="auto"/>
          <w:szCs w:val="24"/>
        </w:rPr>
      </w:pPr>
    </w:p>
    <w:p w:rsidR="00027ABA" w:rsidRPr="00E73E4F" w:rsidRDefault="00027ABA" w:rsidP="00027ABA">
      <w:pPr>
        <w:pStyle w:val="dka"/>
        <w:rPr>
          <w:snapToGrid/>
          <w:color w:val="auto"/>
          <w:szCs w:val="24"/>
        </w:rPr>
      </w:pPr>
    </w:p>
    <w:p w:rsidR="00027ABA" w:rsidRPr="00C239C3" w:rsidRDefault="00027ABA" w:rsidP="00967254">
      <w:pPr>
        <w:pStyle w:val="dka"/>
        <w:jc w:val="both"/>
        <w:rPr>
          <w:rFonts w:asciiTheme="minorHAnsi" w:hAnsiTheme="minorHAnsi" w:cstheme="minorHAnsi"/>
          <w:color w:val="auto"/>
        </w:rPr>
      </w:pPr>
      <w:r w:rsidRPr="00C239C3">
        <w:rPr>
          <w:rFonts w:asciiTheme="minorHAnsi" w:hAnsiTheme="minorHAnsi" w:cstheme="minorHAnsi"/>
          <w:b/>
          <w:color w:val="auto"/>
        </w:rPr>
        <w:t>Tabulka II/3</w:t>
      </w:r>
      <w:r w:rsidRPr="00C239C3">
        <w:rPr>
          <w:rFonts w:asciiTheme="minorHAnsi" w:hAnsiTheme="minorHAnsi" w:cstheme="minorHAnsi"/>
          <w:color w:val="auto"/>
        </w:rPr>
        <w:t xml:space="preserve"> - Počty zaměstnanců v odvětvích podle CZ-NACE - monitorované firmy se stavem </w:t>
      </w:r>
      <w:smartTag w:uri="urn:schemas-microsoft-com:office:smarttags" w:element="metricconverter">
        <w:smartTagPr>
          <w:attr w:name="ProductID" w:val="26 a"/>
        </w:smartTagPr>
        <w:r w:rsidRPr="00C239C3">
          <w:rPr>
            <w:rFonts w:asciiTheme="minorHAnsi" w:hAnsiTheme="minorHAnsi" w:cstheme="minorHAnsi"/>
            <w:color w:val="auto"/>
          </w:rPr>
          <w:t>26 a</w:t>
        </w:r>
      </w:smartTag>
      <w:r w:rsidRPr="00C239C3">
        <w:rPr>
          <w:rFonts w:asciiTheme="minorHAnsi" w:hAnsiTheme="minorHAnsi" w:cstheme="minorHAnsi"/>
          <w:color w:val="auto"/>
        </w:rPr>
        <w:t xml:space="preserve"> více osob</w:t>
      </w:r>
    </w:p>
    <w:tbl>
      <w:tblPr>
        <w:tblW w:w="10501" w:type="dxa"/>
        <w:tblInd w:w="-650" w:type="dxa"/>
        <w:tblBorders>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780"/>
        <w:gridCol w:w="1261"/>
        <w:gridCol w:w="1262"/>
        <w:gridCol w:w="1262"/>
        <w:gridCol w:w="1262"/>
        <w:gridCol w:w="1134"/>
      </w:tblGrid>
      <w:tr w:rsidR="00027ABA" w:rsidRPr="00C239C3" w:rsidTr="00027ABA">
        <w:trPr>
          <w:cantSplit/>
        </w:trPr>
        <w:tc>
          <w:tcPr>
            <w:tcW w:w="4320" w:type="dxa"/>
            <w:gridSpan w:val="2"/>
            <w:vMerge w:val="restart"/>
            <w:tcBorders>
              <w:top w:val="single" w:sz="12" w:space="0" w:color="auto"/>
              <w:left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r w:rsidRPr="00C239C3">
              <w:rPr>
                <w:rFonts w:asciiTheme="minorHAnsi" w:hAnsiTheme="minorHAnsi" w:cstheme="minorHAnsi"/>
                <w:sz w:val="24"/>
                <w:szCs w:val="24"/>
              </w:rPr>
              <w:t>ekonomické činnosti</w:t>
            </w:r>
          </w:p>
        </w:tc>
        <w:tc>
          <w:tcPr>
            <w:tcW w:w="5047" w:type="dxa"/>
            <w:gridSpan w:val="4"/>
            <w:tcBorders>
              <w:top w:val="single" w:sz="12" w:space="0" w:color="auto"/>
              <w:left w:val="single" w:sz="12" w:space="0" w:color="auto"/>
              <w:bottom w:val="single" w:sz="4" w:space="0" w:color="auto"/>
              <w:right w:val="single" w:sz="12" w:space="0" w:color="auto"/>
            </w:tcBorders>
            <w:vAlign w:val="center"/>
          </w:tcPr>
          <w:p w:rsidR="00027ABA" w:rsidRPr="00C239C3" w:rsidRDefault="00027ABA" w:rsidP="00027ABA">
            <w:pPr>
              <w:pStyle w:val="dka"/>
              <w:jc w:val="center"/>
              <w:rPr>
                <w:rFonts w:asciiTheme="minorHAnsi" w:hAnsiTheme="minorHAnsi" w:cstheme="minorHAnsi"/>
                <w:color w:val="auto"/>
              </w:rPr>
            </w:pPr>
            <w:r w:rsidRPr="00C239C3">
              <w:rPr>
                <w:rFonts w:asciiTheme="minorHAnsi" w:hAnsiTheme="minorHAnsi" w:cstheme="minorHAnsi"/>
                <w:color w:val="auto"/>
              </w:rPr>
              <w:t>stav k</w:t>
            </w:r>
          </w:p>
        </w:tc>
        <w:tc>
          <w:tcPr>
            <w:tcW w:w="1134" w:type="dxa"/>
            <w:vMerge w:val="restart"/>
            <w:tcBorders>
              <w:top w:val="single" w:sz="12" w:space="0" w:color="auto"/>
              <w:left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r>
              <w:rPr>
                <w:rFonts w:asciiTheme="minorHAnsi" w:hAnsiTheme="minorHAnsi" w:cstheme="minorHAnsi"/>
                <w:sz w:val="24"/>
                <w:szCs w:val="24"/>
              </w:rPr>
              <w:t>12/2014</w:t>
            </w:r>
            <w:r w:rsidRPr="00C239C3">
              <w:rPr>
                <w:rFonts w:asciiTheme="minorHAnsi" w:hAnsiTheme="minorHAnsi" w:cstheme="minorHAnsi"/>
                <w:sz w:val="24"/>
                <w:szCs w:val="24"/>
              </w:rPr>
              <w:t>-12/201</w:t>
            </w:r>
            <w:r>
              <w:rPr>
                <w:rFonts w:asciiTheme="minorHAnsi" w:hAnsiTheme="minorHAnsi" w:cstheme="minorHAnsi"/>
                <w:sz w:val="24"/>
                <w:szCs w:val="24"/>
              </w:rPr>
              <w:t>3</w:t>
            </w:r>
          </w:p>
        </w:tc>
      </w:tr>
      <w:tr w:rsidR="00027ABA" w:rsidRPr="00C239C3" w:rsidTr="00027ABA">
        <w:trPr>
          <w:cantSplit/>
        </w:trPr>
        <w:tc>
          <w:tcPr>
            <w:tcW w:w="4320" w:type="dxa"/>
            <w:gridSpan w:val="2"/>
            <w:vMerge/>
            <w:tcBorders>
              <w:left w:val="single" w:sz="12" w:space="0" w:color="auto"/>
              <w:right w:val="single" w:sz="12" w:space="0" w:color="auto"/>
            </w:tcBorders>
            <w:vAlign w:val="center"/>
          </w:tcPr>
          <w:p w:rsidR="00027ABA" w:rsidRPr="00C239C3" w:rsidRDefault="00027ABA" w:rsidP="00027ABA">
            <w:pPr>
              <w:rPr>
                <w:rFonts w:asciiTheme="minorHAnsi" w:hAnsiTheme="minorHAnsi" w:cstheme="minorHAnsi"/>
              </w:rPr>
            </w:pPr>
          </w:p>
        </w:tc>
        <w:tc>
          <w:tcPr>
            <w:tcW w:w="2523" w:type="dxa"/>
            <w:gridSpan w:val="2"/>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pStyle w:val="dka"/>
              <w:jc w:val="center"/>
              <w:rPr>
                <w:rFonts w:asciiTheme="minorHAnsi" w:hAnsiTheme="minorHAnsi" w:cstheme="minorHAnsi"/>
                <w:color w:val="auto"/>
              </w:rPr>
            </w:pPr>
            <w:r w:rsidRPr="00C239C3">
              <w:rPr>
                <w:rFonts w:asciiTheme="minorHAnsi" w:hAnsiTheme="minorHAnsi" w:cstheme="minorHAnsi"/>
                <w:color w:val="auto"/>
              </w:rPr>
              <w:t>31.12.201</w:t>
            </w:r>
            <w:r>
              <w:rPr>
                <w:rFonts w:asciiTheme="minorHAnsi" w:hAnsiTheme="minorHAnsi" w:cstheme="minorHAnsi"/>
                <w:color w:val="auto"/>
              </w:rPr>
              <w:t>3</w:t>
            </w:r>
          </w:p>
        </w:tc>
        <w:tc>
          <w:tcPr>
            <w:tcW w:w="2524" w:type="dxa"/>
            <w:gridSpan w:val="2"/>
            <w:tcBorders>
              <w:top w:val="single" w:sz="4" w:space="0" w:color="auto"/>
              <w:bottom w:val="single" w:sz="4" w:space="0" w:color="auto"/>
              <w:right w:val="single" w:sz="12" w:space="0" w:color="auto"/>
            </w:tcBorders>
            <w:vAlign w:val="center"/>
          </w:tcPr>
          <w:p w:rsidR="00027ABA" w:rsidRPr="00C239C3" w:rsidRDefault="00027ABA" w:rsidP="00027ABA">
            <w:pPr>
              <w:pStyle w:val="dka"/>
              <w:jc w:val="center"/>
              <w:rPr>
                <w:rFonts w:asciiTheme="minorHAnsi" w:hAnsiTheme="minorHAnsi" w:cstheme="minorHAnsi"/>
                <w:color w:val="auto"/>
              </w:rPr>
            </w:pPr>
            <w:r w:rsidRPr="00C239C3">
              <w:rPr>
                <w:rFonts w:asciiTheme="minorHAnsi" w:hAnsiTheme="minorHAnsi" w:cstheme="minorHAnsi"/>
                <w:color w:val="auto"/>
              </w:rPr>
              <w:t>31.12.201</w:t>
            </w:r>
            <w:r>
              <w:rPr>
                <w:rFonts w:asciiTheme="minorHAnsi" w:hAnsiTheme="minorHAnsi" w:cstheme="minorHAnsi"/>
                <w:color w:val="auto"/>
              </w:rPr>
              <w:t>4</w:t>
            </w:r>
          </w:p>
        </w:tc>
        <w:tc>
          <w:tcPr>
            <w:tcW w:w="1134" w:type="dxa"/>
            <w:vMerge/>
            <w:tcBorders>
              <w:left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p>
        </w:tc>
      </w:tr>
      <w:tr w:rsidR="00027ABA" w:rsidRPr="00C239C3" w:rsidTr="00027ABA">
        <w:trPr>
          <w:cantSplit/>
        </w:trPr>
        <w:tc>
          <w:tcPr>
            <w:tcW w:w="4320" w:type="dxa"/>
            <w:gridSpan w:val="2"/>
            <w:vMerge/>
            <w:tcBorders>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pStyle w:val="dka"/>
              <w:jc w:val="center"/>
              <w:rPr>
                <w:rFonts w:asciiTheme="minorHAnsi" w:hAnsiTheme="minorHAnsi" w:cstheme="minorHAnsi"/>
                <w:color w:val="auto"/>
                <w:sz w:val="18"/>
                <w:szCs w:val="18"/>
              </w:rPr>
            </w:pPr>
            <w:r w:rsidRPr="00C239C3">
              <w:rPr>
                <w:rFonts w:asciiTheme="minorHAnsi" w:hAnsiTheme="minorHAnsi" w:cstheme="minorHAnsi"/>
                <w:color w:val="auto"/>
                <w:sz w:val="18"/>
                <w:szCs w:val="18"/>
              </w:rPr>
              <w:t>absolutně</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pStyle w:val="dka"/>
              <w:jc w:val="center"/>
              <w:rPr>
                <w:rFonts w:asciiTheme="minorHAnsi" w:hAnsiTheme="minorHAnsi" w:cstheme="minorHAnsi"/>
                <w:color w:val="auto"/>
              </w:rPr>
            </w:pPr>
            <w:r w:rsidRPr="00C239C3">
              <w:rPr>
                <w:rFonts w:asciiTheme="minorHAnsi" w:hAnsiTheme="minorHAnsi" w:cstheme="minorHAnsi"/>
                <w:color w:val="auto"/>
              </w:rPr>
              <w:t>v %</w:t>
            </w:r>
          </w:p>
        </w:tc>
        <w:tc>
          <w:tcPr>
            <w:tcW w:w="1262" w:type="dxa"/>
            <w:tcBorders>
              <w:top w:val="single" w:sz="4" w:space="0" w:color="auto"/>
            </w:tcBorders>
            <w:vAlign w:val="center"/>
          </w:tcPr>
          <w:p w:rsidR="00027ABA" w:rsidRPr="00C239C3" w:rsidRDefault="00027ABA" w:rsidP="00027ABA">
            <w:pPr>
              <w:pStyle w:val="dka"/>
              <w:jc w:val="center"/>
              <w:rPr>
                <w:rFonts w:asciiTheme="minorHAnsi" w:hAnsiTheme="minorHAnsi" w:cstheme="minorHAnsi"/>
                <w:color w:val="auto"/>
                <w:sz w:val="18"/>
                <w:szCs w:val="18"/>
              </w:rPr>
            </w:pPr>
            <w:r w:rsidRPr="00C239C3">
              <w:rPr>
                <w:rFonts w:asciiTheme="minorHAnsi" w:hAnsiTheme="minorHAnsi" w:cstheme="minorHAnsi"/>
                <w:color w:val="auto"/>
                <w:sz w:val="18"/>
                <w:szCs w:val="18"/>
              </w:rPr>
              <w:t>absolutně</w:t>
            </w:r>
          </w:p>
        </w:tc>
        <w:tc>
          <w:tcPr>
            <w:tcW w:w="1262" w:type="dxa"/>
            <w:tcBorders>
              <w:top w:val="single" w:sz="4" w:space="0" w:color="auto"/>
              <w:right w:val="single" w:sz="12" w:space="0" w:color="auto"/>
            </w:tcBorders>
            <w:vAlign w:val="center"/>
          </w:tcPr>
          <w:p w:rsidR="00027ABA" w:rsidRPr="00C239C3" w:rsidRDefault="00027ABA" w:rsidP="00027ABA">
            <w:pPr>
              <w:pStyle w:val="dka"/>
              <w:jc w:val="center"/>
              <w:rPr>
                <w:rFonts w:asciiTheme="minorHAnsi" w:hAnsiTheme="minorHAnsi" w:cstheme="minorHAnsi"/>
                <w:color w:val="auto"/>
              </w:rPr>
            </w:pPr>
            <w:r w:rsidRPr="00C239C3">
              <w:rPr>
                <w:rFonts w:asciiTheme="minorHAnsi" w:hAnsiTheme="minorHAnsi" w:cstheme="minorHAnsi"/>
                <w:color w:val="auto"/>
              </w:rPr>
              <w:t>v %</w:t>
            </w:r>
          </w:p>
        </w:tc>
        <w:tc>
          <w:tcPr>
            <w:tcW w:w="1134" w:type="dxa"/>
            <w:vMerge/>
            <w:tcBorders>
              <w:left w:val="single" w:sz="12" w:space="0" w:color="auto"/>
              <w:bottom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sz w:val="24"/>
                <w:szCs w:val="24"/>
              </w:rPr>
            </w:pPr>
          </w:p>
        </w:tc>
      </w:tr>
      <w:tr w:rsidR="00027ABA" w:rsidRPr="00C239C3" w:rsidTr="00027ABA">
        <w:trPr>
          <w:cantSplit/>
        </w:trPr>
        <w:tc>
          <w:tcPr>
            <w:tcW w:w="4320" w:type="dxa"/>
            <w:gridSpan w:val="2"/>
            <w:tcBorders>
              <w:top w:val="single" w:sz="12"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Zemědělství, lesnictví a rybářství</w:t>
            </w:r>
          </w:p>
        </w:tc>
        <w:tc>
          <w:tcPr>
            <w:tcW w:w="1261" w:type="dxa"/>
            <w:tcBorders>
              <w:top w:val="single" w:sz="12"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3 402</w:t>
            </w:r>
          </w:p>
        </w:tc>
        <w:tc>
          <w:tcPr>
            <w:tcW w:w="1262" w:type="dxa"/>
            <w:tcBorders>
              <w:top w:val="single" w:sz="12"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1,2</w:t>
            </w:r>
          </w:p>
        </w:tc>
        <w:tc>
          <w:tcPr>
            <w:tcW w:w="1262" w:type="dxa"/>
            <w:tcBorders>
              <w:top w:val="single" w:sz="12" w:space="0" w:color="auto"/>
            </w:tcBorders>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3 598</w:t>
            </w:r>
          </w:p>
        </w:tc>
        <w:tc>
          <w:tcPr>
            <w:tcW w:w="1262" w:type="dxa"/>
            <w:tcBorders>
              <w:top w:val="single" w:sz="12" w:space="0" w:color="auto"/>
              <w:right w:val="single" w:sz="12" w:space="0" w:color="auto"/>
            </w:tcBorders>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w:t>
            </w:r>
            <w:r>
              <w:rPr>
                <w:rFonts w:asciiTheme="minorHAnsi" w:hAnsiTheme="minorHAnsi" w:cstheme="minorHAnsi"/>
                <w:sz w:val="22"/>
                <w:szCs w:val="22"/>
              </w:rPr>
              <w:t>2</w:t>
            </w:r>
          </w:p>
        </w:tc>
        <w:tc>
          <w:tcPr>
            <w:tcW w:w="1134" w:type="dxa"/>
            <w:tcBorders>
              <w:top w:val="single" w:sz="12"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116C1">
              <w:rPr>
                <w:rFonts w:asciiTheme="minorHAnsi" w:hAnsiTheme="minorHAnsi" w:cstheme="minorHAnsi"/>
                <w:sz w:val="22"/>
                <w:szCs w:val="22"/>
              </w:rPr>
              <w:t>196</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Těžba a dobývání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13 399</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4,8</w:t>
            </w:r>
          </w:p>
        </w:tc>
        <w:tc>
          <w:tcPr>
            <w:tcW w:w="1262" w:type="dxa"/>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13 328</w:t>
            </w:r>
          </w:p>
        </w:tc>
        <w:tc>
          <w:tcPr>
            <w:tcW w:w="1262" w:type="dxa"/>
            <w:tcBorders>
              <w:right w:val="single" w:sz="12" w:space="0" w:color="auto"/>
            </w:tcBorders>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4,6</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-71</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Zpracovatelský průmysl</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110 075</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39,2</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111 444</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38,8</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116C1">
              <w:rPr>
                <w:rFonts w:asciiTheme="minorHAnsi" w:hAnsiTheme="minorHAnsi" w:cstheme="minorHAnsi"/>
                <w:sz w:val="22"/>
                <w:szCs w:val="22"/>
              </w:rPr>
              <w:t>1</w:t>
            </w:r>
            <w:r>
              <w:rPr>
                <w:rFonts w:asciiTheme="minorHAnsi" w:hAnsiTheme="minorHAnsi" w:cstheme="minorHAnsi"/>
                <w:sz w:val="22"/>
                <w:szCs w:val="22"/>
              </w:rPr>
              <w:t xml:space="preserve"> </w:t>
            </w:r>
            <w:r w:rsidRPr="00D116C1">
              <w:rPr>
                <w:rFonts w:asciiTheme="minorHAnsi" w:hAnsiTheme="minorHAnsi" w:cstheme="minorHAnsi"/>
                <w:sz w:val="22"/>
                <w:szCs w:val="22"/>
              </w:rPr>
              <w:t>369</w:t>
            </w:r>
          </w:p>
        </w:tc>
      </w:tr>
      <w:tr w:rsidR="00027ABA" w:rsidRPr="00C239C3" w:rsidTr="00027ABA">
        <w:trPr>
          <w:cantSplit/>
          <w:trHeight w:val="240"/>
        </w:trPr>
        <w:tc>
          <w:tcPr>
            <w:tcW w:w="540" w:type="dxa"/>
            <w:vMerge w:val="restart"/>
            <w:tcBorders>
              <w:top w:val="single" w:sz="4" w:space="0" w:color="auto"/>
              <w:left w:val="single" w:sz="12" w:space="0" w:color="auto"/>
            </w:tcBorders>
          </w:tcPr>
          <w:p w:rsidR="00027ABA" w:rsidRPr="00C239C3" w:rsidRDefault="00027ABA" w:rsidP="00027ABA">
            <w:pPr>
              <w:pStyle w:val="Zhlav"/>
              <w:rPr>
                <w:rFonts w:asciiTheme="minorHAnsi" w:hAnsiTheme="minorHAnsi" w:cstheme="minorHAnsi"/>
                <w:i/>
                <w:sz w:val="16"/>
              </w:rPr>
            </w:pPr>
            <w:r w:rsidRPr="00C239C3">
              <w:rPr>
                <w:rFonts w:asciiTheme="minorHAnsi" w:hAnsiTheme="minorHAnsi" w:cstheme="minorHAnsi"/>
                <w:i/>
                <w:sz w:val="16"/>
              </w:rPr>
              <w:t>z toho</w:t>
            </w: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potr.výr., nápojů a tabákových výr.</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7 756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7,1</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7 608</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6,8</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-148</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textilií, oděvů, usní a souvis. výrobků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2 116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1,9</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2 063</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1,8</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-53</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zpracování dřeva, výroba papíru a výrobků papíru, tisk a rozmnož. nahraných nosičů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4 429</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4,0</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4 455</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4,0</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26</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koksu a rafinov. ropných produktů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726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0,</w:t>
            </w:r>
            <w:r>
              <w:rPr>
                <w:rFonts w:asciiTheme="minorHAnsi" w:hAnsiTheme="minorHAnsi" w:cstheme="minorHAnsi"/>
                <w:i/>
                <w:sz w:val="22"/>
                <w:szCs w:val="22"/>
              </w:rPr>
              <w:t>7</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604</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0,</w:t>
            </w:r>
            <w:r>
              <w:rPr>
                <w:rFonts w:asciiTheme="minorHAnsi" w:hAnsiTheme="minorHAnsi" w:cstheme="minorHAnsi"/>
                <w:i/>
                <w:sz w:val="22"/>
                <w:szCs w:val="22"/>
              </w:rPr>
              <w:t>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-122</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chemických látek a chem. přípravků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2 127</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1,9</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2 075</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1,9</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-52</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pStyle w:val="dka"/>
              <w:rPr>
                <w:rFonts w:asciiTheme="minorHAnsi" w:hAnsiTheme="minorHAnsi" w:cstheme="minorHAnsi"/>
                <w:i/>
                <w:color w:val="auto"/>
                <w:sz w:val="20"/>
              </w:rPr>
            </w:pPr>
            <w:r w:rsidRPr="00C239C3">
              <w:rPr>
                <w:rFonts w:asciiTheme="minorHAnsi" w:hAnsiTheme="minorHAnsi" w:cstheme="minorHAnsi"/>
                <w:i/>
                <w:color w:val="auto"/>
                <w:sz w:val="20"/>
              </w:rPr>
              <w:t>výroba zákl. farmaceut. výrobků. a přípravků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1 718</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1,6</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1 718</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0</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pStyle w:val="dka"/>
              <w:rPr>
                <w:rFonts w:asciiTheme="minorHAnsi" w:hAnsiTheme="minorHAnsi" w:cstheme="minorHAnsi"/>
                <w:i/>
                <w:color w:val="auto"/>
                <w:sz w:val="20"/>
              </w:rPr>
            </w:pPr>
            <w:r w:rsidRPr="00C239C3">
              <w:rPr>
                <w:rFonts w:asciiTheme="minorHAnsi" w:hAnsiTheme="minorHAnsi" w:cstheme="minorHAnsi"/>
                <w:i/>
                <w:color w:val="auto"/>
                <w:sz w:val="20"/>
              </w:rPr>
              <w:t>výroba pryžových, plastových výrobků a ostatních nekovových minerálních výrobků</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7 344</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6,7</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7 696</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6,9</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352</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základních kovů, hutní zpracování kovů a slévárenství, výroba kov. konstrukcí a kovoděl. výrobků, kromě strojů a zařízení</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41 776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38,0</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41 743</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37,</w:t>
            </w:r>
            <w:r w:rsidRPr="00D116C1">
              <w:rPr>
                <w:rFonts w:asciiTheme="minorHAnsi" w:hAnsiTheme="minorHAnsi" w:cstheme="minorHAnsi"/>
                <w:i/>
                <w:sz w:val="22"/>
                <w:szCs w:val="22"/>
              </w:rPr>
              <w:t>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sidRPr="00D116C1">
              <w:rPr>
                <w:rFonts w:asciiTheme="majorHAnsi" w:hAnsiTheme="majorHAnsi" w:cs="Arial CE"/>
                <w:i/>
                <w:sz w:val="22"/>
                <w:szCs w:val="22"/>
              </w:rPr>
              <w:t>-33</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pStyle w:val="dka"/>
              <w:rPr>
                <w:rFonts w:asciiTheme="minorHAnsi" w:hAnsiTheme="minorHAnsi" w:cstheme="minorHAnsi"/>
                <w:i/>
                <w:color w:val="auto"/>
                <w:sz w:val="20"/>
              </w:rPr>
            </w:pPr>
            <w:r w:rsidRPr="00C239C3">
              <w:rPr>
                <w:rFonts w:asciiTheme="minorHAnsi" w:hAnsiTheme="minorHAnsi" w:cstheme="minorHAnsi"/>
                <w:i/>
                <w:color w:val="auto"/>
                <w:sz w:val="20"/>
              </w:rPr>
              <w:t>výroba počítačů, elek. a opt. přístr. a zaříz.</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1 811</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1,6</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1 859</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1,7</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48</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elektrických zařízení</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5 330</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4,8</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5 912</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5,3</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582</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pStyle w:val="dka"/>
              <w:rPr>
                <w:rFonts w:asciiTheme="minorHAnsi" w:hAnsiTheme="minorHAnsi" w:cstheme="minorHAnsi"/>
                <w:i/>
                <w:color w:val="auto"/>
                <w:sz w:val="20"/>
              </w:rPr>
            </w:pPr>
            <w:r w:rsidRPr="00C239C3">
              <w:rPr>
                <w:rFonts w:asciiTheme="minorHAnsi" w:hAnsiTheme="minorHAnsi" w:cstheme="minorHAnsi"/>
                <w:i/>
                <w:color w:val="auto"/>
                <w:sz w:val="20"/>
              </w:rPr>
              <w:t>výroba strojů a zařízení jinde nezařazených</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10 946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9,9</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11 020</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9,9</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74</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motorových vozidel (kromě motocyklů), přívěsů a návěsů, výroba ostatních dopravních prostředků a zařízení</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22 118</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20,1</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22 729</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20,4</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611</w:t>
            </w:r>
          </w:p>
        </w:tc>
      </w:tr>
      <w:tr w:rsidR="00027ABA" w:rsidRPr="00C239C3" w:rsidTr="00027ABA">
        <w:trPr>
          <w:cantSplit/>
          <w:trHeight w:val="240"/>
        </w:trPr>
        <w:tc>
          <w:tcPr>
            <w:tcW w:w="540" w:type="dxa"/>
            <w:vMerge/>
            <w:tcBorders>
              <w:left w:val="single" w:sz="12" w:space="0" w:color="auto"/>
            </w:tcBorders>
            <w:vAlign w:val="center"/>
          </w:tcPr>
          <w:p w:rsidR="00027ABA" w:rsidRPr="00C239C3" w:rsidRDefault="00027ABA" w:rsidP="00027ABA">
            <w:pPr>
              <w:pStyle w:val="Zhlav"/>
              <w:rPr>
                <w:rFonts w:asciiTheme="minorHAnsi" w:hAnsiTheme="minorHAnsi" w:cstheme="minorHAnsi"/>
                <w:i/>
              </w:rPr>
            </w:pPr>
          </w:p>
        </w:tc>
        <w:tc>
          <w:tcPr>
            <w:tcW w:w="3780" w:type="dxa"/>
            <w:tcBorders>
              <w:top w:val="single" w:sz="4"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i/>
                <w:iCs/>
              </w:rPr>
            </w:pPr>
            <w:r w:rsidRPr="00C239C3">
              <w:rPr>
                <w:rFonts w:asciiTheme="minorHAnsi" w:hAnsiTheme="minorHAnsi" w:cstheme="minorHAnsi"/>
                <w:i/>
              </w:rPr>
              <w:t>výroba nábytku, ostatní zpracovatelský prům. a opravy a instalace strojů a zařízení</w:t>
            </w:r>
          </w:p>
        </w:tc>
        <w:tc>
          <w:tcPr>
            <w:tcW w:w="1261" w:type="dxa"/>
            <w:tcBorders>
              <w:top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sidRPr="00C239C3">
              <w:rPr>
                <w:rFonts w:asciiTheme="minorHAnsi" w:hAnsiTheme="minorHAnsi" w:cstheme="minorHAnsi"/>
                <w:i/>
                <w:sz w:val="22"/>
                <w:szCs w:val="22"/>
              </w:rPr>
              <w:t>1 878</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1,7</w:t>
            </w:r>
          </w:p>
        </w:tc>
        <w:tc>
          <w:tcPr>
            <w:tcW w:w="1262" w:type="dxa"/>
            <w:vAlign w:val="center"/>
          </w:tcPr>
          <w:p w:rsidR="00027ABA" w:rsidRPr="00D116C1" w:rsidRDefault="00027ABA" w:rsidP="00027ABA">
            <w:pPr>
              <w:jc w:val="center"/>
              <w:rPr>
                <w:rFonts w:asciiTheme="minorHAnsi" w:hAnsiTheme="minorHAnsi" w:cstheme="minorHAnsi"/>
                <w:i/>
                <w:sz w:val="22"/>
                <w:szCs w:val="22"/>
              </w:rPr>
            </w:pPr>
            <w:r w:rsidRPr="00D116C1">
              <w:rPr>
                <w:rFonts w:asciiTheme="minorHAnsi" w:hAnsiTheme="minorHAnsi" w:cstheme="minorHAnsi"/>
                <w:i/>
                <w:sz w:val="22"/>
                <w:szCs w:val="22"/>
              </w:rPr>
              <w:t>1 962</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i/>
                <w:sz w:val="22"/>
                <w:szCs w:val="22"/>
              </w:rPr>
            </w:pPr>
            <w:r>
              <w:rPr>
                <w:rFonts w:asciiTheme="minorHAnsi" w:hAnsiTheme="minorHAnsi" w:cstheme="minorHAnsi"/>
                <w:i/>
                <w:sz w:val="22"/>
                <w:szCs w:val="22"/>
              </w:rPr>
              <w:t>1,8</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116C1" w:rsidRDefault="00027ABA" w:rsidP="00027ABA">
            <w:pPr>
              <w:jc w:val="center"/>
              <w:rPr>
                <w:rFonts w:asciiTheme="majorHAnsi" w:hAnsiTheme="majorHAnsi" w:cs="Arial CE"/>
                <w:i/>
                <w:sz w:val="22"/>
                <w:szCs w:val="22"/>
              </w:rPr>
            </w:pPr>
            <w:r>
              <w:rPr>
                <w:rFonts w:asciiTheme="majorHAnsi" w:hAnsiTheme="majorHAnsi" w:cs="Arial CE"/>
                <w:i/>
                <w:sz w:val="22"/>
                <w:szCs w:val="22"/>
              </w:rPr>
              <w:t>+</w:t>
            </w:r>
            <w:r w:rsidRPr="00D116C1">
              <w:rPr>
                <w:rFonts w:asciiTheme="majorHAnsi" w:hAnsiTheme="majorHAnsi" w:cs="Arial CE"/>
                <w:i/>
                <w:sz w:val="22"/>
                <w:szCs w:val="22"/>
              </w:rPr>
              <w:t>84</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Výr.a rozvod elektřiny,plynu,tepla a klim. vzduchu</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4 005</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1,4</w:t>
            </w:r>
          </w:p>
        </w:tc>
        <w:tc>
          <w:tcPr>
            <w:tcW w:w="1262" w:type="dxa"/>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4 272</w:t>
            </w:r>
          </w:p>
        </w:tc>
        <w:tc>
          <w:tcPr>
            <w:tcW w:w="1262" w:type="dxa"/>
            <w:tcBorders>
              <w:right w:val="single" w:sz="12" w:space="0" w:color="auto"/>
            </w:tcBorders>
            <w:vAlign w:val="bottom"/>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267</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Zásobování vodou, činnosti související s odpadními vodami, odpady a sanacemi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4 770</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1,7</w:t>
            </w:r>
          </w:p>
        </w:tc>
        <w:tc>
          <w:tcPr>
            <w:tcW w:w="1262" w:type="dxa"/>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4 822</w:t>
            </w:r>
          </w:p>
        </w:tc>
        <w:tc>
          <w:tcPr>
            <w:tcW w:w="1262" w:type="dxa"/>
            <w:tcBorders>
              <w:right w:val="single" w:sz="12" w:space="0" w:color="auto"/>
            </w:tcBorders>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1,7</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+52</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Stavebnictví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8 146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2,9</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7 755</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2,7</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-391</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Velkoobchod a maloobchod, opravy a údržba motorových vozidel</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17 329</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6,2</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17 129</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6,0</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-200</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Doprava a skladování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18 589</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6,6</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18 522</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6,5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-67</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Ubytování, stravování a pohostinství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1 685</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0,6</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1 636</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0,6</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-49</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Informační a komunikační činnosti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4 754</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1,7</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4 998</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1,7</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244</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Peněžnictví a pojišťovnictví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3 245</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1,2</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3 375</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1,2</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130</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Činnosti v oblasti nemovitostí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1 356</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0,5</w:t>
            </w:r>
          </w:p>
        </w:tc>
        <w:tc>
          <w:tcPr>
            <w:tcW w:w="1262" w:type="dxa"/>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1 311</w:t>
            </w:r>
          </w:p>
        </w:tc>
        <w:tc>
          <w:tcPr>
            <w:tcW w:w="1262" w:type="dxa"/>
            <w:tcBorders>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-45</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Profesní, vědecké a technické činnosti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3 090</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1,1</w:t>
            </w:r>
          </w:p>
        </w:tc>
        <w:tc>
          <w:tcPr>
            <w:tcW w:w="1262" w:type="dxa"/>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4 066</w:t>
            </w:r>
          </w:p>
        </w:tc>
        <w:tc>
          <w:tcPr>
            <w:tcW w:w="1262" w:type="dxa"/>
            <w:tcBorders>
              <w:right w:val="single" w:sz="12" w:space="0" w:color="auto"/>
            </w:tcBorders>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1,4</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537E3C" w:rsidRDefault="00027ABA" w:rsidP="00027ABA">
            <w:pPr>
              <w:jc w:val="center"/>
              <w:rPr>
                <w:rFonts w:asciiTheme="minorHAnsi" w:hAnsiTheme="minorHAnsi" w:cstheme="minorHAnsi"/>
                <w:sz w:val="22"/>
                <w:szCs w:val="22"/>
              </w:rPr>
            </w:pPr>
            <w:r w:rsidRPr="00537E3C">
              <w:rPr>
                <w:rFonts w:asciiTheme="minorHAnsi" w:hAnsiTheme="minorHAnsi" w:cstheme="minorHAnsi"/>
                <w:sz w:val="22"/>
                <w:szCs w:val="22"/>
              </w:rPr>
              <w:t>+976</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Administrativní a podpůrné činnosti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9 402</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3,4</w:t>
            </w:r>
          </w:p>
        </w:tc>
        <w:tc>
          <w:tcPr>
            <w:tcW w:w="1262" w:type="dxa"/>
            <w:tcBorders>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11 527</w:t>
            </w:r>
          </w:p>
        </w:tc>
        <w:tc>
          <w:tcPr>
            <w:tcW w:w="1262" w:type="dxa"/>
            <w:tcBorders>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4,0</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2</w:t>
            </w:r>
            <w:r>
              <w:rPr>
                <w:rFonts w:asciiTheme="minorHAnsi" w:hAnsiTheme="minorHAnsi" w:cstheme="minorHAnsi"/>
                <w:sz w:val="22"/>
                <w:szCs w:val="22"/>
              </w:rPr>
              <w:t xml:space="preserve"> </w:t>
            </w:r>
            <w:r w:rsidRPr="00DB1DC2">
              <w:rPr>
                <w:rFonts w:asciiTheme="minorHAnsi" w:hAnsiTheme="minorHAnsi" w:cstheme="minorHAnsi"/>
                <w:sz w:val="22"/>
                <w:szCs w:val="22"/>
              </w:rPr>
              <w:t>125</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Veřejná správa a obrana, povinné soc. zabezpečení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17 780</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6,3</w:t>
            </w:r>
          </w:p>
        </w:tc>
        <w:tc>
          <w:tcPr>
            <w:tcW w:w="1262" w:type="dxa"/>
            <w:tcBorders>
              <w:top w:val="single" w:sz="4" w:space="0" w:color="auto"/>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18 577</w:t>
            </w:r>
          </w:p>
        </w:tc>
        <w:tc>
          <w:tcPr>
            <w:tcW w:w="1262" w:type="dxa"/>
            <w:tcBorders>
              <w:top w:val="single" w:sz="4" w:space="0" w:color="auto"/>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6,5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797</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Vzdělávání</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27 132</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9,7</w:t>
            </w:r>
          </w:p>
        </w:tc>
        <w:tc>
          <w:tcPr>
            <w:tcW w:w="1262" w:type="dxa"/>
            <w:tcBorders>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27 224</w:t>
            </w:r>
          </w:p>
        </w:tc>
        <w:tc>
          <w:tcPr>
            <w:tcW w:w="1262" w:type="dxa"/>
            <w:tcBorders>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9,5</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92</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Zdravotní a sociální péče</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27 175</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9,7</w:t>
            </w:r>
          </w:p>
        </w:tc>
        <w:tc>
          <w:tcPr>
            <w:tcW w:w="1262" w:type="dxa"/>
            <w:tcBorders>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27 949</w:t>
            </w:r>
          </w:p>
        </w:tc>
        <w:tc>
          <w:tcPr>
            <w:tcW w:w="1262" w:type="dxa"/>
            <w:tcBorders>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9,7</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774</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Kulturní, zábavní a rekreační činnosti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3 197</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1,1</w:t>
            </w:r>
          </w:p>
        </w:tc>
        <w:tc>
          <w:tcPr>
            <w:tcW w:w="1262" w:type="dxa"/>
            <w:tcBorders>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3 220</w:t>
            </w:r>
          </w:p>
        </w:tc>
        <w:tc>
          <w:tcPr>
            <w:tcW w:w="1262" w:type="dxa"/>
            <w:tcBorders>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1,1</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23</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Ostatní činnosti</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2 038</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0,7</w:t>
            </w:r>
          </w:p>
        </w:tc>
        <w:tc>
          <w:tcPr>
            <w:tcW w:w="1262" w:type="dxa"/>
            <w:tcBorders>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2 205</w:t>
            </w:r>
          </w:p>
        </w:tc>
        <w:tc>
          <w:tcPr>
            <w:tcW w:w="1262" w:type="dxa"/>
            <w:tcBorders>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0,8</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Pr>
                <w:rFonts w:asciiTheme="minorHAnsi" w:hAnsiTheme="minorHAnsi" w:cstheme="minorHAnsi"/>
                <w:sz w:val="22"/>
                <w:szCs w:val="22"/>
              </w:rPr>
              <w:t>+</w:t>
            </w:r>
            <w:r w:rsidRPr="00DB1DC2">
              <w:rPr>
                <w:rFonts w:asciiTheme="minorHAnsi" w:hAnsiTheme="minorHAnsi" w:cstheme="minorHAnsi"/>
                <w:sz w:val="22"/>
                <w:szCs w:val="22"/>
              </w:rPr>
              <w:t>167</w:t>
            </w:r>
          </w:p>
        </w:tc>
      </w:tr>
      <w:tr w:rsidR="00027ABA" w:rsidRPr="00C239C3" w:rsidTr="00027ABA">
        <w:trPr>
          <w:cantSplit/>
        </w:trPr>
        <w:tc>
          <w:tcPr>
            <w:tcW w:w="4320" w:type="dxa"/>
            <w:gridSpan w:val="2"/>
            <w:tcBorders>
              <w:top w:val="single" w:sz="4" w:space="0" w:color="auto"/>
              <w:left w:val="single" w:sz="12" w:space="0" w:color="auto"/>
              <w:bottom w:val="single" w:sz="4"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Činnosti domácností jako zaměstnavatelů, činnosti domácností produkující blíže neurčené výrobky a služby pro vlastní potřebu</w:t>
            </w:r>
          </w:p>
        </w:tc>
        <w:tc>
          <w:tcPr>
            <w:tcW w:w="1261" w:type="dxa"/>
            <w:tcBorders>
              <w:top w:val="single" w:sz="4" w:space="0" w:color="auto"/>
              <w:left w:val="single" w:sz="12"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w:t>
            </w:r>
          </w:p>
        </w:tc>
        <w:tc>
          <w:tcPr>
            <w:tcW w:w="1262" w:type="dxa"/>
            <w:tcBorders>
              <w:top w:val="single" w:sz="4" w:space="0" w:color="auto"/>
              <w:left w:val="single" w:sz="4" w:space="0" w:color="auto"/>
              <w:bottom w:val="single" w:sz="4"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0,0</w:t>
            </w:r>
          </w:p>
        </w:tc>
        <w:tc>
          <w:tcPr>
            <w:tcW w:w="1262" w:type="dxa"/>
            <w:tcBorders>
              <w:top w:val="single" w:sz="4" w:space="0" w:color="auto"/>
              <w:bottom w:val="single" w:sz="4"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w:t>
            </w:r>
          </w:p>
        </w:tc>
        <w:tc>
          <w:tcPr>
            <w:tcW w:w="1262" w:type="dxa"/>
            <w:tcBorders>
              <w:top w:val="single" w:sz="4" w:space="0" w:color="auto"/>
              <w:bottom w:val="single" w:sz="4"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0,0</w:t>
            </w:r>
          </w:p>
        </w:tc>
        <w:tc>
          <w:tcPr>
            <w:tcW w:w="1134" w:type="dxa"/>
            <w:tcBorders>
              <w:top w:val="single" w:sz="4" w:space="0" w:color="auto"/>
              <w:left w:val="single" w:sz="12" w:space="0" w:color="auto"/>
              <w:bottom w:val="single" w:sz="4"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0</w:t>
            </w:r>
          </w:p>
        </w:tc>
      </w:tr>
      <w:tr w:rsidR="00027ABA" w:rsidRPr="00C239C3" w:rsidTr="00027ABA">
        <w:trPr>
          <w:cantSplit/>
        </w:trPr>
        <w:tc>
          <w:tcPr>
            <w:tcW w:w="4320" w:type="dxa"/>
            <w:gridSpan w:val="2"/>
            <w:tcBorders>
              <w:top w:val="single" w:sz="4" w:space="0" w:color="auto"/>
              <w:left w:val="single" w:sz="12" w:space="0" w:color="auto"/>
              <w:bottom w:val="single" w:sz="12" w:space="0" w:color="auto"/>
              <w:right w:val="single" w:sz="12" w:space="0" w:color="auto"/>
            </w:tcBorders>
            <w:vAlign w:val="center"/>
          </w:tcPr>
          <w:p w:rsidR="00027ABA" w:rsidRPr="00C239C3" w:rsidRDefault="00027ABA" w:rsidP="00027ABA">
            <w:pPr>
              <w:rPr>
                <w:rFonts w:asciiTheme="minorHAnsi" w:hAnsiTheme="minorHAnsi" w:cstheme="minorHAnsi"/>
              </w:rPr>
            </w:pPr>
            <w:r w:rsidRPr="00C239C3">
              <w:rPr>
                <w:rFonts w:asciiTheme="minorHAnsi" w:hAnsiTheme="minorHAnsi" w:cstheme="minorHAnsi"/>
              </w:rPr>
              <w:t>Činnosti exteritoriálních organizací a orgánů</w:t>
            </w:r>
          </w:p>
        </w:tc>
        <w:tc>
          <w:tcPr>
            <w:tcW w:w="1261" w:type="dxa"/>
            <w:tcBorders>
              <w:top w:val="single" w:sz="4" w:space="0" w:color="auto"/>
              <w:left w:val="single" w:sz="12" w:space="0" w:color="auto"/>
              <w:bottom w:val="single" w:sz="12"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w:t>
            </w:r>
          </w:p>
        </w:tc>
        <w:tc>
          <w:tcPr>
            <w:tcW w:w="1262" w:type="dxa"/>
            <w:tcBorders>
              <w:top w:val="single" w:sz="4" w:space="0" w:color="auto"/>
              <w:left w:val="single" w:sz="4" w:space="0" w:color="auto"/>
              <w:bottom w:val="single" w:sz="12" w:space="0" w:color="auto"/>
              <w:right w:val="single" w:sz="4" w:space="0" w:color="auto"/>
            </w:tcBorders>
            <w:vAlign w:val="center"/>
          </w:tcPr>
          <w:p w:rsidR="00027ABA" w:rsidRPr="00C239C3" w:rsidRDefault="00027ABA" w:rsidP="00027ABA">
            <w:pPr>
              <w:jc w:val="center"/>
              <w:rPr>
                <w:rFonts w:asciiTheme="minorHAnsi" w:hAnsiTheme="minorHAnsi" w:cstheme="minorHAnsi"/>
                <w:sz w:val="22"/>
                <w:szCs w:val="22"/>
              </w:rPr>
            </w:pPr>
            <w:r w:rsidRPr="00C239C3">
              <w:rPr>
                <w:rFonts w:asciiTheme="minorHAnsi" w:hAnsiTheme="minorHAnsi" w:cstheme="minorHAnsi"/>
                <w:sz w:val="22"/>
                <w:szCs w:val="22"/>
              </w:rPr>
              <w:t>0,0</w:t>
            </w:r>
          </w:p>
        </w:tc>
        <w:tc>
          <w:tcPr>
            <w:tcW w:w="1262" w:type="dxa"/>
            <w:tcBorders>
              <w:top w:val="single" w:sz="4" w:space="0" w:color="auto"/>
              <w:bottom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w:t>
            </w:r>
          </w:p>
        </w:tc>
        <w:tc>
          <w:tcPr>
            <w:tcW w:w="1262" w:type="dxa"/>
            <w:tcBorders>
              <w:top w:val="single" w:sz="4" w:space="0" w:color="auto"/>
              <w:bottom w:val="single" w:sz="12" w:space="0" w:color="auto"/>
              <w:right w:val="single" w:sz="12" w:space="0" w:color="auto"/>
            </w:tcBorders>
            <w:vAlign w:val="center"/>
          </w:tcPr>
          <w:p w:rsidR="00027ABA" w:rsidRPr="00D116C1" w:rsidRDefault="00027ABA" w:rsidP="00027ABA">
            <w:pPr>
              <w:jc w:val="center"/>
              <w:rPr>
                <w:rFonts w:asciiTheme="minorHAnsi" w:hAnsiTheme="minorHAnsi" w:cstheme="minorHAnsi"/>
                <w:sz w:val="22"/>
                <w:szCs w:val="22"/>
              </w:rPr>
            </w:pPr>
            <w:r w:rsidRPr="00D116C1">
              <w:rPr>
                <w:rFonts w:asciiTheme="minorHAnsi" w:hAnsiTheme="minorHAnsi" w:cstheme="minorHAnsi"/>
                <w:sz w:val="22"/>
                <w:szCs w:val="22"/>
              </w:rPr>
              <w:t>0,0</w:t>
            </w:r>
          </w:p>
        </w:tc>
        <w:tc>
          <w:tcPr>
            <w:tcW w:w="1134" w:type="dxa"/>
            <w:tcBorders>
              <w:top w:val="single" w:sz="4" w:space="0" w:color="auto"/>
              <w:left w:val="single" w:sz="12" w:space="0" w:color="auto"/>
              <w:bottom w:val="single" w:sz="12" w:space="0" w:color="auto"/>
              <w:right w:val="single" w:sz="12" w:space="0" w:color="auto"/>
            </w:tcBorders>
            <w:vAlign w:val="center"/>
          </w:tcPr>
          <w:p w:rsidR="00027ABA" w:rsidRPr="00DB1DC2" w:rsidRDefault="00027ABA" w:rsidP="00027ABA">
            <w:pPr>
              <w:jc w:val="center"/>
              <w:rPr>
                <w:rFonts w:asciiTheme="minorHAnsi" w:hAnsiTheme="minorHAnsi" w:cstheme="minorHAnsi"/>
                <w:sz w:val="22"/>
                <w:szCs w:val="22"/>
              </w:rPr>
            </w:pPr>
            <w:r w:rsidRPr="00DB1DC2">
              <w:rPr>
                <w:rFonts w:asciiTheme="minorHAnsi" w:hAnsiTheme="minorHAnsi" w:cstheme="minorHAnsi"/>
                <w:sz w:val="22"/>
                <w:szCs w:val="22"/>
              </w:rPr>
              <w:t>0</w:t>
            </w:r>
          </w:p>
        </w:tc>
      </w:tr>
      <w:tr w:rsidR="00027ABA" w:rsidRPr="00C239C3" w:rsidTr="00027ABA">
        <w:trPr>
          <w:cantSplit/>
        </w:trPr>
        <w:tc>
          <w:tcPr>
            <w:tcW w:w="4320" w:type="dxa"/>
            <w:gridSpan w:val="2"/>
            <w:tcBorders>
              <w:top w:val="single" w:sz="12" w:space="0" w:color="auto"/>
              <w:left w:val="single" w:sz="12" w:space="0" w:color="auto"/>
              <w:bottom w:val="single" w:sz="12" w:space="0" w:color="auto"/>
              <w:right w:val="single" w:sz="12" w:space="0" w:color="auto"/>
            </w:tcBorders>
            <w:vAlign w:val="center"/>
          </w:tcPr>
          <w:p w:rsidR="00027ABA" w:rsidRPr="00C239C3" w:rsidRDefault="00027ABA" w:rsidP="00027ABA">
            <w:pPr>
              <w:pStyle w:val="Zhlav"/>
              <w:rPr>
                <w:rFonts w:asciiTheme="minorHAnsi" w:hAnsiTheme="minorHAnsi" w:cstheme="minorHAnsi"/>
                <w:b/>
                <w:sz w:val="24"/>
                <w:szCs w:val="24"/>
              </w:rPr>
            </w:pPr>
            <w:r w:rsidRPr="00C239C3">
              <w:rPr>
                <w:rFonts w:asciiTheme="minorHAnsi" w:hAnsiTheme="minorHAnsi" w:cstheme="minorHAnsi"/>
                <w:b/>
                <w:sz w:val="24"/>
                <w:szCs w:val="24"/>
              </w:rPr>
              <w:t>Celkem</w:t>
            </w:r>
          </w:p>
        </w:tc>
        <w:tc>
          <w:tcPr>
            <w:tcW w:w="1261" w:type="dxa"/>
            <w:tcBorders>
              <w:top w:val="single" w:sz="12" w:space="0" w:color="auto"/>
              <w:left w:val="single" w:sz="12" w:space="0" w:color="auto"/>
              <w:bottom w:val="single" w:sz="12" w:space="0" w:color="auto"/>
              <w:right w:val="single" w:sz="4" w:space="0" w:color="auto"/>
            </w:tcBorders>
            <w:vAlign w:val="center"/>
          </w:tcPr>
          <w:p w:rsidR="00027ABA" w:rsidRPr="00C239C3" w:rsidRDefault="00027ABA" w:rsidP="00027ABA">
            <w:pPr>
              <w:jc w:val="center"/>
              <w:rPr>
                <w:rFonts w:asciiTheme="minorHAnsi" w:hAnsiTheme="minorHAnsi" w:cstheme="minorHAnsi"/>
                <w:b/>
                <w:bCs/>
                <w:sz w:val="24"/>
                <w:szCs w:val="24"/>
              </w:rPr>
            </w:pPr>
            <w:r>
              <w:rPr>
                <w:rFonts w:asciiTheme="minorHAnsi" w:hAnsiTheme="minorHAnsi" w:cstheme="minorHAnsi"/>
                <w:b/>
                <w:bCs/>
                <w:sz w:val="24"/>
                <w:szCs w:val="24"/>
              </w:rPr>
              <w:t>280</w:t>
            </w:r>
            <w:r w:rsidRPr="00C239C3">
              <w:rPr>
                <w:rFonts w:asciiTheme="minorHAnsi" w:hAnsiTheme="minorHAnsi" w:cstheme="minorHAnsi"/>
                <w:b/>
                <w:bCs/>
                <w:sz w:val="24"/>
                <w:szCs w:val="24"/>
              </w:rPr>
              <w:t xml:space="preserve"> </w:t>
            </w:r>
            <w:r>
              <w:rPr>
                <w:rFonts w:asciiTheme="minorHAnsi" w:hAnsiTheme="minorHAnsi" w:cstheme="minorHAnsi"/>
                <w:b/>
                <w:bCs/>
                <w:sz w:val="24"/>
                <w:szCs w:val="24"/>
              </w:rPr>
              <w:t>569</w:t>
            </w:r>
          </w:p>
        </w:tc>
        <w:tc>
          <w:tcPr>
            <w:tcW w:w="1262" w:type="dxa"/>
            <w:tcBorders>
              <w:top w:val="single" w:sz="12" w:space="0" w:color="auto"/>
              <w:left w:val="single" w:sz="4" w:space="0" w:color="auto"/>
              <w:bottom w:val="single" w:sz="12" w:space="0" w:color="auto"/>
              <w:right w:val="single" w:sz="4" w:space="0" w:color="auto"/>
            </w:tcBorders>
            <w:vAlign w:val="center"/>
          </w:tcPr>
          <w:p w:rsidR="00027ABA" w:rsidRPr="00C239C3" w:rsidRDefault="00027ABA" w:rsidP="00027ABA">
            <w:pPr>
              <w:jc w:val="center"/>
              <w:rPr>
                <w:rFonts w:asciiTheme="minorHAnsi" w:hAnsiTheme="minorHAnsi" w:cstheme="minorHAnsi"/>
                <w:b/>
                <w:bCs/>
                <w:sz w:val="24"/>
                <w:szCs w:val="24"/>
              </w:rPr>
            </w:pPr>
            <w:r w:rsidRPr="00C239C3">
              <w:rPr>
                <w:rFonts w:asciiTheme="minorHAnsi" w:hAnsiTheme="minorHAnsi" w:cstheme="minorHAnsi"/>
                <w:b/>
                <w:bCs/>
                <w:sz w:val="24"/>
                <w:szCs w:val="24"/>
              </w:rPr>
              <w:t>100,0</w:t>
            </w:r>
          </w:p>
        </w:tc>
        <w:tc>
          <w:tcPr>
            <w:tcW w:w="1262" w:type="dxa"/>
            <w:tcBorders>
              <w:top w:val="single" w:sz="12" w:space="0" w:color="auto"/>
              <w:bottom w:val="single" w:sz="12" w:space="0" w:color="auto"/>
            </w:tcBorders>
            <w:vAlign w:val="bottom"/>
          </w:tcPr>
          <w:p w:rsidR="00027ABA" w:rsidRPr="00D116C1" w:rsidRDefault="00027ABA" w:rsidP="00027ABA">
            <w:pPr>
              <w:jc w:val="center"/>
              <w:rPr>
                <w:rFonts w:asciiTheme="minorHAnsi" w:hAnsiTheme="minorHAnsi" w:cstheme="minorHAnsi"/>
                <w:b/>
                <w:bCs/>
                <w:sz w:val="24"/>
                <w:szCs w:val="24"/>
              </w:rPr>
            </w:pPr>
            <w:r w:rsidRPr="00D116C1">
              <w:rPr>
                <w:rFonts w:asciiTheme="minorHAnsi" w:hAnsiTheme="minorHAnsi" w:cstheme="minorHAnsi"/>
                <w:b/>
                <w:bCs/>
                <w:sz w:val="24"/>
                <w:szCs w:val="24"/>
              </w:rPr>
              <w:t>286 958</w:t>
            </w:r>
          </w:p>
        </w:tc>
        <w:tc>
          <w:tcPr>
            <w:tcW w:w="1262" w:type="dxa"/>
            <w:tcBorders>
              <w:top w:val="single" w:sz="12" w:space="0" w:color="auto"/>
              <w:bottom w:val="single" w:sz="12" w:space="0" w:color="auto"/>
              <w:right w:val="single" w:sz="12" w:space="0" w:color="auto"/>
            </w:tcBorders>
            <w:vAlign w:val="center"/>
          </w:tcPr>
          <w:p w:rsidR="00027ABA" w:rsidRPr="00C239C3" w:rsidRDefault="00027ABA" w:rsidP="00027ABA">
            <w:pPr>
              <w:jc w:val="center"/>
              <w:rPr>
                <w:rFonts w:asciiTheme="minorHAnsi" w:hAnsiTheme="minorHAnsi" w:cstheme="minorHAnsi"/>
                <w:b/>
                <w:sz w:val="24"/>
                <w:szCs w:val="24"/>
              </w:rPr>
            </w:pPr>
            <w:r w:rsidRPr="00C239C3">
              <w:rPr>
                <w:rFonts w:asciiTheme="minorHAnsi" w:hAnsiTheme="minorHAnsi" w:cstheme="minorHAnsi"/>
                <w:b/>
                <w:sz w:val="24"/>
                <w:szCs w:val="24"/>
              </w:rPr>
              <w:t>100,0</w:t>
            </w:r>
          </w:p>
        </w:tc>
        <w:tc>
          <w:tcPr>
            <w:tcW w:w="1134" w:type="dxa"/>
            <w:tcBorders>
              <w:top w:val="single" w:sz="12" w:space="0" w:color="auto"/>
              <w:left w:val="single" w:sz="12" w:space="0" w:color="auto"/>
              <w:bottom w:val="single" w:sz="12" w:space="0" w:color="auto"/>
              <w:right w:val="single" w:sz="12" w:space="0" w:color="auto"/>
            </w:tcBorders>
            <w:vAlign w:val="center"/>
          </w:tcPr>
          <w:p w:rsidR="00027ABA" w:rsidRPr="00DB1DC2" w:rsidRDefault="00027ABA" w:rsidP="00027ABA">
            <w:pPr>
              <w:jc w:val="center"/>
              <w:rPr>
                <w:rFonts w:asciiTheme="minorHAnsi" w:hAnsiTheme="minorHAnsi" w:cstheme="minorHAnsi"/>
                <w:b/>
                <w:bCs/>
                <w:sz w:val="24"/>
                <w:szCs w:val="24"/>
              </w:rPr>
            </w:pPr>
            <w:r w:rsidRPr="00DB1DC2">
              <w:rPr>
                <w:rFonts w:asciiTheme="minorHAnsi" w:hAnsiTheme="minorHAnsi" w:cstheme="minorHAnsi"/>
                <w:b/>
                <w:bCs/>
                <w:sz w:val="24"/>
                <w:szCs w:val="24"/>
              </w:rPr>
              <w:t>6</w:t>
            </w:r>
            <w:r>
              <w:rPr>
                <w:rFonts w:asciiTheme="minorHAnsi" w:hAnsiTheme="minorHAnsi" w:cstheme="minorHAnsi"/>
                <w:b/>
                <w:bCs/>
                <w:sz w:val="24"/>
                <w:szCs w:val="24"/>
              </w:rPr>
              <w:t xml:space="preserve"> </w:t>
            </w:r>
            <w:r w:rsidRPr="00DB1DC2">
              <w:rPr>
                <w:rFonts w:asciiTheme="minorHAnsi" w:hAnsiTheme="minorHAnsi" w:cstheme="minorHAnsi"/>
                <w:b/>
                <w:bCs/>
                <w:sz w:val="24"/>
                <w:szCs w:val="24"/>
              </w:rPr>
              <w:t>389</w:t>
            </w:r>
          </w:p>
        </w:tc>
      </w:tr>
    </w:tbl>
    <w:p w:rsidR="00027ABA" w:rsidRPr="006E0270" w:rsidRDefault="00027ABA" w:rsidP="00027ABA">
      <w:pPr>
        <w:pStyle w:val="Nadpis6"/>
        <w:ind w:left="284" w:hanging="284"/>
        <w:jc w:val="both"/>
        <w:rPr>
          <w:rFonts w:asciiTheme="minorHAnsi" w:hAnsiTheme="minorHAnsi" w:cstheme="minorHAnsi"/>
          <w:szCs w:val="24"/>
        </w:rPr>
      </w:pPr>
      <w:r w:rsidRPr="006E0270">
        <w:rPr>
          <w:rFonts w:asciiTheme="minorHAnsi" w:hAnsiTheme="minorHAnsi" w:cstheme="minorHAnsi"/>
          <w:szCs w:val="24"/>
        </w:rPr>
        <w:t>3. Vývoj zaměstnanosti v jednotlivých vybraných odvětvích s výraznějšími změnami v poč</w:t>
      </w:r>
      <w:r>
        <w:rPr>
          <w:rFonts w:asciiTheme="minorHAnsi" w:hAnsiTheme="minorHAnsi" w:cstheme="minorHAnsi"/>
          <w:szCs w:val="24"/>
        </w:rPr>
        <w:t>tech     zaměstnanců v roce 2014</w:t>
      </w:r>
    </w:p>
    <w:p w:rsidR="00027ABA" w:rsidRPr="006E0270" w:rsidRDefault="00027ABA" w:rsidP="00027ABA">
      <w:pPr>
        <w:pStyle w:val="dka"/>
        <w:jc w:val="both"/>
        <w:rPr>
          <w:rFonts w:asciiTheme="minorHAnsi" w:hAnsiTheme="minorHAnsi" w:cstheme="minorHAnsi"/>
          <w:b/>
          <w:color w:val="auto"/>
          <w:szCs w:val="24"/>
        </w:rPr>
      </w:pPr>
    </w:p>
    <w:p w:rsidR="00027ABA" w:rsidRPr="006E0270" w:rsidRDefault="00027ABA" w:rsidP="00027ABA">
      <w:pPr>
        <w:pStyle w:val="Nadpis5"/>
        <w:rPr>
          <w:rFonts w:asciiTheme="minorHAnsi" w:hAnsiTheme="minorHAnsi" w:cstheme="minorHAnsi"/>
          <w:szCs w:val="24"/>
        </w:rPr>
      </w:pPr>
      <w:r>
        <w:rPr>
          <w:rFonts w:asciiTheme="minorHAnsi" w:hAnsiTheme="minorHAnsi" w:cstheme="minorHAnsi"/>
          <w:szCs w:val="24"/>
        </w:rPr>
        <w:t>Zemědělství, lesnictví a rybářství</w:t>
      </w:r>
    </w:p>
    <w:p w:rsidR="00027ABA" w:rsidRPr="006E0270" w:rsidRDefault="00027ABA" w:rsidP="00027ABA">
      <w:pPr>
        <w:pStyle w:val="dka"/>
        <w:ind w:firstLine="709"/>
        <w:jc w:val="both"/>
        <w:rPr>
          <w:rFonts w:asciiTheme="minorHAnsi" w:hAnsiTheme="minorHAnsi" w:cstheme="minorHAnsi"/>
          <w:color w:val="auto"/>
          <w:szCs w:val="24"/>
        </w:rPr>
      </w:pPr>
      <w:r w:rsidRPr="006E0270">
        <w:rPr>
          <w:rFonts w:asciiTheme="minorHAnsi" w:hAnsiTheme="minorHAnsi" w:cstheme="minorHAnsi"/>
          <w:color w:val="auto"/>
          <w:szCs w:val="24"/>
        </w:rPr>
        <w:t>Zam</w:t>
      </w:r>
      <w:r>
        <w:rPr>
          <w:rFonts w:asciiTheme="minorHAnsi" w:hAnsiTheme="minorHAnsi" w:cstheme="minorHAnsi"/>
          <w:color w:val="auto"/>
          <w:szCs w:val="24"/>
        </w:rPr>
        <w:t>ěstnanost v tomto odvětví vzrostla</w:t>
      </w:r>
      <w:r w:rsidRPr="006E0270">
        <w:rPr>
          <w:rFonts w:asciiTheme="minorHAnsi" w:hAnsiTheme="minorHAnsi" w:cstheme="minorHAnsi"/>
          <w:color w:val="auto"/>
          <w:szCs w:val="24"/>
        </w:rPr>
        <w:t xml:space="preserve"> za </w:t>
      </w:r>
      <w:r>
        <w:rPr>
          <w:rFonts w:asciiTheme="minorHAnsi" w:hAnsiTheme="minorHAnsi" w:cstheme="minorHAnsi"/>
          <w:color w:val="auto"/>
          <w:szCs w:val="24"/>
        </w:rPr>
        <w:t>uplynulý rok o 196 (+5,8 %) osob. K jejímu navýšení</w:t>
      </w:r>
      <w:r w:rsidRPr="006E0270">
        <w:rPr>
          <w:rFonts w:asciiTheme="minorHAnsi" w:hAnsiTheme="minorHAnsi" w:cstheme="minorHAnsi"/>
          <w:color w:val="auto"/>
          <w:szCs w:val="24"/>
        </w:rPr>
        <w:t>  došlo ve všech okre</w:t>
      </w:r>
      <w:r>
        <w:rPr>
          <w:rFonts w:asciiTheme="minorHAnsi" w:hAnsiTheme="minorHAnsi" w:cstheme="minorHAnsi"/>
          <w:color w:val="auto"/>
          <w:szCs w:val="24"/>
        </w:rPr>
        <w:t>sech MSK s výjimkou opavského (-110 osob)</w:t>
      </w:r>
      <w:r w:rsidRPr="006E0270">
        <w:rPr>
          <w:rFonts w:asciiTheme="minorHAnsi" w:hAnsiTheme="minorHAnsi" w:cstheme="minorHAnsi"/>
          <w:color w:val="auto"/>
          <w:szCs w:val="24"/>
        </w:rPr>
        <w:t>, nejvíce v</w:t>
      </w:r>
      <w:r>
        <w:rPr>
          <w:rFonts w:asciiTheme="minorHAnsi" w:hAnsiTheme="minorHAnsi" w:cstheme="minorHAnsi"/>
          <w:color w:val="auto"/>
          <w:szCs w:val="24"/>
        </w:rPr>
        <w:t> okresech Frýdek-Místek (+125 osob) a Bruntál (+84</w:t>
      </w:r>
      <w:r w:rsidRPr="006E0270">
        <w:rPr>
          <w:rFonts w:asciiTheme="minorHAnsi" w:hAnsiTheme="minorHAnsi" w:cstheme="minorHAnsi"/>
          <w:color w:val="auto"/>
          <w:szCs w:val="24"/>
        </w:rPr>
        <w:t xml:space="preserve"> osob). </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5"/>
        <w:rPr>
          <w:rFonts w:asciiTheme="minorHAnsi" w:hAnsiTheme="minorHAnsi" w:cstheme="minorHAnsi"/>
        </w:rPr>
      </w:pPr>
      <w:r w:rsidRPr="006E0270">
        <w:rPr>
          <w:rFonts w:asciiTheme="minorHAnsi" w:hAnsiTheme="minorHAnsi" w:cstheme="minorHAnsi"/>
        </w:rPr>
        <w:t xml:space="preserve">Zpracovatelský průmysl </w:t>
      </w:r>
    </w:p>
    <w:p w:rsidR="00027ABA" w:rsidRPr="006E0270" w:rsidRDefault="00027ABA" w:rsidP="00027ABA">
      <w:pPr>
        <w:pStyle w:val="Zkladntextodsazen"/>
        <w:rPr>
          <w:rFonts w:asciiTheme="minorHAnsi" w:hAnsiTheme="minorHAnsi" w:cstheme="minorHAnsi"/>
        </w:rPr>
      </w:pPr>
      <w:r w:rsidRPr="006E0270">
        <w:rPr>
          <w:rFonts w:asciiTheme="minorHAnsi" w:hAnsiTheme="minorHAnsi" w:cstheme="minorHAnsi"/>
        </w:rPr>
        <w:t>U monitorovaných organizací zpracovatelského průmyslu, ve kterém nachází ze sledovaných firem v MSK pra</w:t>
      </w:r>
      <w:r>
        <w:rPr>
          <w:rFonts w:asciiTheme="minorHAnsi" w:hAnsiTheme="minorHAnsi" w:cstheme="minorHAnsi"/>
        </w:rPr>
        <w:t xml:space="preserve">covní uplatnění nejvíce osob (38,8 %), přibylo v roce 2014 celkem 1 369 (+1,2 %) zaměstnanců. Na nárůstu </w:t>
      </w:r>
      <w:r w:rsidRPr="006E0270">
        <w:rPr>
          <w:rFonts w:asciiTheme="minorHAnsi" w:hAnsiTheme="minorHAnsi" w:cstheme="minorHAnsi"/>
        </w:rPr>
        <w:t xml:space="preserve">počtu zaměstnaných osob se nejvíce podílely firmy zabývající se </w:t>
      </w:r>
      <w:r>
        <w:rPr>
          <w:rFonts w:asciiTheme="minorHAnsi" w:hAnsiTheme="minorHAnsi" w:cstheme="minorHAnsi"/>
        </w:rPr>
        <w:t xml:space="preserve">výrobou motorových vozidel (+611 osob), </w:t>
      </w:r>
      <w:r w:rsidRPr="006E0270">
        <w:rPr>
          <w:rFonts w:asciiTheme="minorHAnsi" w:hAnsiTheme="minorHAnsi" w:cstheme="minorHAnsi"/>
        </w:rPr>
        <w:t xml:space="preserve">výrobou elektrických zařízení </w:t>
      </w:r>
      <w:r>
        <w:rPr>
          <w:rFonts w:asciiTheme="minorHAnsi" w:hAnsiTheme="minorHAnsi" w:cstheme="minorHAnsi"/>
        </w:rPr>
        <w:t xml:space="preserve">           </w:t>
      </w:r>
      <w:r w:rsidRPr="006E0270">
        <w:rPr>
          <w:rFonts w:asciiTheme="minorHAnsi" w:hAnsiTheme="minorHAnsi" w:cstheme="minorHAnsi"/>
        </w:rPr>
        <w:t>(</w:t>
      </w:r>
      <w:r>
        <w:rPr>
          <w:rFonts w:asciiTheme="minorHAnsi" w:hAnsiTheme="minorHAnsi" w:cstheme="minorHAnsi"/>
        </w:rPr>
        <w:t>+582</w:t>
      </w:r>
      <w:r w:rsidRPr="006E0270">
        <w:rPr>
          <w:rFonts w:asciiTheme="minorHAnsi" w:hAnsiTheme="minorHAnsi" w:cstheme="minorHAnsi"/>
        </w:rPr>
        <w:t xml:space="preserve"> osob)</w:t>
      </w:r>
      <w:r>
        <w:rPr>
          <w:rFonts w:asciiTheme="minorHAnsi" w:hAnsiTheme="minorHAnsi" w:cstheme="minorHAnsi"/>
        </w:rPr>
        <w:t xml:space="preserve"> a výrobou pryžových, plastových výrobků (+352</w:t>
      </w:r>
      <w:r w:rsidRPr="006E0270">
        <w:rPr>
          <w:rFonts w:asciiTheme="minorHAnsi" w:hAnsiTheme="minorHAnsi" w:cstheme="minorHAnsi"/>
        </w:rPr>
        <w:t> osob)</w:t>
      </w:r>
      <w:r>
        <w:rPr>
          <w:rFonts w:asciiTheme="minorHAnsi" w:hAnsiTheme="minorHAnsi" w:cstheme="minorHAnsi"/>
        </w:rPr>
        <w:t>. Naopak největší úbytek</w:t>
      </w:r>
      <w:r w:rsidRPr="006E0270">
        <w:rPr>
          <w:rFonts w:asciiTheme="minorHAnsi" w:hAnsiTheme="minorHAnsi" w:cstheme="minorHAnsi"/>
        </w:rPr>
        <w:t xml:space="preserve"> zaznamenala výroba </w:t>
      </w:r>
      <w:r>
        <w:rPr>
          <w:rFonts w:asciiTheme="minorHAnsi" w:hAnsiTheme="minorHAnsi" w:cstheme="minorHAnsi"/>
        </w:rPr>
        <w:t>potravinářských výrobků, nápojů a tabákových výrobků (-148 osob) a </w:t>
      </w:r>
      <w:r w:rsidRPr="006E0270">
        <w:rPr>
          <w:rFonts w:asciiTheme="minorHAnsi" w:hAnsiTheme="minorHAnsi" w:cstheme="minorHAnsi"/>
        </w:rPr>
        <w:t>výrob</w:t>
      </w:r>
      <w:r>
        <w:rPr>
          <w:rFonts w:asciiTheme="minorHAnsi" w:hAnsiTheme="minorHAnsi" w:cstheme="minorHAnsi"/>
        </w:rPr>
        <w:t>a koksu a rafinovaných ropných produktů (-122</w:t>
      </w:r>
      <w:r w:rsidRPr="006E0270">
        <w:rPr>
          <w:rFonts w:asciiTheme="minorHAnsi" w:hAnsiTheme="minorHAnsi" w:cstheme="minorHAnsi"/>
        </w:rPr>
        <w:t xml:space="preserve"> osob).</w:t>
      </w:r>
      <w:r>
        <w:rPr>
          <w:rFonts w:asciiTheme="minorHAnsi" w:hAnsiTheme="minorHAnsi" w:cstheme="minorHAnsi"/>
        </w:rPr>
        <w:t xml:space="preserve"> Celkově za toto odvětví došlo během uplynulého roku k navýšení zaměstnanosti ve všech okresech Moravskoslezského kraje s výjimkou okresu Ostrava (-478 osob), kde nejvýraznější podíl na tom měly hutní, strojírenské firmy a pododvětví výroby koksu. </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4"/>
        <w:tabs>
          <w:tab w:val="num" w:pos="786"/>
          <w:tab w:val="num" w:pos="993"/>
        </w:tabs>
        <w:ind w:left="1004" w:hanging="360"/>
        <w:rPr>
          <w:rFonts w:asciiTheme="minorHAnsi" w:hAnsiTheme="minorHAnsi" w:cstheme="minorHAnsi"/>
        </w:rPr>
      </w:pPr>
      <w:r>
        <w:rPr>
          <w:rFonts w:asciiTheme="minorHAnsi" w:hAnsiTheme="minorHAnsi" w:cstheme="minorHAnsi"/>
        </w:rPr>
        <w:t>Výroba potravinářských výrobků, nápojů a tabákových výrobků</w:t>
      </w:r>
    </w:p>
    <w:p w:rsidR="00027ABA" w:rsidRDefault="00027ABA" w:rsidP="00027ABA">
      <w:pPr>
        <w:pStyle w:val="Zkladntextodsazen"/>
        <w:rPr>
          <w:rFonts w:asciiTheme="minorHAnsi" w:hAnsiTheme="minorHAnsi" w:cstheme="minorHAnsi"/>
        </w:rPr>
      </w:pPr>
      <w:r w:rsidRPr="006E0270">
        <w:rPr>
          <w:rFonts w:asciiTheme="minorHAnsi" w:hAnsiTheme="minorHAnsi" w:cstheme="minorHAnsi"/>
        </w:rPr>
        <w:t>Celkový počet zaměstnanců se v </w:t>
      </w:r>
      <w:r>
        <w:rPr>
          <w:rFonts w:asciiTheme="minorHAnsi" w:hAnsiTheme="minorHAnsi" w:cstheme="minorHAnsi"/>
        </w:rPr>
        <w:t>uplynulých 12 měsících roku 2014</w:t>
      </w:r>
      <w:r w:rsidRPr="006E0270">
        <w:rPr>
          <w:rFonts w:asciiTheme="minorHAnsi" w:hAnsiTheme="minorHAnsi" w:cstheme="minorHAnsi"/>
        </w:rPr>
        <w:t xml:space="preserve"> u m</w:t>
      </w:r>
      <w:r>
        <w:rPr>
          <w:rFonts w:asciiTheme="minorHAnsi" w:hAnsiTheme="minorHAnsi" w:cstheme="minorHAnsi"/>
        </w:rPr>
        <w:t>onitorovaných firem snížil o 148 (-1,9</w:t>
      </w:r>
      <w:r w:rsidRPr="006E0270">
        <w:rPr>
          <w:rFonts w:asciiTheme="minorHAnsi" w:hAnsiTheme="minorHAnsi" w:cstheme="minorHAnsi"/>
        </w:rPr>
        <w:t xml:space="preserve"> %). K úbytku došlo ve všech okresech </w:t>
      </w:r>
      <w:r>
        <w:rPr>
          <w:rFonts w:asciiTheme="minorHAnsi" w:hAnsiTheme="minorHAnsi" w:cstheme="minorHAnsi"/>
        </w:rPr>
        <w:t>MSK s výjimkou okresu Frýdek-Místek</w:t>
      </w:r>
      <w:r w:rsidRPr="006E0270">
        <w:rPr>
          <w:rFonts w:asciiTheme="minorHAnsi" w:hAnsiTheme="minorHAnsi" w:cstheme="minorHAnsi"/>
        </w:rPr>
        <w:t>, nejvýrazněji poklesl počet v</w:t>
      </w:r>
      <w:r>
        <w:rPr>
          <w:rFonts w:asciiTheme="minorHAnsi" w:hAnsiTheme="minorHAnsi" w:cstheme="minorHAnsi"/>
        </w:rPr>
        <w:t> okresech Nový Jičín (-96</w:t>
      </w:r>
      <w:r w:rsidRPr="006E0270">
        <w:rPr>
          <w:rFonts w:asciiTheme="minorHAnsi" w:hAnsiTheme="minorHAnsi" w:cstheme="minorHAnsi"/>
        </w:rPr>
        <w:t xml:space="preserve"> osob) a </w:t>
      </w:r>
      <w:r>
        <w:rPr>
          <w:rFonts w:asciiTheme="minorHAnsi" w:hAnsiTheme="minorHAnsi" w:cstheme="minorHAnsi"/>
        </w:rPr>
        <w:t>Opava (-46</w:t>
      </w:r>
      <w:r w:rsidRPr="006E0270">
        <w:rPr>
          <w:rFonts w:asciiTheme="minorHAnsi" w:hAnsiTheme="minorHAnsi" w:cstheme="minorHAnsi"/>
        </w:rPr>
        <w:t xml:space="preserve"> o</w:t>
      </w:r>
      <w:r>
        <w:rPr>
          <w:rFonts w:asciiTheme="minorHAnsi" w:hAnsiTheme="minorHAnsi" w:cstheme="minorHAnsi"/>
        </w:rPr>
        <w:t>sob)</w:t>
      </w:r>
      <w:r w:rsidRPr="006E0270">
        <w:rPr>
          <w:rFonts w:asciiTheme="minorHAnsi" w:hAnsiTheme="minorHAnsi" w:cstheme="minorHAnsi"/>
        </w:rPr>
        <w:t>.</w:t>
      </w:r>
    </w:p>
    <w:p w:rsidR="00027ABA" w:rsidRDefault="00027ABA" w:rsidP="00027ABA">
      <w:pPr>
        <w:pStyle w:val="Zkladntextodsazen"/>
        <w:rPr>
          <w:rFonts w:asciiTheme="minorHAnsi" w:hAnsiTheme="minorHAnsi" w:cstheme="minorHAnsi"/>
        </w:rPr>
      </w:pPr>
    </w:p>
    <w:p w:rsidR="00027ABA" w:rsidRPr="006E0270" w:rsidRDefault="00027ABA" w:rsidP="00027ABA">
      <w:pPr>
        <w:pStyle w:val="Nadpis4"/>
        <w:tabs>
          <w:tab w:val="num" w:pos="786"/>
          <w:tab w:val="num" w:pos="928"/>
          <w:tab w:val="num" w:pos="1004"/>
        </w:tabs>
        <w:ind w:left="1004" w:hanging="360"/>
        <w:rPr>
          <w:rFonts w:asciiTheme="minorHAnsi" w:hAnsiTheme="minorHAnsi" w:cstheme="minorHAnsi"/>
        </w:rPr>
      </w:pPr>
      <w:r>
        <w:rPr>
          <w:rFonts w:asciiTheme="minorHAnsi" w:hAnsiTheme="minorHAnsi" w:cstheme="minorHAnsi"/>
        </w:rPr>
        <w:t>Výroba koksu a rafinovaných ropných produktů</w:t>
      </w:r>
    </w:p>
    <w:p w:rsidR="00027ABA" w:rsidRPr="006E0270" w:rsidRDefault="00027ABA" w:rsidP="00027ABA">
      <w:pPr>
        <w:pStyle w:val="Zkladntextodsazen"/>
        <w:rPr>
          <w:rFonts w:asciiTheme="minorHAnsi" w:hAnsiTheme="minorHAnsi" w:cstheme="minorHAnsi"/>
        </w:rPr>
      </w:pPr>
      <w:r w:rsidRPr="006E0270">
        <w:rPr>
          <w:rFonts w:asciiTheme="minorHAnsi" w:hAnsiTheme="minorHAnsi" w:cstheme="minorHAnsi"/>
        </w:rPr>
        <w:t>Stavy zaměstnanců u monitorovaných po</w:t>
      </w:r>
      <w:r>
        <w:rPr>
          <w:rFonts w:asciiTheme="minorHAnsi" w:hAnsiTheme="minorHAnsi" w:cstheme="minorHAnsi"/>
        </w:rPr>
        <w:t xml:space="preserve">dniků se v tomto odvětví snížily meziročně o 122 (-16,8 </w:t>
      </w:r>
      <w:r w:rsidRPr="006E0270">
        <w:rPr>
          <w:rFonts w:asciiTheme="minorHAnsi" w:hAnsiTheme="minorHAnsi" w:cstheme="minorHAnsi"/>
        </w:rPr>
        <w:t xml:space="preserve">%) osob. </w:t>
      </w:r>
      <w:r>
        <w:rPr>
          <w:rFonts w:asciiTheme="minorHAnsi" w:hAnsiTheme="minorHAnsi" w:cstheme="minorHAnsi"/>
        </w:rPr>
        <w:t>Firma z tohoto odvětví (OKK koksovny, a. s.) působí pouze v okrese</w:t>
      </w:r>
      <w:r w:rsidRPr="006E0270">
        <w:rPr>
          <w:rFonts w:asciiTheme="minorHAnsi" w:hAnsiTheme="minorHAnsi" w:cstheme="minorHAnsi"/>
        </w:rPr>
        <w:t xml:space="preserve"> </w:t>
      </w:r>
      <w:r>
        <w:rPr>
          <w:rFonts w:asciiTheme="minorHAnsi" w:hAnsiTheme="minorHAnsi" w:cstheme="minorHAnsi"/>
        </w:rPr>
        <w:t>Ostrava, kde na základě rozhodnutí nového vlastníka společnosti byla realizována řada úsporných opatření v souvislosti s nižším odbytem produkce způsobeným poklesem výroby oceli.</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4"/>
        <w:tabs>
          <w:tab w:val="num" w:pos="786"/>
          <w:tab w:val="num" w:pos="928"/>
          <w:tab w:val="num" w:pos="1004"/>
        </w:tabs>
        <w:ind w:left="1004" w:hanging="360"/>
        <w:rPr>
          <w:rFonts w:asciiTheme="minorHAnsi" w:hAnsiTheme="minorHAnsi" w:cstheme="minorHAnsi"/>
        </w:rPr>
      </w:pPr>
      <w:r w:rsidRPr="006E0270">
        <w:rPr>
          <w:rFonts w:asciiTheme="minorHAnsi" w:hAnsiTheme="minorHAnsi" w:cstheme="minorHAnsi"/>
        </w:rPr>
        <w:t>Výroba pryžových, plastových výrobků a ostatních nekovových minerálních výrobků</w:t>
      </w:r>
    </w:p>
    <w:p w:rsidR="00027ABA" w:rsidRPr="006E0270" w:rsidRDefault="00027ABA" w:rsidP="00027ABA">
      <w:pPr>
        <w:pStyle w:val="Zkladntextodsazen"/>
        <w:rPr>
          <w:rFonts w:asciiTheme="minorHAnsi" w:hAnsiTheme="minorHAnsi" w:cstheme="minorHAnsi"/>
        </w:rPr>
      </w:pPr>
      <w:r w:rsidRPr="006E0270">
        <w:rPr>
          <w:rFonts w:asciiTheme="minorHAnsi" w:hAnsiTheme="minorHAnsi" w:cstheme="minorHAnsi"/>
        </w:rPr>
        <w:t>Stavy zaměstnanců u monitorovaných podniků se v tomto</w:t>
      </w:r>
      <w:r>
        <w:rPr>
          <w:rFonts w:asciiTheme="minorHAnsi" w:hAnsiTheme="minorHAnsi" w:cstheme="minorHAnsi"/>
        </w:rPr>
        <w:t xml:space="preserve"> odvětví zvýšily meziročně o 352 (+4,8</w:t>
      </w:r>
      <w:r w:rsidRPr="006E0270">
        <w:rPr>
          <w:rFonts w:asciiTheme="minorHAnsi" w:hAnsiTheme="minorHAnsi" w:cstheme="minorHAnsi"/>
        </w:rPr>
        <w:t xml:space="preserve"> %) osob. K přírůstku došlo ve všech okresech MSK s výjimkou </w:t>
      </w:r>
      <w:r>
        <w:rPr>
          <w:rFonts w:asciiTheme="minorHAnsi" w:hAnsiTheme="minorHAnsi" w:cstheme="minorHAnsi"/>
        </w:rPr>
        <w:t>okresů Nový Jičín a Ostrava. N</w:t>
      </w:r>
      <w:r w:rsidRPr="006E0270">
        <w:rPr>
          <w:rFonts w:asciiTheme="minorHAnsi" w:hAnsiTheme="minorHAnsi" w:cstheme="minorHAnsi"/>
        </w:rPr>
        <w:t>ejvýrazněji v</w:t>
      </w:r>
      <w:r>
        <w:rPr>
          <w:rFonts w:asciiTheme="minorHAnsi" w:hAnsiTheme="minorHAnsi" w:cstheme="minorHAnsi"/>
        </w:rPr>
        <w:t>zrostl počet v okrese Frýdek-Místek (+199 osob), a to především vlivem administrativního převodu firmy z jiného odvětví a okrese Opava (+125</w:t>
      </w:r>
      <w:r w:rsidRPr="006E0270">
        <w:rPr>
          <w:rFonts w:asciiTheme="minorHAnsi" w:hAnsiTheme="minorHAnsi" w:cstheme="minorHAnsi"/>
        </w:rPr>
        <w:t xml:space="preserve"> osob)</w:t>
      </w:r>
      <w:r>
        <w:rPr>
          <w:rFonts w:asciiTheme="minorHAnsi" w:hAnsiTheme="minorHAnsi" w:cstheme="minorHAnsi"/>
        </w:rPr>
        <w:t xml:space="preserve"> - jednalo se např. o firmy Linaset a. s., S - Kunststofftechnik s. r. o. a FMT spol. s r. o.</w:t>
      </w:r>
    </w:p>
    <w:p w:rsidR="00027ABA" w:rsidRPr="006E0270" w:rsidRDefault="00027ABA" w:rsidP="00027ABA">
      <w:pPr>
        <w:pStyle w:val="Zkladntextodsazen"/>
        <w:rPr>
          <w:rFonts w:asciiTheme="minorHAnsi" w:hAnsiTheme="minorHAnsi" w:cstheme="minorHAnsi"/>
          <w:szCs w:val="24"/>
        </w:rPr>
      </w:pPr>
    </w:p>
    <w:p w:rsidR="00027ABA" w:rsidRPr="006E0270" w:rsidRDefault="00027ABA" w:rsidP="00027ABA">
      <w:pPr>
        <w:pStyle w:val="Nadpis4"/>
        <w:tabs>
          <w:tab w:val="num" w:pos="786"/>
          <w:tab w:val="num" w:pos="928"/>
          <w:tab w:val="num" w:pos="1004"/>
        </w:tabs>
        <w:ind w:left="1004" w:hanging="360"/>
        <w:jc w:val="both"/>
        <w:rPr>
          <w:rFonts w:asciiTheme="minorHAnsi" w:hAnsiTheme="minorHAnsi" w:cstheme="minorHAnsi"/>
        </w:rPr>
      </w:pPr>
      <w:r w:rsidRPr="006E0270">
        <w:rPr>
          <w:rFonts w:asciiTheme="minorHAnsi" w:hAnsiTheme="minorHAnsi" w:cstheme="minorHAnsi"/>
        </w:rPr>
        <w:t>Výroba elektrických zařízení</w:t>
      </w:r>
    </w:p>
    <w:p w:rsidR="00027ABA" w:rsidRDefault="00027ABA" w:rsidP="00027ABA">
      <w:pPr>
        <w:pStyle w:val="Zkladntextodsazen"/>
        <w:rPr>
          <w:rFonts w:asciiTheme="minorHAnsi" w:hAnsiTheme="minorHAnsi" w:cstheme="minorHAnsi"/>
        </w:rPr>
      </w:pPr>
      <w:r w:rsidRPr="006E0270">
        <w:rPr>
          <w:rFonts w:asciiTheme="minorHAnsi" w:hAnsiTheme="minorHAnsi" w:cstheme="minorHAnsi"/>
        </w:rPr>
        <w:t>Celková zam</w:t>
      </w:r>
      <w:r>
        <w:rPr>
          <w:rFonts w:asciiTheme="minorHAnsi" w:hAnsiTheme="minorHAnsi" w:cstheme="minorHAnsi"/>
        </w:rPr>
        <w:t>ěstnanost odvětví v MSK vzrostla o 582 (+10,9</w:t>
      </w:r>
      <w:r w:rsidRPr="006E0270">
        <w:rPr>
          <w:rFonts w:asciiTheme="minorHAnsi" w:hAnsiTheme="minorHAnsi" w:cstheme="minorHAnsi"/>
        </w:rPr>
        <w:t xml:space="preserve"> %) osob. K </w:t>
      </w:r>
      <w:r>
        <w:rPr>
          <w:rFonts w:asciiTheme="minorHAnsi" w:hAnsiTheme="minorHAnsi" w:cstheme="minorHAnsi"/>
        </w:rPr>
        <w:t>nárůstu</w:t>
      </w:r>
      <w:r w:rsidRPr="006E0270">
        <w:rPr>
          <w:rFonts w:asciiTheme="minorHAnsi" w:hAnsiTheme="minorHAnsi" w:cstheme="minorHAnsi"/>
        </w:rPr>
        <w:t xml:space="preserve"> personálních stavů došlo přede</w:t>
      </w:r>
      <w:r>
        <w:rPr>
          <w:rFonts w:asciiTheme="minorHAnsi" w:hAnsiTheme="minorHAnsi" w:cstheme="minorHAnsi"/>
        </w:rPr>
        <w:t>vším v okrese Nový Jičín (+495</w:t>
      </w:r>
      <w:r w:rsidRPr="006E0270">
        <w:rPr>
          <w:rFonts w:asciiTheme="minorHAnsi" w:hAnsiTheme="minorHAnsi" w:cstheme="minorHAnsi"/>
        </w:rPr>
        <w:t xml:space="preserve"> osob</w:t>
      </w:r>
      <w:r>
        <w:rPr>
          <w:rFonts w:asciiTheme="minorHAnsi" w:hAnsiTheme="minorHAnsi" w:cstheme="minorHAnsi"/>
        </w:rPr>
        <w:t>), mírné snížení zaznamenal pouze okres Ostrava (-34 osob).</w:t>
      </w:r>
      <w:r w:rsidRPr="006E0270">
        <w:rPr>
          <w:rFonts w:asciiTheme="minorHAnsi" w:hAnsiTheme="minorHAnsi" w:cstheme="minorHAnsi"/>
        </w:rPr>
        <w:t xml:space="preserve"> </w:t>
      </w:r>
    </w:p>
    <w:p w:rsidR="00027ABA" w:rsidRPr="00AD2DBC" w:rsidRDefault="00027ABA" w:rsidP="00027ABA">
      <w:pPr>
        <w:pStyle w:val="Zkladntextodsazen"/>
        <w:rPr>
          <w:rFonts w:asciiTheme="minorHAnsi" w:hAnsiTheme="minorHAnsi" w:cstheme="minorHAnsi"/>
        </w:rPr>
      </w:pP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4"/>
        <w:tabs>
          <w:tab w:val="num" w:pos="786"/>
          <w:tab w:val="num" w:pos="993"/>
        </w:tabs>
        <w:ind w:left="1004" w:hanging="360"/>
        <w:jc w:val="both"/>
        <w:rPr>
          <w:rFonts w:asciiTheme="minorHAnsi" w:hAnsiTheme="minorHAnsi" w:cstheme="minorHAnsi"/>
        </w:rPr>
      </w:pPr>
      <w:r w:rsidRPr="006E0270">
        <w:rPr>
          <w:rFonts w:asciiTheme="minorHAnsi" w:hAnsiTheme="minorHAnsi" w:cstheme="minorHAnsi"/>
        </w:rPr>
        <w:t>Výroba motorových vozidel (kromě motocyklů), přívěsů a návěsů, výroba ostatních dopravních prostředků a zařízení</w:t>
      </w:r>
    </w:p>
    <w:p w:rsidR="00027ABA" w:rsidRPr="006E0270" w:rsidRDefault="00027ABA" w:rsidP="00027ABA">
      <w:pPr>
        <w:ind w:firstLine="708"/>
        <w:jc w:val="both"/>
        <w:rPr>
          <w:rFonts w:asciiTheme="minorHAnsi" w:hAnsiTheme="minorHAnsi" w:cstheme="minorHAnsi"/>
          <w:sz w:val="24"/>
          <w:szCs w:val="24"/>
        </w:rPr>
      </w:pPr>
      <w:r w:rsidRPr="006E0270">
        <w:rPr>
          <w:rFonts w:asciiTheme="minorHAnsi" w:hAnsiTheme="minorHAnsi" w:cstheme="minorHAnsi"/>
          <w:sz w:val="24"/>
          <w:szCs w:val="24"/>
        </w:rPr>
        <w:t>Celkový stav zaměstnanců monitorovaných firem v MSK byl v minulém roce navýšen o</w:t>
      </w:r>
      <w:r>
        <w:rPr>
          <w:rFonts w:asciiTheme="minorHAnsi" w:hAnsiTheme="minorHAnsi" w:cstheme="minorHAnsi"/>
          <w:sz w:val="24"/>
          <w:szCs w:val="24"/>
        </w:rPr>
        <w:t> 611</w:t>
      </w:r>
      <w:r w:rsidRPr="006E0270">
        <w:rPr>
          <w:rFonts w:asciiTheme="minorHAnsi" w:hAnsiTheme="minorHAnsi" w:cstheme="minorHAnsi"/>
          <w:sz w:val="24"/>
          <w:szCs w:val="24"/>
        </w:rPr>
        <w:t xml:space="preserve"> (+2,8 %) osob.</w:t>
      </w:r>
      <w:r>
        <w:rPr>
          <w:rFonts w:asciiTheme="minorHAnsi" w:hAnsiTheme="minorHAnsi" w:cstheme="minorHAnsi"/>
          <w:sz w:val="24"/>
          <w:szCs w:val="24"/>
        </w:rPr>
        <w:t xml:space="preserve"> </w:t>
      </w:r>
      <w:r w:rsidRPr="006E0270">
        <w:rPr>
          <w:rFonts w:asciiTheme="minorHAnsi" w:hAnsiTheme="minorHAnsi" w:cstheme="minorHAnsi"/>
          <w:sz w:val="24"/>
          <w:szCs w:val="24"/>
        </w:rPr>
        <w:t>Nejvíce nových pracovních míst od</w:t>
      </w:r>
      <w:r>
        <w:rPr>
          <w:rFonts w:asciiTheme="minorHAnsi" w:hAnsiTheme="minorHAnsi" w:cstheme="minorHAnsi"/>
          <w:sz w:val="24"/>
          <w:szCs w:val="24"/>
        </w:rPr>
        <w:t>větví bylo vytvořeno v roce 2014 v okrese Ostrava (+456</w:t>
      </w:r>
      <w:r w:rsidRPr="006E0270">
        <w:rPr>
          <w:rFonts w:asciiTheme="minorHAnsi" w:hAnsiTheme="minorHAnsi" w:cstheme="minorHAnsi"/>
          <w:sz w:val="24"/>
          <w:szCs w:val="24"/>
        </w:rPr>
        <w:t xml:space="preserve"> osob)</w:t>
      </w:r>
      <w:r>
        <w:rPr>
          <w:rFonts w:asciiTheme="minorHAnsi" w:hAnsiTheme="minorHAnsi" w:cstheme="minorHAnsi"/>
          <w:sz w:val="24"/>
          <w:szCs w:val="24"/>
        </w:rPr>
        <w:t xml:space="preserve">. K největšímu absolutnímu navýšení zaměstnanosti došlo u společností UFI FILTERS Czech, s. r. o., KES-kabelové a elektronické systémy, spol. s r. o., Brembo Czech s. r. o. a CTS Czech Republic s. r. o. Italská společnost UFI FILTERS vyrábí v Ostravě - Hrabové některé typy filtrů pro automobilový průmysl. KES-kabelové a elektrické systémy je firmou s rakouským kapitálem a ve Vratimově vlastní výrobní plochy, ve kterých produkuje kabelové svazky pro automobilový průmysl. Po méně úspěšném roce 2013 došlo v roce 2014 k vysokému nárůstu zakázek a firma navýšila personální stavy. Firma Brembo Czech vyrábí v Ostravě v novém závodě pro automobily brzdové destičky a hliníkové komponenty a společnost CTS Czech Republic vyrábí polohovací senzory výfukových plynů a plynové pedály. Během roku 2014 se zvýšila zaměstnanost rovněž u firmy ŠKODA VAGONKA a. s., která produkuje osobní kolejová vozidla. Meziročně se zvýšila zaměstnanost také v okrese Karviná (+132 osob). Na tomto vývoji se podílely především společnosti: </w:t>
      </w:r>
      <w:r w:rsidRPr="006E0270">
        <w:rPr>
          <w:rFonts w:asciiTheme="minorHAnsi" w:hAnsiTheme="minorHAnsi" w:cstheme="minorHAnsi"/>
          <w:sz w:val="24"/>
          <w:szCs w:val="24"/>
        </w:rPr>
        <w:t>S</w:t>
      </w:r>
      <w:r>
        <w:rPr>
          <w:rFonts w:asciiTheme="minorHAnsi" w:hAnsiTheme="minorHAnsi" w:cstheme="minorHAnsi"/>
          <w:sz w:val="24"/>
          <w:szCs w:val="24"/>
        </w:rPr>
        <w:t>himano Czech Republic, s. r. o., Donghee Czech, s. r. o. a </w:t>
      </w:r>
      <w:r w:rsidRPr="006E0270">
        <w:rPr>
          <w:rFonts w:asciiTheme="minorHAnsi" w:hAnsiTheme="minorHAnsi" w:cstheme="minorHAnsi"/>
          <w:sz w:val="24"/>
          <w:szCs w:val="24"/>
        </w:rPr>
        <w:t>BONATRANS GROUP a. s.</w:t>
      </w:r>
      <w:r>
        <w:rPr>
          <w:rFonts w:asciiTheme="minorHAnsi" w:hAnsiTheme="minorHAnsi" w:cstheme="minorHAnsi"/>
          <w:sz w:val="24"/>
          <w:szCs w:val="24"/>
        </w:rPr>
        <w:t xml:space="preserve"> V opavském okrese došlo rovněž k mírnému nárůstu zaměstnanosti, a to o 96 osob. Podstatnou část tohoto navýšení tvoří zaměstnanci firmy KSR Industrial, s. r. o., jejímž výrobním programem jsou brzdové systémy. </w:t>
      </w:r>
      <w:r w:rsidRPr="006E0270">
        <w:rPr>
          <w:rFonts w:asciiTheme="minorHAnsi" w:hAnsiTheme="minorHAnsi" w:cstheme="minorHAnsi"/>
          <w:sz w:val="24"/>
          <w:szCs w:val="24"/>
        </w:rPr>
        <w:t xml:space="preserve">Naopak největší úbytek zaznamenal okres </w:t>
      </w:r>
      <w:r>
        <w:rPr>
          <w:rFonts w:asciiTheme="minorHAnsi" w:hAnsiTheme="minorHAnsi" w:cstheme="minorHAnsi"/>
          <w:sz w:val="24"/>
          <w:szCs w:val="24"/>
        </w:rPr>
        <w:t>Frýdek-Místek (-70</w:t>
      </w:r>
      <w:r w:rsidRPr="006E0270">
        <w:rPr>
          <w:rFonts w:asciiTheme="minorHAnsi" w:hAnsiTheme="minorHAnsi" w:cstheme="minorHAnsi"/>
          <w:sz w:val="24"/>
          <w:szCs w:val="24"/>
        </w:rPr>
        <w:t xml:space="preserve"> osob), </w:t>
      </w:r>
      <w:r>
        <w:rPr>
          <w:rFonts w:asciiTheme="minorHAnsi" w:hAnsiTheme="minorHAnsi" w:cstheme="minorHAnsi"/>
          <w:sz w:val="24"/>
          <w:szCs w:val="24"/>
        </w:rPr>
        <w:t>a to hlavně firma Hyundai Motor Manufacturing Czech s. r. o.</w:t>
      </w:r>
      <w:r w:rsidRPr="006E0270">
        <w:rPr>
          <w:rFonts w:asciiTheme="minorHAnsi" w:hAnsiTheme="minorHAnsi" w:cstheme="minorHAnsi"/>
          <w:sz w:val="24"/>
          <w:szCs w:val="24"/>
        </w:rPr>
        <w:t xml:space="preserve"> </w:t>
      </w:r>
    </w:p>
    <w:p w:rsidR="00027ABA" w:rsidRPr="006E0270" w:rsidRDefault="00027ABA" w:rsidP="00027ABA">
      <w:pPr>
        <w:ind w:firstLine="708"/>
        <w:jc w:val="both"/>
        <w:rPr>
          <w:rFonts w:asciiTheme="minorHAnsi" w:hAnsiTheme="minorHAnsi" w:cstheme="minorHAnsi"/>
          <w:sz w:val="24"/>
          <w:szCs w:val="24"/>
        </w:rPr>
      </w:pPr>
    </w:p>
    <w:p w:rsidR="00027ABA" w:rsidRPr="006E0270" w:rsidRDefault="00027ABA" w:rsidP="00027ABA">
      <w:pPr>
        <w:pStyle w:val="Nadpis5"/>
        <w:rPr>
          <w:rFonts w:asciiTheme="minorHAnsi" w:hAnsiTheme="minorHAnsi" w:cstheme="minorHAnsi"/>
          <w:szCs w:val="24"/>
        </w:rPr>
      </w:pPr>
      <w:r w:rsidRPr="006E0270">
        <w:rPr>
          <w:rFonts w:asciiTheme="minorHAnsi" w:hAnsiTheme="minorHAnsi" w:cstheme="minorHAnsi"/>
        </w:rPr>
        <w:t>Stavebnictví</w:t>
      </w:r>
    </w:p>
    <w:p w:rsidR="00027ABA" w:rsidRPr="006E0270" w:rsidRDefault="00027ABA" w:rsidP="00027ABA">
      <w:pPr>
        <w:pStyle w:val="Zkladntextodsazen"/>
        <w:rPr>
          <w:rFonts w:asciiTheme="minorHAnsi" w:hAnsiTheme="minorHAnsi" w:cstheme="minorHAnsi"/>
        </w:rPr>
      </w:pPr>
      <w:r>
        <w:rPr>
          <w:rFonts w:asciiTheme="minorHAnsi" w:hAnsiTheme="minorHAnsi" w:cstheme="minorHAnsi"/>
        </w:rPr>
        <w:t>V průběhu roku 2014</w:t>
      </w:r>
      <w:r w:rsidRPr="006E0270">
        <w:rPr>
          <w:rFonts w:asciiTheme="minorHAnsi" w:hAnsiTheme="minorHAnsi" w:cstheme="minorHAnsi"/>
        </w:rPr>
        <w:t xml:space="preserve"> pokračoval několikaletý sestupný trend a celkový počet zaměstnanců se u monitorovaných moravskoslezských stave</w:t>
      </w:r>
      <w:r>
        <w:rPr>
          <w:rFonts w:asciiTheme="minorHAnsi" w:hAnsiTheme="minorHAnsi" w:cstheme="minorHAnsi"/>
        </w:rPr>
        <w:t>bních firem snížil o dalších 391</w:t>
      </w:r>
      <w:r w:rsidRPr="006E0270">
        <w:rPr>
          <w:rFonts w:asciiTheme="minorHAnsi" w:hAnsiTheme="minorHAnsi" w:cstheme="minorHAnsi"/>
        </w:rPr>
        <w:t xml:space="preserve">      </w:t>
      </w:r>
      <w:r>
        <w:rPr>
          <w:rFonts w:asciiTheme="minorHAnsi" w:hAnsiTheme="minorHAnsi" w:cstheme="minorHAnsi"/>
        </w:rPr>
        <w:t xml:space="preserve"> </w:t>
      </w:r>
      <w:r w:rsidRPr="006E0270">
        <w:rPr>
          <w:rFonts w:asciiTheme="minorHAnsi" w:hAnsiTheme="minorHAnsi" w:cstheme="minorHAnsi"/>
        </w:rPr>
        <w:t>(-</w:t>
      </w:r>
      <w:r>
        <w:rPr>
          <w:rFonts w:asciiTheme="minorHAnsi" w:hAnsiTheme="minorHAnsi" w:cstheme="minorHAnsi"/>
        </w:rPr>
        <w:t>4,8</w:t>
      </w:r>
      <w:r w:rsidRPr="006E0270">
        <w:rPr>
          <w:rFonts w:asciiTheme="minorHAnsi" w:hAnsiTheme="minorHAnsi" w:cstheme="minorHAnsi"/>
        </w:rPr>
        <w:t xml:space="preserve"> %). K poklesu došlo </w:t>
      </w:r>
      <w:r>
        <w:rPr>
          <w:rFonts w:asciiTheme="minorHAnsi" w:hAnsiTheme="minorHAnsi" w:cstheme="minorHAnsi"/>
        </w:rPr>
        <w:t xml:space="preserve">s výjimkou opavského (+119 osob) </w:t>
      </w:r>
      <w:r w:rsidRPr="006E0270">
        <w:rPr>
          <w:rFonts w:asciiTheme="minorHAnsi" w:hAnsiTheme="minorHAnsi" w:cstheme="minorHAnsi"/>
        </w:rPr>
        <w:t>ve všech okresech, nejvíce v</w:t>
      </w:r>
      <w:r>
        <w:rPr>
          <w:rFonts w:asciiTheme="minorHAnsi" w:hAnsiTheme="minorHAnsi" w:cstheme="minorHAnsi"/>
        </w:rPr>
        <w:t> ostravském (-244 osob) a karvinském (-113</w:t>
      </w:r>
      <w:r w:rsidRPr="006E0270">
        <w:rPr>
          <w:rFonts w:asciiTheme="minorHAnsi" w:hAnsiTheme="minorHAnsi" w:cstheme="minorHAnsi"/>
        </w:rPr>
        <w:t xml:space="preserve"> osob). </w:t>
      </w:r>
      <w:r>
        <w:rPr>
          <w:rFonts w:asciiTheme="minorHAnsi" w:hAnsiTheme="minorHAnsi" w:cstheme="minorHAnsi"/>
        </w:rPr>
        <w:t>Výraznější pokles personálních stavů zaznamenaly společnosti VOKD, a. s. a O.K.D.C. mont s. r. o., mírnější úbytky vykázaly společnosti EUROVIA CS, a. s., DAV, a. s., JTA - Holding, spol. s r. o., OHL ŽS, a. s., OSA - INVEST s. r. o. a VAMOZ - servis, a. s.</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5"/>
        <w:rPr>
          <w:rFonts w:asciiTheme="minorHAnsi" w:hAnsiTheme="minorHAnsi" w:cstheme="minorHAnsi"/>
          <w:szCs w:val="24"/>
        </w:rPr>
      </w:pPr>
      <w:r w:rsidRPr="006E0270">
        <w:rPr>
          <w:rFonts w:asciiTheme="minorHAnsi" w:hAnsiTheme="minorHAnsi" w:cstheme="minorHAnsi"/>
        </w:rPr>
        <w:t>Velkoobchod a maloobchod, opravy a údržba motorových vozidel</w:t>
      </w:r>
    </w:p>
    <w:p w:rsidR="00027ABA" w:rsidRPr="006E0270" w:rsidRDefault="00027ABA" w:rsidP="00027ABA">
      <w:pPr>
        <w:pStyle w:val="Zkladntextodsazen"/>
        <w:rPr>
          <w:rFonts w:asciiTheme="minorHAnsi" w:hAnsiTheme="minorHAnsi" w:cstheme="minorHAnsi"/>
        </w:rPr>
      </w:pPr>
      <w:r w:rsidRPr="006E0270">
        <w:rPr>
          <w:rFonts w:asciiTheme="minorHAnsi" w:hAnsiTheme="minorHAnsi" w:cstheme="minorHAnsi"/>
        </w:rPr>
        <w:t>Celkový počet zaměstnanců se v uplynulém roce u </w:t>
      </w:r>
      <w:r>
        <w:rPr>
          <w:rFonts w:asciiTheme="minorHAnsi" w:hAnsiTheme="minorHAnsi" w:cstheme="minorHAnsi"/>
        </w:rPr>
        <w:t xml:space="preserve">monitorovaných firem snížil o </w:t>
      </w:r>
      <w:r w:rsidRPr="006E0270">
        <w:rPr>
          <w:rFonts w:asciiTheme="minorHAnsi" w:hAnsiTheme="minorHAnsi" w:cstheme="minorHAnsi"/>
        </w:rPr>
        <w:t>2</w:t>
      </w:r>
      <w:r>
        <w:rPr>
          <w:rFonts w:asciiTheme="minorHAnsi" w:hAnsiTheme="minorHAnsi" w:cstheme="minorHAnsi"/>
        </w:rPr>
        <w:t>00</w:t>
      </w:r>
      <w:r w:rsidRPr="006E0270">
        <w:rPr>
          <w:rFonts w:asciiTheme="minorHAnsi" w:hAnsiTheme="minorHAnsi" w:cstheme="minorHAnsi"/>
        </w:rPr>
        <w:t xml:space="preserve">    </w:t>
      </w:r>
      <w:r>
        <w:rPr>
          <w:rFonts w:asciiTheme="minorHAnsi" w:hAnsiTheme="minorHAnsi" w:cstheme="minorHAnsi"/>
        </w:rPr>
        <w:t xml:space="preserve"> </w:t>
      </w:r>
      <w:r w:rsidRPr="006E0270">
        <w:rPr>
          <w:rFonts w:asciiTheme="minorHAnsi" w:hAnsiTheme="minorHAnsi" w:cstheme="minorHAnsi"/>
        </w:rPr>
        <w:t>(-</w:t>
      </w:r>
      <w:r>
        <w:rPr>
          <w:rFonts w:asciiTheme="minorHAnsi" w:hAnsiTheme="minorHAnsi" w:cstheme="minorHAnsi"/>
        </w:rPr>
        <w:t>1,2</w:t>
      </w:r>
      <w:r w:rsidRPr="006E0270">
        <w:rPr>
          <w:rFonts w:asciiTheme="minorHAnsi" w:hAnsiTheme="minorHAnsi" w:cstheme="minorHAnsi"/>
        </w:rPr>
        <w:t xml:space="preserve"> %). </w:t>
      </w:r>
      <w:r>
        <w:rPr>
          <w:rFonts w:asciiTheme="minorHAnsi" w:hAnsiTheme="minorHAnsi" w:cstheme="minorHAnsi"/>
        </w:rPr>
        <w:t>Největší p</w:t>
      </w:r>
      <w:r w:rsidRPr="006E0270">
        <w:rPr>
          <w:rFonts w:asciiTheme="minorHAnsi" w:hAnsiTheme="minorHAnsi" w:cstheme="minorHAnsi"/>
        </w:rPr>
        <w:t xml:space="preserve">okles nastal v </w:t>
      </w:r>
      <w:r>
        <w:rPr>
          <w:rFonts w:asciiTheme="minorHAnsi" w:hAnsiTheme="minorHAnsi" w:cstheme="minorHAnsi"/>
        </w:rPr>
        <w:t>okrese</w:t>
      </w:r>
      <w:r w:rsidRPr="006E0270">
        <w:rPr>
          <w:rFonts w:asciiTheme="minorHAnsi" w:hAnsiTheme="minorHAnsi" w:cstheme="minorHAnsi"/>
        </w:rPr>
        <w:t xml:space="preserve"> </w:t>
      </w:r>
      <w:r>
        <w:rPr>
          <w:rFonts w:asciiTheme="minorHAnsi" w:hAnsiTheme="minorHAnsi" w:cstheme="minorHAnsi"/>
        </w:rPr>
        <w:t>Ostrava (-159 osob), jelikož z důvodu nižších tržeb byly zaznamenány nepatrné poklesy zaměstnanosti u firem Tesco Stores ČR a. s., Zdeněk Pěčonka, Globus ČR, k. s., Kaufland Česká republika v. o. s. a akciové společnosti T.S.Bohemia. Jednalo se především o neobnovení pracovních poměrů na dobu určitou, odchody zaměstnanců dohodou a odchody ve zkušební době. Větší pokles personálních stavů zaznamenal rovněž okres Karviná (-144 osob), naopak největší navýšení okres Opava (+80 osob).</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5"/>
        <w:rPr>
          <w:rFonts w:asciiTheme="minorHAnsi" w:hAnsiTheme="minorHAnsi" w:cstheme="minorHAnsi"/>
        </w:rPr>
      </w:pPr>
      <w:r>
        <w:rPr>
          <w:rFonts w:asciiTheme="minorHAnsi" w:hAnsiTheme="minorHAnsi" w:cstheme="minorHAnsi"/>
        </w:rPr>
        <w:t>Informační a komunikační činnosti</w:t>
      </w:r>
    </w:p>
    <w:p w:rsidR="00027ABA" w:rsidRDefault="00027ABA" w:rsidP="00027ABA">
      <w:pPr>
        <w:pStyle w:val="Zkladntext"/>
        <w:spacing w:after="0"/>
        <w:ind w:firstLine="720"/>
        <w:jc w:val="both"/>
        <w:rPr>
          <w:rFonts w:asciiTheme="minorHAnsi" w:hAnsiTheme="minorHAnsi" w:cstheme="minorHAnsi"/>
          <w:bCs/>
          <w:iCs/>
          <w:sz w:val="24"/>
          <w:szCs w:val="24"/>
        </w:rPr>
      </w:pPr>
      <w:r w:rsidRPr="006E0270">
        <w:rPr>
          <w:rFonts w:asciiTheme="minorHAnsi" w:hAnsiTheme="minorHAnsi" w:cstheme="minorHAnsi"/>
          <w:sz w:val="24"/>
          <w:szCs w:val="24"/>
        </w:rPr>
        <w:t>Monitorované organizace tohoto odvětví zaznamenaly ve sledov</w:t>
      </w:r>
      <w:r>
        <w:rPr>
          <w:rFonts w:asciiTheme="minorHAnsi" w:hAnsiTheme="minorHAnsi" w:cstheme="minorHAnsi"/>
          <w:sz w:val="24"/>
          <w:szCs w:val="24"/>
        </w:rPr>
        <w:t>aném období v MSK celkový nárůst o 244 (+5,1</w:t>
      </w:r>
      <w:r w:rsidRPr="006E0270">
        <w:rPr>
          <w:rFonts w:asciiTheme="minorHAnsi" w:hAnsiTheme="minorHAnsi" w:cstheme="minorHAnsi"/>
          <w:sz w:val="24"/>
          <w:szCs w:val="24"/>
        </w:rPr>
        <w:t xml:space="preserve"> %) zaměstnanců. </w:t>
      </w:r>
      <w:r>
        <w:rPr>
          <w:rFonts w:asciiTheme="minorHAnsi" w:hAnsiTheme="minorHAnsi" w:cstheme="minorHAnsi"/>
          <w:sz w:val="24"/>
          <w:szCs w:val="24"/>
        </w:rPr>
        <w:t>Nejvíce pracovníků přibylo v okrese Ostrava     (+213 osob). Kromě firem Z + M Partner, spol. s r. o. a Tieto Czech s. r. o. se na tomto zvýšení p</w:t>
      </w:r>
      <w:r w:rsidR="00C34F70">
        <w:rPr>
          <w:rFonts w:asciiTheme="minorHAnsi" w:hAnsiTheme="minorHAnsi" w:cstheme="minorHAnsi"/>
          <w:sz w:val="24"/>
          <w:szCs w:val="24"/>
        </w:rPr>
        <w:t>odílejí dvě nové firmy z oblasti</w:t>
      </w:r>
      <w:r>
        <w:rPr>
          <w:rFonts w:asciiTheme="minorHAnsi" w:hAnsiTheme="minorHAnsi" w:cstheme="minorHAnsi"/>
          <w:sz w:val="24"/>
          <w:szCs w:val="24"/>
        </w:rPr>
        <w:t xml:space="preserve"> telekomunikací zařazené mezi monitorované organizace, a to Telco Pro Services, a. s. a ha-vel internet s. r. o. </w:t>
      </w:r>
    </w:p>
    <w:p w:rsidR="00027ABA" w:rsidRPr="006E0270" w:rsidRDefault="00027ABA" w:rsidP="00027ABA">
      <w:pPr>
        <w:pStyle w:val="Nadpis5"/>
        <w:rPr>
          <w:rFonts w:asciiTheme="minorHAnsi" w:hAnsiTheme="minorHAnsi" w:cstheme="minorHAnsi"/>
        </w:rPr>
      </w:pPr>
      <w:r>
        <w:rPr>
          <w:rFonts w:asciiTheme="minorHAnsi" w:hAnsiTheme="minorHAnsi" w:cstheme="minorHAnsi"/>
        </w:rPr>
        <w:t>Peněžnictví a pojišťovnictví</w:t>
      </w:r>
    </w:p>
    <w:p w:rsidR="00027ABA" w:rsidRDefault="00027ABA" w:rsidP="00027ABA">
      <w:pPr>
        <w:pStyle w:val="Zkladntextodsazen"/>
        <w:rPr>
          <w:rFonts w:asciiTheme="minorHAnsi" w:hAnsiTheme="minorHAnsi" w:cstheme="minorHAnsi"/>
        </w:rPr>
      </w:pPr>
      <w:r w:rsidRPr="006E0270">
        <w:rPr>
          <w:rFonts w:asciiTheme="minorHAnsi" w:hAnsiTheme="minorHAnsi" w:cstheme="minorHAnsi"/>
        </w:rPr>
        <w:t>Celková zam</w:t>
      </w:r>
      <w:r>
        <w:rPr>
          <w:rFonts w:asciiTheme="minorHAnsi" w:hAnsiTheme="minorHAnsi" w:cstheme="minorHAnsi"/>
        </w:rPr>
        <w:t>ěstnanost odvětví v MSK vzrostla o 130 (+4,0</w:t>
      </w:r>
      <w:r w:rsidRPr="006E0270">
        <w:rPr>
          <w:rFonts w:asciiTheme="minorHAnsi" w:hAnsiTheme="minorHAnsi" w:cstheme="minorHAnsi"/>
        </w:rPr>
        <w:t xml:space="preserve"> %) osob. K </w:t>
      </w:r>
      <w:r>
        <w:rPr>
          <w:rFonts w:asciiTheme="minorHAnsi" w:hAnsiTheme="minorHAnsi" w:cstheme="minorHAnsi"/>
        </w:rPr>
        <w:t>nárůstu</w:t>
      </w:r>
      <w:r w:rsidRPr="006E0270">
        <w:rPr>
          <w:rFonts w:asciiTheme="minorHAnsi" w:hAnsiTheme="minorHAnsi" w:cstheme="minorHAnsi"/>
        </w:rPr>
        <w:t xml:space="preserve"> personálních stavů došlo přede</w:t>
      </w:r>
      <w:r>
        <w:rPr>
          <w:rFonts w:asciiTheme="minorHAnsi" w:hAnsiTheme="minorHAnsi" w:cstheme="minorHAnsi"/>
        </w:rPr>
        <w:t>vším v okrese Ostrava (+111</w:t>
      </w:r>
      <w:r w:rsidRPr="006E0270">
        <w:rPr>
          <w:rFonts w:asciiTheme="minorHAnsi" w:hAnsiTheme="minorHAnsi" w:cstheme="minorHAnsi"/>
        </w:rPr>
        <w:t xml:space="preserve"> osob</w:t>
      </w:r>
      <w:r>
        <w:rPr>
          <w:rFonts w:asciiTheme="minorHAnsi" w:hAnsiTheme="minorHAnsi" w:cstheme="minorHAnsi"/>
        </w:rPr>
        <w:t>), a to vlivem zařazení firmy AXA ASSISTANCE CZ, s. r. o. do registru monitorovaných organizací. Mírné navýšení stavů z důvodů rozšiřování poskytovaných služeb zaznamenala rovněž Česká spořitelna a. s.</w:t>
      </w:r>
    </w:p>
    <w:p w:rsidR="00027ABA" w:rsidRDefault="00027ABA" w:rsidP="00027ABA">
      <w:pPr>
        <w:pStyle w:val="Zkladntext"/>
        <w:spacing w:after="0"/>
        <w:ind w:firstLine="720"/>
        <w:jc w:val="both"/>
        <w:rPr>
          <w:rFonts w:asciiTheme="minorHAnsi" w:hAnsiTheme="minorHAnsi" w:cstheme="minorHAnsi"/>
          <w:bCs/>
          <w:iCs/>
          <w:sz w:val="24"/>
          <w:szCs w:val="24"/>
        </w:rPr>
      </w:pPr>
      <w:r>
        <w:rPr>
          <w:rFonts w:asciiTheme="minorHAnsi" w:hAnsiTheme="minorHAnsi" w:cstheme="minorHAnsi"/>
          <w:sz w:val="24"/>
          <w:szCs w:val="24"/>
        </w:rPr>
        <w:t xml:space="preserve"> </w:t>
      </w:r>
    </w:p>
    <w:p w:rsidR="00027ABA" w:rsidRPr="006E0270" w:rsidRDefault="00027ABA" w:rsidP="00027ABA">
      <w:pPr>
        <w:pStyle w:val="Nadpis5"/>
        <w:rPr>
          <w:rFonts w:asciiTheme="minorHAnsi" w:hAnsiTheme="minorHAnsi" w:cstheme="minorHAnsi"/>
        </w:rPr>
      </w:pPr>
      <w:r>
        <w:rPr>
          <w:rFonts w:asciiTheme="minorHAnsi" w:hAnsiTheme="minorHAnsi" w:cstheme="minorHAnsi"/>
        </w:rPr>
        <w:t>Profesní, vědecké a technické činnosti</w:t>
      </w:r>
    </w:p>
    <w:p w:rsidR="00027ABA" w:rsidRDefault="00027ABA" w:rsidP="00027ABA">
      <w:pPr>
        <w:pStyle w:val="Zkladntext"/>
        <w:spacing w:after="0"/>
        <w:ind w:firstLine="720"/>
        <w:jc w:val="both"/>
        <w:rPr>
          <w:rFonts w:asciiTheme="minorHAnsi" w:hAnsiTheme="minorHAnsi" w:cstheme="minorHAnsi"/>
          <w:sz w:val="24"/>
          <w:szCs w:val="24"/>
        </w:rPr>
      </w:pPr>
      <w:r w:rsidRPr="00526DF0">
        <w:rPr>
          <w:rFonts w:asciiTheme="minorHAnsi" w:hAnsiTheme="minorHAnsi" w:cstheme="minorHAnsi"/>
          <w:sz w:val="24"/>
          <w:szCs w:val="24"/>
        </w:rPr>
        <w:t>Stavy zaměstnanců u monitorovaných podniků se v tomto odvětví zvýšily meziročně o </w:t>
      </w:r>
      <w:r>
        <w:rPr>
          <w:rFonts w:asciiTheme="minorHAnsi" w:hAnsiTheme="minorHAnsi" w:cstheme="minorHAnsi"/>
          <w:sz w:val="24"/>
          <w:szCs w:val="24"/>
        </w:rPr>
        <w:t>976</w:t>
      </w:r>
      <w:r w:rsidRPr="00526DF0">
        <w:rPr>
          <w:rFonts w:asciiTheme="minorHAnsi" w:hAnsiTheme="minorHAnsi" w:cstheme="minorHAnsi"/>
          <w:sz w:val="24"/>
          <w:szCs w:val="24"/>
        </w:rPr>
        <w:t xml:space="preserve"> (+</w:t>
      </w:r>
      <w:r>
        <w:rPr>
          <w:rFonts w:asciiTheme="minorHAnsi" w:hAnsiTheme="minorHAnsi" w:cstheme="minorHAnsi"/>
          <w:sz w:val="24"/>
          <w:szCs w:val="24"/>
        </w:rPr>
        <w:t>31</w:t>
      </w:r>
      <w:r w:rsidRPr="00526DF0">
        <w:rPr>
          <w:rFonts w:asciiTheme="minorHAnsi" w:hAnsiTheme="minorHAnsi" w:cstheme="minorHAnsi"/>
          <w:sz w:val="24"/>
          <w:szCs w:val="24"/>
        </w:rPr>
        <w:t>,</w:t>
      </w:r>
      <w:r>
        <w:rPr>
          <w:rFonts w:asciiTheme="minorHAnsi" w:hAnsiTheme="minorHAnsi" w:cstheme="minorHAnsi"/>
          <w:sz w:val="24"/>
          <w:szCs w:val="24"/>
        </w:rPr>
        <w:t>6</w:t>
      </w:r>
      <w:r w:rsidRPr="00526DF0">
        <w:rPr>
          <w:rFonts w:asciiTheme="minorHAnsi" w:hAnsiTheme="minorHAnsi" w:cstheme="minorHAnsi"/>
          <w:sz w:val="24"/>
          <w:szCs w:val="24"/>
        </w:rPr>
        <w:t xml:space="preserve"> %) osob. K přírůstku došlo </w:t>
      </w:r>
      <w:r>
        <w:rPr>
          <w:rFonts w:asciiTheme="minorHAnsi" w:hAnsiTheme="minorHAnsi" w:cstheme="minorHAnsi"/>
          <w:sz w:val="24"/>
          <w:szCs w:val="24"/>
        </w:rPr>
        <w:t xml:space="preserve">především </w:t>
      </w:r>
      <w:r w:rsidRPr="00526DF0">
        <w:rPr>
          <w:rFonts w:asciiTheme="minorHAnsi" w:hAnsiTheme="minorHAnsi" w:cstheme="minorHAnsi"/>
          <w:sz w:val="24"/>
          <w:szCs w:val="24"/>
        </w:rPr>
        <w:t>v</w:t>
      </w:r>
      <w:r>
        <w:rPr>
          <w:rFonts w:asciiTheme="minorHAnsi" w:hAnsiTheme="minorHAnsi" w:cstheme="minorHAnsi"/>
          <w:sz w:val="24"/>
          <w:szCs w:val="24"/>
        </w:rPr>
        <w:t xml:space="preserve"> </w:t>
      </w:r>
      <w:r w:rsidRPr="00526DF0">
        <w:rPr>
          <w:rFonts w:asciiTheme="minorHAnsi" w:hAnsiTheme="minorHAnsi" w:cstheme="minorHAnsi"/>
          <w:sz w:val="24"/>
          <w:szCs w:val="24"/>
        </w:rPr>
        <w:t xml:space="preserve">okresech </w:t>
      </w:r>
      <w:r>
        <w:rPr>
          <w:rFonts w:asciiTheme="minorHAnsi" w:hAnsiTheme="minorHAnsi" w:cstheme="minorHAnsi"/>
          <w:sz w:val="24"/>
          <w:szCs w:val="24"/>
        </w:rPr>
        <w:t xml:space="preserve">Ostrava (+821 osob) a Karviná (+234 osob). </w:t>
      </w:r>
      <w:r w:rsidRPr="00D36D56">
        <w:rPr>
          <w:rFonts w:asciiTheme="minorHAnsi" w:hAnsiTheme="minorHAnsi" w:cstheme="minorHAnsi"/>
          <w:snapToGrid w:val="0"/>
          <w:color w:val="000000"/>
          <w:sz w:val="24"/>
          <w:szCs w:val="24"/>
        </w:rPr>
        <w:t>Tato profesně velmi široká oblast zahrnuje bohatou škálu činností od poradenství v oblasti řízení, přes reklamu, průzkum trhu, vědu a výzkum, technické zkoušky a analýzy až po právní, účetní, architektonické, inženýrské a veterinární činnosti.</w:t>
      </w:r>
      <w:r>
        <w:rPr>
          <w:rFonts w:asciiTheme="minorHAnsi" w:hAnsiTheme="minorHAnsi" w:cstheme="minorHAnsi"/>
          <w:snapToGrid w:val="0"/>
          <w:color w:val="000000"/>
          <w:sz w:val="24"/>
          <w:szCs w:val="24"/>
        </w:rPr>
        <w:t xml:space="preserve"> Nárůst způsobila především firma</w:t>
      </w:r>
      <w:r w:rsidRPr="00D36D56">
        <w:rPr>
          <w:rFonts w:asciiTheme="minorHAnsi" w:hAnsiTheme="minorHAnsi" w:cstheme="minorHAnsi"/>
          <w:snapToGrid w:val="0"/>
          <w:color w:val="000000"/>
          <w:sz w:val="24"/>
          <w:szCs w:val="24"/>
        </w:rPr>
        <w:t xml:space="preserve"> Siemens, s.</w:t>
      </w:r>
      <w:r>
        <w:rPr>
          <w:rFonts w:asciiTheme="minorHAnsi" w:hAnsiTheme="minorHAnsi" w:cstheme="minorHAnsi"/>
          <w:snapToGrid w:val="0"/>
          <w:color w:val="000000"/>
          <w:sz w:val="24"/>
          <w:szCs w:val="24"/>
        </w:rPr>
        <w:t xml:space="preserve"> </w:t>
      </w:r>
      <w:r w:rsidRPr="00D36D56">
        <w:rPr>
          <w:rFonts w:asciiTheme="minorHAnsi" w:hAnsiTheme="minorHAnsi" w:cstheme="minorHAnsi"/>
          <w:snapToGrid w:val="0"/>
          <w:color w:val="000000"/>
          <w:sz w:val="24"/>
          <w:szCs w:val="24"/>
        </w:rPr>
        <w:t>r.</w:t>
      </w:r>
      <w:r>
        <w:rPr>
          <w:rFonts w:asciiTheme="minorHAnsi" w:hAnsiTheme="minorHAnsi" w:cstheme="minorHAnsi"/>
          <w:snapToGrid w:val="0"/>
          <w:color w:val="000000"/>
          <w:sz w:val="24"/>
          <w:szCs w:val="24"/>
        </w:rPr>
        <w:t xml:space="preserve"> </w:t>
      </w:r>
      <w:r w:rsidRPr="00D36D56">
        <w:rPr>
          <w:rFonts w:asciiTheme="minorHAnsi" w:hAnsiTheme="minorHAnsi" w:cstheme="minorHAnsi"/>
          <w:snapToGrid w:val="0"/>
          <w:color w:val="000000"/>
          <w:sz w:val="24"/>
          <w:szCs w:val="24"/>
        </w:rPr>
        <w:t>o., divize GLOBAL SHARED SERVICES CZECH REPUBLIC, která byla nově zařazena mezi monitorované subjekty tohoto odvětví</w:t>
      </w:r>
      <w:r>
        <w:rPr>
          <w:rFonts w:asciiTheme="minorHAnsi" w:hAnsiTheme="minorHAnsi" w:cstheme="minorHAnsi"/>
          <w:snapToGrid w:val="0"/>
          <w:color w:val="000000"/>
          <w:sz w:val="24"/>
          <w:szCs w:val="24"/>
        </w:rPr>
        <w:t xml:space="preserve">. </w:t>
      </w:r>
      <w:r w:rsidRPr="00D36D56">
        <w:rPr>
          <w:rFonts w:asciiTheme="minorHAnsi" w:hAnsiTheme="minorHAnsi" w:cstheme="minorHAnsi"/>
          <w:snapToGrid w:val="0"/>
          <w:color w:val="000000"/>
          <w:sz w:val="24"/>
          <w:szCs w:val="24"/>
        </w:rPr>
        <w:t>Toto ostravské pracoviště firmy Siemens, a. s. zabezpečuje účetní, nákupní a personální služby pro společnosti koncernu Siemens v ČR, Polsku, Slovensku, Rakousku a Německu. V souvislosti s pokračujícím přesunem administrativní a odborné agendy do ČR se toto centrum sdílených služeb stále rozšiřuje.</w:t>
      </w:r>
      <w:r>
        <w:rPr>
          <w:rFonts w:asciiTheme="minorHAnsi" w:hAnsiTheme="minorHAnsi" w:cstheme="minorHAnsi"/>
          <w:snapToGrid w:val="0"/>
          <w:color w:val="000000"/>
          <w:sz w:val="24"/>
          <w:szCs w:val="24"/>
        </w:rPr>
        <w:t xml:space="preserve"> </w:t>
      </w:r>
      <w:r w:rsidRPr="00D36D56">
        <w:rPr>
          <w:rFonts w:asciiTheme="minorHAnsi" w:hAnsiTheme="minorHAnsi" w:cstheme="minorHAnsi"/>
          <w:snapToGrid w:val="0"/>
          <w:color w:val="000000"/>
          <w:sz w:val="24"/>
          <w:szCs w:val="24"/>
        </w:rPr>
        <w:t>České centrum je hned po centru v Indii druhé největší.</w:t>
      </w:r>
    </w:p>
    <w:p w:rsidR="00027ABA" w:rsidRDefault="00027ABA" w:rsidP="00027ABA">
      <w:pPr>
        <w:pStyle w:val="Zkladntext"/>
        <w:spacing w:after="0"/>
        <w:ind w:firstLine="720"/>
        <w:jc w:val="both"/>
        <w:rPr>
          <w:rFonts w:asciiTheme="minorHAnsi" w:hAnsiTheme="minorHAnsi" w:cstheme="minorHAnsi"/>
          <w:bCs/>
          <w:iCs/>
          <w:sz w:val="24"/>
          <w:szCs w:val="24"/>
        </w:rPr>
      </w:pPr>
    </w:p>
    <w:p w:rsidR="00027ABA" w:rsidRPr="006E0270" w:rsidRDefault="00027ABA" w:rsidP="00027ABA">
      <w:pPr>
        <w:pStyle w:val="Nadpis5"/>
        <w:rPr>
          <w:rFonts w:asciiTheme="minorHAnsi" w:hAnsiTheme="minorHAnsi" w:cstheme="minorHAnsi"/>
          <w:szCs w:val="24"/>
        </w:rPr>
      </w:pPr>
      <w:r>
        <w:rPr>
          <w:rFonts w:asciiTheme="minorHAnsi" w:hAnsiTheme="minorHAnsi" w:cstheme="minorHAnsi"/>
          <w:szCs w:val="24"/>
        </w:rPr>
        <w:t>Administrativní a podpůrné činnosti</w:t>
      </w:r>
    </w:p>
    <w:p w:rsidR="00027ABA" w:rsidRPr="006E0270" w:rsidRDefault="00027ABA" w:rsidP="00027ABA">
      <w:pPr>
        <w:pStyle w:val="dka"/>
        <w:ind w:firstLine="709"/>
        <w:jc w:val="both"/>
        <w:rPr>
          <w:rFonts w:asciiTheme="minorHAnsi" w:hAnsiTheme="minorHAnsi" w:cstheme="minorHAnsi"/>
          <w:color w:val="auto"/>
          <w:szCs w:val="24"/>
        </w:rPr>
      </w:pPr>
      <w:r w:rsidRPr="006E0270">
        <w:rPr>
          <w:rFonts w:asciiTheme="minorHAnsi" w:hAnsiTheme="minorHAnsi" w:cstheme="minorHAnsi"/>
          <w:color w:val="auto"/>
          <w:szCs w:val="24"/>
        </w:rPr>
        <w:t>Zam</w:t>
      </w:r>
      <w:r>
        <w:rPr>
          <w:rFonts w:asciiTheme="minorHAnsi" w:hAnsiTheme="minorHAnsi" w:cstheme="minorHAnsi"/>
          <w:color w:val="auto"/>
          <w:szCs w:val="24"/>
        </w:rPr>
        <w:t>ěstnanost v tomto odvětví vzrostla</w:t>
      </w:r>
      <w:r w:rsidRPr="006E0270">
        <w:rPr>
          <w:rFonts w:asciiTheme="minorHAnsi" w:hAnsiTheme="minorHAnsi" w:cstheme="minorHAnsi"/>
          <w:color w:val="auto"/>
          <w:szCs w:val="24"/>
        </w:rPr>
        <w:t xml:space="preserve"> za </w:t>
      </w:r>
      <w:r>
        <w:rPr>
          <w:rFonts w:asciiTheme="minorHAnsi" w:hAnsiTheme="minorHAnsi" w:cstheme="minorHAnsi"/>
          <w:color w:val="auto"/>
          <w:szCs w:val="24"/>
        </w:rPr>
        <w:t>uplynulý rok o 2 125 (+22,6 %) osob. K jejímu navýšení</w:t>
      </w:r>
      <w:r w:rsidRPr="006E0270">
        <w:rPr>
          <w:rFonts w:asciiTheme="minorHAnsi" w:hAnsiTheme="minorHAnsi" w:cstheme="minorHAnsi"/>
          <w:color w:val="auto"/>
          <w:szCs w:val="24"/>
        </w:rPr>
        <w:t>  došlo ve všech okre</w:t>
      </w:r>
      <w:r>
        <w:rPr>
          <w:rFonts w:asciiTheme="minorHAnsi" w:hAnsiTheme="minorHAnsi" w:cstheme="minorHAnsi"/>
          <w:color w:val="auto"/>
          <w:szCs w:val="24"/>
        </w:rPr>
        <w:t>sech MSK</w:t>
      </w:r>
      <w:r w:rsidRPr="006E0270">
        <w:rPr>
          <w:rFonts w:asciiTheme="minorHAnsi" w:hAnsiTheme="minorHAnsi" w:cstheme="minorHAnsi"/>
          <w:color w:val="auto"/>
          <w:szCs w:val="24"/>
        </w:rPr>
        <w:t>, nejvíce v</w:t>
      </w:r>
      <w:r>
        <w:rPr>
          <w:rFonts w:asciiTheme="minorHAnsi" w:hAnsiTheme="minorHAnsi" w:cstheme="minorHAnsi"/>
          <w:color w:val="auto"/>
          <w:szCs w:val="24"/>
        </w:rPr>
        <w:t> okresech Ostrava (+1 357 osob) a Frýdek-Místek (+550</w:t>
      </w:r>
      <w:r w:rsidRPr="006E0270">
        <w:rPr>
          <w:rFonts w:asciiTheme="minorHAnsi" w:hAnsiTheme="minorHAnsi" w:cstheme="minorHAnsi"/>
          <w:color w:val="auto"/>
          <w:szCs w:val="24"/>
        </w:rPr>
        <w:t xml:space="preserve"> osob). </w:t>
      </w:r>
      <w:r w:rsidRPr="00D36D56">
        <w:rPr>
          <w:rFonts w:asciiTheme="minorHAnsi" w:hAnsiTheme="minorHAnsi" w:cstheme="minorHAnsi"/>
          <w:snapToGrid/>
          <w:szCs w:val="24"/>
        </w:rPr>
        <w:t>Tato nesourodá skupina zaměstnavatelů širo</w:t>
      </w:r>
      <w:r>
        <w:rPr>
          <w:rFonts w:asciiTheme="minorHAnsi" w:hAnsiTheme="minorHAnsi" w:cstheme="minorHAnsi"/>
          <w:snapToGrid/>
          <w:szCs w:val="24"/>
        </w:rPr>
        <w:t xml:space="preserve">kého spektra činností a služeb </w:t>
      </w:r>
      <w:r w:rsidRPr="00D36D56">
        <w:rPr>
          <w:rFonts w:asciiTheme="minorHAnsi" w:hAnsiTheme="minorHAnsi" w:cstheme="minorHAnsi"/>
          <w:snapToGrid/>
          <w:szCs w:val="24"/>
        </w:rPr>
        <w:t>zahrnuje subjekty zabývající se pronájmem, úklidovými, bezpečnostními a pátracími činnostmi, součástí jsou i</w:t>
      </w:r>
      <w:r>
        <w:rPr>
          <w:rFonts w:asciiTheme="minorHAnsi" w:hAnsiTheme="minorHAnsi" w:cstheme="minorHAnsi"/>
          <w:snapToGrid/>
          <w:szCs w:val="24"/>
        </w:rPr>
        <w:t> cestovní a personální agentury</w:t>
      </w:r>
      <w:r w:rsidRPr="00D36D56">
        <w:rPr>
          <w:rFonts w:asciiTheme="minorHAnsi" w:hAnsiTheme="minorHAnsi" w:cstheme="minorHAnsi"/>
          <w:snapToGrid/>
          <w:szCs w:val="24"/>
        </w:rPr>
        <w:t xml:space="preserve">. </w:t>
      </w:r>
      <w:r>
        <w:rPr>
          <w:rFonts w:asciiTheme="minorHAnsi" w:hAnsiTheme="minorHAnsi" w:cstheme="minorHAnsi"/>
          <w:snapToGrid/>
          <w:szCs w:val="24"/>
        </w:rPr>
        <w:t>V ostravském okrese se n</w:t>
      </w:r>
      <w:r w:rsidRPr="00D36D56">
        <w:rPr>
          <w:rFonts w:asciiTheme="minorHAnsi" w:hAnsiTheme="minorHAnsi" w:cstheme="minorHAnsi"/>
          <w:snapToGrid/>
          <w:szCs w:val="24"/>
        </w:rPr>
        <w:t>a tomto vý</w:t>
      </w:r>
      <w:r>
        <w:rPr>
          <w:rFonts w:asciiTheme="minorHAnsi" w:hAnsiTheme="minorHAnsi" w:cstheme="minorHAnsi"/>
          <w:snapToGrid/>
          <w:szCs w:val="24"/>
        </w:rPr>
        <w:t xml:space="preserve">razném nárůstu zaměstnanosti největší měrou podílely čtyři </w:t>
      </w:r>
      <w:r w:rsidRPr="00D36D56">
        <w:rPr>
          <w:rFonts w:asciiTheme="minorHAnsi" w:hAnsiTheme="minorHAnsi" w:cstheme="minorHAnsi"/>
          <w:snapToGrid/>
          <w:szCs w:val="24"/>
        </w:rPr>
        <w:t>podnikatelské subjekty nově zařazené mezi monitorované fi</w:t>
      </w:r>
      <w:r>
        <w:rPr>
          <w:rFonts w:asciiTheme="minorHAnsi" w:hAnsiTheme="minorHAnsi" w:cstheme="minorHAnsi"/>
          <w:snapToGrid/>
          <w:szCs w:val="24"/>
        </w:rPr>
        <w:t>rmy - Comdata Czech s. r. o.</w:t>
      </w:r>
      <w:r w:rsidRPr="00D36D56">
        <w:rPr>
          <w:rFonts w:asciiTheme="minorHAnsi" w:hAnsiTheme="minorHAnsi" w:cstheme="minorHAnsi"/>
          <w:snapToGrid/>
          <w:szCs w:val="24"/>
        </w:rPr>
        <w:t xml:space="preserve">, </w:t>
      </w:r>
      <w:r w:rsidRPr="00D36D56">
        <w:rPr>
          <w:rStyle w:val="tsubjname"/>
          <w:rFonts w:asciiTheme="minorHAnsi" w:hAnsiTheme="minorHAnsi" w:cstheme="minorHAnsi"/>
        </w:rPr>
        <w:t>Genpact Czech s.</w:t>
      </w:r>
      <w:r>
        <w:rPr>
          <w:rStyle w:val="tsubjname"/>
          <w:rFonts w:asciiTheme="minorHAnsi" w:hAnsiTheme="minorHAnsi" w:cstheme="minorHAnsi"/>
        </w:rPr>
        <w:t xml:space="preserve"> </w:t>
      </w:r>
      <w:r w:rsidRPr="00D36D56">
        <w:rPr>
          <w:rStyle w:val="tsubjname"/>
          <w:rFonts w:asciiTheme="minorHAnsi" w:hAnsiTheme="minorHAnsi" w:cstheme="minorHAnsi"/>
        </w:rPr>
        <w:t>r.</w:t>
      </w:r>
      <w:r>
        <w:rPr>
          <w:rStyle w:val="tsubjname"/>
          <w:rFonts w:asciiTheme="minorHAnsi" w:hAnsiTheme="minorHAnsi" w:cstheme="minorHAnsi"/>
        </w:rPr>
        <w:t xml:space="preserve"> </w:t>
      </w:r>
      <w:r w:rsidRPr="00D36D56">
        <w:rPr>
          <w:rStyle w:val="tsubjname"/>
          <w:rFonts w:asciiTheme="minorHAnsi" w:hAnsiTheme="minorHAnsi" w:cstheme="minorHAnsi"/>
        </w:rPr>
        <w:t>o.</w:t>
      </w:r>
      <w:r w:rsidRPr="00D36D56">
        <w:rPr>
          <w:rFonts w:asciiTheme="minorHAnsi" w:hAnsiTheme="minorHAnsi" w:cstheme="minorHAnsi"/>
          <w:snapToGrid/>
          <w:szCs w:val="24"/>
        </w:rPr>
        <w:t>, OKIN GROUP, a.</w:t>
      </w:r>
      <w:r>
        <w:rPr>
          <w:rFonts w:asciiTheme="minorHAnsi" w:hAnsiTheme="minorHAnsi" w:cstheme="minorHAnsi"/>
          <w:snapToGrid/>
          <w:szCs w:val="24"/>
        </w:rPr>
        <w:t xml:space="preserve"> </w:t>
      </w:r>
      <w:r w:rsidRPr="00D36D56">
        <w:rPr>
          <w:rFonts w:asciiTheme="minorHAnsi" w:hAnsiTheme="minorHAnsi" w:cstheme="minorHAnsi"/>
          <w:snapToGrid/>
          <w:szCs w:val="24"/>
        </w:rPr>
        <w:t>s</w:t>
      </w:r>
      <w:r w:rsidRPr="00D36D56">
        <w:rPr>
          <w:rStyle w:val="tsubjname"/>
          <w:rFonts w:asciiTheme="minorHAnsi" w:hAnsiTheme="minorHAnsi" w:cstheme="minorHAnsi"/>
        </w:rPr>
        <w:t>.</w:t>
      </w:r>
      <w:r>
        <w:rPr>
          <w:rFonts w:asciiTheme="minorHAnsi" w:hAnsiTheme="minorHAnsi" w:cstheme="minorHAnsi"/>
          <w:snapToGrid/>
          <w:szCs w:val="24"/>
        </w:rPr>
        <w:t xml:space="preserve"> </w:t>
      </w:r>
      <w:r w:rsidRPr="00D36D56">
        <w:rPr>
          <w:rFonts w:asciiTheme="minorHAnsi" w:hAnsiTheme="minorHAnsi" w:cstheme="minorHAnsi"/>
          <w:snapToGrid/>
          <w:szCs w:val="24"/>
        </w:rPr>
        <w:t>a SASB strážní a úklidová služba s.</w:t>
      </w:r>
      <w:r>
        <w:rPr>
          <w:rFonts w:asciiTheme="minorHAnsi" w:hAnsiTheme="minorHAnsi" w:cstheme="minorHAnsi"/>
          <w:snapToGrid/>
          <w:szCs w:val="24"/>
        </w:rPr>
        <w:t xml:space="preserve"> </w:t>
      </w:r>
      <w:r w:rsidRPr="00D36D56">
        <w:rPr>
          <w:rFonts w:asciiTheme="minorHAnsi" w:hAnsiTheme="minorHAnsi" w:cstheme="minorHAnsi"/>
          <w:snapToGrid/>
          <w:szCs w:val="24"/>
        </w:rPr>
        <w:t>r.</w:t>
      </w:r>
      <w:r>
        <w:rPr>
          <w:rFonts w:asciiTheme="minorHAnsi" w:hAnsiTheme="minorHAnsi" w:cstheme="minorHAnsi"/>
          <w:snapToGrid/>
          <w:szCs w:val="24"/>
        </w:rPr>
        <w:t xml:space="preserve"> o</w:t>
      </w:r>
      <w:r w:rsidRPr="00D36D56">
        <w:rPr>
          <w:rFonts w:asciiTheme="minorHAnsi" w:hAnsiTheme="minorHAnsi" w:cstheme="minorHAnsi"/>
          <w:snapToGrid/>
          <w:szCs w:val="24"/>
        </w:rPr>
        <w:t xml:space="preserve">. Dále navýšení počtu zaměstnanců nahlásily personální agentury </w:t>
      </w:r>
      <w:r>
        <w:rPr>
          <w:rStyle w:val="tsubjname"/>
          <w:rFonts w:asciiTheme="minorHAnsi" w:hAnsiTheme="minorHAnsi" w:cstheme="minorHAnsi"/>
        </w:rPr>
        <w:t>W -</w:t>
      </w:r>
      <w:r w:rsidRPr="00D36D56">
        <w:rPr>
          <w:rStyle w:val="tsubjname"/>
          <w:rFonts w:asciiTheme="minorHAnsi" w:hAnsiTheme="minorHAnsi" w:cstheme="minorHAnsi"/>
        </w:rPr>
        <w:t> Personal Service s.</w:t>
      </w:r>
      <w:r>
        <w:rPr>
          <w:rStyle w:val="tsubjname"/>
          <w:rFonts w:asciiTheme="minorHAnsi" w:hAnsiTheme="minorHAnsi" w:cstheme="minorHAnsi"/>
        </w:rPr>
        <w:t xml:space="preserve"> </w:t>
      </w:r>
      <w:r w:rsidRPr="00D36D56">
        <w:rPr>
          <w:rStyle w:val="tsubjname"/>
          <w:rFonts w:asciiTheme="minorHAnsi" w:hAnsiTheme="minorHAnsi" w:cstheme="minorHAnsi"/>
        </w:rPr>
        <w:t>r.</w:t>
      </w:r>
      <w:r>
        <w:rPr>
          <w:rStyle w:val="tsubjname"/>
          <w:rFonts w:asciiTheme="minorHAnsi" w:hAnsiTheme="minorHAnsi" w:cstheme="minorHAnsi"/>
        </w:rPr>
        <w:t xml:space="preserve"> </w:t>
      </w:r>
      <w:r w:rsidRPr="00D36D56">
        <w:rPr>
          <w:rStyle w:val="tsubjname"/>
          <w:rFonts w:asciiTheme="minorHAnsi" w:hAnsiTheme="minorHAnsi" w:cstheme="minorHAnsi"/>
        </w:rPr>
        <w:t>o.</w:t>
      </w:r>
      <w:r w:rsidRPr="00D36D56">
        <w:rPr>
          <w:rFonts w:asciiTheme="minorHAnsi" w:hAnsiTheme="minorHAnsi" w:cstheme="minorHAnsi"/>
          <w:snapToGrid/>
          <w:szCs w:val="24"/>
        </w:rPr>
        <w:t xml:space="preserve">, PRVNÍ VÍTKOVICKÁ PERSONÁLNÍ s. r. o. a úklidová agentura </w:t>
      </w:r>
      <w:r w:rsidRPr="00D36D56">
        <w:rPr>
          <w:rStyle w:val="tsubjname"/>
          <w:rFonts w:asciiTheme="minorHAnsi" w:hAnsiTheme="minorHAnsi" w:cstheme="minorHAnsi"/>
        </w:rPr>
        <w:t>ISS Facility Services s.</w:t>
      </w:r>
      <w:r>
        <w:rPr>
          <w:rStyle w:val="tsubjname"/>
          <w:rFonts w:asciiTheme="minorHAnsi" w:hAnsiTheme="minorHAnsi" w:cstheme="minorHAnsi"/>
        </w:rPr>
        <w:t xml:space="preserve"> </w:t>
      </w:r>
      <w:r w:rsidRPr="00D36D56">
        <w:rPr>
          <w:rStyle w:val="tsubjname"/>
          <w:rFonts w:asciiTheme="minorHAnsi" w:hAnsiTheme="minorHAnsi" w:cstheme="minorHAnsi"/>
        </w:rPr>
        <w:t>r.</w:t>
      </w:r>
      <w:r>
        <w:rPr>
          <w:rStyle w:val="tsubjname"/>
          <w:rFonts w:asciiTheme="minorHAnsi" w:hAnsiTheme="minorHAnsi" w:cstheme="minorHAnsi"/>
        </w:rPr>
        <w:t xml:space="preserve"> </w:t>
      </w:r>
      <w:r w:rsidRPr="00D36D56">
        <w:rPr>
          <w:rStyle w:val="tsubjname"/>
          <w:rFonts w:asciiTheme="minorHAnsi" w:hAnsiTheme="minorHAnsi" w:cstheme="minorHAnsi"/>
        </w:rPr>
        <w:t>o</w:t>
      </w:r>
      <w:r w:rsidRPr="00D36D56">
        <w:rPr>
          <w:rFonts w:asciiTheme="minorHAnsi" w:hAnsiTheme="minorHAnsi" w:cstheme="minorHAnsi"/>
          <w:snapToGrid/>
          <w:szCs w:val="24"/>
        </w:rPr>
        <w:t>.</w:t>
      </w:r>
    </w:p>
    <w:p w:rsidR="00027ABA" w:rsidRPr="006E0270" w:rsidRDefault="00027ABA" w:rsidP="00027ABA">
      <w:pPr>
        <w:pStyle w:val="Zkladntextodsazen"/>
        <w:ind w:firstLine="0"/>
        <w:rPr>
          <w:rFonts w:asciiTheme="minorHAnsi" w:hAnsiTheme="minorHAnsi" w:cstheme="minorHAnsi"/>
        </w:rPr>
      </w:pPr>
    </w:p>
    <w:p w:rsidR="00027ABA" w:rsidRPr="006E0270" w:rsidRDefault="00027ABA" w:rsidP="00027ABA">
      <w:pPr>
        <w:pStyle w:val="Nadpis5"/>
        <w:rPr>
          <w:rFonts w:asciiTheme="minorHAnsi" w:hAnsiTheme="minorHAnsi" w:cstheme="minorHAnsi"/>
        </w:rPr>
      </w:pPr>
      <w:r>
        <w:rPr>
          <w:rFonts w:asciiTheme="minorHAnsi" w:hAnsiTheme="minorHAnsi" w:cstheme="minorHAnsi"/>
        </w:rPr>
        <w:t>Veřejná správa a obrana, povinné sociální zabezpečení</w:t>
      </w:r>
    </w:p>
    <w:p w:rsidR="00027ABA" w:rsidRPr="006E0270" w:rsidRDefault="00027ABA" w:rsidP="00027ABA">
      <w:pPr>
        <w:pStyle w:val="Zkladntextodsazen"/>
        <w:rPr>
          <w:rFonts w:asciiTheme="minorHAnsi" w:hAnsiTheme="minorHAnsi" w:cstheme="minorHAnsi"/>
        </w:rPr>
      </w:pPr>
      <w:r w:rsidRPr="006E0270">
        <w:rPr>
          <w:rFonts w:asciiTheme="minorHAnsi" w:hAnsiTheme="minorHAnsi" w:cstheme="minorHAnsi"/>
        </w:rPr>
        <w:t>U monit</w:t>
      </w:r>
      <w:r>
        <w:rPr>
          <w:rFonts w:asciiTheme="minorHAnsi" w:hAnsiTheme="minorHAnsi" w:cstheme="minorHAnsi"/>
        </w:rPr>
        <w:t xml:space="preserve">orovaných organizací přibylo v roce 2014 celkem 797 (+4,5 %) zaměstnanců. Na nárůstu počtu zaměstnaných osob se podílely všechny okresy MSK, nejvíce ostravský           (+273 osob), karvinský (+159 osob), frýdeckomístecký (+145 osob) a opavský (+126 osob). </w:t>
      </w:r>
      <w:r>
        <w:rPr>
          <w:rFonts w:asciiTheme="minorHAnsi" w:hAnsiTheme="minorHAnsi" w:cstheme="minorHAnsi"/>
          <w:szCs w:val="24"/>
        </w:rPr>
        <w:t xml:space="preserve">K navýšení zaměstnanosti došlo u SÚIP - </w:t>
      </w:r>
      <w:r w:rsidRPr="00D36D56">
        <w:rPr>
          <w:rFonts w:asciiTheme="minorHAnsi" w:hAnsiTheme="minorHAnsi" w:cstheme="minorHAnsi"/>
          <w:szCs w:val="24"/>
        </w:rPr>
        <w:t>Oblastního inspektor</w:t>
      </w:r>
      <w:r>
        <w:rPr>
          <w:rFonts w:asciiTheme="minorHAnsi" w:hAnsiTheme="minorHAnsi" w:cstheme="minorHAnsi"/>
          <w:szCs w:val="24"/>
        </w:rPr>
        <w:t>átu práce pro Moravskoslezský a </w:t>
      </w:r>
      <w:r w:rsidRPr="00D36D56">
        <w:rPr>
          <w:rFonts w:asciiTheme="minorHAnsi" w:hAnsiTheme="minorHAnsi" w:cstheme="minorHAnsi"/>
          <w:szCs w:val="24"/>
        </w:rPr>
        <w:t>Olo</w:t>
      </w:r>
      <w:r>
        <w:rPr>
          <w:rFonts w:asciiTheme="minorHAnsi" w:hAnsiTheme="minorHAnsi" w:cstheme="minorHAnsi"/>
          <w:szCs w:val="24"/>
        </w:rPr>
        <w:t>moucký kraj se sídlem v Ostravě</w:t>
      </w:r>
      <w:r w:rsidRPr="00D36D56">
        <w:rPr>
          <w:rFonts w:asciiTheme="minorHAnsi" w:hAnsiTheme="minorHAnsi" w:cstheme="minorHAnsi"/>
          <w:szCs w:val="24"/>
        </w:rPr>
        <w:t xml:space="preserve">, </w:t>
      </w:r>
      <w:r>
        <w:rPr>
          <w:rFonts w:asciiTheme="minorHAnsi" w:hAnsiTheme="minorHAnsi" w:cstheme="minorHAnsi"/>
          <w:szCs w:val="24"/>
        </w:rPr>
        <w:t xml:space="preserve">u ČSSZ - </w:t>
      </w:r>
      <w:r w:rsidRPr="00D36D56">
        <w:rPr>
          <w:rFonts w:asciiTheme="minorHAnsi" w:hAnsiTheme="minorHAnsi" w:cstheme="minorHAnsi"/>
          <w:szCs w:val="24"/>
        </w:rPr>
        <w:t>Okresní správy</w:t>
      </w:r>
      <w:r>
        <w:rPr>
          <w:rFonts w:asciiTheme="minorHAnsi" w:hAnsiTheme="minorHAnsi" w:cstheme="minorHAnsi"/>
          <w:szCs w:val="24"/>
        </w:rPr>
        <w:t xml:space="preserve"> sociálního zabezpečení Ostrava a u </w:t>
      </w:r>
      <w:r w:rsidRPr="00D36D56">
        <w:rPr>
          <w:rFonts w:asciiTheme="minorHAnsi" w:hAnsiTheme="minorHAnsi" w:cstheme="minorHAnsi"/>
          <w:szCs w:val="24"/>
        </w:rPr>
        <w:t>Ú</w:t>
      </w:r>
      <w:r>
        <w:rPr>
          <w:rFonts w:asciiTheme="minorHAnsi" w:hAnsiTheme="minorHAnsi" w:cstheme="minorHAnsi"/>
          <w:szCs w:val="24"/>
        </w:rPr>
        <w:t>P ČR, Krajské pobočky v Ostravě</w:t>
      </w:r>
      <w:r w:rsidRPr="00D36D56">
        <w:rPr>
          <w:rFonts w:asciiTheme="minorHAnsi" w:hAnsiTheme="minorHAnsi" w:cstheme="minorHAnsi"/>
          <w:szCs w:val="24"/>
        </w:rPr>
        <w:t>. Nárůst zaměstnanců meziročně z</w:t>
      </w:r>
      <w:r>
        <w:rPr>
          <w:rFonts w:asciiTheme="minorHAnsi" w:hAnsiTheme="minorHAnsi" w:cstheme="minorHAnsi"/>
          <w:szCs w:val="24"/>
        </w:rPr>
        <w:t xml:space="preserve">aznamenala i oblast soudnictví, a to z důvodů přijímání </w:t>
      </w:r>
      <w:r w:rsidRPr="00D36D56">
        <w:rPr>
          <w:rFonts w:asciiTheme="minorHAnsi" w:hAnsiTheme="minorHAnsi" w:cstheme="minorHAnsi"/>
          <w:szCs w:val="24"/>
        </w:rPr>
        <w:t>nových justičních čekatelů a asistentů soudců</w:t>
      </w:r>
      <w:r>
        <w:rPr>
          <w:rFonts w:asciiTheme="minorHAnsi" w:hAnsiTheme="minorHAnsi" w:cstheme="minorHAnsi"/>
          <w:szCs w:val="24"/>
        </w:rPr>
        <w:t xml:space="preserve"> krajského soudu. Ti </w:t>
      </w:r>
      <w:r w:rsidRPr="00D36D56">
        <w:rPr>
          <w:rFonts w:asciiTheme="minorHAnsi" w:hAnsiTheme="minorHAnsi" w:cstheme="minorHAnsi"/>
          <w:szCs w:val="24"/>
        </w:rPr>
        <w:t xml:space="preserve">jsou v průběhu roku dále přidělováni na jednotlivé okresní soudy v jeho působnosti nebo jmenováni do funkcí soudců anebo zůstávají na pracovištích krajského soudu. </w:t>
      </w:r>
      <w:r>
        <w:rPr>
          <w:rFonts w:asciiTheme="minorHAnsi" w:hAnsiTheme="minorHAnsi" w:cstheme="minorHAnsi"/>
          <w:szCs w:val="24"/>
        </w:rPr>
        <w:t>Součástí celkového nárůstu zaměstnanosti v</w:t>
      </w:r>
      <w:r w:rsidRPr="00D36D56">
        <w:rPr>
          <w:rFonts w:asciiTheme="minorHAnsi" w:hAnsiTheme="minorHAnsi" w:cstheme="minorHAnsi"/>
          <w:szCs w:val="24"/>
        </w:rPr>
        <w:t> samosprá</w:t>
      </w:r>
      <w:r>
        <w:rPr>
          <w:rFonts w:asciiTheme="minorHAnsi" w:hAnsiTheme="minorHAnsi" w:cstheme="minorHAnsi"/>
          <w:szCs w:val="24"/>
        </w:rPr>
        <w:t>vě bylo i navýšení zaměstnanců Městské policie, kde zřizovatelem je Magistrát města Ostravy.</w:t>
      </w:r>
    </w:p>
    <w:p w:rsidR="00027ABA" w:rsidRPr="006E0270" w:rsidRDefault="00027ABA" w:rsidP="00027ABA">
      <w:pPr>
        <w:pStyle w:val="Zkladntextodsazen"/>
        <w:ind w:firstLine="0"/>
        <w:rPr>
          <w:rFonts w:asciiTheme="minorHAnsi" w:hAnsiTheme="minorHAnsi" w:cstheme="minorHAnsi"/>
        </w:rPr>
      </w:pPr>
    </w:p>
    <w:p w:rsidR="00027ABA" w:rsidRDefault="00027ABA" w:rsidP="00027ABA"/>
    <w:p w:rsidR="00027ABA" w:rsidRPr="00CF656D" w:rsidRDefault="00027ABA" w:rsidP="00027ABA"/>
    <w:p w:rsidR="00027ABA" w:rsidRPr="006E0270" w:rsidRDefault="00027ABA" w:rsidP="00027ABA">
      <w:pPr>
        <w:pStyle w:val="Nadpis5"/>
        <w:rPr>
          <w:rFonts w:asciiTheme="minorHAnsi" w:hAnsiTheme="minorHAnsi" w:cstheme="minorHAnsi"/>
        </w:rPr>
      </w:pPr>
      <w:r>
        <w:rPr>
          <w:rFonts w:asciiTheme="minorHAnsi" w:hAnsiTheme="minorHAnsi" w:cstheme="minorHAnsi"/>
        </w:rPr>
        <w:t>Zdravotní a sociální péče</w:t>
      </w:r>
    </w:p>
    <w:p w:rsidR="00027ABA" w:rsidRPr="00075081" w:rsidRDefault="00027ABA" w:rsidP="00027ABA">
      <w:pPr>
        <w:pStyle w:val="Zkladntextodsazen"/>
        <w:rPr>
          <w:rFonts w:asciiTheme="minorHAnsi" w:hAnsiTheme="minorHAnsi" w:cstheme="minorHAnsi"/>
        </w:rPr>
      </w:pPr>
      <w:r w:rsidRPr="006E0270">
        <w:rPr>
          <w:rFonts w:asciiTheme="minorHAnsi" w:hAnsiTheme="minorHAnsi" w:cstheme="minorHAnsi"/>
        </w:rPr>
        <w:t>Celkový počet zaměstnanců se v </w:t>
      </w:r>
      <w:r>
        <w:rPr>
          <w:rFonts w:asciiTheme="minorHAnsi" w:hAnsiTheme="minorHAnsi" w:cstheme="minorHAnsi"/>
        </w:rPr>
        <w:t>uplynulých 12 měsících roku 2014</w:t>
      </w:r>
      <w:r w:rsidRPr="006E0270">
        <w:rPr>
          <w:rFonts w:asciiTheme="minorHAnsi" w:hAnsiTheme="minorHAnsi" w:cstheme="minorHAnsi"/>
        </w:rPr>
        <w:t xml:space="preserve"> u m</w:t>
      </w:r>
      <w:r>
        <w:rPr>
          <w:rFonts w:asciiTheme="minorHAnsi" w:hAnsiTheme="minorHAnsi" w:cstheme="minorHAnsi"/>
        </w:rPr>
        <w:t>onitorovaných firem zvýšil o 774 (+2,8 %). K přírůstku</w:t>
      </w:r>
      <w:r w:rsidRPr="006E0270">
        <w:rPr>
          <w:rFonts w:asciiTheme="minorHAnsi" w:hAnsiTheme="minorHAnsi" w:cstheme="minorHAnsi"/>
        </w:rPr>
        <w:t xml:space="preserve"> došlo ve všech okresech </w:t>
      </w:r>
      <w:r>
        <w:rPr>
          <w:rFonts w:asciiTheme="minorHAnsi" w:hAnsiTheme="minorHAnsi" w:cstheme="minorHAnsi"/>
        </w:rPr>
        <w:t xml:space="preserve">MSK, </w:t>
      </w:r>
      <w:r w:rsidRPr="006E0270">
        <w:rPr>
          <w:rFonts w:asciiTheme="minorHAnsi" w:hAnsiTheme="minorHAnsi" w:cstheme="minorHAnsi"/>
        </w:rPr>
        <w:t xml:space="preserve">nejvýrazněji </w:t>
      </w:r>
      <w:r>
        <w:rPr>
          <w:rFonts w:asciiTheme="minorHAnsi" w:hAnsiTheme="minorHAnsi" w:cstheme="minorHAnsi"/>
        </w:rPr>
        <w:t xml:space="preserve">vzrostly personální stavy </w:t>
      </w:r>
      <w:r w:rsidRPr="006E0270">
        <w:rPr>
          <w:rFonts w:asciiTheme="minorHAnsi" w:hAnsiTheme="minorHAnsi" w:cstheme="minorHAnsi"/>
        </w:rPr>
        <w:t>v</w:t>
      </w:r>
      <w:r>
        <w:rPr>
          <w:rFonts w:asciiTheme="minorHAnsi" w:hAnsiTheme="minorHAnsi" w:cstheme="minorHAnsi"/>
        </w:rPr>
        <w:t xml:space="preserve"> okrese Ostrava (+224 osob). </w:t>
      </w:r>
      <w:r w:rsidRPr="00D36D56">
        <w:rPr>
          <w:rFonts w:asciiTheme="minorHAnsi" w:hAnsiTheme="minorHAnsi" w:cstheme="minorHAnsi"/>
          <w:szCs w:val="24"/>
        </w:rPr>
        <w:t>Toto navý</w:t>
      </w:r>
      <w:r>
        <w:rPr>
          <w:rFonts w:asciiTheme="minorHAnsi" w:hAnsiTheme="minorHAnsi" w:cstheme="minorHAnsi"/>
          <w:szCs w:val="24"/>
        </w:rPr>
        <w:t xml:space="preserve">šení způsobily převážně změny v počtech </w:t>
      </w:r>
      <w:r w:rsidRPr="00D36D56">
        <w:rPr>
          <w:rFonts w:asciiTheme="minorHAnsi" w:hAnsiTheme="minorHAnsi" w:cstheme="minorHAnsi"/>
          <w:szCs w:val="24"/>
        </w:rPr>
        <w:t>zaměstnanc</w:t>
      </w:r>
      <w:r>
        <w:rPr>
          <w:rFonts w:asciiTheme="minorHAnsi" w:hAnsiTheme="minorHAnsi" w:cstheme="minorHAnsi"/>
          <w:szCs w:val="24"/>
        </w:rPr>
        <w:t xml:space="preserve">ů </w:t>
      </w:r>
      <w:r w:rsidRPr="00D36D56">
        <w:rPr>
          <w:rFonts w:asciiTheme="minorHAnsi" w:hAnsiTheme="minorHAnsi" w:cstheme="minorHAnsi"/>
          <w:szCs w:val="24"/>
        </w:rPr>
        <w:t xml:space="preserve">dvou největších ostravských zdravotnických zařízení </w:t>
      </w:r>
      <w:r>
        <w:rPr>
          <w:rFonts w:asciiTheme="minorHAnsi" w:hAnsiTheme="minorHAnsi" w:cstheme="minorHAnsi"/>
          <w:szCs w:val="24"/>
        </w:rPr>
        <w:t xml:space="preserve">- Fakultní nemocnice Ostrava a </w:t>
      </w:r>
      <w:r w:rsidRPr="00D36D56">
        <w:rPr>
          <w:rFonts w:asciiTheme="minorHAnsi" w:hAnsiTheme="minorHAnsi" w:cstheme="minorHAnsi"/>
          <w:szCs w:val="24"/>
        </w:rPr>
        <w:t xml:space="preserve">Městské nemocnice Ostrava a </w:t>
      </w:r>
      <w:r>
        <w:rPr>
          <w:rFonts w:asciiTheme="minorHAnsi" w:hAnsiTheme="minorHAnsi" w:cstheme="minorHAnsi"/>
          <w:szCs w:val="24"/>
        </w:rPr>
        <w:t xml:space="preserve">dále </w:t>
      </w:r>
      <w:r w:rsidRPr="00D36D56">
        <w:rPr>
          <w:rFonts w:asciiTheme="minorHAnsi" w:hAnsiTheme="minorHAnsi" w:cstheme="minorHAnsi"/>
          <w:szCs w:val="24"/>
        </w:rPr>
        <w:t>lázeňského zař</w:t>
      </w:r>
      <w:r>
        <w:rPr>
          <w:rFonts w:asciiTheme="minorHAnsi" w:hAnsiTheme="minorHAnsi" w:cstheme="minorHAnsi"/>
          <w:szCs w:val="24"/>
        </w:rPr>
        <w:t xml:space="preserve">ízení Sanatoria Klimkovice. O další nárůst se postarala firma Repharm a. s., která byla nově zařazena mezi </w:t>
      </w:r>
      <w:r w:rsidRPr="00D36D56">
        <w:rPr>
          <w:rFonts w:asciiTheme="minorHAnsi" w:hAnsiTheme="minorHAnsi" w:cstheme="minorHAnsi"/>
          <w:szCs w:val="24"/>
        </w:rPr>
        <w:t>monitorované sub</w:t>
      </w:r>
      <w:r>
        <w:rPr>
          <w:rFonts w:asciiTheme="minorHAnsi" w:hAnsiTheme="minorHAnsi" w:cstheme="minorHAnsi"/>
          <w:szCs w:val="24"/>
        </w:rPr>
        <w:t xml:space="preserve">jekty. V okrese </w:t>
      </w:r>
      <w:r>
        <w:rPr>
          <w:rFonts w:asciiTheme="minorHAnsi" w:hAnsiTheme="minorHAnsi" w:cstheme="minorHAnsi"/>
        </w:rPr>
        <w:t>Karviná (+194</w:t>
      </w:r>
      <w:r w:rsidRPr="006E0270">
        <w:rPr>
          <w:rFonts w:asciiTheme="minorHAnsi" w:hAnsiTheme="minorHAnsi" w:cstheme="minorHAnsi"/>
        </w:rPr>
        <w:t xml:space="preserve"> o</w:t>
      </w:r>
      <w:r>
        <w:rPr>
          <w:rFonts w:asciiTheme="minorHAnsi" w:hAnsiTheme="minorHAnsi" w:cstheme="minorHAnsi"/>
        </w:rPr>
        <w:t>sob) bylo navýšení stavů zaměstnanců způsobeno znovuotevřením uzavřené léčebny Darkov, dále zahájil činnost nový subjekt - Senior domy pohoda Český Těšín a. s. a vyšší počet zaměstnanců zaznamenal rovněž Benjamín, příspěvková organizace Petřvald.</w:t>
      </w:r>
    </w:p>
    <w:p w:rsidR="00027ABA" w:rsidRPr="006E0270" w:rsidRDefault="00027ABA" w:rsidP="00027ABA">
      <w:pPr>
        <w:pStyle w:val="Zkladntext"/>
        <w:spacing w:after="0"/>
        <w:jc w:val="both"/>
        <w:rPr>
          <w:rFonts w:asciiTheme="minorHAnsi" w:hAnsiTheme="minorHAnsi" w:cstheme="minorHAnsi"/>
          <w:bCs/>
          <w:iCs/>
          <w:sz w:val="24"/>
          <w:szCs w:val="24"/>
        </w:rPr>
      </w:pPr>
    </w:p>
    <w:p w:rsidR="00027ABA" w:rsidRPr="006E0270" w:rsidRDefault="00027ABA" w:rsidP="00027ABA">
      <w:pPr>
        <w:pStyle w:val="Zkladntext"/>
        <w:spacing w:after="0"/>
        <w:rPr>
          <w:rFonts w:asciiTheme="minorHAnsi" w:hAnsiTheme="minorHAnsi" w:cstheme="minorHAnsi"/>
          <w:b/>
          <w:i/>
          <w:sz w:val="24"/>
          <w:szCs w:val="24"/>
        </w:rPr>
      </w:pPr>
      <w:r w:rsidRPr="006E0270">
        <w:rPr>
          <w:rFonts w:asciiTheme="minorHAnsi" w:hAnsiTheme="minorHAnsi" w:cstheme="minorHAnsi"/>
          <w:b/>
          <w:i/>
          <w:sz w:val="24"/>
          <w:szCs w:val="24"/>
        </w:rPr>
        <w:t>4. Vývoj počtu OSVČ</w:t>
      </w:r>
    </w:p>
    <w:p w:rsidR="00027ABA" w:rsidRPr="00BA5FC8" w:rsidRDefault="00027ABA" w:rsidP="00027ABA">
      <w:pPr>
        <w:pStyle w:val="dka"/>
        <w:rPr>
          <w:rFonts w:asciiTheme="minorHAnsi" w:hAnsiTheme="minorHAnsi" w:cstheme="minorHAnsi"/>
          <w:color w:val="auto"/>
        </w:rPr>
      </w:pPr>
    </w:p>
    <w:p w:rsidR="00027ABA" w:rsidRPr="006E0270" w:rsidRDefault="00027ABA" w:rsidP="00027ABA">
      <w:pPr>
        <w:pStyle w:val="dka"/>
        <w:jc w:val="both"/>
        <w:rPr>
          <w:rFonts w:asciiTheme="minorHAnsi" w:hAnsiTheme="minorHAnsi" w:cstheme="minorHAnsi"/>
          <w:color w:val="auto"/>
        </w:rPr>
      </w:pPr>
      <w:r w:rsidRPr="006E0270">
        <w:rPr>
          <w:rFonts w:asciiTheme="minorHAnsi" w:hAnsiTheme="minorHAnsi" w:cstheme="minorHAnsi"/>
          <w:b/>
          <w:color w:val="auto"/>
        </w:rPr>
        <w:t>Tabulka II/4</w:t>
      </w:r>
      <w:r w:rsidRPr="006E0270">
        <w:rPr>
          <w:rFonts w:asciiTheme="minorHAnsi" w:hAnsiTheme="minorHAnsi" w:cstheme="minorHAnsi"/>
          <w:color w:val="auto"/>
        </w:rPr>
        <w:t xml:space="preserve"> - Počet OSVČ</w:t>
      </w:r>
    </w:p>
    <w:tbl>
      <w:tblPr>
        <w:tblW w:w="9364" w:type="dxa"/>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2939"/>
        <w:gridCol w:w="1606"/>
        <w:gridCol w:w="1650"/>
        <w:gridCol w:w="1562"/>
        <w:gridCol w:w="1607"/>
      </w:tblGrid>
      <w:tr w:rsidR="00027ABA" w:rsidRPr="006E0270" w:rsidTr="00027ABA">
        <w:trPr>
          <w:cantSplit/>
          <w:trHeight w:val="274"/>
        </w:trPr>
        <w:tc>
          <w:tcPr>
            <w:tcW w:w="2939" w:type="dxa"/>
            <w:vMerge w:val="restart"/>
            <w:tcBorders>
              <w:bottom w:val="nil"/>
              <w:right w:val="nil"/>
            </w:tcBorders>
            <w:vAlign w:val="center"/>
          </w:tcPr>
          <w:p w:rsidR="00027ABA" w:rsidRPr="006E0270" w:rsidRDefault="00027ABA" w:rsidP="00027ABA">
            <w:pPr>
              <w:pStyle w:val="Texttabulky"/>
              <w:jc w:val="center"/>
              <w:rPr>
                <w:rFonts w:asciiTheme="minorHAnsi" w:hAnsiTheme="minorHAnsi" w:cstheme="minorHAnsi"/>
                <w:color w:val="auto"/>
              </w:rPr>
            </w:pPr>
            <w:r w:rsidRPr="006E0270">
              <w:rPr>
                <w:rFonts w:asciiTheme="minorHAnsi" w:hAnsiTheme="minorHAnsi" w:cstheme="minorHAnsi"/>
                <w:color w:val="auto"/>
              </w:rPr>
              <w:t>ukazatel (celkový počet)</w:t>
            </w:r>
          </w:p>
        </w:tc>
        <w:tc>
          <w:tcPr>
            <w:tcW w:w="3256" w:type="dxa"/>
            <w:gridSpan w:val="2"/>
            <w:tcBorders>
              <w:top w:val="single" w:sz="12" w:space="0" w:color="auto"/>
              <w:left w:val="single" w:sz="12" w:space="0" w:color="auto"/>
              <w:bottom w:val="single" w:sz="4" w:space="0" w:color="auto"/>
              <w:right w:val="single" w:sz="4" w:space="0" w:color="auto"/>
            </w:tcBorders>
            <w:vAlign w:val="center"/>
          </w:tcPr>
          <w:p w:rsidR="00027ABA" w:rsidRPr="006E0270" w:rsidRDefault="00027ABA" w:rsidP="00027ABA">
            <w:pPr>
              <w:pStyle w:val="Texttabulky"/>
              <w:jc w:val="center"/>
              <w:rPr>
                <w:rFonts w:asciiTheme="minorHAnsi" w:hAnsiTheme="minorHAnsi" w:cstheme="minorHAnsi"/>
                <w:color w:val="auto"/>
              </w:rPr>
            </w:pPr>
            <w:r w:rsidRPr="006E0270">
              <w:rPr>
                <w:rFonts w:asciiTheme="minorHAnsi" w:hAnsiTheme="minorHAnsi" w:cstheme="minorHAnsi"/>
                <w:color w:val="auto"/>
              </w:rPr>
              <w:t>stav k</w:t>
            </w:r>
          </w:p>
        </w:tc>
        <w:tc>
          <w:tcPr>
            <w:tcW w:w="3169" w:type="dxa"/>
            <w:gridSpan w:val="2"/>
            <w:tcBorders>
              <w:top w:val="single" w:sz="12" w:space="0" w:color="auto"/>
              <w:left w:val="single" w:sz="4" w:space="0" w:color="auto"/>
              <w:bottom w:val="nil"/>
            </w:tcBorders>
            <w:vAlign w:val="center"/>
          </w:tcPr>
          <w:p w:rsidR="00027ABA" w:rsidRPr="006E0270" w:rsidRDefault="00027ABA" w:rsidP="00027ABA">
            <w:pPr>
              <w:pStyle w:val="Texttabulky"/>
              <w:jc w:val="center"/>
              <w:rPr>
                <w:rFonts w:asciiTheme="minorHAnsi" w:hAnsiTheme="minorHAnsi" w:cstheme="minorHAnsi"/>
                <w:color w:val="auto"/>
              </w:rPr>
            </w:pPr>
            <w:r>
              <w:rPr>
                <w:rFonts w:asciiTheme="minorHAnsi" w:hAnsiTheme="minorHAnsi" w:cstheme="minorHAnsi"/>
                <w:color w:val="auto"/>
              </w:rPr>
              <w:t>12/2014</w:t>
            </w:r>
            <w:r w:rsidRPr="006E0270">
              <w:rPr>
                <w:rFonts w:asciiTheme="minorHAnsi" w:hAnsiTheme="minorHAnsi" w:cstheme="minorHAnsi"/>
                <w:color w:val="auto"/>
              </w:rPr>
              <w:t xml:space="preserve"> - 12/201</w:t>
            </w:r>
            <w:r>
              <w:rPr>
                <w:rFonts w:asciiTheme="minorHAnsi" w:hAnsiTheme="minorHAnsi" w:cstheme="minorHAnsi"/>
                <w:color w:val="auto"/>
              </w:rPr>
              <w:t>3</w:t>
            </w:r>
          </w:p>
        </w:tc>
      </w:tr>
      <w:tr w:rsidR="00027ABA" w:rsidRPr="006E0270" w:rsidTr="00027ABA">
        <w:trPr>
          <w:cantSplit/>
          <w:trHeight w:val="146"/>
        </w:trPr>
        <w:tc>
          <w:tcPr>
            <w:tcW w:w="2939" w:type="dxa"/>
            <w:vMerge/>
            <w:tcBorders>
              <w:bottom w:val="single" w:sz="12" w:space="0" w:color="auto"/>
              <w:right w:val="nil"/>
            </w:tcBorders>
            <w:vAlign w:val="center"/>
          </w:tcPr>
          <w:p w:rsidR="00027ABA" w:rsidRPr="006E0270" w:rsidRDefault="00027ABA" w:rsidP="00027ABA">
            <w:pPr>
              <w:pStyle w:val="Texttabulky"/>
              <w:jc w:val="center"/>
              <w:rPr>
                <w:rFonts w:asciiTheme="minorHAnsi" w:hAnsiTheme="minorHAnsi" w:cstheme="minorHAnsi"/>
                <w:color w:val="auto"/>
              </w:rPr>
            </w:pPr>
          </w:p>
        </w:tc>
        <w:tc>
          <w:tcPr>
            <w:tcW w:w="1606" w:type="dxa"/>
            <w:tcBorders>
              <w:top w:val="nil"/>
              <w:left w:val="single" w:sz="12" w:space="0" w:color="auto"/>
              <w:bottom w:val="single" w:sz="12" w:space="0" w:color="auto"/>
            </w:tcBorders>
            <w:vAlign w:val="center"/>
          </w:tcPr>
          <w:p w:rsidR="00027ABA" w:rsidRPr="006E0270" w:rsidRDefault="00027ABA" w:rsidP="00027ABA">
            <w:pPr>
              <w:pStyle w:val="Texttabulky"/>
              <w:jc w:val="center"/>
              <w:rPr>
                <w:rFonts w:asciiTheme="minorHAnsi" w:hAnsiTheme="minorHAnsi" w:cstheme="minorHAnsi"/>
                <w:color w:val="auto"/>
                <w:szCs w:val="24"/>
              </w:rPr>
            </w:pPr>
            <w:r w:rsidRPr="006E0270">
              <w:rPr>
                <w:rFonts w:asciiTheme="minorHAnsi" w:hAnsiTheme="minorHAnsi" w:cstheme="minorHAnsi"/>
                <w:color w:val="auto"/>
                <w:szCs w:val="24"/>
              </w:rPr>
              <w:t>31.12.201</w:t>
            </w:r>
            <w:r>
              <w:rPr>
                <w:rFonts w:asciiTheme="minorHAnsi" w:hAnsiTheme="minorHAnsi" w:cstheme="minorHAnsi"/>
                <w:color w:val="auto"/>
                <w:szCs w:val="24"/>
              </w:rPr>
              <w:t>3</w:t>
            </w:r>
          </w:p>
        </w:tc>
        <w:tc>
          <w:tcPr>
            <w:tcW w:w="1650" w:type="dxa"/>
            <w:tcBorders>
              <w:top w:val="nil"/>
              <w:bottom w:val="single" w:sz="12" w:space="0" w:color="auto"/>
              <w:right w:val="single" w:sz="4" w:space="0" w:color="auto"/>
            </w:tcBorders>
            <w:vAlign w:val="center"/>
          </w:tcPr>
          <w:p w:rsidR="00027ABA" w:rsidRPr="006E0270" w:rsidRDefault="00027ABA" w:rsidP="00027ABA">
            <w:pPr>
              <w:pStyle w:val="Texttabulky"/>
              <w:jc w:val="center"/>
              <w:rPr>
                <w:rFonts w:asciiTheme="minorHAnsi" w:hAnsiTheme="minorHAnsi" w:cstheme="minorHAnsi"/>
                <w:color w:val="auto"/>
                <w:szCs w:val="24"/>
              </w:rPr>
            </w:pPr>
            <w:r w:rsidRPr="006E0270">
              <w:rPr>
                <w:rFonts w:asciiTheme="minorHAnsi" w:hAnsiTheme="minorHAnsi" w:cstheme="minorHAnsi"/>
                <w:color w:val="auto"/>
                <w:szCs w:val="24"/>
              </w:rPr>
              <w:t>31.12.201</w:t>
            </w:r>
            <w:r>
              <w:rPr>
                <w:rFonts w:asciiTheme="minorHAnsi" w:hAnsiTheme="minorHAnsi" w:cstheme="minorHAnsi"/>
                <w:color w:val="auto"/>
                <w:szCs w:val="24"/>
              </w:rPr>
              <w:t>4</w:t>
            </w:r>
          </w:p>
        </w:tc>
        <w:tc>
          <w:tcPr>
            <w:tcW w:w="1562" w:type="dxa"/>
            <w:tcBorders>
              <w:top w:val="single" w:sz="6" w:space="0" w:color="auto"/>
              <w:left w:val="single" w:sz="4" w:space="0" w:color="auto"/>
              <w:bottom w:val="single" w:sz="12" w:space="0" w:color="auto"/>
            </w:tcBorders>
            <w:vAlign w:val="center"/>
          </w:tcPr>
          <w:p w:rsidR="00027ABA" w:rsidRPr="006E0270" w:rsidRDefault="00027ABA" w:rsidP="00027ABA">
            <w:pPr>
              <w:pStyle w:val="Texttabulky"/>
              <w:jc w:val="center"/>
              <w:rPr>
                <w:rFonts w:asciiTheme="minorHAnsi" w:hAnsiTheme="minorHAnsi" w:cstheme="minorHAnsi"/>
                <w:color w:val="auto"/>
                <w:szCs w:val="24"/>
              </w:rPr>
            </w:pPr>
            <w:r w:rsidRPr="006E0270">
              <w:rPr>
                <w:rFonts w:asciiTheme="minorHAnsi" w:hAnsiTheme="minorHAnsi" w:cstheme="minorHAnsi"/>
                <w:color w:val="auto"/>
                <w:szCs w:val="24"/>
              </w:rPr>
              <w:t>absolutně</w:t>
            </w:r>
          </w:p>
        </w:tc>
        <w:tc>
          <w:tcPr>
            <w:tcW w:w="1607" w:type="dxa"/>
            <w:tcBorders>
              <w:top w:val="single" w:sz="6" w:space="0" w:color="auto"/>
              <w:bottom w:val="single" w:sz="12" w:space="0" w:color="auto"/>
            </w:tcBorders>
            <w:vAlign w:val="center"/>
          </w:tcPr>
          <w:p w:rsidR="00027ABA" w:rsidRPr="006E0270" w:rsidRDefault="00027ABA" w:rsidP="00027ABA">
            <w:pPr>
              <w:pStyle w:val="Texttabulky"/>
              <w:jc w:val="center"/>
              <w:rPr>
                <w:rFonts w:asciiTheme="minorHAnsi" w:hAnsiTheme="minorHAnsi" w:cstheme="minorHAnsi"/>
                <w:color w:val="auto"/>
                <w:szCs w:val="24"/>
              </w:rPr>
            </w:pPr>
            <w:r w:rsidRPr="006E0270">
              <w:rPr>
                <w:rFonts w:asciiTheme="minorHAnsi" w:hAnsiTheme="minorHAnsi" w:cstheme="minorHAnsi"/>
                <w:color w:val="auto"/>
                <w:szCs w:val="24"/>
              </w:rPr>
              <w:t>v %</w:t>
            </w:r>
          </w:p>
        </w:tc>
      </w:tr>
      <w:tr w:rsidR="00027ABA" w:rsidRPr="006E0270" w:rsidTr="00027ABA">
        <w:trPr>
          <w:trHeight w:val="274"/>
        </w:trPr>
        <w:tc>
          <w:tcPr>
            <w:tcW w:w="2939" w:type="dxa"/>
            <w:tcBorders>
              <w:top w:val="single" w:sz="12" w:space="0" w:color="auto"/>
              <w:bottom w:val="single" w:sz="4" w:space="0" w:color="auto"/>
              <w:right w:val="nil"/>
            </w:tcBorders>
          </w:tcPr>
          <w:p w:rsidR="00027ABA" w:rsidRPr="006E0270" w:rsidRDefault="00027ABA" w:rsidP="00027ABA">
            <w:pPr>
              <w:pStyle w:val="Texttabulky"/>
              <w:ind w:firstLine="56"/>
              <w:rPr>
                <w:rFonts w:asciiTheme="minorHAnsi" w:hAnsiTheme="minorHAnsi" w:cstheme="minorHAnsi"/>
                <w:color w:val="auto"/>
              </w:rPr>
            </w:pPr>
            <w:r w:rsidRPr="006E0270">
              <w:rPr>
                <w:rFonts w:asciiTheme="minorHAnsi" w:hAnsiTheme="minorHAnsi" w:cstheme="minorHAnsi"/>
                <w:color w:val="auto"/>
              </w:rPr>
              <w:t>OSVČ vykonávající činnost</w:t>
            </w:r>
          </w:p>
        </w:tc>
        <w:tc>
          <w:tcPr>
            <w:tcW w:w="1606" w:type="dxa"/>
            <w:tcBorders>
              <w:top w:val="single" w:sz="12" w:space="0" w:color="auto"/>
              <w:left w:val="single" w:sz="12" w:space="0" w:color="auto"/>
              <w:bottom w:val="single" w:sz="4" w:space="0" w:color="auto"/>
            </w:tcBorders>
            <w:vAlign w:val="center"/>
          </w:tcPr>
          <w:p w:rsidR="00027ABA" w:rsidRPr="006E0270" w:rsidRDefault="00027ABA" w:rsidP="00027ABA">
            <w:pPr>
              <w:jc w:val="center"/>
              <w:rPr>
                <w:rFonts w:asciiTheme="minorHAnsi" w:hAnsiTheme="minorHAnsi" w:cstheme="minorHAnsi"/>
                <w:sz w:val="24"/>
                <w:szCs w:val="24"/>
              </w:rPr>
            </w:pPr>
            <w:r w:rsidRPr="006E0270">
              <w:rPr>
                <w:rFonts w:asciiTheme="minorHAnsi" w:hAnsiTheme="minorHAnsi" w:cstheme="minorHAnsi"/>
                <w:sz w:val="24"/>
                <w:szCs w:val="24"/>
              </w:rPr>
              <w:t>89 607</w:t>
            </w:r>
          </w:p>
        </w:tc>
        <w:tc>
          <w:tcPr>
            <w:tcW w:w="1650" w:type="dxa"/>
            <w:tcBorders>
              <w:top w:val="single" w:sz="12" w:space="0" w:color="auto"/>
              <w:bottom w:val="single" w:sz="4" w:space="0" w:color="auto"/>
            </w:tcBorders>
            <w:vAlign w:val="center"/>
          </w:tcPr>
          <w:p w:rsidR="00027ABA" w:rsidRPr="006E0270" w:rsidRDefault="00027ABA" w:rsidP="00027ABA">
            <w:pPr>
              <w:jc w:val="center"/>
              <w:rPr>
                <w:rFonts w:asciiTheme="minorHAnsi" w:hAnsiTheme="minorHAnsi" w:cstheme="minorHAnsi"/>
                <w:sz w:val="24"/>
                <w:szCs w:val="24"/>
              </w:rPr>
            </w:pPr>
            <w:r>
              <w:rPr>
                <w:rFonts w:asciiTheme="minorHAnsi" w:hAnsiTheme="minorHAnsi" w:cstheme="minorHAnsi"/>
                <w:sz w:val="24"/>
                <w:szCs w:val="24"/>
              </w:rPr>
              <w:t>87 560</w:t>
            </w:r>
          </w:p>
        </w:tc>
        <w:tc>
          <w:tcPr>
            <w:tcW w:w="1562" w:type="dxa"/>
            <w:tcBorders>
              <w:top w:val="single" w:sz="12" w:space="0" w:color="auto"/>
              <w:bottom w:val="single" w:sz="4" w:space="0" w:color="auto"/>
            </w:tcBorders>
            <w:vAlign w:val="center"/>
          </w:tcPr>
          <w:p w:rsidR="00027ABA" w:rsidRPr="006E0270"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-2 047</w:t>
            </w:r>
          </w:p>
        </w:tc>
        <w:tc>
          <w:tcPr>
            <w:tcW w:w="1607" w:type="dxa"/>
            <w:tcBorders>
              <w:top w:val="single" w:sz="12" w:space="0" w:color="auto"/>
              <w:left w:val="nil"/>
              <w:bottom w:val="single" w:sz="4" w:space="0" w:color="auto"/>
            </w:tcBorders>
            <w:vAlign w:val="center"/>
          </w:tcPr>
          <w:p w:rsidR="00027ABA" w:rsidRPr="006E0270" w:rsidRDefault="00027ABA" w:rsidP="00027ABA">
            <w:pPr>
              <w:pStyle w:val="Texttabulky"/>
              <w:jc w:val="center"/>
              <w:rPr>
                <w:rFonts w:asciiTheme="minorHAnsi" w:hAnsiTheme="minorHAnsi" w:cstheme="minorHAnsi"/>
                <w:color w:val="auto"/>
                <w:szCs w:val="24"/>
              </w:rPr>
            </w:pPr>
            <w:r>
              <w:rPr>
                <w:rFonts w:asciiTheme="minorHAnsi" w:hAnsiTheme="minorHAnsi" w:cstheme="minorHAnsi"/>
                <w:color w:val="auto"/>
                <w:szCs w:val="24"/>
              </w:rPr>
              <w:t>-2,3</w:t>
            </w:r>
          </w:p>
        </w:tc>
      </w:tr>
      <w:tr w:rsidR="00027ABA" w:rsidRPr="006E0270" w:rsidTr="00027ABA">
        <w:trPr>
          <w:trHeight w:val="274"/>
        </w:trPr>
        <w:tc>
          <w:tcPr>
            <w:tcW w:w="2939" w:type="dxa"/>
            <w:tcBorders>
              <w:top w:val="single" w:sz="4" w:space="0" w:color="auto"/>
              <w:right w:val="nil"/>
            </w:tcBorders>
          </w:tcPr>
          <w:p w:rsidR="00027ABA" w:rsidRPr="006E0270" w:rsidRDefault="00027ABA" w:rsidP="00027ABA">
            <w:pPr>
              <w:pStyle w:val="Texttabulky"/>
              <w:ind w:firstLine="56"/>
              <w:rPr>
                <w:rFonts w:asciiTheme="minorHAnsi" w:hAnsiTheme="minorHAnsi" w:cstheme="minorHAnsi"/>
                <w:color w:val="auto"/>
              </w:rPr>
            </w:pPr>
            <w:r w:rsidRPr="006E0270">
              <w:rPr>
                <w:rFonts w:asciiTheme="minorHAnsi" w:hAnsiTheme="minorHAnsi" w:cstheme="minorHAnsi"/>
                <w:color w:val="auto"/>
              </w:rPr>
              <w:t>z toho - hlavní</w:t>
            </w:r>
          </w:p>
        </w:tc>
        <w:tc>
          <w:tcPr>
            <w:tcW w:w="1606" w:type="dxa"/>
            <w:tcBorders>
              <w:top w:val="single" w:sz="4" w:space="0" w:color="auto"/>
              <w:left w:val="single" w:sz="12" w:space="0" w:color="auto"/>
              <w:bottom w:val="single" w:sz="6" w:space="0" w:color="auto"/>
            </w:tcBorders>
            <w:vAlign w:val="center"/>
          </w:tcPr>
          <w:p w:rsidR="00027ABA" w:rsidRPr="006E0270" w:rsidRDefault="00027ABA" w:rsidP="00027ABA">
            <w:pPr>
              <w:jc w:val="center"/>
              <w:rPr>
                <w:rFonts w:asciiTheme="minorHAnsi" w:hAnsiTheme="minorHAnsi" w:cstheme="minorHAnsi"/>
                <w:sz w:val="24"/>
                <w:szCs w:val="24"/>
              </w:rPr>
            </w:pPr>
            <w:r w:rsidRPr="006E0270">
              <w:rPr>
                <w:rFonts w:asciiTheme="minorHAnsi" w:hAnsiTheme="minorHAnsi" w:cstheme="minorHAnsi"/>
                <w:sz w:val="24"/>
                <w:szCs w:val="24"/>
              </w:rPr>
              <w:t>53 466</w:t>
            </w:r>
          </w:p>
        </w:tc>
        <w:tc>
          <w:tcPr>
            <w:tcW w:w="1650" w:type="dxa"/>
            <w:tcBorders>
              <w:top w:val="single" w:sz="4" w:space="0" w:color="auto"/>
              <w:bottom w:val="single" w:sz="6" w:space="0" w:color="auto"/>
            </w:tcBorders>
            <w:vAlign w:val="center"/>
          </w:tcPr>
          <w:p w:rsidR="00027ABA" w:rsidRPr="006E0270" w:rsidRDefault="00027ABA" w:rsidP="00027ABA">
            <w:pPr>
              <w:jc w:val="center"/>
              <w:rPr>
                <w:rFonts w:asciiTheme="minorHAnsi" w:hAnsiTheme="minorHAnsi" w:cstheme="minorHAnsi"/>
                <w:sz w:val="24"/>
                <w:szCs w:val="24"/>
              </w:rPr>
            </w:pPr>
            <w:r>
              <w:rPr>
                <w:rFonts w:asciiTheme="minorHAnsi" w:hAnsiTheme="minorHAnsi" w:cstheme="minorHAnsi"/>
                <w:sz w:val="24"/>
                <w:szCs w:val="24"/>
              </w:rPr>
              <w:t>51 304</w:t>
            </w:r>
          </w:p>
        </w:tc>
        <w:tc>
          <w:tcPr>
            <w:tcW w:w="1562" w:type="dxa"/>
            <w:tcBorders>
              <w:top w:val="single" w:sz="4" w:space="0" w:color="auto"/>
              <w:bottom w:val="single" w:sz="6" w:space="0" w:color="auto"/>
            </w:tcBorders>
            <w:shd w:val="clear" w:color="auto" w:fill="FFFFFF"/>
            <w:vAlign w:val="center"/>
          </w:tcPr>
          <w:p w:rsidR="00027ABA" w:rsidRPr="006E0270"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-2 162</w:t>
            </w:r>
          </w:p>
        </w:tc>
        <w:tc>
          <w:tcPr>
            <w:tcW w:w="1607" w:type="dxa"/>
            <w:tcBorders>
              <w:top w:val="single" w:sz="4" w:space="0" w:color="auto"/>
              <w:left w:val="nil"/>
              <w:bottom w:val="single" w:sz="6" w:space="0" w:color="auto"/>
            </w:tcBorders>
            <w:shd w:val="clear" w:color="auto" w:fill="FFFFFF"/>
            <w:vAlign w:val="center"/>
          </w:tcPr>
          <w:p w:rsidR="00027ABA" w:rsidRPr="006E0270" w:rsidRDefault="00027ABA" w:rsidP="00027ABA">
            <w:pPr>
              <w:pStyle w:val="Textbubliny"/>
              <w:jc w:val="center"/>
              <w:rPr>
                <w:rFonts w:asciiTheme="minorHAnsi" w:hAnsiTheme="minorHAnsi" w:cstheme="minorHAnsi"/>
                <w:sz w:val="24"/>
                <w:szCs w:val="24"/>
              </w:rPr>
            </w:pPr>
            <w:r>
              <w:rPr>
                <w:rFonts w:asciiTheme="minorHAnsi" w:hAnsiTheme="minorHAnsi" w:cstheme="minorHAnsi"/>
                <w:sz w:val="24"/>
                <w:szCs w:val="24"/>
              </w:rPr>
              <w:t>-4,0</w:t>
            </w:r>
          </w:p>
        </w:tc>
      </w:tr>
      <w:tr w:rsidR="00027ABA" w:rsidRPr="006E0270" w:rsidTr="00027ABA">
        <w:trPr>
          <w:trHeight w:val="290"/>
        </w:trPr>
        <w:tc>
          <w:tcPr>
            <w:tcW w:w="2939" w:type="dxa"/>
            <w:tcBorders>
              <w:top w:val="nil"/>
              <w:right w:val="nil"/>
            </w:tcBorders>
          </w:tcPr>
          <w:p w:rsidR="00027ABA" w:rsidRPr="006E0270" w:rsidRDefault="00027ABA" w:rsidP="00027ABA">
            <w:pPr>
              <w:pStyle w:val="Texttabulky"/>
              <w:ind w:firstLine="56"/>
              <w:rPr>
                <w:rFonts w:asciiTheme="minorHAnsi" w:hAnsiTheme="minorHAnsi" w:cstheme="minorHAnsi"/>
                <w:color w:val="auto"/>
              </w:rPr>
            </w:pPr>
            <w:r w:rsidRPr="006E0270">
              <w:rPr>
                <w:rFonts w:asciiTheme="minorHAnsi" w:hAnsiTheme="minorHAnsi" w:cstheme="minorHAnsi"/>
                <w:color w:val="auto"/>
              </w:rPr>
              <w:t xml:space="preserve">           - vedlejší</w:t>
            </w:r>
          </w:p>
        </w:tc>
        <w:tc>
          <w:tcPr>
            <w:tcW w:w="1606" w:type="dxa"/>
            <w:tcBorders>
              <w:top w:val="single" w:sz="6" w:space="0" w:color="auto"/>
              <w:left w:val="single" w:sz="12" w:space="0" w:color="auto"/>
              <w:bottom w:val="single" w:sz="6" w:space="0" w:color="auto"/>
            </w:tcBorders>
            <w:vAlign w:val="center"/>
          </w:tcPr>
          <w:p w:rsidR="00027ABA" w:rsidRPr="006E0270" w:rsidRDefault="00027ABA" w:rsidP="00027ABA">
            <w:pPr>
              <w:jc w:val="center"/>
              <w:rPr>
                <w:rFonts w:asciiTheme="minorHAnsi" w:hAnsiTheme="minorHAnsi" w:cstheme="minorHAnsi"/>
                <w:sz w:val="24"/>
                <w:szCs w:val="24"/>
              </w:rPr>
            </w:pPr>
            <w:r w:rsidRPr="006E0270">
              <w:rPr>
                <w:rFonts w:asciiTheme="minorHAnsi" w:hAnsiTheme="minorHAnsi" w:cstheme="minorHAnsi"/>
                <w:sz w:val="24"/>
                <w:szCs w:val="24"/>
              </w:rPr>
              <w:t>36 141</w:t>
            </w:r>
          </w:p>
        </w:tc>
        <w:tc>
          <w:tcPr>
            <w:tcW w:w="1650" w:type="dxa"/>
            <w:tcBorders>
              <w:top w:val="single" w:sz="6" w:space="0" w:color="auto"/>
              <w:bottom w:val="single" w:sz="6" w:space="0" w:color="auto"/>
            </w:tcBorders>
            <w:vAlign w:val="center"/>
          </w:tcPr>
          <w:p w:rsidR="00027ABA" w:rsidRPr="006E0270" w:rsidRDefault="00027ABA" w:rsidP="00027ABA">
            <w:pPr>
              <w:jc w:val="center"/>
              <w:rPr>
                <w:rFonts w:asciiTheme="minorHAnsi" w:hAnsiTheme="minorHAnsi" w:cstheme="minorHAnsi"/>
                <w:sz w:val="24"/>
                <w:szCs w:val="24"/>
              </w:rPr>
            </w:pPr>
            <w:r>
              <w:rPr>
                <w:rFonts w:asciiTheme="minorHAnsi" w:hAnsiTheme="minorHAnsi" w:cstheme="minorHAnsi"/>
                <w:sz w:val="24"/>
                <w:szCs w:val="24"/>
              </w:rPr>
              <w:t>36 256</w:t>
            </w:r>
          </w:p>
        </w:tc>
        <w:tc>
          <w:tcPr>
            <w:tcW w:w="1562" w:type="dxa"/>
            <w:tcBorders>
              <w:top w:val="single" w:sz="6" w:space="0" w:color="auto"/>
              <w:bottom w:val="single" w:sz="6" w:space="0" w:color="auto"/>
            </w:tcBorders>
            <w:shd w:val="clear" w:color="auto" w:fill="FFFFFF"/>
            <w:vAlign w:val="center"/>
          </w:tcPr>
          <w:p w:rsidR="00027ABA" w:rsidRPr="006E0270" w:rsidRDefault="00027ABA" w:rsidP="00027ABA">
            <w:pPr>
              <w:jc w:val="center"/>
              <w:rPr>
                <w:rFonts w:asciiTheme="minorHAnsi" w:hAnsiTheme="minorHAnsi" w:cstheme="minorHAnsi"/>
                <w:bCs/>
                <w:sz w:val="24"/>
                <w:szCs w:val="24"/>
              </w:rPr>
            </w:pPr>
            <w:r>
              <w:rPr>
                <w:rFonts w:asciiTheme="minorHAnsi" w:hAnsiTheme="minorHAnsi" w:cstheme="minorHAnsi"/>
                <w:bCs/>
                <w:sz w:val="24"/>
                <w:szCs w:val="24"/>
              </w:rPr>
              <w:t>+115</w:t>
            </w:r>
          </w:p>
        </w:tc>
        <w:tc>
          <w:tcPr>
            <w:tcW w:w="1607" w:type="dxa"/>
            <w:tcBorders>
              <w:top w:val="single" w:sz="6" w:space="0" w:color="auto"/>
              <w:left w:val="nil"/>
              <w:bottom w:val="single" w:sz="6" w:space="0" w:color="auto"/>
            </w:tcBorders>
            <w:shd w:val="clear" w:color="auto" w:fill="FFFFFF"/>
            <w:vAlign w:val="center"/>
          </w:tcPr>
          <w:p w:rsidR="00027ABA" w:rsidRPr="006E0270" w:rsidRDefault="00027ABA" w:rsidP="00027ABA">
            <w:pPr>
              <w:pStyle w:val="Textbubliny"/>
              <w:jc w:val="center"/>
              <w:rPr>
                <w:rFonts w:asciiTheme="minorHAnsi" w:hAnsiTheme="minorHAnsi" w:cstheme="minorHAnsi"/>
                <w:sz w:val="24"/>
                <w:szCs w:val="24"/>
              </w:rPr>
            </w:pPr>
            <w:r>
              <w:rPr>
                <w:rFonts w:asciiTheme="minorHAnsi" w:hAnsiTheme="minorHAnsi" w:cstheme="minorHAnsi"/>
                <w:sz w:val="24"/>
                <w:szCs w:val="24"/>
              </w:rPr>
              <w:t>+0,3</w:t>
            </w:r>
          </w:p>
        </w:tc>
      </w:tr>
      <w:tr w:rsidR="00027ABA" w:rsidRPr="006E0270" w:rsidTr="00027ABA">
        <w:trPr>
          <w:trHeight w:val="274"/>
        </w:trPr>
        <w:tc>
          <w:tcPr>
            <w:tcW w:w="2939" w:type="dxa"/>
            <w:tcBorders>
              <w:top w:val="nil"/>
              <w:right w:val="nil"/>
            </w:tcBorders>
          </w:tcPr>
          <w:p w:rsidR="00027ABA" w:rsidRPr="006E0270" w:rsidRDefault="00027ABA" w:rsidP="00027ABA">
            <w:pPr>
              <w:pStyle w:val="Texttabulky"/>
              <w:ind w:firstLine="56"/>
              <w:rPr>
                <w:rFonts w:asciiTheme="minorHAnsi" w:hAnsiTheme="minorHAnsi" w:cstheme="minorHAnsi"/>
                <w:color w:val="auto"/>
              </w:rPr>
            </w:pPr>
            <w:r w:rsidRPr="006E0270">
              <w:rPr>
                <w:rFonts w:asciiTheme="minorHAnsi" w:hAnsiTheme="minorHAnsi" w:cstheme="minorHAnsi"/>
                <w:color w:val="auto"/>
              </w:rPr>
              <w:t>OSVČ - pojištěnci</w:t>
            </w:r>
          </w:p>
        </w:tc>
        <w:tc>
          <w:tcPr>
            <w:tcW w:w="1606" w:type="dxa"/>
            <w:tcBorders>
              <w:top w:val="single" w:sz="6" w:space="0" w:color="auto"/>
              <w:left w:val="single" w:sz="12" w:space="0" w:color="auto"/>
              <w:bottom w:val="single" w:sz="12" w:space="0" w:color="auto"/>
            </w:tcBorders>
            <w:vAlign w:val="center"/>
          </w:tcPr>
          <w:p w:rsidR="00027ABA" w:rsidRPr="006E0270" w:rsidRDefault="00027ABA" w:rsidP="00027ABA">
            <w:pPr>
              <w:jc w:val="center"/>
              <w:rPr>
                <w:rFonts w:asciiTheme="minorHAnsi" w:hAnsiTheme="minorHAnsi" w:cstheme="minorHAnsi"/>
                <w:sz w:val="24"/>
                <w:szCs w:val="24"/>
              </w:rPr>
            </w:pPr>
            <w:r w:rsidRPr="006E0270">
              <w:rPr>
                <w:rFonts w:asciiTheme="minorHAnsi" w:hAnsiTheme="minorHAnsi" w:cstheme="minorHAnsi"/>
                <w:sz w:val="24"/>
                <w:szCs w:val="24"/>
              </w:rPr>
              <w:t>60 454</w:t>
            </w:r>
          </w:p>
        </w:tc>
        <w:tc>
          <w:tcPr>
            <w:tcW w:w="1650" w:type="dxa"/>
            <w:tcBorders>
              <w:top w:val="single" w:sz="6" w:space="0" w:color="auto"/>
              <w:bottom w:val="single" w:sz="12" w:space="0" w:color="auto"/>
            </w:tcBorders>
            <w:vAlign w:val="center"/>
          </w:tcPr>
          <w:p w:rsidR="00027ABA" w:rsidRPr="006E0270" w:rsidRDefault="00027ABA" w:rsidP="00027ABA">
            <w:pPr>
              <w:jc w:val="center"/>
              <w:rPr>
                <w:rFonts w:asciiTheme="minorHAnsi" w:hAnsiTheme="minorHAnsi" w:cstheme="minorHAnsi"/>
                <w:sz w:val="24"/>
                <w:szCs w:val="24"/>
              </w:rPr>
            </w:pPr>
            <w:r>
              <w:rPr>
                <w:rFonts w:asciiTheme="minorHAnsi" w:hAnsiTheme="minorHAnsi" w:cstheme="minorHAnsi"/>
                <w:sz w:val="24"/>
                <w:szCs w:val="24"/>
              </w:rPr>
              <w:t>58 440</w:t>
            </w:r>
          </w:p>
        </w:tc>
        <w:tc>
          <w:tcPr>
            <w:tcW w:w="1562" w:type="dxa"/>
            <w:tcBorders>
              <w:top w:val="single" w:sz="6" w:space="0" w:color="auto"/>
            </w:tcBorders>
            <w:vAlign w:val="center"/>
          </w:tcPr>
          <w:p w:rsidR="00027ABA" w:rsidRPr="006E0270" w:rsidRDefault="00027ABA" w:rsidP="00027ABA">
            <w:pPr>
              <w:pStyle w:val="Textbubliny"/>
              <w:jc w:val="center"/>
              <w:rPr>
                <w:rFonts w:asciiTheme="minorHAnsi" w:hAnsiTheme="minorHAnsi" w:cstheme="minorHAnsi"/>
                <w:sz w:val="24"/>
                <w:szCs w:val="24"/>
              </w:rPr>
            </w:pPr>
            <w:r>
              <w:rPr>
                <w:rFonts w:asciiTheme="minorHAnsi" w:hAnsiTheme="minorHAnsi" w:cstheme="minorHAnsi"/>
                <w:sz w:val="24"/>
                <w:szCs w:val="24"/>
              </w:rPr>
              <w:t>-2 014</w:t>
            </w:r>
          </w:p>
        </w:tc>
        <w:tc>
          <w:tcPr>
            <w:tcW w:w="1607" w:type="dxa"/>
            <w:tcBorders>
              <w:top w:val="single" w:sz="6" w:space="0" w:color="auto"/>
              <w:left w:val="nil"/>
            </w:tcBorders>
            <w:vAlign w:val="center"/>
          </w:tcPr>
          <w:p w:rsidR="00027ABA" w:rsidRPr="006E0270" w:rsidRDefault="00027ABA" w:rsidP="00027ABA">
            <w:pPr>
              <w:pStyle w:val="Textbubliny"/>
              <w:jc w:val="center"/>
              <w:rPr>
                <w:rFonts w:asciiTheme="minorHAnsi" w:hAnsiTheme="minorHAnsi" w:cstheme="minorHAnsi"/>
                <w:sz w:val="24"/>
                <w:szCs w:val="24"/>
              </w:rPr>
            </w:pPr>
            <w:r>
              <w:rPr>
                <w:rFonts w:asciiTheme="minorHAnsi" w:hAnsiTheme="minorHAnsi" w:cstheme="minorHAnsi"/>
                <w:sz w:val="24"/>
                <w:szCs w:val="24"/>
              </w:rPr>
              <w:t>-3,3</w:t>
            </w:r>
          </w:p>
        </w:tc>
      </w:tr>
    </w:tbl>
    <w:p w:rsidR="00027ABA" w:rsidRPr="006E0270" w:rsidRDefault="00027ABA" w:rsidP="00027ABA">
      <w:pPr>
        <w:pStyle w:val="dka"/>
        <w:rPr>
          <w:rFonts w:asciiTheme="minorHAnsi" w:hAnsiTheme="minorHAnsi" w:cstheme="minorHAnsi"/>
          <w:b/>
          <w:color w:val="auto"/>
        </w:rPr>
      </w:pPr>
    </w:p>
    <w:p w:rsidR="00027ABA" w:rsidRPr="006E0270" w:rsidRDefault="00027ABA" w:rsidP="00027ABA">
      <w:pPr>
        <w:pStyle w:val="Zkladntext"/>
        <w:spacing w:after="0"/>
        <w:ind w:firstLine="720"/>
        <w:jc w:val="both"/>
        <w:rPr>
          <w:rFonts w:asciiTheme="minorHAnsi" w:hAnsiTheme="minorHAnsi" w:cstheme="minorHAnsi"/>
          <w:sz w:val="24"/>
          <w:szCs w:val="24"/>
        </w:rPr>
      </w:pPr>
      <w:r>
        <w:rPr>
          <w:rFonts w:asciiTheme="minorHAnsi" w:hAnsiTheme="minorHAnsi" w:cstheme="minorHAnsi"/>
          <w:sz w:val="24"/>
          <w:szCs w:val="24"/>
        </w:rPr>
        <w:t>K 31.12.2014 registrovala ČSSZ celkem 87 560</w:t>
      </w:r>
      <w:r w:rsidRPr="006E0270">
        <w:rPr>
          <w:rFonts w:asciiTheme="minorHAnsi" w:hAnsiTheme="minorHAnsi" w:cstheme="minorHAnsi"/>
          <w:sz w:val="24"/>
          <w:szCs w:val="24"/>
        </w:rPr>
        <w:t xml:space="preserve"> osob vykonávajících samostatnou výdělečnou činnost. Nejvyšší počet OSVČ byl v Moravskoslezském kraji zaznamenán v polovině roku 2011. Od té doby má s výjimkou pololetních hodnot sestupnou tendenci; k jejímu určitému zmírnění dochází průběžně díky </w:t>
      </w:r>
      <w:r>
        <w:rPr>
          <w:rFonts w:asciiTheme="minorHAnsi" w:hAnsiTheme="minorHAnsi" w:cstheme="minorHAnsi"/>
          <w:sz w:val="24"/>
          <w:szCs w:val="24"/>
        </w:rPr>
        <w:t xml:space="preserve">realizaci nástrojů a opatření aktivní politiky zaměstnanosti, tj. finanční podpoře nezaměstnaných, kteří se rozhodli své vhodné pracovní uplatnění řešit zahájením výkonu </w:t>
      </w:r>
      <w:r w:rsidRPr="006E0270">
        <w:rPr>
          <w:rFonts w:asciiTheme="minorHAnsi" w:hAnsiTheme="minorHAnsi" w:cstheme="minorHAnsi"/>
          <w:sz w:val="24"/>
          <w:szCs w:val="24"/>
        </w:rPr>
        <w:t>SVČ. Ročně se tak jedná o stovky osob.</w:t>
      </w:r>
    </w:p>
    <w:p w:rsidR="00027ABA" w:rsidRPr="006E0270" w:rsidRDefault="00027ABA" w:rsidP="00027ABA">
      <w:pPr>
        <w:pStyle w:val="Zkladntext"/>
        <w:spacing w:after="0"/>
        <w:ind w:firstLine="720"/>
        <w:jc w:val="both"/>
        <w:rPr>
          <w:rFonts w:asciiTheme="minorHAnsi" w:hAnsiTheme="minorHAnsi" w:cstheme="minorHAnsi"/>
          <w:sz w:val="24"/>
          <w:szCs w:val="24"/>
        </w:rPr>
      </w:pPr>
      <w:r w:rsidRPr="006E0270">
        <w:rPr>
          <w:rFonts w:asciiTheme="minorHAnsi" w:hAnsiTheme="minorHAnsi" w:cstheme="minorHAnsi"/>
          <w:sz w:val="24"/>
          <w:szCs w:val="24"/>
        </w:rPr>
        <w:t>Z celkového prosincového počtu osob vykonávajících samostatno</w:t>
      </w:r>
      <w:r>
        <w:rPr>
          <w:rFonts w:asciiTheme="minorHAnsi" w:hAnsiTheme="minorHAnsi" w:cstheme="minorHAnsi"/>
          <w:sz w:val="24"/>
          <w:szCs w:val="24"/>
        </w:rPr>
        <w:t>u výdělečnou činnost se u 51 304</w:t>
      </w:r>
      <w:r w:rsidRPr="006E0270">
        <w:rPr>
          <w:rFonts w:asciiTheme="minorHAnsi" w:hAnsiTheme="minorHAnsi" w:cstheme="minorHAnsi"/>
          <w:sz w:val="24"/>
          <w:szCs w:val="24"/>
        </w:rPr>
        <w:t xml:space="preserve"> (5</w:t>
      </w:r>
      <w:r>
        <w:rPr>
          <w:rFonts w:asciiTheme="minorHAnsi" w:hAnsiTheme="minorHAnsi" w:cstheme="minorHAnsi"/>
          <w:sz w:val="24"/>
          <w:szCs w:val="24"/>
        </w:rPr>
        <w:t>8,6</w:t>
      </w:r>
      <w:r w:rsidRPr="006E0270">
        <w:rPr>
          <w:rFonts w:asciiTheme="minorHAnsi" w:hAnsiTheme="minorHAnsi" w:cstheme="minorHAnsi"/>
          <w:sz w:val="24"/>
          <w:szCs w:val="24"/>
        </w:rPr>
        <w:t xml:space="preserve"> %) z nich jednalo o hl</w:t>
      </w:r>
      <w:r>
        <w:rPr>
          <w:rFonts w:asciiTheme="minorHAnsi" w:hAnsiTheme="minorHAnsi" w:cstheme="minorHAnsi"/>
          <w:sz w:val="24"/>
          <w:szCs w:val="24"/>
        </w:rPr>
        <w:t>avní pracovní činnost a u 36 256 (41,4</w:t>
      </w:r>
      <w:r w:rsidRPr="006E0270">
        <w:rPr>
          <w:rFonts w:asciiTheme="minorHAnsi" w:hAnsiTheme="minorHAnsi" w:cstheme="minorHAnsi"/>
          <w:sz w:val="24"/>
          <w:szCs w:val="24"/>
        </w:rPr>
        <w:t xml:space="preserve"> %) o činnost vedlejší. Důchodově pojištěných živno</w:t>
      </w:r>
      <w:r>
        <w:rPr>
          <w:rFonts w:asciiTheme="minorHAnsi" w:hAnsiTheme="minorHAnsi" w:cstheme="minorHAnsi"/>
          <w:sz w:val="24"/>
          <w:szCs w:val="24"/>
        </w:rPr>
        <w:t>stníků v roce 2014 v MSK meziročně ubylo 2 014</w:t>
      </w:r>
      <w:r w:rsidRPr="006E0270">
        <w:rPr>
          <w:rFonts w:asciiTheme="minorHAnsi" w:hAnsiTheme="minorHAnsi" w:cstheme="minorHAnsi"/>
          <w:sz w:val="24"/>
          <w:szCs w:val="24"/>
        </w:rPr>
        <w:t>.</w:t>
      </w: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Default="00027ABA" w:rsidP="00027ABA">
      <w:pPr>
        <w:pStyle w:val="Zkladntextodsazen"/>
        <w:ind w:firstLine="0"/>
        <w:rPr>
          <w:rFonts w:asciiTheme="minorHAnsi" w:hAnsiTheme="minorHAnsi" w:cstheme="minorHAnsi"/>
        </w:rPr>
      </w:pPr>
    </w:p>
    <w:p w:rsidR="00027ABA" w:rsidRPr="006E0270" w:rsidRDefault="00027ABA" w:rsidP="00027ABA">
      <w:pPr>
        <w:pStyle w:val="Zkladntextodsazen"/>
        <w:ind w:firstLine="0"/>
        <w:rPr>
          <w:rFonts w:asciiTheme="minorHAnsi" w:hAnsiTheme="minorHAnsi" w:cstheme="minorHAnsi"/>
        </w:rPr>
      </w:pPr>
    </w:p>
    <w:p w:rsidR="00027ABA" w:rsidRDefault="00027ABA" w:rsidP="00027ABA">
      <w:pPr>
        <w:pStyle w:val="dka"/>
        <w:jc w:val="both"/>
        <w:rPr>
          <w:color w:val="auto"/>
        </w:rPr>
      </w:pPr>
      <w:r>
        <w:rPr>
          <w:rFonts w:asciiTheme="minorHAnsi" w:hAnsiTheme="minorHAnsi" w:cstheme="minorHAnsi"/>
          <w:b/>
          <w:noProof/>
          <w:snapToGrid/>
          <w:color w:val="auto"/>
        </w:rPr>
        <w:drawing>
          <wp:anchor distT="0" distB="0" distL="114300" distR="114300" simplePos="0" relativeHeight="251667456" behindDoc="1" locked="0" layoutInCell="1" allowOverlap="1">
            <wp:simplePos x="0" y="0"/>
            <wp:positionH relativeFrom="column">
              <wp:posOffset>-138430</wp:posOffset>
            </wp:positionH>
            <wp:positionV relativeFrom="paragraph">
              <wp:posOffset>241935</wp:posOffset>
            </wp:positionV>
            <wp:extent cx="6115050" cy="3743325"/>
            <wp:effectExtent l="19050" t="0" r="0" b="0"/>
            <wp:wrapTight wrapText="bothSides">
              <wp:wrapPolygon edited="0">
                <wp:start x="-67" y="0"/>
                <wp:lineTo x="-67" y="21545"/>
                <wp:lineTo x="21600" y="21545"/>
                <wp:lineTo x="21600" y="0"/>
                <wp:lineTo x="-67" y="0"/>
              </wp:wrapPolygon>
            </wp:wrapTight>
            <wp:docPr id="1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15050" cy="3743325"/>
                    </a:xfrm>
                    <a:prstGeom prst="rect">
                      <a:avLst/>
                    </a:prstGeom>
                    <a:noFill/>
                    <a:ln w="9525">
                      <a:noFill/>
                      <a:miter lim="800000"/>
                      <a:headEnd/>
                      <a:tailEnd/>
                    </a:ln>
                  </pic:spPr>
                </pic:pic>
              </a:graphicData>
            </a:graphic>
          </wp:anchor>
        </w:drawing>
      </w:r>
      <w:r w:rsidRPr="006E0270">
        <w:rPr>
          <w:rFonts w:asciiTheme="minorHAnsi" w:hAnsiTheme="minorHAnsi" w:cstheme="minorHAnsi"/>
          <w:b/>
          <w:color w:val="auto"/>
        </w:rPr>
        <w:t>Graf II/2</w:t>
      </w:r>
      <w:r w:rsidRPr="006E0270">
        <w:rPr>
          <w:rFonts w:asciiTheme="minorHAnsi" w:hAnsiTheme="minorHAnsi" w:cstheme="minorHAnsi"/>
          <w:color w:val="auto"/>
        </w:rPr>
        <w:t xml:space="preserve"> - Vývoj počtu OSVČ v MSK od poloviny roku 2005</w:t>
      </w:r>
    </w:p>
    <w:p w:rsidR="00027ABA" w:rsidRPr="008A3A6D" w:rsidRDefault="00027ABA" w:rsidP="00027ABA">
      <w:pPr>
        <w:pStyle w:val="dka"/>
        <w:jc w:val="both"/>
        <w:rPr>
          <w:color w:val="auto"/>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Default="00027ABA" w:rsidP="00027ABA">
      <w:pPr>
        <w:pStyle w:val="Zkladntextodsazen"/>
        <w:ind w:firstLine="0"/>
        <w:rPr>
          <w:b/>
        </w:rPr>
      </w:pPr>
    </w:p>
    <w:p w:rsidR="00027ABA" w:rsidRPr="00AD2DBC" w:rsidRDefault="00027ABA" w:rsidP="00027ABA">
      <w:pPr>
        <w:pStyle w:val="Zkladntextodsazen"/>
        <w:ind w:firstLine="0"/>
        <w:rPr>
          <w:rFonts w:asciiTheme="minorHAnsi" w:hAnsiTheme="minorHAnsi" w:cstheme="minorHAnsi"/>
        </w:rPr>
      </w:pPr>
      <w:r>
        <w:rPr>
          <w:rFonts w:asciiTheme="minorHAnsi" w:hAnsiTheme="minorHAnsi" w:cstheme="minorHAnsi"/>
          <w:b/>
          <w:noProof/>
        </w:rPr>
        <w:drawing>
          <wp:anchor distT="0" distB="0" distL="114300" distR="114300" simplePos="0" relativeHeight="251666432" behindDoc="1" locked="0" layoutInCell="1" allowOverlap="1">
            <wp:simplePos x="0" y="0"/>
            <wp:positionH relativeFrom="column">
              <wp:posOffset>23495</wp:posOffset>
            </wp:positionH>
            <wp:positionV relativeFrom="paragraph">
              <wp:posOffset>556260</wp:posOffset>
            </wp:positionV>
            <wp:extent cx="5939790" cy="5372100"/>
            <wp:effectExtent l="190500" t="152400" r="175260" b="133350"/>
            <wp:wrapTight wrapText="bothSides">
              <wp:wrapPolygon edited="0">
                <wp:start x="0" y="-613"/>
                <wp:lineTo x="-416" y="-383"/>
                <wp:lineTo x="-693" y="77"/>
                <wp:lineTo x="-623" y="21447"/>
                <wp:lineTo x="-139" y="22136"/>
                <wp:lineTo x="0" y="22136"/>
                <wp:lineTo x="21545" y="22136"/>
                <wp:lineTo x="21683" y="22136"/>
                <wp:lineTo x="22168" y="21600"/>
                <wp:lineTo x="22168" y="21447"/>
                <wp:lineTo x="22237" y="20298"/>
                <wp:lineTo x="22237" y="230"/>
                <wp:lineTo x="21891" y="-460"/>
                <wp:lineTo x="21545" y="-613"/>
                <wp:lineTo x="0" y="-613"/>
              </wp:wrapPolygon>
            </wp:wrapTight>
            <wp:docPr id="13" name="Obrázek 2" descr="OSVČ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VČ 2014.jpg"/>
                    <pic:cNvPicPr/>
                  </pic:nvPicPr>
                  <pic:blipFill>
                    <a:blip r:embed="rId17" cstate="print"/>
                    <a:stretch>
                      <a:fillRect/>
                    </a:stretch>
                  </pic:blipFill>
                  <pic:spPr>
                    <a:xfrm>
                      <a:off x="0" y="0"/>
                      <a:ext cx="5939790" cy="5372100"/>
                    </a:xfrm>
                    <a:prstGeom prst="rect">
                      <a:avLst/>
                    </a:prstGeom>
                    <a:ln>
                      <a:noFill/>
                    </a:ln>
                    <a:effectLst>
                      <a:outerShdw blurRad="190500" algn="tl" rotWithShape="0">
                        <a:srgbClr val="000000">
                          <a:alpha val="70000"/>
                        </a:srgbClr>
                      </a:outerShdw>
                    </a:effectLst>
                  </pic:spPr>
                </pic:pic>
              </a:graphicData>
            </a:graphic>
          </wp:anchor>
        </w:drawing>
      </w:r>
      <w:r w:rsidRPr="00AD2DBC">
        <w:rPr>
          <w:rFonts w:asciiTheme="minorHAnsi" w:hAnsiTheme="minorHAnsi" w:cstheme="minorHAnsi"/>
          <w:b/>
        </w:rPr>
        <w:t>Mapa II/2</w:t>
      </w:r>
      <w:r w:rsidRPr="00AD2DBC">
        <w:rPr>
          <w:rFonts w:asciiTheme="minorHAnsi" w:hAnsiTheme="minorHAnsi" w:cstheme="minorHAnsi"/>
        </w:rPr>
        <w:t xml:space="preserve"> - Podíl OSVČ na obyvatelstvu ve věku 15 - 64 let v jednotlivých okresech MSK</w:t>
      </w:r>
      <w:r>
        <w:rPr>
          <w:rFonts w:asciiTheme="minorHAnsi" w:hAnsiTheme="minorHAnsi" w:cstheme="minorHAnsi"/>
        </w:rPr>
        <w:t xml:space="preserve"> ke konci roku 2014</w:t>
      </w:r>
    </w:p>
    <w:p w:rsidR="00027ABA" w:rsidRPr="00AD2DBC" w:rsidRDefault="00027ABA" w:rsidP="00027ABA">
      <w:pPr>
        <w:pStyle w:val="Nadpis6"/>
        <w:rPr>
          <w:rFonts w:asciiTheme="minorHAnsi" w:hAnsiTheme="minorHAnsi" w:cstheme="minorHAnsi"/>
        </w:rPr>
      </w:pPr>
    </w:p>
    <w:p w:rsidR="00027ABA" w:rsidRDefault="00027ABA" w:rsidP="00BF3B12">
      <w:pPr>
        <w:pStyle w:val="Nadpis6"/>
        <w:rPr>
          <w:rFonts w:asciiTheme="minorHAnsi" w:hAnsiTheme="minorHAnsi" w:cstheme="minorHAnsi"/>
          <w:szCs w:val="24"/>
        </w:rPr>
      </w:pPr>
    </w:p>
    <w:p w:rsidR="00027ABA" w:rsidRPr="00027ABA" w:rsidRDefault="00027ABA" w:rsidP="00027ABA">
      <w:pPr>
        <w:rPr>
          <w:sz w:val="24"/>
          <w:szCs w:val="24"/>
        </w:rPr>
      </w:pPr>
    </w:p>
    <w:p w:rsidR="00BF3B12" w:rsidRPr="00AD2DBC" w:rsidRDefault="00BF3B12" w:rsidP="00BF3B12">
      <w:pPr>
        <w:pStyle w:val="Nadpis6"/>
        <w:rPr>
          <w:rFonts w:asciiTheme="minorHAnsi" w:hAnsiTheme="minorHAnsi" w:cstheme="minorHAnsi"/>
        </w:rPr>
      </w:pPr>
      <w:r w:rsidRPr="00AD2DBC">
        <w:rPr>
          <w:rFonts w:asciiTheme="minorHAnsi" w:hAnsiTheme="minorHAnsi" w:cstheme="minorHAnsi"/>
        </w:rPr>
        <w:t>5. Volná pracovní místa</w:t>
      </w:r>
    </w:p>
    <w:p w:rsidR="00BF3B12" w:rsidRPr="00AD2DBC" w:rsidRDefault="00BF3B12" w:rsidP="00BF3B12">
      <w:pPr>
        <w:rPr>
          <w:rFonts w:asciiTheme="minorHAnsi" w:hAnsiTheme="minorHAnsi" w:cstheme="minorHAnsi"/>
          <w:sz w:val="24"/>
          <w:szCs w:val="24"/>
        </w:rPr>
      </w:pP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Poptáv</w:t>
      </w:r>
      <w:r>
        <w:rPr>
          <w:rFonts w:asciiTheme="minorHAnsi" w:hAnsiTheme="minorHAnsi" w:cstheme="minorHAnsi"/>
        </w:rPr>
        <w:t xml:space="preserve">ková strana trhu práce v Moravskoslezském kraji </w:t>
      </w:r>
      <w:r w:rsidRPr="00AD2DBC">
        <w:rPr>
          <w:rFonts w:asciiTheme="minorHAnsi" w:hAnsiTheme="minorHAnsi" w:cstheme="minorHAnsi"/>
        </w:rPr>
        <w:t xml:space="preserve">během uplynulého roku </w:t>
      </w:r>
      <w:r>
        <w:rPr>
          <w:rFonts w:asciiTheme="minorHAnsi" w:hAnsiTheme="minorHAnsi" w:cstheme="minorHAnsi"/>
        </w:rPr>
        <w:t xml:space="preserve">se i přes určité výkyvy </w:t>
      </w:r>
      <w:r w:rsidRPr="00AD2DBC">
        <w:rPr>
          <w:rFonts w:asciiTheme="minorHAnsi" w:hAnsiTheme="minorHAnsi" w:cstheme="minorHAnsi"/>
        </w:rPr>
        <w:t xml:space="preserve">vyznačovala </w:t>
      </w:r>
      <w:r>
        <w:rPr>
          <w:rFonts w:asciiTheme="minorHAnsi" w:hAnsiTheme="minorHAnsi" w:cstheme="minorHAnsi"/>
        </w:rPr>
        <w:t xml:space="preserve">postupným růstem počtu VPM a od měsíce září překročila pětitisícovou hranici. </w:t>
      </w:r>
      <w:r w:rsidRPr="00AD2DBC">
        <w:rPr>
          <w:rFonts w:asciiTheme="minorHAnsi" w:hAnsiTheme="minorHAnsi" w:cstheme="minorHAnsi"/>
        </w:rPr>
        <w:t>Nejvíce VPM bylo registrováno v M</w:t>
      </w:r>
      <w:r>
        <w:rPr>
          <w:rFonts w:asciiTheme="minorHAnsi" w:hAnsiTheme="minorHAnsi" w:cstheme="minorHAnsi"/>
        </w:rPr>
        <w:t>SK v listopadu (5 757), nejméně v lednu, a to pouze 2 </w:t>
      </w:r>
      <w:r w:rsidRPr="00AD2DBC">
        <w:rPr>
          <w:rFonts w:asciiTheme="minorHAnsi" w:hAnsiTheme="minorHAnsi" w:cstheme="minorHAnsi"/>
        </w:rPr>
        <w:t>80</w:t>
      </w:r>
      <w:r>
        <w:rPr>
          <w:rFonts w:asciiTheme="minorHAnsi" w:hAnsiTheme="minorHAnsi" w:cstheme="minorHAnsi"/>
        </w:rPr>
        <w:t>7</w:t>
      </w:r>
      <w:r w:rsidRPr="00AD2DBC">
        <w:rPr>
          <w:rFonts w:asciiTheme="minorHAnsi" w:hAnsiTheme="minorHAnsi" w:cstheme="minorHAnsi"/>
        </w:rPr>
        <w:t>.</w:t>
      </w:r>
      <w:r>
        <w:rPr>
          <w:rFonts w:asciiTheme="minorHAnsi" w:hAnsiTheme="minorHAnsi" w:cstheme="minorHAnsi"/>
        </w:rPr>
        <w:t xml:space="preserve"> Listopadový stav představuje největší počet volných pracovních míst od prosince 2008 z období nástupu celosvětové krize.</w:t>
      </w:r>
    </w:p>
    <w:p w:rsidR="00BF3B12" w:rsidRPr="00AD2DBC" w:rsidRDefault="00BF3B12" w:rsidP="00BF3B12">
      <w:pPr>
        <w:pStyle w:val="Zkladntextodsazen"/>
        <w:rPr>
          <w:rFonts w:asciiTheme="minorHAnsi" w:hAnsiTheme="minorHAnsi" w:cstheme="minorHAnsi"/>
        </w:rPr>
      </w:pPr>
      <w:r>
        <w:rPr>
          <w:rFonts w:asciiTheme="minorHAnsi" w:hAnsiTheme="minorHAnsi" w:cstheme="minorHAnsi"/>
        </w:rPr>
        <w:t xml:space="preserve"> K 31.12.2014</w:t>
      </w:r>
      <w:r w:rsidRPr="00AD2DBC">
        <w:rPr>
          <w:rFonts w:asciiTheme="minorHAnsi" w:hAnsiTheme="minorHAnsi" w:cstheme="minorHAnsi"/>
        </w:rPr>
        <w:t xml:space="preserve"> evidovala KrP v Ostravě </w:t>
      </w:r>
      <w:r>
        <w:rPr>
          <w:rFonts w:asciiTheme="minorHAnsi" w:hAnsiTheme="minorHAnsi" w:cstheme="minorHAnsi"/>
        </w:rPr>
        <w:t xml:space="preserve">5 399 </w:t>
      </w:r>
      <w:r w:rsidRPr="00AD2DBC">
        <w:rPr>
          <w:rFonts w:asciiTheme="minorHAnsi" w:hAnsiTheme="minorHAnsi" w:cstheme="minorHAnsi"/>
        </w:rPr>
        <w:t xml:space="preserve">volných pracovních míst </w:t>
      </w:r>
      <w:r>
        <w:rPr>
          <w:rFonts w:asciiTheme="minorHAnsi" w:hAnsiTheme="minorHAnsi" w:cstheme="minorHAnsi"/>
        </w:rPr>
        <w:t xml:space="preserve">a tento stav byl o 3 119 (+136,8 %) vyšší než v závěru roku 2013 a zároveň představoval třetí nejvyšší hodnotu v minulém roce. Evidenci </w:t>
      </w:r>
      <w:r w:rsidRPr="00AD2DBC">
        <w:rPr>
          <w:rFonts w:asciiTheme="minorHAnsi" w:hAnsiTheme="minorHAnsi" w:cstheme="minorHAnsi"/>
        </w:rPr>
        <w:t xml:space="preserve">počtu míst do jisté míry </w:t>
      </w:r>
      <w:r>
        <w:rPr>
          <w:rFonts w:asciiTheme="minorHAnsi" w:hAnsiTheme="minorHAnsi" w:cstheme="minorHAnsi"/>
        </w:rPr>
        <w:t xml:space="preserve">ovlivňuje </w:t>
      </w:r>
      <w:r w:rsidRPr="00AD2DBC">
        <w:rPr>
          <w:rFonts w:asciiTheme="minorHAnsi" w:hAnsiTheme="minorHAnsi" w:cstheme="minorHAnsi"/>
        </w:rPr>
        <w:t>i novela zákona o zaměstnanosti, která od začátku roku 2012 zrušila povinnost zaměstnavatelů hlá</w:t>
      </w:r>
      <w:r>
        <w:rPr>
          <w:rFonts w:asciiTheme="minorHAnsi" w:hAnsiTheme="minorHAnsi" w:cstheme="minorHAnsi"/>
        </w:rPr>
        <w:t xml:space="preserve">sit ÚP ČR volná pracovní místa. </w:t>
      </w:r>
      <w:r w:rsidRPr="00AD2DBC">
        <w:rPr>
          <w:rFonts w:asciiTheme="minorHAnsi" w:hAnsiTheme="minorHAnsi" w:cstheme="minorHAnsi"/>
        </w:rPr>
        <w:t>Podíl zaměstnavatelů našeho kraje na celorepublikové poptávce po praco</w:t>
      </w:r>
      <w:r>
        <w:rPr>
          <w:rFonts w:asciiTheme="minorHAnsi" w:hAnsiTheme="minorHAnsi" w:cstheme="minorHAnsi"/>
        </w:rPr>
        <w:t>vních silách se meziročně zvýšil o 2,7</w:t>
      </w:r>
      <w:r w:rsidRPr="00AD2DBC">
        <w:rPr>
          <w:rFonts w:asciiTheme="minorHAnsi" w:hAnsiTheme="minorHAnsi" w:cstheme="minorHAnsi"/>
        </w:rPr>
        <w:t xml:space="preserve"> procentn</w:t>
      </w:r>
      <w:r>
        <w:rPr>
          <w:rFonts w:asciiTheme="minorHAnsi" w:hAnsiTheme="minorHAnsi" w:cstheme="minorHAnsi"/>
        </w:rPr>
        <w:t>ího bodu na 9,2</w:t>
      </w:r>
      <w:r w:rsidRPr="00AD2DBC">
        <w:rPr>
          <w:rFonts w:asciiTheme="minorHAnsi" w:hAnsiTheme="minorHAnsi" w:cstheme="minorHAnsi"/>
        </w:rPr>
        <w:t> %.</w:t>
      </w: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Průměrný počet VPM, z nichž si mohli koncem každého měsíce uplynulého roku kli</w:t>
      </w:r>
      <w:r>
        <w:rPr>
          <w:rFonts w:asciiTheme="minorHAnsi" w:hAnsiTheme="minorHAnsi" w:cstheme="minorHAnsi"/>
        </w:rPr>
        <w:t>enti úřadu práce vybrat, vzrostl na 4 407</w:t>
      </w:r>
      <w:r w:rsidRPr="00AD2DBC">
        <w:rPr>
          <w:rFonts w:asciiTheme="minorHAnsi" w:hAnsiTheme="minorHAnsi" w:cstheme="minorHAnsi"/>
        </w:rPr>
        <w:t>,</w:t>
      </w:r>
      <w:r>
        <w:rPr>
          <w:rFonts w:asciiTheme="minorHAnsi" w:hAnsiTheme="minorHAnsi" w:cstheme="minorHAnsi"/>
        </w:rPr>
        <w:t xml:space="preserve"> což je ve srovnání s rokem 2013 o 982 (+28,7 %) více</w:t>
      </w:r>
      <w:r w:rsidRPr="00AD2DBC">
        <w:rPr>
          <w:rFonts w:asciiTheme="minorHAnsi" w:hAnsiTheme="minorHAnsi" w:cstheme="minorHAnsi"/>
        </w:rPr>
        <w:t>.</w:t>
      </w:r>
    </w:p>
    <w:p w:rsidR="00BF3B12" w:rsidRPr="00AD2DBC" w:rsidRDefault="00BF3B12" w:rsidP="00BF3B12">
      <w:pPr>
        <w:jc w:val="both"/>
        <w:rPr>
          <w:rFonts w:asciiTheme="minorHAnsi" w:hAnsiTheme="minorHAnsi" w:cstheme="minorHAnsi"/>
          <w:b/>
          <w:sz w:val="24"/>
        </w:rPr>
      </w:pPr>
    </w:p>
    <w:p w:rsidR="00BF3B12" w:rsidRPr="00AD2DBC" w:rsidRDefault="00BF3B12" w:rsidP="00BF3B12">
      <w:pPr>
        <w:jc w:val="both"/>
        <w:rPr>
          <w:rFonts w:asciiTheme="minorHAnsi" w:hAnsiTheme="minorHAnsi" w:cstheme="minorHAnsi"/>
          <w:sz w:val="24"/>
        </w:rPr>
      </w:pPr>
      <w:r w:rsidRPr="00AD2DBC">
        <w:rPr>
          <w:rFonts w:asciiTheme="minorHAnsi" w:hAnsiTheme="minorHAnsi" w:cstheme="minorHAnsi"/>
          <w:b/>
          <w:sz w:val="24"/>
        </w:rPr>
        <w:t>Graf II/3</w:t>
      </w:r>
      <w:r w:rsidRPr="00AD2DBC">
        <w:rPr>
          <w:rFonts w:asciiTheme="minorHAnsi" w:hAnsiTheme="minorHAnsi" w:cstheme="minorHAnsi"/>
          <w:sz w:val="24"/>
        </w:rPr>
        <w:t xml:space="preserve"> - Vývoj počtu evidovaných uchazečů o zaměstnání a volných pracovních míst v Mo</w:t>
      </w:r>
      <w:r>
        <w:rPr>
          <w:rFonts w:asciiTheme="minorHAnsi" w:hAnsiTheme="minorHAnsi" w:cstheme="minorHAnsi"/>
          <w:sz w:val="24"/>
        </w:rPr>
        <w:t>ravskoslezském kraji v roce 2014</w:t>
      </w:r>
    </w:p>
    <w:p w:rsidR="00BF3B12" w:rsidRPr="0035378F" w:rsidRDefault="00BF3B12" w:rsidP="00BF3B12">
      <w:pPr>
        <w:jc w:val="center"/>
      </w:pPr>
      <w:r w:rsidRPr="005F33C0">
        <w:rPr>
          <w:noProof/>
        </w:rPr>
        <w:drawing>
          <wp:inline distT="0" distB="0" distL="0" distR="0">
            <wp:extent cx="5939790" cy="3492768"/>
            <wp:effectExtent l="0" t="0" r="3810" b="0"/>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3B12" w:rsidRPr="0035378F" w:rsidRDefault="00BF3B12" w:rsidP="00BF3B12">
      <w:pPr>
        <w:pStyle w:val="Zkladntextodsazen"/>
      </w:pPr>
    </w:p>
    <w:p w:rsidR="00BF3B12" w:rsidRDefault="00BF3B12" w:rsidP="00BF3B12">
      <w:pPr>
        <w:pStyle w:val="Zkladntextodsazen"/>
        <w:rPr>
          <w:rFonts w:asciiTheme="minorHAnsi" w:hAnsiTheme="minorHAnsi" w:cstheme="minorHAnsi"/>
        </w:rPr>
      </w:pPr>
      <w:r w:rsidRPr="00AD2DBC">
        <w:rPr>
          <w:rFonts w:asciiTheme="minorHAnsi" w:hAnsiTheme="minorHAnsi" w:cstheme="minorHAnsi"/>
        </w:rPr>
        <w:t>Jak je patrné z níže uvedeného grafu, počet uchazečů</w:t>
      </w:r>
      <w:r>
        <w:rPr>
          <w:rFonts w:asciiTheme="minorHAnsi" w:hAnsiTheme="minorHAnsi" w:cstheme="minorHAnsi"/>
        </w:rPr>
        <w:t xml:space="preserve"> na jedno VPM se během roku 2014</w:t>
      </w:r>
      <w:r w:rsidRPr="00AD2DBC">
        <w:rPr>
          <w:rFonts w:asciiTheme="minorHAnsi" w:hAnsiTheme="minorHAnsi" w:cstheme="minorHAnsi"/>
        </w:rPr>
        <w:t xml:space="preserve"> </w:t>
      </w:r>
      <w:r>
        <w:rPr>
          <w:rFonts w:asciiTheme="minorHAnsi" w:hAnsiTheme="minorHAnsi" w:cstheme="minorHAnsi"/>
        </w:rPr>
        <w:t xml:space="preserve">postupně snižoval s výjimkou června a prosince. Nejnižší </w:t>
      </w:r>
      <w:r w:rsidRPr="00AD2DBC">
        <w:rPr>
          <w:rFonts w:asciiTheme="minorHAnsi" w:hAnsiTheme="minorHAnsi" w:cstheme="minorHAnsi"/>
        </w:rPr>
        <w:t xml:space="preserve">hodnoty </w:t>
      </w:r>
      <w:r>
        <w:rPr>
          <w:rFonts w:asciiTheme="minorHAnsi" w:hAnsiTheme="minorHAnsi" w:cstheme="minorHAnsi"/>
        </w:rPr>
        <w:t>během uplynulého roku bylo dosaženo v listopadu (14,1</w:t>
      </w:r>
      <w:r w:rsidRPr="00AD2DBC">
        <w:rPr>
          <w:rFonts w:asciiTheme="minorHAnsi" w:hAnsiTheme="minorHAnsi" w:cstheme="minorHAnsi"/>
        </w:rPr>
        <w:t>).</w:t>
      </w:r>
      <w:r>
        <w:rPr>
          <w:rFonts w:asciiTheme="minorHAnsi" w:hAnsiTheme="minorHAnsi" w:cstheme="minorHAnsi"/>
        </w:rPr>
        <w:t xml:space="preserve"> </w:t>
      </w:r>
      <w:r w:rsidRPr="00AD2DBC">
        <w:rPr>
          <w:rFonts w:asciiTheme="minorHAnsi" w:hAnsiTheme="minorHAnsi" w:cstheme="minorHAnsi"/>
        </w:rPr>
        <w:t>V pomyslném žebříčku tohoto ukazatele všech okresů ČR se koncem prosince v první desítce umístily hned tři z šesti okresů MSK - nejvíce uchazečů se o jedno VPM ucházelo v</w:t>
      </w:r>
      <w:r>
        <w:rPr>
          <w:rFonts w:asciiTheme="minorHAnsi" w:hAnsiTheme="minorHAnsi" w:cstheme="minorHAnsi"/>
        </w:rPr>
        <w:t> bruntálském okrese (34,4</w:t>
      </w:r>
      <w:r w:rsidRPr="00AD2DBC">
        <w:rPr>
          <w:rFonts w:asciiTheme="minorHAnsi" w:hAnsiTheme="minorHAnsi" w:cstheme="minorHAnsi"/>
        </w:rPr>
        <w:t xml:space="preserve"> </w:t>
      </w:r>
      <w:r>
        <w:rPr>
          <w:rFonts w:asciiTheme="minorHAnsi" w:hAnsiTheme="minorHAnsi" w:cstheme="minorHAnsi"/>
        </w:rPr>
        <w:t>-</w:t>
      </w:r>
      <w:r w:rsidRPr="00AD2DBC">
        <w:rPr>
          <w:rFonts w:asciiTheme="minorHAnsi" w:hAnsiTheme="minorHAnsi" w:cstheme="minorHAnsi"/>
        </w:rPr>
        <w:t xml:space="preserve"> </w:t>
      </w:r>
      <w:r>
        <w:rPr>
          <w:rFonts w:asciiTheme="minorHAnsi" w:hAnsiTheme="minorHAnsi" w:cstheme="minorHAnsi"/>
        </w:rPr>
        <w:t xml:space="preserve">druhý </w:t>
      </w:r>
      <w:r w:rsidRPr="00AD2DBC">
        <w:rPr>
          <w:rFonts w:asciiTheme="minorHAnsi" w:hAnsiTheme="minorHAnsi" w:cstheme="minorHAnsi"/>
        </w:rPr>
        <w:t>nejhorší pomě</w:t>
      </w:r>
      <w:r>
        <w:rPr>
          <w:rFonts w:asciiTheme="minorHAnsi" w:hAnsiTheme="minorHAnsi" w:cstheme="minorHAnsi"/>
        </w:rPr>
        <w:t>r v celé republice), karvinském (30,3</w:t>
      </w:r>
      <w:r w:rsidRPr="00AD2DBC">
        <w:rPr>
          <w:rFonts w:asciiTheme="minorHAnsi" w:hAnsiTheme="minorHAnsi" w:cstheme="minorHAnsi"/>
        </w:rPr>
        <w:t xml:space="preserve"> - </w:t>
      </w:r>
      <w:r>
        <w:rPr>
          <w:rFonts w:asciiTheme="minorHAnsi" w:hAnsiTheme="minorHAnsi" w:cstheme="minorHAnsi"/>
        </w:rPr>
        <w:t xml:space="preserve"> čtvrtý </w:t>
      </w:r>
      <w:r w:rsidRPr="00AD2DBC">
        <w:rPr>
          <w:rFonts w:asciiTheme="minorHAnsi" w:hAnsiTheme="minorHAnsi" w:cstheme="minorHAnsi"/>
        </w:rPr>
        <w:t>nejho</w:t>
      </w:r>
      <w:r>
        <w:rPr>
          <w:rFonts w:asciiTheme="minorHAnsi" w:hAnsiTheme="minorHAnsi" w:cstheme="minorHAnsi"/>
        </w:rPr>
        <w:t>rší poměr v ČR) a okrese Opava (18,7</w:t>
      </w:r>
      <w:r w:rsidRPr="00AD2DBC">
        <w:rPr>
          <w:rFonts w:asciiTheme="minorHAnsi" w:hAnsiTheme="minorHAnsi" w:cstheme="minorHAnsi"/>
        </w:rPr>
        <w:t xml:space="preserve"> - devátý nejhorší poměr v ČR). </w:t>
      </w:r>
      <w:r>
        <w:rPr>
          <w:rFonts w:asciiTheme="minorHAnsi" w:hAnsiTheme="minorHAnsi" w:cstheme="minorHAnsi"/>
        </w:rPr>
        <w:t>Je to obdobný výsledek jako ke konci roku 2013</w:t>
      </w:r>
      <w:r w:rsidRPr="00AD2DBC">
        <w:rPr>
          <w:rFonts w:asciiTheme="minorHAnsi" w:hAnsiTheme="minorHAnsi" w:cstheme="minorHAnsi"/>
        </w:rPr>
        <w:t>, kdy v první desítce byl</w:t>
      </w:r>
      <w:r>
        <w:rPr>
          <w:rFonts w:asciiTheme="minorHAnsi" w:hAnsiTheme="minorHAnsi" w:cstheme="minorHAnsi"/>
        </w:rPr>
        <w:t>y</w:t>
      </w:r>
      <w:r w:rsidRPr="00AD2DBC">
        <w:rPr>
          <w:rFonts w:asciiTheme="minorHAnsi" w:hAnsiTheme="minorHAnsi" w:cstheme="minorHAnsi"/>
        </w:rPr>
        <w:t xml:space="preserve"> tehdy </w:t>
      </w:r>
      <w:r>
        <w:rPr>
          <w:rFonts w:asciiTheme="minorHAnsi" w:hAnsiTheme="minorHAnsi" w:cstheme="minorHAnsi"/>
        </w:rPr>
        <w:t>rovněž</w:t>
      </w:r>
      <w:r w:rsidRPr="00AD2DBC">
        <w:rPr>
          <w:rFonts w:asciiTheme="minorHAnsi" w:hAnsiTheme="minorHAnsi" w:cstheme="minorHAnsi"/>
        </w:rPr>
        <w:t xml:space="preserve"> </w:t>
      </w:r>
      <w:r>
        <w:rPr>
          <w:rFonts w:asciiTheme="minorHAnsi" w:hAnsiTheme="minorHAnsi" w:cstheme="minorHAnsi"/>
        </w:rPr>
        <w:t xml:space="preserve">tři </w:t>
      </w:r>
      <w:r w:rsidRPr="00AD2DBC">
        <w:rPr>
          <w:rFonts w:asciiTheme="minorHAnsi" w:hAnsiTheme="minorHAnsi" w:cstheme="minorHAnsi"/>
        </w:rPr>
        <w:t>okres</w:t>
      </w:r>
      <w:r>
        <w:rPr>
          <w:rFonts w:asciiTheme="minorHAnsi" w:hAnsiTheme="minorHAnsi" w:cstheme="minorHAnsi"/>
        </w:rPr>
        <w:t>y</w:t>
      </w:r>
      <w:r w:rsidRPr="00AD2DBC">
        <w:rPr>
          <w:rFonts w:asciiTheme="minorHAnsi" w:hAnsiTheme="minorHAnsi" w:cstheme="minorHAnsi"/>
        </w:rPr>
        <w:t xml:space="preserve"> </w:t>
      </w:r>
      <w:r>
        <w:rPr>
          <w:rFonts w:asciiTheme="minorHAnsi" w:hAnsiTheme="minorHAnsi" w:cstheme="minorHAnsi"/>
        </w:rPr>
        <w:t>MSK, ale místo opavského tam byl ostravský okres.</w:t>
      </w:r>
      <w:r w:rsidRPr="00AD2DBC">
        <w:rPr>
          <w:rFonts w:asciiTheme="minorHAnsi" w:hAnsiTheme="minorHAnsi" w:cstheme="minorHAnsi"/>
        </w:rPr>
        <w:t xml:space="preserve"> Nejméně uchazečů na 1 VPM v MSK připadalo </w:t>
      </w:r>
      <w:r>
        <w:rPr>
          <w:rFonts w:asciiTheme="minorHAnsi" w:hAnsiTheme="minorHAnsi" w:cstheme="minorHAnsi"/>
        </w:rPr>
        <w:t>v minulém roce v okrese Nový Jičín (8,5</w:t>
      </w:r>
      <w:r w:rsidRPr="00AD2DBC">
        <w:rPr>
          <w:rFonts w:asciiTheme="minorHAnsi" w:hAnsiTheme="minorHAnsi" w:cstheme="minorHAnsi"/>
        </w:rPr>
        <w:t>).</w:t>
      </w: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027ABA" w:rsidRDefault="00027ABA" w:rsidP="00BF3B12">
      <w:pPr>
        <w:pStyle w:val="Zkladntextodsazen"/>
        <w:rPr>
          <w:rFonts w:asciiTheme="minorHAnsi" w:hAnsiTheme="minorHAnsi" w:cstheme="minorHAnsi"/>
        </w:rPr>
      </w:pPr>
    </w:p>
    <w:p w:rsidR="00BF3B12" w:rsidRPr="0035378F" w:rsidRDefault="00BF3B12" w:rsidP="00BF3B12">
      <w:pPr>
        <w:jc w:val="both"/>
        <w:rPr>
          <w:sz w:val="24"/>
        </w:rPr>
      </w:pPr>
      <w:r w:rsidRPr="00AD2DBC">
        <w:rPr>
          <w:rFonts w:asciiTheme="minorHAnsi" w:hAnsiTheme="minorHAnsi" w:cstheme="minorHAnsi"/>
          <w:b/>
          <w:sz w:val="24"/>
        </w:rPr>
        <w:t xml:space="preserve">Graf II/4 </w:t>
      </w:r>
      <w:r w:rsidRPr="00AD2DBC">
        <w:rPr>
          <w:rFonts w:asciiTheme="minorHAnsi" w:hAnsiTheme="minorHAnsi" w:cstheme="minorHAnsi"/>
          <w:sz w:val="24"/>
        </w:rPr>
        <w:t>- Vývoj počtu evidovaných uchazečů o zaměstnání připadajících na jedno VPM v ČR a v MSK v roce 201</w:t>
      </w:r>
      <w:r>
        <w:rPr>
          <w:rFonts w:asciiTheme="minorHAnsi" w:hAnsiTheme="minorHAnsi" w:cstheme="minorHAnsi"/>
          <w:sz w:val="24"/>
        </w:rPr>
        <w:t>4</w:t>
      </w:r>
    </w:p>
    <w:p w:rsidR="00BF3B12" w:rsidRPr="0035378F" w:rsidRDefault="00BF3B12" w:rsidP="00BF3B12">
      <w:pPr>
        <w:jc w:val="center"/>
      </w:pPr>
      <w:r w:rsidRPr="005F33C0">
        <w:rPr>
          <w:noProof/>
        </w:rPr>
        <w:drawing>
          <wp:inline distT="0" distB="0" distL="0" distR="0">
            <wp:extent cx="5939790" cy="3360155"/>
            <wp:effectExtent l="0" t="0" r="0" b="0"/>
            <wp:docPr id="4"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3B12" w:rsidRPr="0035378F" w:rsidRDefault="00BF3B12" w:rsidP="00BF3B12">
      <w:pPr>
        <w:jc w:val="both"/>
        <w:rPr>
          <w:bCs/>
          <w:sz w:val="24"/>
        </w:rPr>
      </w:pPr>
    </w:p>
    <w:p w:rsidR="00BF3B12" w:rsidRDefault="00BF3B12" w:rsidP="00BF3B12">
      <w:pPr>
        <w:jc w:val="both"/>
        <w:rPr>
          <w:rFonts w:asciiTheme="minorHAnsi" w:hAnsiTheme="minorHAnsi" w:cstheme="minorHAnsi"/>
          <w:b/>
          <w:sz w:val="24"/>
        </w:rPr>
      </w:pPr>
    </w:p>
    <w:p w:rsidR="00BF3B12" w:rsidRPr="00AD2DBC" w:rsidRDefault="00BF3B12" w:rsidP="00BF3B12">
      <w:pPr>
        <w:jc w:val="both"/>
        <w:rPr>
          <w:rFonts w:asciiTheme="minorHAnsi" w:hAnsiTheme="minorHAnsi" w:cstheme="minorHAnsi"/>
          <w:sz w:val="24"/>
        </w:rPr>
      </w:pPr>
      <w:r w:rsidRPr="00AD2DBC">
        <w:rPr>
          <w:rFonts w:asciiTheme="minorHAnsi" w:hAnsiTheme="minorHAnsi" w:cstheme="minorHAnsi"/>
          <w:b/>
          <w:sz w:val="24"/>
        </w:rPr>
        <w:t xml:space="preserve">Tabulka II/5 </w:t>
      </w:r>
      <w:r w:rsidRPr="00AD2DBC">
        <w:rPr>
          <w:rFonts w:asciiTheme="minorHAnsi" w:hAnsiTheme="minorHAnsi" w:cstheme="minorHAnsi"/>
          <w:sz w:val="24"/>
        </w:rPr>
        <w:t>- Počet uchazečů o zaměstnání připadajících v MSK na jedno VPM podle vzdělání</w:t>
      </w:r>
    </w:p>
    <w:tbl>
      <w:tblPr>
        <w:tblW w:w="92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0"/>
        <w:gridCol w:w="1147"/>
        <w:gridCol w:w="1115"/>
        <w:gridCol w:w="1143"/>
        <w:gridCol w:w="1147"/>
        <w:gridCol w:w="1012"/>
        <w:gridCol w:w="1180"/>
      </w:tblGrid>
      <w:tr w:rsidR="00BF3B12" w:rsidRPr="00AD2DBC" w:rsidTr="00027ABA">
        <w:trPr>
          <w:cantSplit/>
          <w:trHeight w:val="270"/>
        </w:trPr>
        <w:tc>
          <w:tcPr>
            <w:tcW w:w="2510" w:type="dxa"/>
            <w:vMerge w:val="restart"/>
            <w:tcBorders>
              <w:top w:val="single" w:sz="12" w:space="0" w:color="auto"/>
              <w:left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snapToGrid w:val="0"/>
                <w:sz w:val="24"/>
              </w:rPr>
            </w:pPr>
            <w:r w:rsidRPr="00AD2DBC">
              <w:rPr>
                <w:rFonts w:asciiTheme="minorHAnsi" w:hAnsiTheme="minorHAnsi" w:cstheme="minorHAnsi"/>
                <w:snapToGrid w:val="0"/>
                <w:sz w:val="24"/>
              </w:rPr>
              <w:t>stupeň vzdělání</w:t>
            </w:r>
          </w:p>
        </w:tc>
        <w:tc>
          <w:tcPr>
            <w:tcW w:w="3405" w:type="dxa"/>
            <w:gridSpan w:val="3"/>
            <w:tcBorders>
              <w:top w:val="single" w:sz="12" w:space="0" w:color="auto"/>
              <w:left w:val="nil"/>
              <w:bottom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eastAsia="Arial Unicode MS" w:hAnsiTheme="minorHAnsi" w:cstheme="minorHAnsi"/>
                <w:sz w:val="24"/>
              </w:rPr>
              <w:t>31.12.201</w:t>
            </w:r>
            <w:r>
              <w:rPr>
                <w:rFonts w:asciiTheme="minorHAnsi" w:eastAsia="Arial Unicode MS" w:hAnsiTheme="minorHAnsi" w:cstheme="minorHAnsi"/>
                <w:sz w:val="24"/>
              </w:rPr>
              <w:t>3</w:t>
            </w:r>
          </w:p>
        </w:tc>
        <w:tc>
          <w:tcPr>
            <w:tcW w:w="3339" w:type="dxa"/>
            <w:gridSpan w:val="3"/>
            <w:tcBorders>
              <w:top w:val="single" w:sz="12" w:space="0" w:color="auto"/>
              <w:left w:val="single" w:sz="12" w:space="0" w:color="auto"/>
              <w:bottom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31.12.201</w:t>
            </w:r>
            <w:r>
              <w:rPr>
                <w:rFonts w:asciiTheme="minorHAnsi" w:hAnsiTheme="minorHAnsi" w:cstheme="minorHAnsi"/>
                <w:sz w:val="24"/>
              </w:rPr>
              <w:t>4</w:t>
            </w:r>
          </w:p>
        </w:tc>
      </w:tr>
      <w:tr w:rsidR="00BF3B12" w:rsidRPr="00AD2DBC" w:rsidTr="00027ABA">
        <w:trPr>
          <w:cantSplit/>
          <w:trHeight w:val="144"/>
        </w:trPr>
        <w:tc>
          <w:tcPr>
            <w:tcW w:w="2510" w:type="dxa"/>
            <w:vMerge/>
            <w:tcBorders>
              <w:left w:val="single" w:sz="12" w:space="0" w:color="auto"/>
              <w:bottom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p>
        </w:tc>
        <w:tc>
          <w:tcPr>
            <w:tcW w:w="1147" w:type="dxa"/>
            <w:tcBorders>
              <w:top w:val="single" w:sz="4" w:space="0" w:color="auto"/>
              <w:left w:val="nil"/>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UoZ</w:t>
            </w:r>
          </w:p>
        </w:tc>
        <w:tc>
          <w:tcPr>
            <w:tcW w:w="1115" w:type="dxa"/>
            <w:tcBorders>
              <w:top w:val="single" w:sz="4" w:space="0" w:color="auto"/>
              <w:left w:val="single" w:sz="4"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VPM</w:t>
            </w:r>
          </w:p>
        </w:tc>
        <w:tc>
          <w:tcPr>
            <w:tcW w:w="1143" w:type="dxa"/>
            <w:tcBorders>
              <w:top w:val="single" w:sz="4" w:space="0" w:color="auto"/>
              <w:left w:val="single" w:sz="4" w:space="0" w:color="auto"/>
              <w:bottom w:val="single" w:sz="12" w:space="0" w:color="auto"/>
              <w:right w:val="nil"/>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UoZ/</w:t>
            </w:r>
            <w:r w:rsidRPr="00AD2DBC">
              <w:rPr>
                <w:rFonts w:asciiTheme="minorHAnsi" w:hAnsiTheme="minorHAnsi" w:cstheme="minorHAnsi"/>
                <w:sz w:val="24"/>
              </w:rPr>
              <w:br/>
              <w:t>1 VPM</w:t>
            </w:r>
          </w:p>
        </w:tc>
        <w:tc>
          <w:tcPr>
            <w:tcW w:w="1147" w:type="dxa"/>
            <w:tcBorders>
              <w:top w:val="single" w:sz="4" w:space="0" w:color="auto"/>
              <w:left w:val="single" w:sz="12"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UoZ</w:t>
            </w:r>
          </w:p>
        </w:tc>
        <w:tc>
          <w:tcPr>
            <w:tcW w:w="1012" w:type="dxa"/>
            <w:tcBorders>
              <w:top w:val="single" w:sz="4" w:space="0" w:color="auto"/>
              <w:left w:val="single" w:sz="4"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VPM</w:t>
            </w:r>
          </w:p>
        </w:tc>
        <w:tc>
          <w:tcPr>
            <w:tcW w:w="1180" w:type="dxa"/>
            <w:tcBorders>
              <w:top w:val="single" w:sz="4" w:space="0" w:color="auto"/>
              <w:left w:val="single" w:sz="4"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sz w:val="24"/>
              </w:rPr>
            </w:pPr>
            <w:r w:rsidRPr="00AD2DBC">
              <w:rPr>
                <w:rFonts w:asciiTheme="minorHAnsi" w:hAnsiTheme="minorHAnsi" w:cstheme="minorHAnsi"/>
                <w:sz w:val="24"/>
              </w:rPr>
              <w:t>UoZ/</w:t>
            </w:r>
            <w:r w:rsidRPr="00AD2DBC">
              <w:rPr>
                <w:rFonts w:asciiTheme="minorHAnsi" w:hAnsiTheme="minorHAnsi" w:cstheme="minorHAnsi"/>
                <w:sz w:val="24"/>
              </w:rPr>
              <w:br/>
              <w:t>1 VPM</w:t>
            </w:r>
          </w:p>
        </w:tc>
      </w:tr>
      <w:tr w:rsidR="00BF3B12" w:rsidRPr="00AD2DBC" w:rsidTr="00027ABA">
        <w:trPr>
          <w:cantSplit/>
          <w:trHeight w:val="270"/>
        </w:trPr>
        <w:tc>
          <w:tcPr>
            <w:tcW w:w="2510" w:type="dxa"/>
            <w:tcBorders>
              <w:top w:val="single" w:sz="12" w:space="0" w:color="auto"/>
              <w:left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bez vzdělání</w:t>
            </w:r>
          </w:p>
        </w:tc>
        <w:tc>
          <w:tcPr>
            <w:tcW w:w="1147" w:type="dxa"/>
            <w:tcBorders>
              <w:top w:val="single" w:sz="12" w:space="0" w:color="auto"/>
              <w:left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761</w:t>
            </w:r>
          </w:p>
        </w:tc>
        <w:tc>
          <w:tcPr>
            <w:tcW w:w="1115" w:type="dxa"/>
            <w:tcBorders>
              <w:top w:val="single" w:sz="12" w:space="0" w:color="auto"/>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w:t>
            </w:r>
          </w:p>
        </w:tc>
        <w:tc>
          <w:tcPr>
            <w:tcW w:w="1143" w:type="dxa"/>
            <w:tcBorders>
              <w:top w:val="single" w:sz="12" w:space="0" w:color="auto"/>
              <w:left w:val="single" w:sz="4" w:space="0" w:color="auto"/>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190,3</w:t>
            </w:r>
          </w:p>
        </w:tc>
        <w:tc>
          <w:tcPr>
            <w:tcW w:w="1147" w:type="dxa"/>
            <w:tcBorders>
              <w:top w:val="single" w:sz="12" w:space="0" w:color="auto"/>
              <w:left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905</w:t>
            </w:r>
          </w:p>
        </w:tc>
        <w:tc>
          <w:tcPr>
            <w:tcW w:w="1012" w:type="dxa"/>
            <w:tcBorders>
              <w:top w:val="single" w:sz="12" w:space="0" w:color="auto"/>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58</w:t>
            </w:r>
          </w:p>
        </w:tc>
        <w:tc>
          <w:tcPr>
            <w:tcW w:w="1180" w:type="dxa"/>
            <w:tcBorders>
              <w:top w:val="single" w:sz="12" w:space="0" w:color="auto"/>
              <w:left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15,6</w:t>
            </w:r>
          </w:p>
        </w:tc>
      </w:tr>
      <w:tr w:rsidR="00BF3B12" w:rsidRPr="00AD2DBC" w:rsidTr="00027ABA">
        <w:trPr>
          <w:cantSplit/>
          <w:trHeight w:val="270"/>
        </w:trPr>
        <w:tc>
          <w:tcPr>
            <w:tcW w:w="2510" w:type="dxa"/>
            <w:tcBorders>
              <w:left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základní vzdělání</w:t>
            </w:r>
          </w:p>
        </w:tc>
        <w:tc>
          <w:tcPr>
            <w:tcW w:w="1147" w:type="dxa"/>
            <w:tcBorders>
              <w:left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26 097</w:t>
            </w:r>
          </w:p>
        </w:tc>
        <w:tc>
          <w:tcPr>
            <w:tcW w:w="1115"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454</w:t>
            </w:r>
          </w:p>
        </w:tc>
        <w:tc>
          <w:tcPr>
            <w:tcW w:w="1143" w:type="dxa"/>
            <w:tcBorders>
              <w:left w:val="single" w:sz="4" w:space="0" w:color="auto"/>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57,5</w:t>
            </w:r>
          </w:p>
        </w:tc>
        <w:tc>
          <w:tcPr>
            <w:tcW w:w="1147" w:type="dxa"/>
            <w:tcBorders>
              <w:left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24 502</w:t>
            </w:r>
          </w:p>
        </w:tc>
        <w:tc>
          <w:tcPr>
            <w:tcW w:w="1012"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1 340</w:t>
            </w:r>
          </w:p>
        </w:tc>
        <w:tc>
          <w:tcPr>
            <w:tcW w:w="1180" w:type="dxa"/>
            <w:tcBorders>
              <w:left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18,3</w:t>
            </w:r>
          </w:p>
        </w:tc>
      </w:tr>
      <w:tr w:rsidR="00BF3B12" w:rsidRPr="00AD2DBC" w:rsidTr="00027ABA">
        <w:trPr>
          <w:cantSplit/>
          <w:trHeight w:val="555"/>
        </w:trPr>
        <w:tc>
          <w:tcPr>
            <w:tcW w:w="2510" w:type="dxa"/>
            <w:tcBorders>
              <w:left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střední odborné (SOU+OU+OŠ)</w:t>
            </w:r>
          </w:p>
        </w:tc>
        <w:tc>
          <w:tcPr>
            <w:tcW w:w="1147" w:type="dxa"/>
            <w:tcBorders>
              <w:left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40 382</w:t>
            </w:r>
          </w:p>
        </w:tc>
        <w:tc>
          <w:tcPr>
            <w:tcW w:w="1115"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1 081</w:t>
            </w:r>
          </w:p>
        </w:tc>
        <w:tc>
          <w:tcPr>
            <w:tcW w:w="1143" w:type="dxa"/>
            <w:tcBorders>
              <w:left w:val="single" w:sz="4" w:space="0" w:color="auto"/>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37,4</w:t>
            </w:r>
          </w:p>
        </w:tc>
        <w:tc>
          <w:tcPr>
            <w:tcW w:w="1147" w:type="dxa"/>
            <w:tcBorders>
              <w:left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37 420</w:t>
            </w:r>
          </w:p>
        </w:tc>
        <w:tc>
          <w:tcPr>
            <w:tcW w:w="1012"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2 698</w:t>
            </w:r>
          </w:p>
        </w:tc>
        <w:tc>
          <w:tcPr>
            <w:tcW w:w="1180" w:type="dxa"/>
            <w:tcBorders>
              <w:left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13,9</w:t>
            </w:r>
          </w:p>
        </w:tc>
      </w:tr>
      <w:tr w:rsidR="00BF3B12" w:rsidRPr="00AD2DBC" w:rsidTr="00027ABA">
        <w:trPr>
          <w:cantSplit/>
          <w:trHeight w:val="634"/>
        </w:trPr>
        <w:tc>
          <w:tcPr>
            <w:tcW w:w="2510" w:type="dxa"/>
            <w:tcBorders>
              <w:left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střední odborné s maturitou (SOU+SOŠ)</w:t>
            </w:r>
          </w:p>
        </w:tc>
        <w:tc>
          <w:tcPr>
            <w:tcW w:w="1147" w:type="dxa"/>
            <w:tcBorders>
              <w:left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16 222</w:t>
            </w:r>
          </w:p>
        </w:tc>
        <w:tc>
          <w:tcPr>
            <w:tcW w:w="1115"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518</w:t>
            </w:r>
          </w:p>
        </w:tc>
        <w:tc>
          <w:tcPr>
            <w:tcW w:w="1143" w:type="dxa"/>
            <w:tcBorders>
              <w:left w:val="single" w:sz="4" w:space="0" w:color="auto"/>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31,3</w:t>
            </w:r>
          </w:p>
        </w:tc>
        <w:tc>
          <w:tcPr>
            <w:tcW w:w="1147" w:type="dxa"/>
            <w:tcBorders>
              <w:left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14 633</w:t>
            </w:r>
          </w:p>
        </w:tc>
        <w:tc>
          <w:tcPr>
            <w:tcW w:w="1012"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909</w:t>
            </w:r>
          </w:p>
        </w:tc>
        <w:tc>
          <w:tcPr>
            <w:tcW w:w="1180" w:type="dxa"/>
            <w:tcBorders>
              <w:left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16,1</w:t>
            </w:r>
          </w:p>
        </w:tc>
      </w:tr>
      <w:tr w:rsidR="00BF3B12" w:rsidRPr="00AD2DBC" w:rsidTr="00027ABA">
        <w:trPr>
          <w:cantSplit/>
          <w:trHeight w:val="270"/>
        </w:trPr>
        <w:tc>
          <w:tcPr>
            <w:tcW w:w="2510" w:type="dxa"/>
            <w:tcBorders>
              <w:left w:val="single" w:sz="12" w:space="0" w:color="auto"/>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střední všeobecné</w:t>
            </w:r>
          </w:p>
        </w:tc>
        <w:tc>
          <w:tcPr>
            <w:tcW w:w="1147" w:type="dxa"/>
            <w:tcBorders>
              <w:left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2 057</w:t>
            </w:r>
          </w:p>
        </w:tc>
        <w:tc>
          <w:tcPr>
            <w:tcW w:w="1115"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71</w:t>
            </w:r>
          </w:p>
        </w:tc>
        <w:tc>
          <w:tcPr>
            <w:tcW w:w="1143" w:type="dxa"/>
            <w:tcBorders>
              <w:left w:val="single" w:sz="4" w:space="0" w:color="auto"/>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29,0</w:t>
            </w:r>
          </w:p>
        </w:tc>
        <w:tc>
          <w:tcPr>
            <w:tcW w:w="1147" w:type="dxa"/>
            <w:tcBorders>
              <w:left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2 289</w:t>
            </w:r>
          </w:p>
        </w:tc>
        <w:tc>
          <w:tcPr>
            <w:tcW w:w="1012" w:type="dxa"/>
            <w:tcBorders>
              <w:left w:val="single" w:sz="4" w:space="0" w:color="auto"/>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120</w:t>
            </w:r>
          </w:p>
        </w:tc>
        <w:tc>
          <w:tcPr>
            <w:tcW w:w="1180" w:type="dxa"/>
            <w:tcBorders>
              <w:left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19,1</w:t>
            </w:r>
          </w:p>
        </w:tc>
      </w:tr>
      <w:tr w:rsidR="00BF3B12" w:rsidRPr="00AD2DBC" w:rsidTr="00027ABA">
        <w:trPr>
          <w:cantSplit/>
          <w:trHeight w:val="270"/>
        </w:trPr>
        <w:tc>
          <w:tcPr>
            <w:tcW w:w="2510" w:type="dxa"/>
            <w:tcBorders>
              <w:left w:val="single" w:sz="12" w:space="0" w:color="auto"/>
              <w:bottom w:val="nil"/>
              <w:right w:val="single" w:sz="12" w:space="0" w:color="auto"/>
            </w:tcBorders>
          </w:tcPr>
          <w:p w:rsidR="00BF3B12" w:rsidRPr="00AD2DBC" w:rsidRDefault="00BF3B12" w:rsidP="00027ABA">
            <w:pPr>
              <w:rPr>
                <w:rFonts w:asciiTheme="minorHAnsi" w:hAnsiTheme="minorHAnsi" w:cstheme="minorHAnsi"/>
                <w:snapToGrid w:val="0"/>
                <w:sz w:val="24"/>
              </w:rPr>
            </w:pPr>
            <w:r w:rsidRPr="00AD2DBC">
              <w:rPr>
                <w:rFonts w:asciiTheme="minorHAnsi" w:hAnsiTheme="minorHAnsi" w:cstheme="minorHAnsi"/>
                <w:snapToGrid w:val="0"/>
                <w:sz w:val="24"/>
              </w:rPr>
              <w:t>vysokoškolské</w:t>
            </w:r>
          </w:p>
        </w:tc>
        <w:tc>
          <w:tcPr>
            <w:tcW w:w="1147" w:type="dxa"/>
            <w:tcBorders>
              <w:left w:val="nil"/>
              <w:bottom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4 457</w:t>
            </w:r>
          </w:p>
        </w:tc>
        <w:tc>
          <w:tcPr>
            <w:tcW w:w="1115" w:type="dxa"/>
            <w:tcBorders>
              <w:left w:val="single" w:sz="4" w:space="0" w:color="auto"/>
              <w:bottom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152</w:t>
            </w:r>
          </w:p>
        </w:tc>
        <w:tc>
          <w:tcPr>
            <w:tcW w:w="1143" w:type="dxa"/>
            <w:tcBorders>
              <w:left w:val="single" w:sz="4" w:space="0" w:color="auto"/>
              <w:bottom w:val="nil"/>
              <w:right w:val="nil"/>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29,3</w:t>
            </w:r>
          </w:p>
        </w:tc>
        <w:tc>
          <w:tcPr>
            <w:tcW w:w="1147" w:type="dxa"/>
            <w:tcBorders>
              <w:left w:val="single" w:sz="12" w:space="0" w:color="auto"/>
              <w:bottom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4 128</w:t>
            </w:r>
          </w:p>
        </w:tc>
        <w:tc>
          <w:tcPr>
            <w:tcW w:w="1012" w:type="dxa"/>
            <w:tcBorders>
              <w:left w:val="single" w:sz="4" w:space="0" w:color="auto"/>
              <w:bottom w:val="nil"/>
              <w:right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274</w:t>
            </w:r>
          </w:p>
        </w:tc>
        <w:tc>
          <w:tcPr>
            <w:tcW w:w="1180" w:type="dxa"/>
            <w:tcBorders>
              <w:left w:val="single" w:sz="4" w:space="0" w:color="auto"/>
              <w:bottom w:val="nil"/>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15,1</w:t>
            </w:r>
          </w:p>
        </w:tc>
      </w:tr>
      <w:tr w:rsidR="00BF3B12" w:rsidRPr="00AD2DBC" w:rsidTr="00027ABA">
        <w:trPr>
          <w:cantSplit/>
          <w:trHeight w:val="285"/>
        </w:trPr>
        <w:tc>
          <w:tcPr>
            <w:tcW w:w="2510" w:type="dxa"/>
            <w:tcBorders>
              <w:top w:val="single" w:sz="12" w:space="0" w:color="auto"/>
              <w:left w:val="single" w:sz="12" w:space="0" w:color="auto"/>
              <w:bottom w:val="single" w:sz="12" w:space="0" w:color="auto"/>
              <w:right w:val="single" w:sz="12" w:space="0" w:color="auto"/>
            </w:tcBorders>
          </w:tcPr>
          <w:p w:rsidR="00BF3B12" w:rsidRPr="00AD2DBC" w:rsidRDefault="00BF3B12" w:rsidP="00027ABA">
            <w:pPr>
              <w:rPr>
                <w:rFonts w:asciiTheme="minorHAnsi" w:hAnsiTheme="minorHAnsi" w:cstheme="minorHAnsi"/>
                <w:b/>
                <w:bCs/>
                <w:snapToGrid w:val="0"/>
                <w:sz w:val="24"/>
              </w:rPr>
            </w:pPr>
            <w:r w:rsidRPr="00AD2DBC">
              <w:rPr>
                <w:rFonts w:asciiTheme="minorHAnsi" w:hAnsiTheme="minorHAnsi" w:cstheme="minorHAnsi"/>
                <w:b/>
                <w:bCs/>
                <w:snapToGrid w:val="0"/>
                <w:sz w:val="24"/>
              </w:rPr>
              <w:t>celkem</w:t>
            </w:r>
          </w:p>
        </w:tc>
        <w:tc>
          <w:tcPr>
            <w:tcW w:w="1147" w:type="dxa"/>
            <w:tcBorders>
              <w:top w:val="single" w:sz="12" w:space="0" w:color="auto"/>
              <w:left w:val="nil"/>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89 976</w:t>
            </w:r>
          </w:p>
        </w:tc>
        <w:tc>
          <w:tcPr>
            <w:tcW w:w="1115" w:type="dxa"/>
            <w:tcBorders>
              <w:top w:val="single" w:sz="12" w:space="0" w:color="auto"/>
              <w:left w:val="single" w:sz="4"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2 280</w:t>
            </w:r>
          </w:p>
        </w:tc>
        <w:tc>
          <w:tcPr>
            <w:tcW w:w="1143" w:type="dxa"/>
            <w:tcBorders>
              <w:top w:val="single" w:sz="12" w:space="0" w:color="auto"/>
              <w:left w:val="single" w:sz="4" w:space="0" w:color="auto"/>
              <w:bottom w:val="single" w:sz="12" w:space="0" w:color="auto"/>
              <w:right w:val="nil"/>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39,5</w:t>
            </w:r>
          </w:p>
        </w:tc>
        <w:tc>
          <w:tcPr>
            <w:tcW w:w="1147" w:type="dxa"/>
            <w:tcBorders>
              <w:top w:val="single" w:sz="12" w:space="0" w:color="auto"/>
              <w:left w:val="single" w:sz="12"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83 877</w:t>
            </w:r>
          </w:p>
        </w:tc>
        <w:tc>
          <w:tcPr>
            <w:tcW w:w="1012" w:type="dxa"/>
            <w:tcBorders>
              <w:top w:val="single" w:sz="12" w:space="0" w:color="auto"/>
              <w:left w:val="single" w:sz="4" w:space="0" w:color="auto"/>
              <w:bottom w:val="single" w:sz="12" w:space="0" w:color="auto"/>
              <w:right w:val="single" w:sz="4"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5 399</w:t>
            </w:r>
          </w:p>
        </w:tc>
        <w:tc>
          <w:tcPr>
            <w:tcW w:w="1180" w:type="dxa"/>
            <w:tcBorders>
              <w:top w:val="single" w:sz="12" w:space="0" w:color="auto"/>
              <w:left w:val="single" w:sz="4"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15,5</w:t>
            </w:r>
          </w:p>
        </w:tc>
      </w:tr>
    </w:tbl>
    <w:p w:rsidR="00BF3B12" w:rsidRPr="00AD2DBC" w:rsidRDefault="00BF3B12" w:rsidP="00BF3B12">
      <w:pPr>
        <w:rPr>
          <w:rFonts w:asciiTheme="minorHAnsi" w:hAnsiTheme="minorHAnsi" w:cstheme="minorHAnsi"/>
          <w:bCs/>
          <w:iCs/>
          <w:sz w:val="24"/>
        </w:rPr>
      </w:pPr>
    </w:p>
    <w:p w:rsidR="00BF3B12" w:rsidRPr="00AD2DBC" w:rsidRDefault="00BF3B12" w:rsidP="00BF3B12">
      <w:pPr>
        <w:ind w:firstLine="709"/>
        <w:jc w:val="both"/>
        <w:rPr>
          <w:rFonts w:asciiTheme="minorHAnsi" w:hAnsiTheme="minorHAnsi" w:cstheme="minorHAnsi"/>
          <w:bCs/>
          <w:iCs/>
          <w:sz w:val="24"/>
        </w:rPr>
      </w:pPr>
      <w:r w:rsidRPr="00AD2DBC">
        <w:rPr>
          <w:rFonts w:asciiTheme="minorHAnsi" w:hAnsiTheme="minorHAnsi" w:cstheme="minorHAnsi"/>
          <w:bCs/>
          <w:iCs/>
          <w:sz w:val="24"/>
        </w:rPr>
        <w:t>Nejhorší podíl uchazečů připadajících na jedno VPM jsme zaznamenali u n</w:t>
      </w:r>
      <w:r>
        <w:rPr>
          <w:rFonts w:asciiTheme="minorHAnsi" w:hAnsiTheme="minorHAnsi" w:cstheme="minorHAnsi"/>
          <w:bCs/>
          <w:iCs/>
          <w:sz w:val="24"/>
        </w:rPr>
        <w:t xml:space="preserve">ezaměstnaných osob </w:t>
      </w:r>
      <w:r w:rsidRPr="00AD2DBC">
        <w:rPr>
          <w:rFonts w:asciiTheme="minorHAnsi" w:hAnsiTheme="minorHAnsi" w:cstheme="minorHAnsi"/>
          <w:bCs/>
          <w:iCs/>
          <w:sz w:val="24"/>
        </w:rPr>
        <w:t xml:space="preserve">se </w:t>
      </w:r>
      <w:r>
        <w:rPr>
          <w:rFonts w:asciiTheme="minorHAnsi" w:hAnsiTheme="minorHAnsi" w:cstheme="minorHAnsi"/>
          <w:bCs/>
          <w:iCs/>
          <w:sz w:val="24"/>
        </w:rPr>
        <w:t xml:space="preserve">středním všeobecným vzděláním a se </w:t>
      </w:r>
      <w:r w:rsidRPr="00AD2DBC">
        <w:rPr>
          <w:rFonts w:asciiTheme="minorHAnsi" w:hAnsiTheme="minorHAnsi" w:cstheme="minorHAnsi"/>
          <w:bCs/>
          <w:iCs/>
          <w:sz w:val="24"/>
        </w:rPr>
        <w:t>základním vzděláním.</w:t>
      </w:r>
    </w:p>
    <w:p w:rsidR="00BF3B12" w:rsidRPr="00AD2DBC" w:rsidRDefault="00BF3B12" w:rsidP="00BF3B12">
      <w:pPr>
        <w:jc w:val="both"/>
        <w:rPr>
          <w:rFonts w:asciiTheme="minorHAnsi" w:hAnsiTheme="minorHAnsi" w:cstheme="minorHAnsi"/>
          <w:bCs/>
          <w:iCs/>
          <w:sz w:val="24"/>
        </w:rPr>
      </w:pPr>
    </w:p>
    <w:p w:rsidR="00BF3B12" w:rsidRPr="00AD2DBC" w:rsidRDefault="00BF3B12" w:rsidP="00BF3B12">
      <w:pPr>
        <w:pStyle w:val="Nadpis6"/>
        <w:rPr>
          <w:rFonts w:asciiTheme="minorHAnsi" w:hAnsiTheme="minorHAnsi" w:cstheme="minorHAnsi"/>
        </w:rPr>
      </w:pPr>
      <w:r w:rsidRPr="00AD2DBC">
        <w:rPr>
          <w:rFonts w:asciiTheme="minorHAnsi" w:hAnsiTheme="minorHAnsi" w:cstheme="minorHAnsi"/>
        </w:rPr>
        <w:t>5.1 Dlouhodobě evidovaná volná pracovní místa</w:t>
      </w:r>
    </w:p>
    <w:p w:rsidR="00BF3B12" w:rsidRPr="00AD2DBC" w:rsidRDefault="00BF3B12" w:rsidP="00BF3B12">
      <w:pPr>
        <w:pStyle w:val="dka"/>
        <w:rPr>
          <w:rFonts w:asciiTheme="minorHAnsi" w:hAnsiTheme="minorHAnsi" w:cstheme="minorHAnsi"/>
          <w:b/>
          <w:bCs/>
          <w:i/>
          <w:iCs/>
          <w:color w:val="auto"/>
        </w:rPr>
      </w:pP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 xml:space="preserve">I přes výraznou převahu nezaměstnaných osob nad evidovanou poptávkou po pracovnících, zůstávají v databázích kontaktních pracovišť našeho kraje některá VPM delší dobu. Na základě pokynu MPSV ČR jsou od posledního čtvrtletí 2002 za dlouhodobě evidovaná považována taková VPM, která se nedaří obsadit déle než 3 měsíce. </w:t>
      </w:r>
    </w:p>
    <w:p w:rsidR="00BF3B12" w:rsidRDefault="00BF3B12" w:rsidP="00BF3B12">
      <w:pPr>
        <w:pStyle w:val="dka"/>
        <w:rPr>
          <w:rFonts w:asciiTheme="minorHAnsi" w:hAnsiTheme="minorHAnsi" w:cstheme="minorHAnsi"/>
          <w:snapToGrid/>
          <w:color w:val="auto"/>
        </w:rPr>
      </w:pPr>
    </w:p>
    <w:p w:rsidR="00BF3B12" w:rsidRPr="00AD2DBC" w:rsidRDefault="00BF3B12" w:rsidP="00BF3B12">
      <w:pPr>
        <w:pStyle w:val="dka"/>
        <w:rPr>
          <w:rFonts w:asciiTheme="minorHAnsi" w:hAnsiTheme="minorHAnsi" w:cstheme="minorHAnsi"/>
          <w:b/>
          <w:color w:val="auto"/>
        </w:rPr>
      </w:pPr>
    </w:p>
    <w:p w:rsidR="00BF3B12" w:rsidRPr="00AD2DBC" w:rsidRDefault="00BF3B12" w:rsidP="00BF3B12">
      <w:pPr>
        <w:pStyle w:val="dka"/>
        <w:rPr>
          <w:rFonts w:asciiTheme="minorHAnsi" w:hAnsiTheme="minorHAnsi" w:cstheme="minorHAnsi"/>
          <w:color w:val="auto"/>
        </w:rPr>
      </w:pPr>
      <w:r w:rsidRPr="00AD2DBC">
        <w:rPr>
          <w:rFonts w:asciiTheme="minorHAnsi" w:hAnsiTheme="minorHAnsi" w:cstheme="minorHAnsi"/>
          <w:b/>
          <w:color w:val="auto"/>
        </w:rPr>
        <w:t xml:space="preserve">Tabulka II/6 - </w:t>
      </w:r>
      <w:r w:rsidRPr="00AD2DBC">
        <w:rPr>
          <w:rFonts w:asciiTheme="minorHAnsi" w:hAnsiTheme="minorHAnsi" w:cstheme="minorHAnsi"/>
          <w:color w:val="auto"/>
        </w:rPr>
        <w:t>DE VPM podle CZ-ISCO</w:t>
      </w:r>
    </w:p>
    <w:tbl>
      <w:tblPr>
        <w:tblW w:w="9327" w:type="dxa"/>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350"/>
        <w:gridCol w:w="3840"/>
        <w:gridCol w:w="873"/>
        <w:gridCol w:w="698"/>
        <w:gridCol w:w="930"/>
        <w:gridCol w:w="904"/>
        <w:gridCol w:w="801"/>
        <w:gridCol w:w="931"/>
      </w:tblGrid>
      <w:tr w:rsidR="00BF3B12" w:rsidRPr="00AD2DBC" w:rsidTr="00027ABA">
        <w:trPr>
          <w:cantSplit/>
          <w:trHeight w:val="288"/>
        </w:trPr>
        <w:tc>
          <w:tcPr>
            <w:tcW w:w="4190" w:type="dxa"/>
            <w:gridSpan w:val="2"/>
            <w:vMerge w:val="restart"/>
            <w:tcBorders>
              <w:top w:val="single" w:sz="12" w:space="0" w:color="auto"/>
              <w:left w:val="single" w:sz="12" w:space="0" w:color="auto"/>
              <w:right w:val="single" w:sz="12" w:space="0" w:color="auto"/>
            </w:tcBorders>
            <w:vAlign w:val="center"/>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třída CZ-ISCO</w:t>
            </w:r>
          </w:p>
        </w:tc>
        <w:tc>
          <w:tcPr>
            <w:tcW w:w="2501" w:type="dxa"/>
            <w:gridSpan w:val="3"/>
            <w:tcBorders>
              <w:top w:val="single" w:sz="12" w:space="0" w:color="auto"/>
              <w:left w:val="nil"/>
              <w:bottom w:val="nil"/>
              <w:right w:val="single" w:sz="12" w:space="0" w:color="auto"/>
            </w:tcBorders>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31.12.201</w:t>
            </w:r>
            <w:r>
              <w:rPr>
                <w:rFonts w:asciiTheme="minorHAnsi" w:hAnsiTheme="minorHAnsi" w:cstheme="minorHAnsi"/>
                <w:color w:val="auto"/>
              </w:rPr>
              <w:t>3</w:t>
            </w:r>
          </w:p>
        </w:tc>
        <w:tc>
          <w:tcPr>
            <w:tcW w:w="2636" w:type="dxa"/>
            <w:gridSpan w:val="3"/>
            <w:tcBorders>
              <w:top w:val="single" w:sz="12" w:space="0" w:color="auto"/>
              <w:left w:val="nil"/>
              <w:bottom w:val="nil"/>
            </w:tcBorders>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31.12.201</w:t>
            </w:r>
            <w:r>
              <w:rPr>
                <w:rFonts w:asciiTheme="minorHAnsi" w:hAnsiTheme="minorHAnsi" w:cstheme="minorHAnsi"/>
                <w:color w:val="auto"/>
              </w:rPr>
              <w:t>4</w:t>
            </w:r>
          </w:p>
        </w:tc>
      </w:tr>
      <w:tr w:rsidR="00BF3B12" w:rsidRPr="00AD2DBC" w:rsidTr="00027ABA">
        <w:trPr>
          <w:cantSplit/>
          <w:trHeight w:val="1515"/>
        </w:trPr>
        <w:tc>
          <w:tcPr>
            <w:tcW w:w="4190" w:type="dxa"/>
            <w:gridSpan w:val="2"/>
            <w:vMerge/>
            <w:tcBorders>
              <w:left w:val="single" w:sz="12" w:space="0" w:color="auto"/>
              <w:right w:val="single" w:sz="12" w:space="0" w:color="auto"/>
            </w:tcBorders>
          </w:tcPr>
          <w:p w:rsidR="00BF3B12" w:rsidRPr="00AD2DBC" w:rsidRDefault="00BF3B12" w:rsidP="00027ABA">
            <w:pPr>
              <w:pStyle w:val="Texttabulky"/>
              <w:rPr>
                <w:rFonts w:asciiTheme="minorHAnsi" w:hAnsiTheme="minorHAnsi" w:cstheme="minorHAnsi"/>
                <w:color w:val="auto"/>
              </w:rPr>
            </w:pPr>
          </w:p>
        </w:tc>
        <w:tc>
          <w:tcPr>
            <w:tcW w:w="873" w:type="dxa"/>
            <w:tcBorders>
              <w:top w:val="single" w:sz="6" w:space="0" w:color="auto"/>
              <w:left w:val="nil"/>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VPM celkem</w:t>
            </w:r>
          </w:p>
        </w:tc>
        <w:tc>
          <w:tcPr>
            <w:tcW w:w="698" w:type="dxa"/>
            <w:tcBorders>
              <w:top w:val="single" w:sz="6" w:space="0" w:color="auto"/>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DE VPM</w:t>
            </w:r>
          </w:p>
        </w:tc>
        <w:tc>
          <w:tcPr>
            <w:tcW w:w="930" w:type="dxa"/>
            <w:tcBorders>
              <w:top w:val="single" w:sz="6" w:space="0" w:color="auto"/>
              <w:bottom w:val="single" w:sz="4" w:space="0" w:color="auto"/>
              <w:right w:val="single" w:sz="12" w:space="0" w:color="auto"/>
            </w:tcBorders>
            <w:textDirection w:val="btL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podíl DE VPM na celkovém počtu VPM</w:t>
            </w:r>
          </w:p>
        </w:tc>
        <w:tc>
          <w:tcPr>
            <w:tcW w:w="904" w:type="dxa"/>
            <w:tcBorders>
              <w:left w:val="nil"/>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VPM celkem</w:t>
            </w:r>
          </w:p>
        </w:tc>
        <w:tc>
          <w:tcPr>
            <w:tcW w:w="801" w:type="dxa"/>
            <w:tcBorders>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DE VPM</w:t>
            </w:r>
          </w:p>
        </w:tc>
        <w:tc>
          <w:tcPr>
            <w:tcW w:w="931" w:type="dxa"/>
            <w:tcBorders>
              <w:bottom w:val="single" w:sz="4" w:space="0" w:color="auto"/>
            </w:tcBorders>
            <w:textDirection w:val="btL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podíl DE VPM na celkovém počtu VPM</w:t>
            </w:r>
          </w:p>
        </w:tc>
      </w:tr>
      <w:tr w:rsidR="00BF3B12" w:rsidRPr="00AD2DBC" w:rsidTr="00027ABA">
        <w:trPr>
          <w:cantSplit/>
          <w:trHeight w:val="146"/>
        </w:trPr>
        <w:tc>
          <w:tcPr>
            <w:tcW w:w="4190" w:type="dxa"/>
            <w:gridSpan w:val="2"/>
            <w:vMerge/>
            <w:tcBorders>
              <w:left w:val="single" w:sz="12" w:space="0" w:color="auto"/>
              <w:bottom w:val="single" w:sz="6" w:space="0" w:color="auto"/>
              <w:right w:val="single" w:sz="12" w:space="0" w:color="auto"/>
            </w:tcBorders>
          </w:tcPr>
          <w:p w:rsidR="00BF3B12" w:rsidRPr="00AD2DBC" w:rsidRDefault="00BF3B12" w:rsidP="00027ABA">
            <w:pPr>
              <w:rPr>
                <w:rFonts w:asciiTheme="minorHAnsi" w:hAnsiTheme="minorHAnsi" w:cstheme="minorHAnsi"/>
                <w:snapToGrid w:val="0"/>
              </w:rPr>
            </w:pPr>
          </w:p>
        </w:tc>
        <w:tc>
          <w:tcPr>
            <w:tcW w:w="873" w:type="dxa"/>
            <w:tcBorders>
              <w:top w:val="single" w:sz="4" w:space="0" w:color="auto"/>
              <w:left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počet</w:t>
            </w:r>
          </w:p>
        </w:tc>
        <w:tc>
          <w:tcPr>
            <w:tcW w:w="698"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počet</w:t>
            </w:r>
          </w:p>
        </w:tc>
        <w:tc>
          <w:tcPr>
            <w:tcW w:w="930" w:type="dxa"/>
            <w:tcBorders>
              <w:top w:val="single" w:sz="4"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w:t>
            </w:r>
          </w:p>
        </w:tc>
        <w:tc>
          <w:tcPr>
            <w:tcW w:w="904" w:type="dxa"/>
            <w:tcBorders>
              <w:top w:val="single" w:sz="4" w:space="0" w:color="auto"/>
              <w:left w:val="nil"/>
              <w:bottom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počet</w:t>
            </w:r>
          </w:p>
        </w:tc>
        <w:tc>
          <w:tcPr>
            <w:tcW w:w="801"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počet</w:t>
            </w:r>
          </w:p>
        </w:tc>
        <w:tc>
          <w:tcPr>
            <w:tcW w:w="931"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rPr>
            </w:pPr>
            <w:r w:rsidRPr="00AD2DBC">
              <w:rPr>
                <w:rFonts w:asciiTheme="minorHAnsi" w:hAnsiTheme="minorHAnsi" w:cstheme="minorHAnsi"/>
                <w:snapToGrid w:val="0"/>
              </w:rPr>
              <w:t>%</w:t>
            </w:r>
          </w:p>
        </w:tc>
      </w:tr>
      <w:tr w:rsidR="00BF3B12" w:rsidRPr="00AD2DBC" w:rsidTr="00027ABA">
        <w:trPr>
          <w:trHeight w:val="284"/>
        </w:trPr>
        <w:tc>
          <w:tcPr>
            <w:tcW w:w="350" w:type="dxa"/>
            <w:tcBorders>
              <w:top w:val="single" w:sz="12" w:space="0" w:color="auto"/>
              <w:bottom w:val="single" w:sz="6" w:space="0" w:color="auto"/>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 xml:space="preserve">0. </w:t>
            </w:r>
          </w:p>
        </w:tc>
        <w:tc>
          <w:tcPr>
            <w:tcW w:w="3840" w:type="dxa"/>
            <w:tcBorders>
              <w:top w:val="single" w:sz="12" w:space="0" w:color="auto"/>
              <w:left w:val="nil"/>
              <w:bottom w:val="single" w:sz="4" w:space="0" w:color="auto"/>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Zaměstnanci v ozbrojených silách</w:t>
            </w:r>
          </w:p>
        </w:tc>
        <w:tc>
          <w:tcPr>
            <w:tcW w:w="873" w:type="dxa"/>
            <w:tcBorders>
              <w:top w:val="single" w:sz="12" w:space="0" w:color="auto"/>
              <w:left w:val="single" w:sz="12" w:space="0" w:color="auto"/>
              <w:bottom w:val="single" w:sz="4"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0</w:t>
            </w:r>
          </w:p>
        </w:tc>
        <w:tc>
          <w:tcPr>
            <w:tcW w:w="698" w:type="dxa"/>
            <w:tcBorders>
              <w:top w:val="single" w:sz="12" w:space="0" w:color="auto"/>
              <w:bottom w:val="single" w:sz="4"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0</w:t>
            </w:r>
          </w:p>
        </w:tc>
        <w:tc>
          <w:tcPr>
            <w:tcW w:w="930" w:type="dxa"/>
            <w:tcBorders>
              <w:top w:val="single" w:sz="12" w:space="0" w:color="auto"/>
              <w:bottom w:val="single" w:sz="4"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0,0</w:t>
            </w:r>
          </w:p>
        </w:tc>
        <w:tc>
          <w:tcPr>
            <w:tcW w:w="904" w:type="dxa"/>
            <w:tcBorders>
              <w:top w:val="single" w:sz="12" w:space="0" w:color="auto"/>
              <w:left w:val="nil"/>
              <w:bottom w:val="single" w:sz="4" w:space="0" w:color="auto"/>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0</w:t>
            </w:r>
          </w:p>
        </w:tc>
        <w:tc>
          <w:tcPr>
            <w:tcW w:w="801" w:type="dxa"/>
            <w:tcBorders>
              <w:top w:val="single" w:sz="12" w:space="0" w:color="auto"/>
              <w:bottom w:val="single" w:sz="4" w:space="0" w:color="auto"/>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0</w:t>
            </w:r>
          </w:p>
        </w:tc>
        <w:tc>
          <w:tcPr>
            <w:tcW w:w="931" w:type="dxa"/>
            <w:tcBorders>
              <w:top w:val="single" w:sz="12" w:space="0" w:color="auto"/>
              <w:bottom w:val="single" w:sz="4"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0,0</w:t>
            </w:r>
          </w:p>
        </w:tc>
      </w:tr>
      <w:tr w:rsidR="00BF3B12" w:rsidRPr="00AD2DBC" w:rsidTr="00027ABA">
        <w:trPr>
          <w:trHeight w:val="284"/>
        </w:trPr>
        <w:tc>
          <w:tcPr>
            <w:tcW w:w="350" w:type="dxa"/>
            <w:tcBorders>
              <w:top w:val="single" w:sz="4" w:space="0" w:color="auto"/>
              <w:bottom w:val="single" w:sz="6" w:space="0" w:color="auto"/>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1.</w:t>
            </w:r>
          </w:p>
        </w:tc>
        <w:tc>
          <w:tcPr>
            <w:tcW w:w="3840" w:type="dxa"/>
            <w:tcBorders>
              <w:top w:val="single" w:sz="4" w:space="0" w:color="auto"/>
              <w:left w:val="nil"/>
              <w:bottom w:val="single" w:sz="6" w:space="0" w:color="auto"/>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Zákonodárci a řídící pracovníci</w:t>
            </w:r>
          </w:p>
        </w:tc>
        <w:tc>
          <w:tcPr>
            <w:tcW w:w="873" w:type="dxa"/>
            <w:tcBorders>
              <w:top w:val="single" w:sz="4"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30</w:t>
            </w:r>
          </w:p>
        </w:tc>
        <w:tc>
          <w:tcPr>
            <w:tcW w:w="698" w:type="dxa"/>
            <w:tcBorders>
              <w:top w:val="single" w:sz="4"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11</w:t>
            </w:r>
          </w:p>
        </w:tc>
        <w:tc>
          <w:tcPr>
            <w:tcW w:w="930" w:type="dxa"/>
            <w:tcBorders>
              <w:top w:val="single" w:sz="4"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0,5</w:t>
            </w:r>
          </w:p>
        </w:tc>
        <w:tc>
          <w:tcPr>
            <w:tcW w:w="904" w:type="dxa"/>
            <w:tcBorders>
              <w:top w:val="single" w:sz="4" w:space="0" w:color="auto"/>
              <w:left w:val="nil"/>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78</w:t>
            </w:r>
          </w:p>
        </w:tc>
        <w:tc>
          <w:tcPr>
            <w:tcW w:w="801" w:type="dxa"/>
            <w:tcBorders>
              <w:top w:val="single" w:sz="4"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35</w:t>
            </w:r>
          </w:p>
        </w:tc>
        <w:tc>
          <w:tcPr>
            <w:tcW w:w="931" w:type="dxa"/>
            <w:tcBorders>
              <w:top w:val="single" w:sz="4"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0,6</w:t>
            </w:r>
          </w:p>
        </w:tc>
      </w:tr>
      <w:tr w:rsidR="00BF3B12" w:rsidRPr="00AD2DBC" w:rsidTr="00027ABA">
        <w:trPr>
          <w:trHeight w:val="284"/>
        </w:trPr>
        <w:tc>
          <w:tcPr>
            <w:tcW w:w="350" w:type="dxa"/>
            <w:tcBorders>
              <w:top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2.</w:t>
            </w:r>
          </w:p>
        </w:tc>
        <w:tc>
          <w:tcPr>
            <w:tcW w:w="3840" w:type="dxa"/>
            <w:tcBorders>
              <w:top w:val="nil"/>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Specialisté</w:t>
            </w:r>
          </w:p>
        </w:tc>
        <w:tc>
          <w:tcPr>
            <w:tcW w:w="873" w:type="dxa"/>
            <w:tcBorders>
              <w:top w:val="nil"/>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234</w:t>
            </w:r>
          </w:p>
        </w:tc>
        <w:tc>
          <w:tcPr>
            <w:tcW w:w="698" w:type="dxa"/>
            <w:tcBorders>
              <w:top w:val="nil"/>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110</w:t>
            </w:r>
          </w:p>
        </w:tc>
        <w:tc>
          <w:tcPr>
            <w:tcW w:w="930" w:type="dxa"/>
            <w:tcBorders>
              <w:top w:val="nil"/>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4,8</w:t>
            </w:r>
          </w:p>
        </w:tc>
        <w:tc>
          <w:tcPr>
            <w:tcW w:w="904" w:type="dxa"/>
            <w:tcBorders>
              <w:top w:val="nil"/>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379</w:t>
            </w:r>
          </w:p>
        </w:tc>
        <w:tc>
          <w:tcPr>
            <w:tcW w:w="801" w:type="dxa"/>
            <w:tcBorders>
              <w:top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181</w:t>
            </w:r>
          </w:p>
        </w:tc>
        <w:tc>
          <w:tcPr>
            <w:tcW w:w="931" w:type="dxa"/>
            <w:tcBorders>
              <w:top w:val="nil"/>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3,4</w:t>
            </w:r>
          </w:p>
        </w:tc>
      </w:tr>
      <w:tr w:rsidR="00BF3B12" w:rsidRPr="00AD2DBC" w:rsidTr="00027ABA">
        <w:trPr>
          <w:trHeight w:val="284"/>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3.</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Techničtí a odborní pracovníci</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463</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191</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8,4</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714</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275</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5,1</w:t>
            </w:r>
          </w:p>
        </w:tc>
      </w:tr>
      <w:tr w:rsidR="00BF3B12" w:rsidRPr="00AD2DBC" w:rsidTr="00027ABA">
        <w:trPr>
          <w:trHeight w:val="284"/>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4.</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Úředníci</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166</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26</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1,1</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306</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87</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1,6</w:t>
            </w:r>
          </w:p>
        </w:tc>
      </w:tr>
      <w:tr w:rsidR="00BF3B12" w:rsidRPr="00AD2DBC" w:rsidTr="00027ABA">
        <w:trPr>
          <w:trHeight w:val="284"/>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5.</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Pracovníci ve službách a prodeji</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345</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71</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3,1</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854</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266</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4,9</w:t>
            </w:r>
          </w:p>
        </w:tc>
      </w:tr>
      <w:tr w:rsidR="00BF3B12" w:rsidRPr="00AD2DBC" w:rsidTr="00027ABA">
        <w:trPr>
          <w:trHeight w:val="455"/>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6.</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Kvalifikovaní pracovníci v zemědělství, lesnictví, rybářství</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8</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5</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0,2</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24</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4</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0,1</w:t>
            </w:r>
          </w:p>
        </w:tc>
      </w:tr>
      <w:tr w:rsidR="00BF3B12" w:rsidRPr="00AD2DBC" w:rsidTr="00027ABA">
        <w:trPr>
          <w:trHeight w:val="284"/>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7.</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Řemeslníci a opraváři</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536</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227</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10,0</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1 616</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750</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13,9</w:t>
            </w:r>
          </w:p>
        </w:tc>
      </w:tr>
      <w:tr w:rsidR="00BF3B12" w:rsidRPr="00AD2DBC" w:rsidTr="00027ABA">
        <w:trPr>
          <w:trHeight w:val="284"/>
        </w:trPr>
        <w:tc>
          <w:tcPr>
            <w:tcW w:w="350" w:type="dxa"/>
            <w:tcBorders>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8.</w:t>
            </w:r>
          </w:p>
        </w:tc>
        <w:tc>
          <w:tcPr>
            <w:tcW w:w="3840" w:type="dxa"/>
            <w:tcBorders>
              <w:left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Obsluha strojů a zařízení, montéři</w:t>
            </w:r>
          </w:p>
        </w:tc>
        <w:tc>
          <w:tcPr>
            <w:tcW w:w="873"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256</w:t>
            </w:r>
          </w:p>
        </w:tc>
        <w:tc>
          <w:tcPr>
            <w:tcW w:w="69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55</w:t>
            </w:r>
          </w:p>
        </w:tc>
        <w:tc>
          <w:tcPr>
            <w:tcW w:w="930"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2,4</w:t>
            </w:r>
          </w:p>
        </w:tc>
        <w:tc>
          <w:tcPr>
            <w:tcW w:w="904" w:type="dxa"/>
            <w:tcBorders>
              <w:left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614</w:t>
            </w:r>
          </w:p>
        </w:tc>
        <w:tc>
          <w:tcPr>
            <w:tcW w:w="801" w:type="dxa"/>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296</w:t>
            </w:r>
          </w:p>
        </w:tc>
        <w:tc>
          <w:tcPr>
            <w:tcW w:w="931"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5,5</w:t>
            </w:r>
          </w:p>
        </w:tc>
      </w:tr>
      <w:tr w:rsidR="00BF3B12" w:rsidRPr="00AD2DBC" w:rsidTr="00027ABA">
        <w:trPr>
          <w:trHeight w:val="284"/>
        </w:trPr>
        <w:tc>
          <w:tcPr>
            <w:tcW w:w="350" w:type="dxa"/>
            <w:tcBorders>
              <w:bottom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9.</w:t>
            </w:r>
          </w:p>
        </w:tc>
        <w:tc>
          <w:tcPr>
            <w:tcW w:w="3840" w:type="dxa"/>
            <w:tcBorders>
              <w:left w:val="nil"/>
              <w:bottom w:val="nil"/>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Pomocní a nekvalifikovaní pracovníci</w:t>
            </w:r>
          </w:p>
        </w:tc>
        <w:tc>
          <w:tcPr>
            <w:tcW w:w="873" w:type="dxa"/>
            <w:tcBorders>
              <w:top w:val="single" w:sz="6" w:space="0" w:color="auto"/>
              <w:left w:val="single" w:sz="12" w:space="0" w:color="auto"/>
              <w:bottom w:val="nil"/>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242</w:t>
            </w:r>
          </w:p>
        </w:tc>
        <w:tc>
          <w:tcPr>
            <w:tcW w:w="698" w:type="dxa"/>
            <w:tcBorders>
              <w:top w:val="single" w:sz="6" w:space="0" w:color="auto"/>
              <w:bottom w:val="nil"/>
            </w:tcBorders>
            <w:vAlign w:val="center"/>
          </w:tcPr>
          <w:p w:rsidR="00BF3B12" w:rsidRPr="00AD2DBC" w:rsidRDefault="00BF3B12" w:rsidP="00027ABA">
            <w:pPr>
              <w:jc w:val="center"/>
              <w:rPr>
                <w:rFonts w:asciiTheme="minorHAnsi" w:hAnsiTheme="minorHAnsi" w:cstheme="minorHAnsi"/>
                <w:bCs/>
                <w:sz w:val="24"/>
                <w:szCs w:val="24"/>
              </w:rPr>
            </w:pPr>
            <w:r w:rsidRPr="00AD2DBC">
              <w:rPr>
                <w:rFonts w:asciiTheme="minorHAnsi" w:hAnsiTheme="minorHAnsi" w:cstheme="minorHAnsi"/>
                <w:bCs/>
                <w:sz w:val="24"/>
                <w:szCs w:val="24"/>
              </w:rPr>
              <w:t>69</w:t>
            </w:r>
          </w:p>
        </w:tc>
        <w:tc>
          <w:tcPr>
            <w:tcW w:w="930" w:type="dxa"/>
            <w:tcBorders>
              <w:top w:val="single" w:sz="6" w:space="0" w:color="auto"/>
              <w:bottom w:val="nil"/>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3,0</w:t>
            </w:r>
          </w:p>
        </w:tc>
        <w:tc>
          <w:tcPr>
            <w:tcW w:w="904" w:type="dxa"/>
            <w:tcBorders>
              <w:left w:val="nil"/>
              <w:bottom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814</w:t>
            </w:r>
          </w:p>
        </w:tc>
        <w:tc>
          <w:tcPr>
            <w:tcW w:w="801" w:type="dxa"/>
            <w:tcBorders>
              <w:bottom w:val="nil"/>
            </w:tcBorders>
            <w:vAlign w:val="center"/>
          </w:tcPr>
          <w:p w:rsidR="00BF3B12" w:rsidRPr="00AD2DBC" w:rsidRDefault="00BF3B12" w:rsidP="00027ABA">
            <w:pPr>
              <w:jc w:val="center"/>
              <w:rPr>
                <w:rFonts w:asciiTheme="minorHAnsi" w:hAnsiTheme="minorHAnsi" w:cstheme="minorHAnsi"/>
                <w:bCs/>
                <w:sz w:val="24"/>
                <w:szCs w:val="24"/>
              </w:rPr>
            </w:pPr>
            <w:r>
              <w:rPr>
                <w:rFonts w:asciiTheme="minorHAnsi" w:hAnsiTheme="minorHAnsi" w:cstheme="minorHAnsi"/>
                <w:bCs/>
                <w:sz w:val="24"/>
                <w:szCs w:val="24"/>
              </w:rPr>
              <w:t>282</w:t>
            </w:r>
          </w:p>
        </w:tc>
        <w:tc>
          <w:tcPr>
            <w:tcW w:w="931" w:type="dxa"/>
            <w:tcBorders>
              <w:bottom w:val="nil"/>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5,2</w:t>
            </w:r>
          </w:p>
        </w:tc>
      </w:tr>
      <w:tr w:rsidR="00BF3B12" w:rsidRPr="00AD2DBC" w:rsidTr="00027ABA">
        <w:trPr>
          <w:trHeight w:val="284"/>
        </w:trPr>
        <w:tc>
          <w:tcPr>
            <w:tcW w:w="350" w:type="dxa"/>
            <w:tcBorders>
              <w:top w:val="single" w:sz="12" w:space="0" w:color="auto"/>
              <w:bottom w:val="single" w:sz="12" w:space="0" w:color="auto"/>
              <w:right w:val="nil"/>
            </w:tcBorders>
            <w:vAlign w:val="center"/>
          </w:tcPr>
          <w:p w:rsidR="00BF3B12" w:rsidRPr="00AD2DBC" w:rsidRDefault="00BF3B12" w:rsidP="00027ABA">
            <w:pPr>
              <w:pStyle w:val="Texttabulky"/>
              <w:rPr>
                <w:rFonts w:asciiTheme="minorHAnsi" w:hAnsiTheme="minorHAnsi" w:cstheme="minorHAnsi"/>
                <w:b/>
                <w:color w:val="auto"/>
                <w:sz w:val="20"/>
              </w:rPr>
            </w:pPr>
          </w:p>
        </w:tc>
        <w:tc>
          <w:tcPr>
            <w:tcW w:w="3840" w:type="dxa"/>
            <w:tcBorders>
              <w:top w:val="single" w:sz="12" w:space="0" w:color="auto"/>
              <w:left w:val="nil"/>
              <w:bottom w:val="single" w:sz="12" w:space="0" w:color="auto"/>
              <w:right w:val="nil"/>
            </w:tcBorders>
            <w:vAlign w:val="center"/>
          </w:tcPr>
          <w:p w:rsidR="00BF3B12" w:rsidRPr="00AD2DBC" w:rsidRDefault="00BF3B12" w:rsidP="00027ABA">
            <w:pPr>
              <w:pStyle w:val="Texttabulky"/>
              <w:rPr>
                <w:rFonts w:asciiTheme="minorHAnsi" w:hAnsiTheme="minorHAnsi" w:cstheme="minorHAnsi"/>
                <w:b/>
                <w:color w:val="auto"/>
                <w:szCs w:val="24"/>
              </w:rPr>
            </w:pPr>
            <w:r w:rsidRPr="00AD2DBC">
              <w:rPr>
                <w:rFonts w:asciiTheme="minorHAnsi" w:hAnsiTheme="minorHAnsi" w:cstheme="minorHAnsi"/>
                <w:b/>
                <w:color w:val="auto"/>
                <w:szCs w:val="24"/>
              </w:rPr>
              <w:t>celkem</w:t>
            </w:r>
          </w:p>
        </w:tc>
        <w:tc>
          <w:tcPr>
            <w:tcW w:w="873" w:type="dxa"/>
            <w:tcBorders>
              <w:top w:val="single" w:sz="12" w:space="0" w:color="auto"/>
              <w:left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2 280</w:t>
            </w:r>
          </w:p>
        </w:tc>
        <w:tc>
          <w:tcPr>
            <w:tcW w:w="698"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765</w:t>
            </w:r>
          </w:p>
        </w:tc>
        <w:tc>
          <w:tcPr>
            <w:tcW w:w="930" w:type="dxa"/>
            <w:tcBorders>
              <w:top w:val="single" w:sz="12"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33,6</w:t>
            </w:r>
          </w:p>
        </w:tc>
        <w:tc>
          <w:tcPr>
            <w:tcW w:w="904" w:type="dxa"/>
            <w:tcBorders>
              <w:top w:val="single" w:sz="12" w:space="0" w:color="auto"/>
              <w:left w:val="nil"/>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5 399</w:t>
            </w:r>
          </w:p>
        </w:tc>
        <w:tc>
          <w:tcPr>
            <w:tcW w:w="801"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2 176</w:t>
            </w:r>
          </w:p>
        </w:tc>
        <w:tc>
          <w:tcPr>
            <w:tcW w:w="931"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40,3</w:t>
            </w:r>
          </w:p>
        </w:tc>
      </w:tr>
    </w:tbl>
    <w:p w:rsidR="00BF3B12" w:rsidRPr="00AD2DBC" w:rsidRDefault="00BF3B12" w:rsidP="00BF3B12">
      <w:pPr>
        <w:rPr>
          <w:rFonts w:asciiTheme="minorHAnsi" w:hAnsiTheme="minorHAnsi" w:cstheme="minorHAnsi"/>
          <w:sz w:val="24"/>
          <w:szCs w:val="24"/>
        </w:rPr>
      </w:pPr>
    </w:p>
    <w:p w:rsidR="00BF3B12" w:rsidRPr="00AD2DBC" w:rsidRDefault="00BF3B12" w:rsidP="00BF3B12">
      <w:pPr>
        <w:pStyle w:val="Zkladntextodsazen"/>
        <w:rPr>
          <w:rFonts w:asciiTheme="minorHAnsi" w:hAnsiTheme="minorHAnsi" w:cstheme="minorHAnsi"/>
        </w:rPr>
      </w:pPr>
      <w:r>
        <w:rPr>
          <w:rFonts w:asciiTheme="minorHAnsi" w:hAnsiTheme="minorHAnsi" w:cstheme="minorHAnsi"/>
        </w:rPr>
        <w:t>V závěru roku 2014 bylo v MSK evidováno celkem 2 176 DE VPM, tj. 40,3</w:t>
      </w:r>
      <w:r w:rsidRPr="00AD2DBC">
        <w:rPr>
          <w:rFonts w:asciiTheme="minorHAnsi" w:hAnsiTheme="minorHAnsi" w:cstheme="minorHAnsi"/>
        </w:rPr>
        <w:t xml:space="preserve"> % z</w:t>
      </w:r>
      <w:r>
        <w:rPr>
          <w:rFonts w:asciiTheme="minorHAnsi" w:hAnsiTheme="minorHAnsi" w:cstheme="minorHAnsi"/>
        </w:rPr>
        <w:t> celkového stavu VPM. S růstem</w:t>
      </w:r>
      <w:r w:rsidRPr="00AD2DBC">
        <w:rPr>
          <w:rFonts w:asciiTheme="minorHAnsi" w:hAnsiTheme="minorHAnsi" w:cstheme="minorHAnsi"/>
        </w:rPr>
        <w:t xml:space="preserve"> poptávky po pracovních silách došl</w:t>
      </w:r>
      <w:r>
        <w:rPr>
          <w:rFonts w:asciiTheme="minorHAnsi" w:hAnsiTheme="minorHAnsi" w:cstheme="minorHAnsi"/>
        </w:rPr>
        <w:t>o meziročně i k celkovému zvýšení</w:t>
      </w:r>
      <w:r w:rsidRPr="00AD2DBC">
        <w:rPr>
          <w:rFonts w:asciiTheme="minorHAnsi" w:hAnsiTheme="minorHAnsi" w:cstheme="minorHAnsi"/>
        </w:rPr>
        <w:t xml:space="preserve"> počtu DE VPM. Všechny okresy našeho kraje zaznamenaly v </w:t>
      </w:r>
      <w:r>
        <w:rPr>
          <w:rFonts w:asciiTheme="minorHAnsi" w:hAnsiTheme="minorHAnsi" w:cstheme="minorHAnsi"/>
        </w:rPr>
        <w:t>uplynulém roce absolutní nárůsty</w:t>
      </w:r>
      <w:r w:rsidRPr="00AD2DBC">
        <w:rPr>
          <w:rFonts w:asciiTheme="minorHAnsi" w:hAnsiTheme="minorHAnsi" w:cstheme="minorHAnsi"/>
        </w:rPr>
        <w:t xml:space="preserve"> p</w:t>
      </w:r>
      <w:r>
        <w:rPr>
          <w:rFonts w:asciiTheme="minorHAnsi" w:hAnsiTheme="minorHAnsi" w:cstheme="minorHAnsi"/>
        </w:rPr>
        <w:t>očtu dlouhodobě evidovaných VPM. Jejich největší navýšení</w:t>
      </w:r>
      <w:r w:rsidRPr="00AD2DBC">
        <w:rPr>
          <w:rFonts w:asciiTheme="minorHAnsi" w:hAnsiTheme="minorHAnsi" w:cstheme="minorHAnsi"/>
        </w:rPr>
        <w:t xml:space="preserve"> zaz</w:t>
      </w:r>
      <w:r>
        <w:rPr>
          <w:rFonts w:asciiTheme="minorHAnsi" w:hAnsiTheme="minorHAnsi" w:cstheme="minorHAnsi"/>
        </w:rPr>
        <w:t xml:space="preserve">namenal okres Ostrava, a to o 477,3 </w:t>
      </w:r>
      <w:r w:rsidRPr="00AD2DBC">
        <w:rPr>
          <w:rFonts w:asciiTheme="minorHAnsi" w:hAnsiTheme="minorHAnsi" w:cstheme="minorHAnsi"/>
        </w:rPr>
        <w:t xml:space="preserve">%, </w:t>
      </w:r>
      <w:r>
        <w:rPr>
          <w:rFonts w:asciiTheme="minorHAnsi" w:hAnsiTheme="minorHAnsi" w:cstheme="minorHAnsi"/>
        </w:rPr>
        <w:t xml:space="preserve">což </w:t>
      </w:r>
      <w:r w:rsidRPr="00AD2DBC">
        <w:rPr>
          <w:rFonts w:asciiTheme="minorHAnsi" w:hAnsiTheme="minorHAnsi" w:cstheme="minorHAnsi"/>
        </w:rPr>
        <w:t xml:space="preserve">souvisí právě nejvýrazněji </w:t>
      </w:r>
      <w:r>
        <w:rPr>
          <w:rFonts w:asciiTheme="minorHAnsi" w:hAnsiTheme="minorHAnsi" w:cstheme="minorHAnsi"/>
        </w:rPr>
        <w:t xml:space="preserve">i </w:t>
      </w:r>
      <w:r w:rsidRPr="00AD2DBC">
        <w:rPr>
          <w:rFonts w:asciiTheme="minorHAnsi" w:hAnsiTheme="minorHAnsi" w:cstheme="minorHAnsi"/>
        </w:rPr>
        <w:t>s</w:t>
      </w:r>
      <w:r>
        <w:rPr>
          <w:rFonts w:asciiTheme="minorHAnsi" w:hAnsiTheme="minorHAnsi" w:cstheme="minorHAnsi"/>
        </w:rPr>
        <w:t xml:space="preserve"> absolutním nárůstem </w:t>
      </w:r>
      <w:r w:rsidRPr="00AD2DBC">
        <w:rPr>
          <w:rFonts w:asciiTheme="minorHAnsi" w:hAnsiTheme="minorHAnsi" w:cstheme="minorHAnsi"/>
        </w:rPr>
        <w:t>všech VPM během roku 201</w:t>
      </w:r>
      <w:r>
        <w:rPr>
          <w:rFonts w:asciiTheme="minorHAnsi" w:hAnsiTheme="minorHAnsi" w:cstheme="minorHAnsi"/>
        </w:rPr>
        <w:t>4</w:t>
      </w:r>
      <w:r w:rsidRPr="00AD2DBC">
        <w:rPr>
          <w:rFonts w:asciiTheme="minorHAnsi" w:hAnsiTheme="minorHAnsi" w:cstheme="minorHAnsi"/>
        </w:rPr>
        <w:t>.</w:t>
      </w: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V členění podle tříd CZ-I</w:t>
      </w:r>
      <w:r>
        <w:rPr>
          <w:rFonts w:asciiTheme="minorHAnsi" w:hAnsiTheme="minorHAnsi" w:cstheme="minorHAnsi"/>
        </w:rPr>
        <w:t>SCO patřilo koncem prosince 2014 nejvíce DE VPM do 7. třídy (750</w:t>
      </w:r>
      <w:r w:rsidRPr="00AD2DBC">
        <w:rPr>
          <w:rFonts w:asciiTheme="minorHAnsi" w:hAnsiTheme="minorHAnsi" w:cstheme="minorHAnsi"/>
        </w:rPr>
        <w:t xml:space="preserve"> míst - nejvíce z ni</w:t>
      </w:r>
      <w:r>
        <w:rPr>
          <w:rFonts w:asciiTheme="minorHAnsi" w:hAnsiTheme="minorHAnsi" w:cstheme="minorHAnsi"/>
        </w:rPr>
        <w:t>ch pro nástrojaře, obsluhu obráběcích strojů a svářeče), do 8. třídy (296</w:t>
      </w:r>
      <w:r w:rsidRPr="00AD2DBC">
        <w:rPr>
          <w:rFonts w:asciiTheme="minorHAnsi" w:hAnsiTheme="minorHAnsi" w:cstheme="minorHAnsi"/>
        </w:rPr>
        <w:t xml:space="preserve"> míst - nejvíce z nich </w:t>
      </w:r>
      <w:r>
        <w:rPr>
          <w:rFonts w:asciiTheme="minorHAnsi" w:hAnsiTheme="minorHAnsi" w:cstheme="minorHAnsi"/>
        </w:rPr>
        <w:t>pro řidiče nákladních automobilů a obsluhu důlních zařízení</w:t>
      </w:r>
      <w:r w:rsidRPr="00AD2DBC">
        <w:rPr>
          <w:rFonts w:asciiTheme="minorHAnsi" w:hAnsiTheme="minorHAnsi" w:cstheme="minorHAnsi"/>
        </w:rPr>
        <w:t xml:space="preserve">) a do </w:t>
      </w:r>
      <w:r>
        <w:rPr>
          <w:rFonts w:asciiTheme="minorHAnsi" w:hAnsiTheme="minorHAnsi" w:cstheme="minorHAnsi"/>
        </w:rPr>
        <w:t>9. třídy (282</w:t>
      </w:r>
      <w:r w:rsidRPr="00AD2DBC">
        <w:rPr>
          <w:rFonts w:asciiTheme="minorHAnsi" w:hAnsiTheme="minorHAnsi" w:cstheme="minorHAnsi"/>
        </w:rPr>
        <w:t xml:space="preserve"> míst - nejvíce</w:t>
      </w:r>
      <w:r>
        <w:rPr>
          <w:rFonts w:asciiTheme="minorHAnsi" w:hAnsiTheme="minorHAnsi" w:cstheme="minorHAnsi"/>
        </w:rPr>
        <w:t xml:space="preserve"> z nich pro pomocné pracovníky ve výrobě a uklízeče</w:t>
      </w:r>
      <w:r w:rsidRPr="00AD2DBC">
        <w:rPr>
          <w:rFonts w:asciiTheme="minorHAnsi" w:hAnsiTheme="minorHAnsi" w:cstheme="minorHAnsi"/>
        </w:rPr>
        <w:t>). V absolutn</w:t>
      </w:r>
      <w:r>
        <w:rPr>
          <w:rFonts w:asciiTheme="minorHAnsi" w:hAnsiTheme="minorHAnsi" w:cstheme="minorHAnsi"/>
        </w:rPr>
        <w:t>ím vyjádření byl největší nárůst</w:t>
      </w:r>
      <w:r w:rsidRPr="00AD2DBC">
        <w:rPr>
          <w:rFonts w:asciiTheme="minorHAnsi" w:hAnsiTheme="minorHAnsi" w:cstheme="minorHAnsi"/>
        </w:rPr>
        <w:t xml:space="preserve"> DE</w:t>
      </w:r>
      <w:r>
        <w:rPr>
          <w:rFonts w:asciiTheme="minorHAnsi" w:hAnsiTheme="minorHAnsi" w:cstheme="minorHAnsi"/>
        </w:rPr>
        <w:t xml:space="preserve"> VPM zaznamenán od prosince 2013</w:t>
      </w:r>
      <w:r w:rsidRPr="00AD2DBC">
        <w:rPr>
          <w:rFonts w:asciiTheme="minorHAnsi" w:hAnsiTheme="minorHAnsi" w:cstheme="minorHAnsi"/>
        </w:rPr>
        <w:t xml:space="preserve"> ve třídě 7 - Řemeslníci a opraváři    </w:t>
      </w:r>
      <w:r>
        <w:rPr>
          <w:rFonts w:asciiTheme="minorHAnsi" w:hAnsiTheme="minorHAnsi" w:cstheme="minorHAnsi"/>
        </w:rPr>
        <w:t xml:space="preserve">  </w:t>
      </w:r>
      <w:r w:rsidRPr="00AD2DBC">
        <w:rPr>
          <w:rFonts w:asciiTheme="minorHAnsi" w:hAnsiTheme="minorHAnsi" w:cstheme="minorHAnsi"/>
        </w:rPr>
        <w:t>(</w:t>
      </w:r>
      <w:r>
        <w:rPr>
          <w:rFonts w:asciiTheme="minorHAnsi" w:hAnsiTheme="minorHAnsi" w:cstheme="minorHAnsi"/>
        </w:rPr>
        <w:t>+523</w:t>
      </w:r>
      <w:r w:rsidRPr="00AD2DBC">
        <w:rPr>
          <w:rFonts w:asciiTheme="minorHAnsi" w:hAnsiTheme="minorHAnsi" w:cstheme="minorHAnsi"/>
        </w:rPr>
        <w:t xml:space="preserve"> míst).</w:t>
      </w: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Default="00BF3B12" w:rsidP="00BF3B12">
      <w:pPr>
        <w:pStyle w:val="Zkladntextodsazen"/>
        <w:ind w:firstLine="0"/>
        <w:rPr>
          <w:rFonts w:asciiTheme="minorHAnsi" w:hAnsiTheme="minorHAnsi" w:cstheme="minorHAnsi"/>
        </w:rPr>
      </w:pPr>
    </w:p>
    <w:p w:rsidR="00BF3B12" w:rsidRPr="00AD2DBC" w:rsidRDefault="00BF3B12" w:rsidP="00BF3B12">
      <w:pPr>
        <w:pStyle w:val="Zkladntextodsazen"/>
        <w:ind w:firstLine="0"/>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pStyle w:val="Zkladntextodsazen"/>
        <w:rPr>
          <w:rFonts w:asciiTheme="minorHAnsi" w:hAnsiTheme="minorHAnsi" w:cstheme="minorHAnsi"/>
        </w:rPr>
      </w:pPr>
    </w:p>
    <w:p w:rsidR="00BF3B12" w:rsidRPr="00AD2DBC" w:rsidRDefault="00BF3B12" w:rsidP="00BF3B12">
      <w:pPr>
        <w:jc w:val="both"/>
        <w:rPr>
          <w:rFonts w:asciiTheme="minorHAnsi" w:hAnsiTheme="minorHAnsi" w:cstheme="minorHAnsi"/>
          <w:sz w:val="24"/>
        </w:rPr>
      </w:pPr>
      <w:r w:rsidRPr="00AD2DBC">
        <w:rPr>
          <w:rFonts w:asciiTheme="minorHAnsi" w:hAnsiTheme="minorHAnsi" w:cstheme="minorHAnsi"/>
          <w:b/>
          <w:bCs/>
          <w:sz w:val="24"/>
        </w:rPr>
        <w:t>Tabulka II/7</w:t>
      </w:r>
      <w:r w:rsidRPr="00AD2DBC">
        <w:rPr>
          <w:rFonts w:asciiTheme="minorHAnsi" w:hAnsiTheme="minorHAnsi" w:cstheme="minorHAnsi"/>
          <w:b/>
          <w:bCs/>
        </w:rPr>
        <w:t xml:space="preserve"> - </w:t>
      </w:r>
      <w:r w:rsidRPr="00AD2DBC">
        <w:rPr>
          <w:rFonts w:asciiTheme="minorHAnsi" w:hAnsiTheme="minorHAnsi" w:cstheme="minorHAnsi"/>
          <w:sz w:val="24"/>
        </w:rPr>
        <w:t xml:space="preserve">Kvalifikační struktura dlouhodobě evidovaných VPM </w:t>
      </w:r>
    </w:p>
    <w:tbl>
      <w:tblPr>
        <w:tblW w:w="9335" w:type="dxa"/>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3991"/>
        <w:gridCol w:w="949"/>
        <w:gridCol w:w="868"/>
        <w:gridCol w:w="924"/>
        <w:gridCol w:w="821"/>
        <w:gridCol w:w="857"/>
        <w:gridCol w:w="925"/>
      </w:tblGrid>
      <w:tr w:rsidR="00BF3B12" w:rsidRPr="00AD2DBC" w:rsidTr="00027ABA">
        <w:trPr>
          <w:cantSplit/>
          <w:trHeight w:val="270"/>
        </w:trPr>
        <w:tc>
          <w:tcPr>
            <w:tcW w:w="3991" w:type="dxa"/>
            <w:vMerge w:val="restart"/>
            <w:tcBorders>
              <w:top w:val="single" w:sz="12" w:space="0" w:color="auto"/>
              <w:left w:val="single" w:sz="12" w:space="0" w:color="auto"/>
              <w:right w:val="single" w:sz="12" w:space="0" w:color="auto"/>
            </w:tcBorders>
            <w:vAlign w:val="center"/>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stupeň vzdělání</w:t>
            </w:r>
          </w:p>
        </w:tc>
        <w:tc>
          <w:tcPr>
            <w:tcW w:w="2741" w:type="dxa"/>
            <w:gridSpan w:val="3"/>
            <w:tcBorders>
              <w:top w:val="single" w:sz="12" w:space="0" w:color="auto"/>
              <w:left w:val="nil"/>
              <w:bottom w:val="nil"/>
              <w:right w:val="single" w:sz="12" w:space="0" w:color="auto"/>
            </w:tcBorders>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31.12.201</w:t>
            </w:r>
            <w:r>
              <w:rPr>
                <w:rFonts w:asciiTheme="minorHAnsi" w:hAnsiTheme="minorHAnsi" w:cstheme="minorHAnsi"/>
                <w:color w:val="auto"/>
              </w:rPr>
              <w:t>3</w:t>
            </w:r>
          </w:p>
        </w:tc>
        <w:tc>
          <w:tcPr>
            <w:tcW w:w="2603" w:type="dxa"/>
            <w:gridSpan w:val="3"/>
            <w:tcBorders>
              <w:top w:val="single" w:sz="12" w:space="0" w:color="auto"/>
              <w:left w:val="nil"/>
              <w:bottom w:val="nil"/>
            </w:tcBorders>
          </w:tcPr>
          <w:p w:rsidR="00BF3B12" w:rsidRPr="00AD2DBC" w:rsidRDefault="00BF3B12" w:rsidP="00027ABA">
            <w:pPr>
              <w:pStyle w:val="Texttabulky"/>
              <w:jc w:val="center"/>
              <w:rPr>
                <w:rFonts w:asciiTheme="minorHAnsi" w:hAnsiTheme="minorHAnsi" w:cstheme="minorHAnsi"/>
                <w:color w:val="auto"/>
              </w:rPr>
            </w:pPr>
            <w:r w:rsidRPr="00AD2DBC">
              <w:rPr>
                <w:rFonts w:asciiTheme="minorHAnsi" w:hAnsiTheme="minorHAnsi" w:cstheme="minorHAnsi"/>
                <w:color w:val="auto"/>
              </w:rPr>
              <w:t>31.12.201</w:t>
            </w:r>
            <w:r>
              <w:rPr>
                <w:rFonts w:asciiTheme="minorHAnsi" w:hAnsiTheme="minorHAnsi" w:cstheme="minorHAnsi"/>
                <w:color w:val="auto"/>
              </w:rPr>
              <w:t>4</w:t>
            </w:r>
          </w:p>
        </w:tc>
      </w:tr>
      <w:tr w:rsidR="00BF3B12" w:rsidRPr="00AD2DBC" w:rsidTr="00027ABA">
        <w:trPr>
          <w:cantSplit/>
          <w:trHeight w:val="1441"/>
        </w:trPr>
        <w:tc>
          <w:tcPr>
            <w:tcW w:w="3991" w:type="dxa"/>
            <w:vMerge/>
            <w:tcBorders>
              <w:left w:val="single" w:sz="12" w:space="0" w:color="auto"/>
              <w:right w:val="single" w:sz="12" w:space="0" w:color="auto"/>
            </w:tcBorders>
          </w:tcPr>
          <w:p w:rsidR="00BF3B12" w:rsidRPr="00AD2DBC" w:rsidRDefault="00BF3B12" w:rsidP="00027ABA">
            <w:pPr>
              <w:pStyle w:val="Texttabulky"/>
              <w:rPr>
                <w:rFonts w:asciiTheme="minorHAnsi" w:hAnsiTheme="minorHAnsi" w:cstheme="minorHAnsi"/>
                <w:color w:val="auto"/>
              </w:rPr>
            </w:pPr>
          </w:p>
        </w:tc>
        <w:tc>
          <w:tcPr>
            <w:tcW w:w="949" w:type="dxa"/>
            <w:tcBorders>
              <w:top w:val="single" w:sz="6" w:space="0" w:color="auto"/>
              <w:left w:val="nil"/>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VPM celkem</w:t>
            </w:r>
          </w:p>
        </w:tc>
        <w:tc>
          <w:tcPr>
            <w:tcW w:w="868" w:type="dxa"/>
            <w:tcBorders>
              <w:top w:val="single" w:sz="6" w:space="0" w:color="auto"/>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DE VPM</w:t>
            </w:r>
          </w:p>
        </w:tc>
        <w:tc>
          <w:tcPr>
            <w:tcW w:w="924" w:type="dxa"/>
            <w:tcBorders>
              <w:top w:val="single" w:sz="6" w:space="0" w:color="auto"/>
              <w:bottom w:val="single" w:sz="4" w:space="0" w:color="auto"/>
              <w:right w:val="single" w:sz="12" w:space="0" w:color="auto"/>
            </w:tcBorders>
            <w:textDirection w:val="btL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podíl DE VPM na celkovém počtu VPM</w:t>
            </w:r>
          </w:p>
        </w:tc>
        <w:tc>
          <w:tcPr>
            <w:tcW w:w="821" w:type="dxa"/>
            <w:tcBorders>
              <w:left w:val="nil"/>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VPM celkem</w:t>
            </w:r>
          </w:p>
        </w:tc>
        <w:tc>
          <w:tcPr>
            <w:tcW w:w="857" w:type="dxa"/>
            <w:tcBorders>
              <w:bottom w:val="single" w:sz="4" w:space="0" w:color="auto"/>
            </w:tcBorders>
            <w:textDirection w:val="btLr"/>
            <w:vAlign w:val="cente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DE VPM</w:t>
            </w:r>
          </w:p>
        </w:tc>
        <w:tc>
          <w:tcPr>
            <w:tcW w:w="925" w:type="dxa"/>
            <w:tcBorders>
              <w:bottom w:val="single" w:sz="4" w:space="0" w:color="auto"/>
            </w:tcBorders>
            <w:textDirection w:val="btLr"/>
          </w:tcPr>
          <w:p w:rsidR="00BF3B12" w:rsidRPr="00AD2DBC" w:rsidRDefault="00BF3B12" w:rsidP="00027ABA">
            <w:pPr>
              <w:ind w:left="113" w:right="113"/>
              <w:jc w:val="center"/>
              <w:rPr>
                <w:rFonts w:asciiTheme="minorHAnsi" w:hAnsiTheme="minorHAnsi" w:cstheme="minorHAnsi"/>
                <w:snapToGrid w:val="0"/>
              </w:rPr>
            </w:pPr>
            <w:r w:rsidRPr="00AD2DBC">
              <w:rPr>
                <w:rFonts w:asciiTheme="minorHAnsi" w:hAnsiTheme="minorHAnsi" w:cstheme="minorHAnsi"/>
                <w:snapToGrid w:val="0"/>
              </w:rPr>
              <w:t>podíl DE VPM na celkovém počtu VPM</w:t>
            </w:r>
          </w:p>
        </w:tc>
      </w:tr>
      <w:tr w:rsidR="00BF3B12" w:rsidRPr="00AD2DBC" w:rsidTr="00027ABA">
        <w:trPr>
          <w:cantSplit/>
          <w:trHeight w:val="146"/>
        </w:trPr>
        <w:tc>
          <w:tcPr>
            <w:tcW w:w="3991" w:type="dxa"/>
            <w:vMerge/>
            <w:tcBorders>
              <w:left w:val="single" w:sz="12" w:space="0" w:color="auto"/>
              <w:bottom w:val="single" w:sz="12" w:space="0" w:color="auto"/>
              <w:right w:val="single" w:sz="12" w:space="0" w:color="auto"/>
            </w:tcBorders>
          </w:tcPr>
          <w:p w:rsidR="00BF3B12" w:rsidRPr="00AD2DBC" w:rsidRDefault="00BF3B12" w:rsidP="00027ABA">
            <w:pPr>
              <w:rPr>
                <w:rFonts w:asciiTheme="minorHAnsi" w:hAnsiTheme="minorHAnsi" w:cstheme="minorHAnsi"/>
                <w:snapToGrid w:val="0"/>
              </w:rPr>
            </w:pPr>
          </w:p>
        </w:tc>
        <w:tc>
          <w:tcPr>
            <w:tcW w:w="949" w:type="dxa"/>
            <w:tcBorders>
              <w:top w:val="single" w:sz="4" w:space="0" w:color="auto"/>
              <w:left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počet</w:t>
            </w:r>
          </w:p>
        </w:tc>
        <w:tc>
          <w:tcPr>
            <w:tcW w:w="868"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počet</w:t>
            </w:r>
          </w:p>
        </w:tc>
        <w:tc>
          <w:tcPr>
            <w:tcW w:w="924" w:type="dxa"/>
            <w:tcBorders>
              <w:top w:val="single" w:sz="4"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w:t>
            </w:r>
          </w:p>
        </w:tc>
        <w:tc>
          <w:tcPr>
            <w:tcW w:w="821" w:type="dxa"/>
            <w:tcBorders>
              <w:top w:val="single" w:sz="4" w:space="0" w:color="auto"/>
              <w:left w:val="nil"/>
              <w:bottom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počet</w:t>
            </w:r>
          </w:p>
        </w:tc>
        <w:tc>
          <w:tcPr>
            <w:tcW w:w="857"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počet</w:t>
            </w:r>
          </w:p>
        </w:tc>
        <w:tc>
          <w:tcPr>
            <w:tcW w:w="925" w:type="dxa"/>
            <w:tcBorders>
              <w:top w:val="single" w:sz="4" w:space="0" w:color="auto"/>
              <w:bottom w:val="single" w:sz="12" w:space="0" w:color="auto"/>
            </w:tcBorders>
            <w:vAlign w:val="center"/>
          </w:tcPr>
          <w:p w:rsidR="00BF3B12" w:rsidRPr="00AD2DBC" w:rsidRDefault="00BF3B12" w:rsidP="00027ABA">
            <w:pPr>
              <w:jc w:val="center"/>
              <w:rPr>
                <w:rFonts w:asciiTheme="minorHAnsi" w:hAnsiTheme="minorHAnsi" w:cstheme="minorHAnsi"/>
                <w:snapToGrid w:val="0"/>
                <w:sz w:val="22"/>
              </w:rPr>
            </w:pPr>
            <w:r w:rsidRPr="00AD2DBC">
              <w:rPr>
                <w:rFonts w:asciiTheme="minorHAnsi" w:hAnsiTheme="minorHAnsi" w:cstheme="minorHAnsi"/>
                <w:snapToGrid w:val="0"/>
                <w:sz w:val="22"/>
              </w:rPr>
              <w:t>%</w:t>
            </w:r>
          </w:p>
        </w:tc>
      </w:tr>
      <w:tr w:rsidR="00BF3B12" w:rsidRPr="00AD2DBC" w:rsidTr="00027ABA">
        <w:trPr>
          <w:trHeight w:val="285"/>
        </w:trPr>
        <w:tc>
          <w:tcPr>
            <w:tcW w:w="3991" w:type="dxa"/>
            <w:tcBorders>
              <w:top w:val="single" w:sz="12" w:space="0" w:color="auto"/>
              <w:left w:val="single" w:sz="12" w:space="0" w:color="auto"/>
              <w:bottom w:val="single" w:sz="6" w:space="0" w:color="auto"/>
              <w:right w:val="nil"/>
            </w:tcBorders>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bez vzdělání + základní vzdělání</w:t>
            </w:r>
          </w:p>
        </w:tc>
        <w:tc>
          <w:tcPr>
            <w:tcW w:w="949" w:type="dxa"/>
            <w:tcBorders>
              <w:top w:val="single" w:sz="12"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458</w:t>
            </w:r>
          </w:p>
        </w:tc>
        <w:tc>
          <w:tcPr>
            <w:tcW w:w="868" w:type="dxa"/>
            <w:tcBorders>
              <w:top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121</w:t>
            </w:r>
          </w:p>
        </w:tc>
        <w:tc>
          <w:tcPr>
            <w:tcW w:w="924" w:type="dxa"/>
            <w:tcBorders>
              <w:top w:val="single" w:sz="12"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5,3</w:t>
            </w:r>
          </w:p>
        </w:tc>
        <w:tc>
          <w:tcPr>
            <w:tcW w:w="821" w:type="dxa"/>
            <w:tcBorders>
              <w:top w:val="single" w:sz="12" w:space="0" w:color="auto"/>
              <w:left w:val="nil"/>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1 398</w:t>
            </w:r>
          </w:p>
        </w:tc>
        <w:tc>
          <w:tcPr>
            <w:tcW w:w="857" w:type="dxa"/>
            <w:tcBorders>
              <w:top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535</w:t>
            </w:r>
          </w:p>
        </w:tc>
        <w:tc>
          <w:tcPr>
            <w:tcW w:w="925" w:type="dxa"/>
            <w:tcBorders>
              <w:top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9,9</w:t>
            </w:r>
          </w:p>
        </w:tc>
      </w:tr>
      <w:tr w:rsidR="00BF3B12" w:rsidRPr="00AD2DBC" w:rsidTr="00027ABA">
        <w:trPr>
          <w:trHeight w:val="285"/>
        </w:trPr>
        <w:tc>
          <w:tcPr>
            <w:tcW w:w="3991" w:type="dxa"/>
            <w:tcBorders>
              <w:top w:val="single" w:sz="6" w:space="0" w:color="auto"/>
              <w:left w:val="single" w:sz="12" w:space="0" w:color="auto"/>
              <w:bottom w:val="single" w:sz="6" w:space="0" w:color="auto"/>
              <w:right w:val="nil"/>
            </w:tcBorders>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střední odborné (SOU+OU+OŠ)</w:t>
            </w:r>
          </w:p>
        </w:tc>
        <w:tc>
          <w:tcPr>
            <w:tcW w:w="949"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1 081</w:t>
            </w:r>
          </w:p>
        </w:tc>
        <w:tc>
          <w:tcPr>
            <w:tcW w:w="86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369</w:t>
            </w:r>
          </w:p>
        </w:tc>
        <w:tc>
          <w:tcPr>
            <w:tcW w:w="924"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16,2</w:t>
            </w:r>
          </w:p>
        </w:tc>
        <w:tc>
          <w:tcPr>
            <w:tcW w:w="821" w:type="dxa"/>
            <w:tcBorders>
              <w:left w:val="nil"/>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2 698</w:t>
            </w:r>
          </w:p>
        </w:tc>
        <w:tc>
          <w:tcPr>
            <w:tcW w:w="857"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1 125</w:t>
            </w:r>
          </w:p>
        </w:tc>
        <w:tc>
          <w:tcPr>
            <w:tcW w:w="925"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20,8</w:t>
            </w:r>
          </w:p>
        </w:tc>
      </w:tr>
      <w:tr w:rsidR="00BF3B12" w:rsidRPr="00AD2DBC" w:rsidTr="00027ABA">
        <w:trPr>
          <w:trHeight w:val="555"/>
        </w:trPr>
        <w:tc>
          <w:tcPr>
            <w:tcW w:w="3991" w:type="dxa"/>
            <w:tcBorders>
              <w:top w:val="single" w:sz="6" w:space="0" w:color="auto"/>
              <w:left w:val="single" w:sz="12" w:space="0" w:color="auto"/>
              <w:bottom w:val="single" w:sz="6" w:space="0" w:color="auto"/>
              <w:right w:val="nil"/>
            </w:tcBorders>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střední odborné s maturitou (SOU+SOŠ)</w:t>
            </w:r>
          </w:p>
        </w:tc>
        <w:tc>
          <w:tcPr>
            <w:tcW w:w="949"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518</w:t>
            </w:r>
          </w:p>
        </w:tc>
        <w:tc>
          <w:tcPr>
            <w:tcW w:w="86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187</w:t>
            </w:r>
          </w:p>
        </w:tc>
        <w:tc>
          <w:tcPr>
            <w:tcW w:w="924"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8,2</w:t>
            </w:r>
          </w:p>
        </w:tc>
        <w:tc>
          <w:tcPr>
            <w:tcW w:w="821" w:type="dxa"/>
            <w:tcBorders>
              <w:left w:val="nil"/>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909</w:t>
            </w:r>
          </w:p>
        </w:tc>
        <w:tc>
          <w:tcPr>
            <w:tcW w:w="857"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353</w:t>
            </w:r>
          </w:p>
        </w:tc>
        <w:tc>
          <w:tcPr>
            <w:tcW w:w="925"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6,5</w:t>
            </w:r>
          </w:p>
        </w:tc>
      </w:tr>
      <w:tr w:rsidR="00BF3B12" w:rsidRPr="00AD2DBC" w:rsidTr="00027ABA">
        <w:trPr>
          <w:trHeight w:val="285"/>
        </w:trPr>
        <w:tc>
          <w:tcPr>
            <w:tcW w:w="3991" w:type="dxa"/>
            <w:tcBorders>
              <w:top w:val="single" w:sz="6" w:space="0" w:color="auto"/>
              <w:left w:val="single" w:sz="12" w:space="0" w:color="auto"/>
              <w:bottom w:val="single" w:sz="6" w:space="0" w:color="auto"/>
              <w:right w:val="nil"/>
            </w:tcBorders>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střední všeobecné (gymnázia)</w:t>
            </w:r>
          </w:p>
        </w:tc>
        <w:tc>
          <w:tcPr>
            <w:tcW w:w="949" w:type="dxa"/>
            <w:tcBorders>
              <w:top w:val="single" w:sz="6" w:space="0" w:color="auto"/>
              <w:left w:val="single" w:sz="12"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71</w:t>
            </w:r>
          </w:p>
        </w:tc>
        <w:tc>
          <w:tcPr>
            <w:tcW w:w="868" w:type="dxa"/>
            <w:tcBorders>
              <w:top w:val="single" w:sz="6" w:space="0" w:color="auto"/>
              <w:bottom w:val="single" w:sz="6"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16</w:t>
            </w:r>
          </w:p>
        </w:tc>
        <w:tc>
          <w:tcPr>
            <w:tcW w:w="924" w:type="dxa"/>
            <w:tcBorders>
              <w:top w:val="single" w:sz="6" w:space="0" w:color="auto"/>
              <w:bottom w:val="single" w:sz="6"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0,7</w:t>
            </w:r>
          </w:p>
        </w:tc>
        <w:tc>
          <w:tcPr>
            <w:tcW w:w="821" w:type="dxa"/>
            <w:tcBorders>
              <w:left w:val="nil"/>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120</w:t>
            </w:r>
          </w:p>
        </w:tc>
        <w:tc>
          <w:tcPr>
            <w:tcW w:w="857"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31</w:t>
            </w:r>
          </w:p>
        </w:tc>
        <w:tc>
          <w:tcPr>
            <w:tcW w:w="925" w:type="dxa"/>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0,6</w:t>
            </w:r>
          </w:p>
        </w:tc>
      </w:tr>
      <w:tr w:rsidR="00BF3B12" w:rsidRPr="00AD2DBC" w:rsidTr="00027ABA">
        <w:trPr>
          <w:trHeight w:val="270"/>
        </w:trPr>
        <w:tc>
          <w:tcPr>
            <w:tcW w:w="3991" w:type="dxa"/>
            <w:tcBorders>
              <w:top w:val="single" w:sz="6" w:space="0" w:color="auto"/>
              <w:left w:val="single" w:sz="12" w:space="0" w:color="auto"/>
              <w:bottom w:val="single" w:sz="12" w:space="0" w:color="auto"/>
              <w:right w:val="nil"/>
            </w:tcBorders>
            <w:vAlign w:val="center"/>
          </w:tcPr>
          <w:p w:rsidR="00BF3B12" w:rsidRPr="00AD2DBC" w:rsidRDefault="00BF3B12" w:rsidP="00027ABA">
            <w:pPr>
              <w:rPr>
                <w:rFonts w:asciiTheme="minorHAnsi" w:hAnsiTheme="minorHAnsi" w:cstheme="minorHAnsi"/>
                <w:snapToGrid w:val="0"/>
                <w:sz w:val="24"/>
                <w:szCs w:val="24"/>
              </w:rPr>
            </w:pPr>
            <w:r w:rsidRPr="00AD2DBC">
              <w:rPr>
                <w:rFonts w:asciiTheme="minorHAnsi" w:hAnsiTheme="minorHAnsi" w:cstheme="minorHAnsi"/>
                <w:snapToGrid w:val="0"/>
                <w:sz w:val="24"/>
                <w:szCs w:val="24"/>
              </w:rPr>
              <w:t>vysokoškolské</w:t>
            </w:r>
          </w:p>
        </w:tc>
        <w:tc>
          <w:tcPr>
            <w:tcW w:w="949" w:type="dxa"/>
            <w:tcBorders>
              <w:top w:val="single" w:sz="6" w:space="0" w:color="auto"/>
              <w:left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152</w:t>
            </w:r>
          </w:p>
        </w:tc>
        <w:tc>
          <w:tcPr>
            <w:tcW w:w="868" w:type="dxa"/>
            <w:tcBorders>
              <w:top w:val="single" w:sz="6" w:space="0" w:color="auto"/>
              <w:bottom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72</w:t>
            </w:r>
          </w:p>
        </w:tc>
        <w:tc>
          <w:tcPr>
            <w:tcW w:w="924" w:type="dxa"/>
            <w:tcBorders>
              <w:top w:val="single" w:sz="6"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sidRPr="00AD2DBC">
              <w:rPr>
                <w:rFonts w:asciiTheme="minorHAnsi" w:hAnsiTheme="minorHAnsi" w:cstheme="minorHAnsi"/>
                <w:sz w:val="24"/>
                <w:szCs w:val="24"/>
              </w:rPr>
              <w:t>3,2</w:t>
            </w:r>
          </w:p>
        </w:tc>
        <w:tc>
          <w:tcPr>
            <w:tcW w:w="821" w:type="dxa"/>
            <w:tcBorders>
              <w:left w:val="nil"/>
              <w:bottom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274</w:t>
            </w:r>
          </w:p>
        </w:tc>
        <w:tc>
          <w:tcPr>
            <w:tcW w:w="857" w:type="dxa"/>
            <w:tcBorders>
              <w:bottom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132</w:t>
            </w:r>
          </w:p>
        </w:tc>
        <w:tc>
          <w:tcPr>
            <w:tcW w:w="925" w:type="dxa"/>
            <w:tcBorders>
              <w:bottom w:val="single" w:sz="12" w:space="0" w:color="auto"/>
            </w:tcBorders>
            <w:vAlign w:val="center"/>
          </w:tcPr>
          <w:p w:rsidR="00BF3B12" w:rsidRPr="00AD2DBC" w:rsidRDefault="00BF3B12" w:rsidP="00027ABA">
            <w:pPr>
              <w:jc w:val="center"/>
              <w:rPr>
                <w:rFonts w:asciiTheme="minorHAnsi" w:hAnsiTheme="minorHAnsi" w:cstheme="minorHAnsi"/>
                <w:sz w:val="24"/>
                <w:szCs w:val="24"/>
              </w:rPr>
            </w:pPr>
            <w:r>
              <w:rPr>
                <w:rFonts w:asciiTheme="minorHAnsi" w:hAnsiTheme="minorHAnsi" w:cstheme="minorHAnsi"/>
                <w:sz w:val="24"/>
                <w:szCs w:val="24"/>
              </w:rPr>
              <w:t>2,5</w:t>
            </w:r>
          </w:p>
        </w:tc>
      </w:tr>
      <w:tr w:rsidR="00BF3B12" w:rsidRPr="00AD2DBC" w:rsidTr="00027ABA">
        <w:trPr>
          <w:trHeight w:val="270"/>
        </w:trPr>
        <w:tc>
          <w:tcPr>
            <w:tcW w:w="3991" w:type="dxa"/>
            <w:tcBorders>
              <w:top w:val="single" w:sz="12" w:space="0" w:color="auto"/>
              <w:left w:val="single" w:sz="12" w:space="0" w:color="auto"/>
              <w:bottom w:val="single" w:sz="12" w:space="0" w:color="auto"/>
              <w:right w:val="nil"/>
            </w:tcBorders>
            <w:vAlign w:val="center"/>
          </w:tcPr>
          <w:p w:rsidR="00BF3B12" w:rsidRPr="00AD2DBC" w:rsidRDefault="00BF3B12" w:rsidP="00027ABA">
            <w:pPr>
              <w:rPr>
                <w:rFonts w:asciiTheme="minorHAnsi" w:hAnsiTheme="minorHAnsi" w:cstheme="minorHAnsi"/>
                <w:b/>
                <w:snapToGrid w:val="0"/>
                <w:sz w:val="24"/>
                <w:szCs w:val="24"/>
              </w:rPr>
            </w:pPr>
            <w:r w:rsidRPr="00AD2DBC">
              <w:rPr>
                <w:rFonts w:asciiTheme="minorHAnsi" w:hAnsiTheme="minorHAnsi" w:cstheme="minorHAnsi"/>
                <w:b/>
                <w:snapToGrid w:val="0"/>
                <w:sz w:val="24"/>
                <w:szCs w:val="24"/>
              </w:rPr>
              <w:t>celkem</w:t>
            </w:r>
          </w:p>
        </w:tc>
        <w:tc>
          <w:tcPr>
            <w:tcW w:w="949" w:type="dxa"/>
            <w:tcBorders>
              <w:top w:val="single" w:sz="12" w:space="0" w:color="auto"/>
              <w:left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2 280</w:t>
            </w:r>
          </w:p>
        </w:tc>
        <w:tc>
          <w:tcPr>
            <w:tcW w:w="868"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765</w:t>
            </w:r>
          </w:p>
        </w:tc>
        <w:tc>
          <w:tcPr>
            <w:tcW w:w="924" w:type="dxa"/>
            <w:tcBorders>
              <w:top w:val="single" w:sz="12" w:space="0" w:color="auto"/>
              <w:bottom w:val="single" w:sz="12" w:space="0" w:color="auto"/>
              <w:right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sidRPr="00AD2DBC">
              <w:rPr>
                <w:rFonts w:asciiTheme="minorHAnsi" w:hAnsiTheme="minorHAnsi" w:cstheme="minorHAnsi"/>
                <w:b/>
                <w:sz w:val="24"/>
                <w:szCs w:val="24"/>
              </w:rPr>
              <w:t>33,6</w:t>
            </w:r>
          </w:p>
        </w:tc>
        <w:tc>
          <w:tcPr>
            <w:tcW w:w="821" w:type="dxa"/>
            <w:tcBorders>
              <w:top w:val="single" w:sz="12" w:space="0" w:color="auto"/>
              <w:left w:val="nil"/>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5 399</w:t>
            </w:r>
          </w:p>
        </w:tc>
        <w:tc>
          <w:tcPr>
            <w:tcW w:w="857"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2 176</w:t>
            </w:r>
          </w:p>
        </w:tc>
        <w:tc>
          <w:tcPr>
            <w:tcW w:w="925" w:type="dxa"/>
            <w:tcBorders>
              <w:top w:val="single" w:sz="12" w:space="0" w:color="auto"/>
              <w:bottom w:val="single" w:sz="12" w:space="0" w:color="auto"/>
            </w:tcBorders>
            <w:vAlign w:val="center"/>
          </w:tcPr>
          <w:p w:rsidR="00BF3B12" w:rsidRPr="00AD2DBC" w:rsidRDefault="00BF3B12" w:rsidP="00027ABA">
            <w:pPr>
              <w:jc w:val="center"/>
              <w:rPr>
                <w:rFonts w:asciiTheme="minorHAnsi" w:hAnsiTheme="minorHAnsi" w:cstheme="minorHAnsi"/>
                <w:b/>
                <w:sz w:val="24"/>
                <w:szCs w:val="24"/>
              </w:rPr>
            </w:pPr>
            <w:r>
              <w:rPr>
                <w:rFonts w:asciiTheme="minorHAnsi" w:hAnsiTheme="minorHAnsi" w:cstheme="minorHAnsi"/>
                <w:b/>
                <w:sz w:val="24"/>
                <w:szCs w:val="24"/>
              </w:rPr>
              <w:t>40,3</w:t>
            </w:r>
          </w:p>
        </w:tc>
      </w:tr>
    </w:tbl>
    <w:p w:rsidR="00BF3B12" w:rsidRPr="00AD2DBC" w:rsidRDefault="00BF3B12" w:rsidP="00BF3B12">
      <w:pPr>
        <w:pStyle w:val="odsazen"/>
        <w:numPr>
          <w:ilvl w:val="0"/>
          <w:numId w:val="0"/>
        </w:numPr>
        <w:ind w:firstLine="709"/>
        <w:rPr>
          <w:rFonts w:asciiTheme="minorHAnsi" w:hAnsiTheme="minorHAnsi" w:cstheme="minorHAnsi"/>
        </w:rPr>
      </w:pPr>
    </w:p>
    <w:p w:rsidR="00BF3B12" w:rsidRPr="00AD2DBC" w:rsidRDefault="00BF3B12" w:rsidP="00BF3B12">
      <w:pPr>
        <w:pStyle w:val="odsazen"/>
        <w:numPr>
          <w:ilvl w:val="0"/>
          <w:numId w:val="0"/>
        </w:numPr>
        <w:ind w:firstLine="709"/>
        <w:rPr>
          <w:rFonts w:asciiTheme="minorHAnsi" w:hAnsiTheme="minorHAnsi" w:cstheme="minorHAnsi"/>
          <w:bCs/>
        </w:rPr>
      </w:pPr>
      <w:r w:rsidRPr="00AD2DBC">
        <w:rPr>
          <w:rFonts w:asciiTheme="minorHAnsi" w:hAnsiTheme="minorHAnsi" w:cstheme="minorHAnsi"/>
        </w:rPr>
        <w:t>Podle kvalifikační struktury je dlouhodobě největší počet DE VPM pro uchazeče se střed</w:t>
      </w:r>
      <w:r>
        <w:rPr>
          <w:rFonts w:asciiTheme="minorHAnsi" w:hAnsiTheme="minorHAnsi" w:cstheme="minorHAnsi"/>
        </w:rPr>
        <w:t>ním odborným vzděláním, a to 1 125, tedy přes 51</w:t>
      </w:r>
      <w:r w:rsidRPr="00AD2DBC">
        <w:rPr>
          <w:rFonts w:asciiTheme="minorHAnsi" w:hAnsiTheme="minorHAnsi" w:cstheme="minorHAnsi"/>
        </w:rPr>
        <w:t xml:space="preserve"> % všech DE VPM. </w:t>
      </w: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 xml:space="preserve">Vysoký podíl DE VPM na celkové registrované poptávce po pracovních silách v našem kraji naznačuje nesoulad mezi strukturou nezaměstnaných osob a strukturou volných pracovních míst. Důvodem je neustále zpravidla nedostatek vhodných UoZ splňujících kvalifikační předpoklady, popřípadě další podmínky stanovené zaměstnavatelem (požadovaný zdravotní stav, úzká specifikace odbornosti, absolvování psychotestů, délka praxe, jazykové znalosti a jiné). V některých případech jsou podmínky zaměstnavatelů pro obsazení daného místa pro uchazeče nevyhovující a neakceptovatelné (například kumulace neúměrných požadavků navíc neodpovídajících finančnímu ohodnocení). </w:t>
      </w:r>
    </w:p>
    <w:p w:rsidR="00BF3B12" w:rsidRPr="00AD2DBC" w:rsidRDefault="00BF3B12" w:rsidP="00BF3B12">
      <w:pPr>
        <w:pStyle w:val="Zkladntextodsazen"/>
        <w:rPr>
          <w:rFonts w:asciiTheme="minorHAnsi" w:hAnsiTheme="minorHAnsi" w:cstheme="minorHAnsi"/>
        </w:rPr>
      </w:pPr>
      <w:r w:rsidRPr="00AD2DBC">
        <w:rPr>
          <w:rFonts w:asciiTheme="minorHAnsi" w:hAnsiTheme="minorHAnsi" w:cstheme="minorHAnsi"/>
        </w:rPr>
        <w:t>Mnohá místa jsou vedena dlouhodobě i z důvodu časté fluktuace pracovních sil v dané profesi. Vyskytují se také případy, že zaměstnavatelé úřadu práce VPM nahlásí, přestože pracovníky aktuálně nepotřebují. Vyslaní uchazeči o zaměstnání jim pak slouží k „sycení“ vlastních registrů případných zájemců o zaměstnání.</w:t>
      </w:r>
    </w:p>
    <w:p w:rsidR="00BF3B12" w:rsidRPr="00AD2DBC" w:rsidRDefault="00BF3B12" w:rsidP="00BF3B12">
      <w:pPr>
        <w:pStyle w:val="Zkladntextodsazen"/>
        <w:ind w:firstLine="0"/>
        <w:rPr>
          <w:rFonts w:asciiTheme="minorHAnsi" w:hAnsiTheme="minorHAnsi" w:cstheme="minorHAnsi"/>
          <w:b/>
        </w:rPr>
      </w:pPr>
    </w:p>
    <w:p w:rsidR="00B97902" w:rsidRPr="0075013E" w:rsidRDefault="00450DD8" w:rsidP="00B97902">
      <w:pPr>
        <w:pStyle w:val="Zhlav"/>
        <w:rPr>
          <w:rFonts w:asciiTheme="minorHAnsi" w:hAnsiTheme="minorHAnsi" w:cstheme="minorHAnsi"/>
          <w:b/>
          <w:sz w:val="24"/>
          <w:szCs w:val="24"/>
        </w:rPr>
      </w:pPr>
      <w:r>
        <w:rPr>
          <w:rFonts w:asciiTheme="minorHAnsi" w:hAnsiTheme="minorHAnsi" w:cstheme="minorHAnsi"/>
          <w:sz w:val="24"/>
          <w:szCs w:val="24"/>
        </w:rPr>
        <w:br w:type="page"/>
      </w:r>
      <w:r w:rsidR="00B97902" w:rsidRPr="0075013E">
        <w:rPr>
          <w:rFonts w:asciiTheme="minorHAnsi" w:hAnsiTheme="minorHAnsi" w:cstheme="minorHAnsi"/>
          <w:b/>
          <w:sz w:val="28"/>
          <w:szCs w:val="28"/>
        </w:rPr>
        <w:t xml:space="preserve">III.  NEZAMĚSTNANOST </w:t>
      </w:r>
    </w:p>
    <w:p w:rsidR="00B97902" w:rsidRPr="0075013E" w:rsidRDefault="00B97902" w:rsidP="00B97902">
      <w:pPr>
        <w:rPr>
          <w:rFonts w:asciiTheme="minorHAnsi" w:hAnsiTheme="minorHAnsi" w:cstheme="minorHAnsi"/>
          <w:sz w:val="24"/>
          <w:szCs w:val="24"/>
        </w:rPr>
      </w:pPr>
    </w:p>
    <w:p w:rsidR="00B97902" w:rsidRPr="0075013E" w:rsidRDefault="00B97902" w:rsidP="00B97902">
      <w:pPr>
        <w:pStyle w:val="Nadpis6"/>
        <w:rPr>
          <w:rFonts w:asciiTheme="minorHAnsi" w:hAnsiTheme="minorHAnsi" w:cstheme="minorHAnsi"/>
        </w:rPr>
      </w:pPr>
      <w:r w:rsidRPr="0075013E">
        <w:rPr>
          <w:rFonts w:asciiTheme="minorHAnsi" w:hAnsiTheme="minorHAnsi" w:cstheme="minorHAnsi"/>
          <w:i w:val="0"/>
        </w:rPr>
        <w:t>1.</w:t>
      </w:r>
      <w:r w:rsidRPr="0075013E">
        <w:rPr>
          <w:rFonts w:asciiTheme="minorHAnsi" w:hAnsiTheme="minorHAnsi" w:cstheme="minorHAnsi"/>
        </w:rPr>
        <w:t xml:space="preserve"> Základní charakteristika vývoje nezaměstnanosti</w:t>
      </w:r>
    </w:p>
    <w:p w:rsidR="00B97902" w:rsidRPr="0075013E" w:rsidRDefault="00B97902" w:rsidP="00B97902">
      <w:pPr>
        <w:rPr>
          <w:rFonts w:asciiTheme="minorHAnsi" w:hAnsiTheme="minorHAnsi" w:cstheme="minorHAnsi"/>
          <w:sz w:val="24"/>
          <w:szCs w:val="24"/>
        </w:rPr>
      </w:pPr>
    </w:p>
    <w:p w:rsidR="00B97902" w:rsidRPr="00CD1A46" w:rsidRDefault="00B97902" w:rsidP="00B97902">
      <w:pPr>
        <w:pStyle w:val="Zkladntextodsazen"/>
        <w:rPr>
          <w:rFonts w:asciiTheme="minorHAnsi" w:hAnsiTheme="minorHAnsi" w:cstheme="minorHAnsi"/>
        </w:rPr>
      </w:pPr>
      <w:r w:rsidRPr="00CD1A46">
        <w:rPr>
          <w:rFonts w:asciiTheme="minorHAnsi" w:hAnsiTheme="minorHAnsi" w:cstheme="minorHAnsi"/>
        </w:rPr>
        <w:t>Situace na trhu práce v MSK byla během celého hodnoceného roku i nadále ovlivňována dozvuky hospodářské krize. Po výrazném lednovém navýšení se počet uchazečů o zaměstnání během roku s výjimkou července postupně snižoval. K nárůstu uchazečů došlo opět až ke konci minulého roku.</w:t>
      </w:r>
    </w:p>
    <w:p w:rsidR="00B97902" w:rsidRPr="0075013E" w:rsidRDefault="00B97902" w:rsidP="00B97902">
      <w:pPr>
        <w:pStyle w:val="Zkladntextodsazen"/>
        <w:rPr>
          <w:rFonts w:asciiTheme="minorHAnsi" w:hAnsiTheme="minorHAnsi" w:cstheme="minorHAnsi"/>
        </w:rPr>
      </w:pPr>
      <w:r w:rsidRPr="0075013E">
        <w:rPr>
          <w:rFonts w:asciiTheme="minorHAnsi" w:hAnsiTheme="minorHAnsi" w:cstheme="minorHAnsi"/>
        </w:rPr>
        <w:t xml:space="preserve"> </w:t>
      </w:r>
      <w:r>
        <w:rPr>
          <w:rFonts w:asciiTheme="minorHAnsi" w:hAnsiTheme="minorHAnsi" w:cstheme="minorHAnsi"/>
        </w:rPr>
        <w:t>K 31.12.2014</w:t>
      </w:r>
      <w:r w:rsidRPr="0075013E">
        <w:rPr>
          <w:rFonts w:asciiTheme="minorHAnsi" w:hAnsiTheme="minorHAnsi" w:cstheme="minorHAnsi"/>
        </w:rPr>
        <w:t xml:space="preserve"> by</w:t>
      </w:r>
      <w:r>
        <w:rPr>
          <w:rFonts w:asciiTheme="minorHAnsi" w:hAnsiTheme="minorHAnsi" w:cstheme="minorHAnsi"/>
        </w:rPr>
        <w:t>lo v MSK evidováno celkem 83 877 UoZ, což je meziročně o 6 099           (-6,8 %) méně</w:t>
      </w:r>
      <w:r w:rsidRPr="0075013E">
        <w:rPr>
          <w:rFonts w:asciiTheme="minorHAnsi" w:hAnsiTheme="minorHAnsi" w:cstheme="minorHAnsi"/>
        </w:rPr>
        <w:t xml:space="preserve">. Ve srovnání s posledním nejnižším stavem evidované nezaměstnanosti </w:t>
      </w:r>
      <w:r w:rsidRPr="0075013E">
        <w:rPr>
          <w:rFonts w:asciiTheme="minorHAnsi" w:hAnsiTheme="minorHAnsi" w:cstheme="minorHAnsi"/>
        </w:rPr>
        <w:br/>
        <w:t xml:space="preserve">z října 2008, z doby počátku </w:t>
      </w:r>
      <w:r>
        <w:rPr>
          <w:rFonts w:asciiTheme="minorHAnsi" w:hAnsiTheme="minorHAnsi" w:cstheme="minorHAnsi"/>
        </w:rPr>
        <w:t xml:space="preserve">dopadu </w:t>
      </w:r>
      <w:r w:rsidRPr="0075013E">
        <w:rPr>
          <w:rFonts w:asciiTheme="minorHAnsi" w:hAnsiTheme="minorHAnsi" w:cstheme="minorHAnsi"/>
        </w:rPr>
        <w:t>světové krize, kdy bylo v</w:t>
      </w:r>
      <w:r>
        <w:rPr>
          <w:rFonts w:asciiTheme="minorHAnsi" w:hAnsiTheme="minorHAnsi" w:cstheme="minorHAnsi"/>
        </w:rPr>
        <w:t xml:space="preserve"> MSK registrováno celkem jen 52 </w:t>
      </w:r>
      <w:r w:rsidRPr="0075013E">
        <w:rPr>
          <w:rFonts w:asciiTheme="minorHAnsi" w:hAnsiTheme="minorHAnsi" w:cstheme="minorHAnsi"/>
        </w:rPr>
        <w:t>991 uchazečů o zaměs</w:t>
      </w:r>
      <w:r>
        <w:rPr>
          <w:rFonts w:asciiTheme="minorHAnsi" w:hAnsiTheme="minorHAnsi" w:cstheme="minorHAnsi"/>
        </w:rPr>
        <w:t>tnání, jich koncem prosince 2014 měla KrP v Ostravě v evidenci i tak o 30 886 (+58,3</w:t>
      </w:r>
      <w:r w:rsidRPr="0075013E">
        <w:rPr>
          <w:rFonts w:asciiTheme="minorHAnsi" w:hAnsiTheme="minorHAnsi" w:cstheme="minorHAnsi"/>
        </w:rPr>
        <w:t xml:space="preserve"> %) víc</w:t>
      </w:r>
      <w:r>
        <w:rPr>
          <w:rFonts w:asciiTheme="minorHAnsi" w:hAnsiTheme="minorHAnsi" w:cstheme="minorHAnsi"/>
        </w:rPr>
        <w:t xml:space="preserve">e. V meziročním srovnání poklesl </w:t>
      </w:r>
      <w:r w:rsidRPr="0075013E">
        <w:rPr>
          <w:rFonts w:asciiTheme="minorHAnsi" w:hAnsiTheme="minorHAnsi" w:cstheme="minorHAnsi"/>
        </w:rPr>
        <w:t>počet nezaměstnaných oso</w:t>
      </w:r>
      <w:r>
        <w:rPr>
          <w:rFonts w:asciiTheme="minorHAnsi" w:hAnsiTheme="minorHAnsi" w:cstheme="minorHAnsi"/>
        </w:rPr>
        <w:t>b ve všech okresech MSK, nejméně</w:t>
      </w:r>
      <w:r w:rsidRPr="0075013E">
        <w:rPr>
          <w:rFonts w:asciiTheme="minorHAnsi" w:hAnsiTheme="minorHAnsi" w:cstheme="minorHAnsi"/>
        </w:rPr>
        <w:t xml:space="preserve"> v okresech </w:t>
      </w:r>
      <w:r>
        <w:rPr>
          <w:rFonts w:asciiTheme="minorHAnsi" w:hAnsiTheme="minorHAnsi" w:cstheme="minorHAnsi"/>
        </w:rPr>
        <w:t>Bruntál (-656) a Opava (-985), v ostatních okresech překročilo snížení těsně hranici tisíc uchazečů, nejvíce v okrese Nový Jičín (-1 156). P</w:t>
      </w:r>
      <w:r w:rsidRPr="0075013E">
        <w:rPr>
          <w:rFonts w:asciiTheme="minorHAnsi" w:hAnsiTheme="minorHAnsi" w:cstheme="minorHAnsi"/>
        </w:rPr>
        <w:t>ři p</w:t>
      </w:r>
      <w:r>
        <w:rPr>
          <w:rFonts w:asciiTheme="minorHAnsi" w:hAnsiTheme="minorHAnsi" w:cstheme="minorHAnsi"/>
        </w:rPr>
        <w:t>ohledu na procentuální úbytek</w:t>
      </w:r>
      <w:r w:rsidRPr="0075013E">
        <w:rPr>
          <w:rFonts w:asciiTheme="minorHAnsi" w:hAnsiTheme="minorHAnsi" w:cstheme="minorHAnsi"/>
        </w:rPr>
        <w:t xml:space="preserve"> nezaměstnaných v jednotlivých okresech je zřejmé, ž</w:t>
      </w:r>
      <w:r>
        <w:rPr>
          <w:rFonts w:asciiTheme="minorHAnsi" w:hAnsiTheme="minorHAnsi" w:cstheme="minorHAnsi"/>
        </w:rPr>
        <w:t>e nejvíce počet uchazečů poklesl v okresech Nový Jičín (-13,3 %) a Frýdek-Místek (-9,8</w:t>
      </w:r>
      <w:r w:rsidRPr="0075013E">
        <w:rPr>
          <w:rFonts w:asciiTheme="minorHAnsi" w:hAnsiTheme="minorHAnsi" w:cstheme="minorHAnsi"/>
        </w:rPr>
        <w:t xml:space="preserve"> %), n</w:t>
      </w:r>
      <w:r>
        <w:rPr>
          <w:rFonts w:asciiTheme="minorHAnsi" w:hAnsiTheme="minorHAnsi" w:cstheme="minorHAnsi"/>
        </w:rPr>
        <w:t>aopak nejmenší procentní úbytky zaznamenaly okresy Ostrava</w:t>
      </w:r>
      <w:r w:rsidRPr="0075013E">
        <w:rPr>
          <w:rFonts w:asciiTheme="minorHAnsi" w:hAnsiTheme="minorHAnsi" w:cstheme="minorHAnsi"/>
        </w:rPr>
        <w:t xml:space="preserve"> </w:t>
      </w:r>
      <w:r>
        <w:rPr>
          <w:rFonts w:asciiTheme="minorHAnsi" w:hAnsiTheme="minorHAnsi" w:cstheme="minorHAnsi"/>
        </w:rPr>
        <w:t xml:space="preserve">(-4,1 %) </w:t>
      </w:r>
      <w:r w:rsidRPr="0075013E">
        <w:rPr>
          <w:rFonts w:asciiTheme="minorHAnsi" w:hAnsiTheme="minorHAnsi" w:cstheme="minorHAnsi"/>
        </w:rPr>
        <w:t xml:space="preserve">a </w:t>
      </w:r>
      <w:r>
        <w:rPr>
          <w:rFonts w:asciiTheme="minorHAnsi" w:hAnsiTheme="minorHAnsi" w:cstheme="minorHAnsi"/>
        </w:rPr>
        <w:t>Karviná (-4,9</w:t>
      </w:r>
      <w:r w:rsidRPr="0075013E">
        <w:rPr>
          <w:rFonts w:asciiTheme="minorHAnsi" w:hAnsiTheme="minorHAnsi" w:cstheme="minorHAnsi"/>
        </w:rPr>
        <w:t xml:space="preserve"> %</w:t>
      </w:r>
      <w:r>
        <w:rPr>
          <w:rFonts w:asciiTheme="minorHAnsi" w:hAnsiTheme="minorHAnsi" w:cstheme="minorHAnsi"/>
        </w:rPr>
        <w:t>)</w:t>
      </w:r>
      <w:r w:rsidRPr="0075013E">
        <w:rPr>
          <w:rFonts w:asciiTheme="minorHAnsi" w:hAnsiTheme="minorHAnsi" w:cstheme="minorHAnsi"/>
        </w:rPr>
        <w:t>.</w:t>
      </w:r>
    </w:p>
    <w:p w:rsidR="00B97902" w:rsidRPr="0075013E" w:rsidRDefault="00B97902" w:rsidP="00B97902">
      <w:pPr>
        <w:rPr>
          <w:rFonts w:asciiTheme="minorHAnsi" w:hAnsiTheme="minorHAnsi" w:cstheme="minorHAnsi"/>
          <w:b/>
          <w:sz w:val="24"/>
        </w:rPr>
      </w:pPr>
    </w:p>
    <w:p w:rsidR="00B97902" w:rsidRPr="0081411C" w:rsidRDefault="00B97902" w:rsidP="00B97902">
      <w:pPr>
        <w:rPr>
          <w:sz w:val="24"/>
        </w:rPr>
      </w:pPr>
      <w:r w:rsidRPr="0075013E">
        <w:rPr>
          <w:rFonts w:asciiTheme="minorHAnsi" w:hAnsiTheme="minorHAnsi" w:cstheme="minorHAnsi"/>
          <w:b/>
          <w:sz w:val="24"/>
        </w:rPr>
        <w:t>Graf III/1</w:t>
      </w:r>
      <w:r w:rsidRPr="0075013E">
        <w:rPr>
          <w:rFonts w:asciiTheme="minorHAnsi" w:hAnsiTheme="minorHAnsi" w:cstheme="minorHAnsi"/>
          <w:sz w:val="24"/>
        </w:rPr>
        <w:t xml:space="preserve"> - Vývoj podílu nezaměstnaných osob v ČR a v Moravskoslezském kraji v roce 201</w:t>
      </w:r>
      <w:r>
        <w:rPr>
          <w:rFonts w:asciiTheme="minorHAnsi" w:hAnsiTheme="minorHAnsi" w:cstheme="minorHAnsi"/>
          <w:sz w:val="24"/>
        </w:rPr>
        <w:t>4</w:t>
      </w:r>
    </w:p>
    <w:p w:rsidR="00B97902" w:rsidRPr="00EC499D" w:rsidRDefault="00B97902" w:rsidP="00B97902">
      <w:pPr>
        <w:jc w:val="center"/>
        <w:rPr>
          <w:rFonts w:asciiTheme="minorHAnsi" w:hAnsiTheme="minorHAnsi" w:cstheme="minorHAnsi"/>
        </w:rPr>
      </w:pPr>
      <w:r w:rsidRPr="00EC499D">
        <w:rPr>
          <w:rFonts w:asciiTheme="minorHAnsi" w:hAnsiTheme="minorHAnsi" w:cstheme="minorHAnsi"/>
          <w:noProof/>
        </w:rPr>
        <w:drawing>
          <wp:inline distT="0" distB="0" distL="0" distR="0">
            <wp:extent cx="5939790" cy="3587492"/>
            <wp:effectExtent l="0" t="0" r="0" b="0"/>
            <wp:docPr id="5"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7902" w:rsidRPr="0081411C" w:rsidRDefault="00B97902" w:rsidP="00B97902">
      <w:pPr>
        <w:pStyle w:val="Zkladntextodsazen"/>
      </w:pPr>
    </w:p>
    <w:p w:rsidR="00B97902" w:rsidRPr="0075013E" w:rsidRDefault="00B97902" w:rsidP="00B97902">
      <w:pPr>
        <w:pStyle w:val="Zkladntextodsazen"/>
        <w:rPr>
          <w:rFonts w:asciiTheme="minorHAnsi" w:hAnsiTheme="minorHAnsi" w:cstheme="minorHAnsi"/>
        </w:rPr>
      </w:pPr>
      <w:r w:rsidRPr="0075013E">
        <w:rPr>
          <w:rFonts w:asciiTheme="minorHAnsi" w:hAnsiTheme="minorHAnsi" w:cstheme="minorHAnsi"/>
        </w:rPr>
        <w:t>Podíl nezaměstnaných</w:t>
      </w:r>
      <w:r>
        <w:rPr>
          <w:rFonts w:asciiTheme="minorHAnsi" w:hAnsiTheme="minorHAnsi" w:cstheme="minorHAnsi"/>
        </w:rPr>
        <w:t xml:space="preserve"> osob v MSK koncem prosince 2014 činil 9,8 %, což je o 0,7 procentního bodu méně</w:t>
      </w:r>
      <w:r w:rsidRPr="0075013E">
        <w:rPr>
          <w:rFonts w:asciiTheme="minorHAnsi" w:hAnsiTheme="minorHAnsi" w:cstheme="minorHAnsi"/>
        </w:rPr>
        <w:t xml:space="preserve"> než před dvanácti měsíci. Hodnota podílu nezaměstnaných osob v MSK dlouhodobě neustále převyšuje celorepublikový průměr a v průběhu uplynulého ro</w:t>
      </w:r>
      <w:r>
        <w:rPr>
          <w:rFonts w:asciiTheme="minorHAnsi" w:hAnsiTheme="minorHAnsi" w:cstheme="minorHAnsi"/>
        </w:rPr>
        <w:t>ku se pohybovala o 2,3 až 2,5</w:t>
      </w:r>
      <w:r w:rsidRPr="0075013E">
        <w:rPr>
          <w:rFonts w:asciiTheme="minorHAnsi" w:hAnsiTheme="minorHAnsi" w:cstheme="minorHAnsi"/>
        </w:rPr>
        <w:t xml:space="preserve"> procentního bodu výše.</w:t>
      </w:r>
    </w:p>
    <w:p w:rsidR="00B97902" w:rsidRPr="0075013E" w:rsidRDefault="00B97902" w:rsidP="00B97902">
      <w:pPr>
        <w:pStyle w:val="Zkladntextodsazen"/>
        <w:rPr>
          <w:rFonts w:asciiTheme="minorHAnsi" w:hAnsiTheme="minorHAnsi" w:cstheme="minorHAnsi"/>
        </w:rPr>
      </w:pPr>
      <w:r w:rsidRPr="0075013E">
        <w:rPr>
          <w:rFonts w:asciiTheme="minorHAnsi" w:hAnsiTheme="minorHAnsi" w:cstheme="minorHAnsi"/>
        </w:rPr>
        <w:t xml:space="preserve">V pomyslném „žebříčku“ výše podílu nezaměstnaných osob 77 okresů ČR se po celé sledované období všechny okresy našeho kraje s výjimkou okresů Frýdek-Místek a Nový Jičín </w:t>
      </w:r>
      <w:r>
        <w:rPr>
          <w:rFonts w:asciiTheme="minorHAnsi" w:hAnsiTheme="minorHAnsi" w:cstheme="minorHAnsi"/>
        </w:rPr>
        <w:t xml:space="preserve">(kromě července až září) </w:t>
      </w:r>
      <w:r w:rsidRPr="0075013E">
        <w:rPr>
          <w:rFonts w:asciiTheme="minorHAnsi" w:hAnsiTheme="minorHAnsi" w:cstheme="minorHAnsi"/>
        </w:rPr>
        <w:t xml:space="preserve">umisťovaly neustále v jeho první polovině (okresy Bruntál, Karviná </w:t>
      </w:r>
      <w:r>
        <w:rPr>
          <w:rFonts w:asciiTheme="minorHAnsi" w:hAnsiTheme="minorHAnsi" w:cstheme="minorHAnsi"/>
        </w:rPr>
        <w:t xml:space="preserve">      </w:t>
      </w:r>
      <w:r w:rsidRPr="0075013E">
        <w:rPr>
          <w:rFonts w:asciiTheme="minorHAnsi" w:hAnsiTheme="minorHAnsi" w:cstheme="minorHAnsi"/>
        </w:rPr>
        <w:t>a Ostrava v</w:t>
      </w:r>
      <w:r>
        <w:rPr>
          <w:rFonts w:asciiTheme="minorHAnsi" w:hAnsiTheme="minorHAnsi" w:cstheme="minorHAnsi"/>
        </w:rPr>
        <w:t>ždy alespoň do desátého místa</w:t>
      </w:r>
      <w:r w:rsidRPr="0075013E">
        <w:rPr>
          <w:rFonts w:asciiTheme="minorHAnsi" w:hAnsiTheme="minorHAnsi" w:cstheme="minorHAnsi"/>
        </w:rPr>
        <w:t xml:space="preserve">). Okres Frýdek-Místek se </w:t>
      </w:r>
      <w:r>
        <w:rPr>
          <w:rFonts w:asciiTheme="minorHAnsi" w:hAnsiTheme="minorHAnsi" w:cstheme="minorHAnsi"/>
        </w:rPr>
        <w:t>pohyboval v průběhu roku mezi 39. až 52</w:t>
      </w:r>
      <w:r w:rsidRPr="0075013E">
        <w:rPr>
          <w:rFonts w:asciiTheme="minorHAnsi" w:hAnsiTheme="minorHAnsi" w:cstheme="minorHAnsi"/>
        </w:rPr>
        <w:t>. místem a okres Nový J</w:t>
      </w:r>
      <w:r>
        <w:rPr>
          <w:rFonts w:asciiTheme="minorHAnsi" w:hAnsiTheme="minorHAnsi" w:cstheme="minorHAnsi"/>
        </w:rPr>
        <w:t>ičín se umísťoval mezi 38. až 46</w:t>
      </w:r>
      <w:r w:rsidRPr="0075013E">
        <w:rPr>
          <w:rFonts w:asciiTheme="minorHAnsi" w:hAnsiTheme="minorHAnsi" w:cstheme="minorHAnsi"/>
        </w:rPr>
        <w:t>. místem. Naopak nejhorší situace je dlouhodobě v okrese Bruntál, který se po celé roční sledované období pohyboval na 1. a</w:t>
      </w:r>
      <w:r>
        <w:rPr>
          <w:rFonts w:asciiTheme="minorHAnsi" w:hAnsiTheme="minorHAnsi" w:cstheme="minorHAnsi"/>
        </w:rPr>
        <w:t>ž 3</w:t>
      </w:r>
      <w:r w:rsidRPr="0075013E">
        <w:rPr>
          <w:rFonts w:asciiTheme="minorHAnsi" w:hAnsiTheme="minorHAnsi" w:cstheme="minorHAnsi"/>
        </w:rPr>
        <w:t>. místě ze všech</w:t>
      </w:r>
      <w:r>
        <w:rPr>
          <w:rFonts w:asciiTheme="minorHAnsi" w:hAnsiTheme="minorHAnsi" w:cstheme="minorHAnsi"/>
        </w:rPr>
        <w:t xml:space="preserve"> okresů v ČR. Na konci roku 2014</w:t>
      </w:r>
      <w:r w:rsidRPr="0075013E">
        <w:rPr>
          <w:rFonts w:asciiTheme="minorHAnsi" w:hAnsiTheme="minorHAnsi" w:cstheme="minorHAnsi"/>
        </w:rPr>
        <w:t xml:space="preserve"> zde byl vyká</w:t>
      </w:r>
      <w:r>
        <w:rPr>
          <w:rFonts w:asciiTheme="minorHAnsi" w:hAnsiTheme="minorHAnsi" w:cstheme="minorHAnsi"/>
        </w:rPr>
        <w:t>zán podíl nezaměstnaných osob 13,5</w:t>
      </w:r>
      <w:r w:rsidRPr="0075013E">
        <w:rPr>
          <w:rFonts w:asciiTheme="minorHAnsi" w:hAnsiTheme="minorHAnsi" w:cstheme="minorHAnsi"/>
        </w:rPr>
        <w:t xml:space="preserve"> %. Karvinský ok</w:t>
      </w:r>
      <w:r>
        <w:rPr>
          <w:rFonts w:asciiTheme="minorHAnsi" w:hAnsiTheme="minorHAnsi" w:cstheme="minorHAnsi"/>
        </w:rPr>
        <w:t>res setrvával během roku na 4. a 5</w:t>
      </w:r>
      <w:r w:rsidRPr="0075013E">
        <w:rPr>
          <w:rFonts w:asciiTheme="minorHAnsi" w:hAnsiTheme="minorHAnsi" w:cstheme="minorHAnsi"/>
        </w:rPr>
        <w:t>. místě. S výjimkou okresů Frýdek-Místek a Nový Jičín všechny ostatní okresy MSK převyšovaly v závěru roku průměrný podíl nezaměstnaných osob v ČR.</w:t>
      </w:r>
    </w:p>
    <w:p w:rsidR="00B97902" w:rsidRPr="0075013E" w:rsidRDefault="00B97902" w:rsidP="00B97902">
      <w:pPr>
        <w:pStyle w:val="Zkladntextodsazen"/>
        <w:rPr>
          <w:rFonts w:asciiTheme="minorHAnsi" w:hAnsiTheme="minorHAnsi" w:cstheme="minorHAnsi"/>
        </w:rPr>
      </w:pPr>
      <w:r w:rsidRPr="0075013E">
        <w:rPr>
          <w:rFonts w:asciiTheme="minorHAnsi" w:hAnsiTheme="minorHAnsi" w:cstheme="minorHAnsi"/>
        </w:rPr>
        <w:t>V celkovém počtu nezaměstnaných osob zaujímaly okresy MSK v rámci České republiky během celého minulého roku místa v první třet</w:t>
      </w:r>
      <w:r>
        <w:rPr>
          <w:rFonts w:asciiTheme="minorHAnsi" w:hAnsiTheme="minorHAnsi" w:cstheme="minorHAnsi"/>
        </w:rPr>
        <w:t>ině žebříčku, přičemž Ostrava byla</w:t>
      </w:r>
      <w:r w:rsidRPr="0075013E">
        <w:rPr>
          <w:rFonts w:asciiTheme="minorHAnsi" w:hAnsiTheme="minorHAnsi" w:cstheme="minorHAnsi"/>
        </w:rPr>
        <w:t xml:space="preserve"> po celé sledované období na druhém </w:t>
      </w:r>
      <w:r>
        <w:rPr>
          <w:rFonts w:asciiTheme="minorHAnsi" w:hAnsiTheme="minorHAnsi" w:cstheme="minorHAnsi"/>
        </w:rPr>
        <w:t xml:space="preserve">místě a Karviná na </w:t>
      </w:r>
      <w:r w:rsidRPr="0075013E">
        <w:rPr>
          <w:rFonts w:asciiTheme="minorHAnsi" w:hAnsiTheme="minorHAnsi" w:cstheme="minorHAnsi"/>
        </w:rPr>
        <w:t xml:space="preserve">třetím </w:t>
      </w:r>
      <w:r>
        <w:rPr>
          <w:rFonts w:asciiTheme="minorHAnsi" w:hAnsiTheme="minorHAnsi" w:cstheme="minorHAnsi"/>
        </w:rPr>
        <w:t xml:space="preserve">až čtvrtém </w:t>
      </w:r>
      <w:r w:rsidRPr="0075013E">
        <w:rPr>
          <w:rFonts w:asciiTheme="minorHAnsi" w:hAnsiTheme="minorHAnsi" w:cstheme="minorHAnsi"/>
        </w:rPr>
        <w:t>místě. Dlouhodobě zaujímá první místo s největším počtem uchazečů o zaměstnání hlavní město Praha.</w:t>
      </w:r>
    </w:p>
    <w:p w:rsidR="00B97902" w:rsidRPr="0075013E" w:rsidRDefault="00B97902" w:rsidP="00B97902">
      <w:pPr>
        <w:pStyle w:val="Zkladntextodsazen"/>
        <w:rPr>
          <w:rFonts w:asciiTheme="minorHAnsi" w:hAnsiTheme="minorHAnsi" w:cstheme="minorHAnsi"/>
        </w:rPr>
      </w:pPr>
    </w:p>
    <w:p w:rsidR="00B97902" w:rsidRDefault="00B97902" w:rsidP="00B97902">
      <w:pPr>
        <w:pStyle w:val="Zkladntextodsazen"/>
        <w:ind w:firstLine="0"/>
      </w:pPr>
      <w:r>
        <w:rPr>
          <w:rFonts w:asciiTheme="minorHAnsi" w:hAnsiTheme="minorHAnsi" w:cstheme="minorHAnsi"/>
          <w:b/>
          <w:noProof/>
        </w:rPr>
        <w:drawing>
          <wp:anchor distT="0" distB="0" distL="114300" distR="114300" simplePos="0" relativeHeight="251661312" behindDoc="1" locked="0" layoutInCell="1" allowOverlap="1">
            <wp:simplePos x="0" y="0"/>
            <wp:positionH relativeFrom="column">
              <wp:posOffset>52070</wp:posOffset>
            </wp:positionH>
            <wp:positionV relativeFrom="paragraph">
              <wp:posOffset>591185</wp:posOffset>
            </wp:positionV>
            <wp:extent cx="5965825" cy="5579745"/>
            <wp:effectExtent l="190500" t="152400" r="168275" b="135255"/>
            <wp:wrapTight wrapText="bothSides">
              <wp:wrapPolygon edited="0">
                <wp:start x="0" y="-590"/>
                <wp:lineTo x="-414" y="-369"/>
                <wp:lineTo x="-690" y="74"/>
                <wp:lineTo x="-552" y="21829"/>
                <wp:lineTo x="-69" y="22124"/>
                <wp:lineTo x="0" y="22124"/>
                <wp:lineTo x="21520" y="22124"/>
                <wp:lineTo x="21589" y="22124"/>
                <wp:lineTo x="22002" y="21829"/>
                <wp:lineTo x="22071" y="21829"/>
                <wp:lineTo x="22209" y="20870"/>
                <wp:lineTo x="22209" y="221"/>
                <wp:lineTo x="21864" y="-442"/>
                <wp:lineTo x="21520" y="-590"/>
                <wp:lineTo x="0" y="-590"/>
              </wp:wrapPolygon>
            </wp:wrapTight>
            <wp:docPr id="6" name="Obrázek 0" descr="Mira nezamestnanosti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 nezamestnanosti 2014.jpg"/>
                    <pic:cNvPicPr/>
                  </pic:nvPicPr>
                  <pic:blipFill>
                    <a:blip r:embed="rId21" cstate="print"/>
                    <a:stretch>
                      <a:fillRect/>
                    </a:stretch>
                  </pic:blipFill>
                  <pic:spPr>
                    <a:xfrm>
                      <a:off x="0" y="0"/>
                      <a:ext cx="5965825" cy="5579745"/>
                    </a:xfrm>
                    <a:prstGeom prst="rect">
                      <a:avLst/>
                    </a:prstGeom>
                    <a:ln>
                      <a:noFill/>
                    </a:ln>
                    <a:effectLst>
                      <a:outerShdw blurRad="190500" algn="tl" rotWithShape="0">
                        <a:srgbClr val="000000">
                          <a:alpha val="70000"/>
                        </a:srgbClr>
                      </a:outerShdw>
                    </a:effectLst>
                  </pic:spPr>
                </pic:pic>
              </a:graphicData>
            </a:graphic>
          </wp:anchor>
        </w:drawing>
      </w:r>
      <w:r w:rsidRPr="0075013E">
        <w:rPr>
          <w:rFonts w:asciiTheme="minorHAnsi" w:hAnsiTheme="minorHAnsi" w:cstheme="minorHAnsi"/>
          <w:b/>
        </w:rPr>
        <w:t>Mapa III/1</w:t>
      </w:r>
      <w:r w:rsidRPr="0075013E">
        <w:rPr>
          <w:rFonts w:asciiTheme="minorHAnsi" w:hAnsiTheme="minorHAnsi" w:cstheme="minorHAnsi"/>
        </w:rPr>
        <w:t xml:space="preserve"> - Podíl nezaměstnaných osob, počet uchazečů a volných pracovních míst v jednotlivých okresech MSK ke konci roku 201</w:t>
      </w:r>
      <w:r>
        <w:rPr>
          <w:rFonts w:asciiTheme="minorHAnsi" w:hAnsiTheme="minorHAnsi" w:cstheme="minorHAnsi"/>
        </w:rPr>
        <w:t>4</w:t>
      </w:r>
    </w:p>
    <w:p w:rsidR="00B97902" w:rsidRPr="002B6BB8" w:rsidRDefault="00B97902" w:rsidP="00B97902">
      <w:pPr>
        <w:pStyle w:val="Zkladntextodsazen"/>
        <w:ind w:firstLine="0"/>
        <w:rPr>
          <w:rFonts w:asciiTheme="minorHAnsi" w:hAnsiTheme="minorHAnsi" w:cstheme="minorHAnsi"/>
          <w:b/>
        </w:rPr>
      </w:pPr>
    </w:p>
    <w:p w:rsidR="00B97902" w:rsidRPr="002B6BB8" w:rsidRDefault="00B97902" w:rsidP="00B97902">
      <w:pPr>
        <w:pStyle w:val="Zkladntextodsazen"/>
        <w:ind w:firstLine="0"/>
        <w:rPr>
          <w:rFonts w:asciiTheme="minorHAnsi" w:hAnsiTheme="minorHAnsi" w:cstheme="minorHAnsi"/>
          <w:b/>
        </w:rPr>
      </w:pPr>
    </w:p>
    <w:p w:rsidR="00B97902" w:rsidRPr="002B6BB8" w:rsidRDefault="00B97902" w:rsidP="00B97902">
      <w:pPr>
        <w:pStyle w:val="Zkladntextodsazen"/>
        <w:ind w:firstLine="0"/>
        <w:rPr>
          <w:rFonts w:asciiTheme="minorHAnsi" w:hAnsiTheme="minorHAnsi" w:cstheme="minorHAnsi"/>
        </w:rPr>
      </w:pPr>
      <w:r w:rsidRPr="002B6BB8">
        <w:rPr>
          <w:rFonts w:asciiTheme="minorHAnsi" w:hAnsiTheme="minorHAnsi" w:cstheme="minorHAnsi"/>
          <w:b/>
        </w:rPr>
        <w:t>Tabulka III/1</w:t>
      </w:r>
      <w:r w:rsidRPr="002B6BB8">
        <w:rPr>
          <w:rFonts w:asciiTheme="minorHAnsi" w:hAnsiTheme="minorHAnsi" w:cstheme="minorHAnsi"/>
        </w:rPr>
        <w:t xml:space="preserve"> - Vývoj počtu evidovaných uchazečů o zaměstnání, volných pracovních míst a </w:t>
      </w:r>
      <w:r w:rsidRPr="002B6BB8">
        <w:rPr>
          <w:rFonts w:asciiTheme="minorHAnsi" w:hAnsiTheme="minorHAnsi" w:cstheme="minorHAnsi"/>
          <w:szCs w:val="24"/>
        </w:rPr>
        <w:t>podílu nezaměstnaných osob</w:t>
      </w:r>
      <w:r w:rsidRPr="002B6BB8">
        <w:rPr>
          <w:rFonts w:asciiTheme="minorHAnsi" w:hAnsiTheme="minorHAnsi" w:cstheme="minorHAnsi"/>
        </w:rPr>
        <w:t xml:space="preserve"> za posledních dvanáct měsíců </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8"/>
        <w:gridCol w:w="1562"/>
        <w:gridCol w:w="1562"/>
        <w:gridCol w:w="1125"/>
        <w:gridCol w:w="851"/>
      </w:tblGrid>
      <w:tr w:rsidR="00B97902" w:rsidRPr="002B6BB8" w:rsidTr="00027ABA">
        <w:tc>
          <w:tcPr>
            <w:tcW w:w="4398" w:type="dxa"/>
            <w:vMerge w:val="restart"/>
            <w:tcBorders>
              <w:top w:val="single" w:sz="12" w:space="0" w:color="auto"/>
              <w:left w:val="single" w:sz="12"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ukazatel (celkový počet)</w:t>
            </w:r>
          </w:p>
        </w:tc>
        <w:tc>
          <w:tcPr>
            <w:tcW w:w="3124" w:type="dxa"/>
            <w:gridSpan w:val="2"/>
            <w:tcBorders>
              <w:top w:val="single" w:sz="12" w:space="0" w:color="auto"/>
              <w:left w:val="nil"/>
              <w:bottom w:val="single" w:sz="4" w:space="0" w:color="auto"/>
              <w:right w:val="nil"/>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stav k</w:t>
            </w:r>
          </w:p>
        </w:tc>
        <w:tc>
          <w:tcPr>
            <w:tcW w:w="1976" w:type="dxa"/>
            <w:gridSpan w:val="2"/>
            <w:tcBorders>
              <w:top w:val="single" w:sz="12" w:space="0" w:color="auto"/>
              <w:left w:val="single" w:sz="12" w:space="0" w:color="auto"/>
              <w:bottom w:val="single" w:sz="4" w:space="0" w:color="auto"/>
              <w:right w:val="single" w:sz="12" w:space="0" w:color="auto"/>
            </w:tcBorders>
          </w:tcPr>
          <w:p w:rsidR="00B97902" w:rsidRPr="002B6BB8" w:rsidRDefault="00B97902" w:rsidP="00027ABA">
            <w:pPr>
              <w:jc w:val="center"/>
              <w:rPr>
                <w:rFonts w:asciiTheme="minorHAnsi" w:hAnsiTheme="minorHAnsi" w:cstheme="minorHAnsi"/>
                <w:sz w:val="24"/>
              </w:rPr>
            </w:pPr>
            <w:r>
              <w:rPr>
                <w:rFonts w:asciiTheme="minorHAnsi" w:hAnsiTheme="minorHAnsi" w:cstheme="minorHAnsi"/>
                <w:sz w:val="24"/>
              </w:rPr>
              <w:t>12/2014</w:t>
            </w:r>
            <w:r w:rsidRPr="002B6BB8">
              <w:rPr>
                <w:rFonts w:asciiTheme="minorHAnsi" w:hAnsiTheme="minorHAnsi" w:cstheme="minorHAnsi"/>
                <w:sz w:val="24"/>
              </w:rPr>
              <w:t>-12/201</w:t>
            </w:r>
            <w:r>
              <w:rPr>
                <w:rFonts w:asciiTheme="minorHAnsi" w:hAnsiTheme="minorHAnsi" w:cstheme="minorHAnsi"/>
                <w:sz w:val="24"/>
              </w:rPr>
              <w:t>3</w:t>
            </w:r>
          </w:p>
        </w:tc>
      </w:tr>
      <w:tr w:rsidR="00B97902" w:rsidRPr="002B6BB8" w:rsidTr="00027ABA">
        <w:tc>
          <w:tcPr>
            <w:tcW w:w="4398" w:type="dxa"/>
            <w:vMerge/>
            <w:tcBorders>
              <w:left w:val="single" w:sz="12" w:space="0" w:color="auto"/>
              <w:bottom w:val="single" w:sz="12" w:space="0" w:color="auto"/>
              <w:right w:val="single" w:sz="12" w:space="0" w:color="auto"/>
            </w:tcBorders>
          </w:tcPr>
          <w:p w:rsidR="00B97902" w:rsidRPr="002B6BB8" w:rsidRDefault="00B97902" w:rsidP="00027ABA">
            <w:pPr>
              <w:rPr>
                <w:rFonts w:asciiTheme="minorHAnsi" w:hAnsiTheme="minorHAnsi" w:cstheme="minorHAnsi"/>
                <w:sz w:val="24"/>
              </w:rPr>
            </w:pPr>
          </w:p>
        </w:tc>
        <w:tc>
          <w:tcPr>
            <w:tcW w:w="1562" w:type="dxa"/>
            <w:tcBorders>
              <w:left w:val="nil"/>
              <w:bottom w:val="single" w:sz="12" w:space="0" w:color="auto"/>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12/201</w:t>
            </w:r>
            <w:r>
              <w:rPr>
                <w:rFonts w:asciiTheme="minorHAnsi" w:hAnsiTheme="minorHAnsi" w:cstheme="minorHAnsi"/>
                <w:sz w:val="24"/>
              </w:rPr>
              <w:t>3</w:t>
            </w:r>
          </w:p>
        </w:tc>
        <w:tc>
          <w:tcPr>
            <w:tcW w:w="1562" w:type="dxa"/>
            <w:tcBorders>
              <w:bottom w:val="single" w:sz="12" w:space="0" w:color="auto"/>
              <w:right w:val="nil"/>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12/201</w:t>
            </w:r>
            <w:r>
              <w:rPr>
                <w:rFonts w:asciiTheme="minorHAnsi" w:hAnsiTheme="minorHAnsi" w:cstheme="minorHAnsi"/>
                <w:sz w:val="24"/>
              </w:rPr>
              <w:t>4</w:t>
            </w:r>
          </w:p>
        </w:tc>
        <w:tc>
          <w:tcPr>
            <w:tcW w:w="1125" w:type="dxa"/>
            <w:tcBorders>
              <w:left w:val="single" w:sz="12" w:space="0" w:color="auto"/>
              <w:bottom w:val="single" w:sz="12" w:space="0" w:color="auto"/>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851" w:type="dxa"/>
            <w:tcBorders>
              <w:bottom w:val="single" w:sz="12" w:space="0" w:color="auto"/>
              <w:right w:val="single" w:sz="12" w:space="0" w:color="auto"/>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r>
      <w:tr w:rsidR="00B97902" w:rsidRPr="002B6BB8" w:rsidTr="00027ABA">
        <w:tc>
          <w:tcPr>
            <w:tcW w:w="4398" w:type="dxa"/>
            <w:tcBorders>
              <w:top w:val="nil"/>
              <w:left w:val="single" w:sz="12" w:space="0" w:color="auto"/>
              <w:bottom w:val="single" w:sz="4"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evidovaní uchazeči o zaměstnání</w:t>
            </w:r>
          </w:p>
        </w:tc>
        <w:tc>
          <w:tcPr>
            <w:tcW w:w="1562" w:type="dxa"/>
            <w:tcBorders>
              <w:top w:val="nil"/>
              <w:left w:val="nil"/>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89 976</w:t>
            </w:r>
          </w:p>
        </w:tc>
        <w:tc>
          <w:tcPr>
            <w:tcW w:w="1562" w:type="dxa"/>
            <w:tcBorders>
              <w:top w:val="nil"/>
              <w:bottom w:val="single" w:sz="4"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83 877</w:t>
            </w:r>
          </w:p>
        </w:tc>
        <w:tc>
          <w:tcPr>
            <w:tcW w:w="1125" w:type="dxa"/>
            <w:tcBorders>
              <w:top w:val="nil"/>
              <w:left w:val="single" w:sz="12" w:space="0" w:color="auto"/>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-6 099</w:t>
            </w:r>
          </w:p>
        </w:tc>
        <w:tc>
          <w:tcPr>
            <w:tcW w:w="851" w:type="dxa"/>
            <w:tcBorders>
              <w:top w:val="nil"/>
              <w:bottom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-6,8</w:t>
            </w:r>
          </w:p>
        </w:tc>
      </w:tr>
      <w:tr w:rsidR="00B97902" w:rsidRPr="002B6BB8" w:rsidTr="00027ABA">
        <w:tc>
          <w:tcPr>
            <w:tcW w:w="4398" w:type="dxa"/>
            <w:tcBorders>
              <w:top w:val="single" w:sz="4" w:space="0" w:color="auto"/>
              <w:left w:val="single" w:sz="12" w:space="0" w:color="auto"/>
              <w:bottom w:val="single" w:sz="12"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z toho dosažitelní</w:t>
            </w:r>
          </w:p>
        </w:tc>
        <w:tc>
          <w:tcPr>
            <w:tcW w:w="1562" w:type="dxa"/>
            <w:tcBorders>
              <w:top w:val="single" w:sz="4" w:space="0" w:color="auto"/>
              <w:left w:val="nil"/>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87 626</w:t>
            </w:r>
          </w:p>
        </w:tc>
        <w:tc>
          <w:tcPr>
            <w:tcW w:w="1562" w:type="dxa"/>
            <w:tcBorders>
              <w:top w:val="single" w:sz="4" w:space="0" w:color="auto"/>
              <w:bottom w:val="single" w:sz="12"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80 901</w:t>
            </w:r>
          </w:p>
        </w:tc>
        <w:tc>
          <w:tcPr>
            <w:tcW w:w="1125" w:type="dxa"/>
            <w:tcBorders>
              <w:top w:val="single" w:sz="4"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-6 725</w:t>
            </w:r>
          </w:p>
        </w:tc>
        <w:tc>
          <w:tcPr>
            <w:tcW w:w="851" w:type="dxa"/>
            <w:tcBorders>
              <w:top w:val="single" w:sz="4"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-7,7</w:t>
            </w:r>
          </w:p>
        </w:tc>
      </w:tr>
      <w:tr w:rsidR="00B97902" w:rsidRPr="002B6BB8" w:rsidTr="00027ABA">
        <w:tc>
          <w:tcPr>
            <w:tcW w:w="4398" w:type="dxa"/>
            <w:tcBorders>
              <w:top w:val="single" w:sz="12" w:space="0" w:color="auto"/>
              <w:left w:val="single" w:sz="12" w:space="0" w:color="auto"/>
              <w:bottom w:val="nil"/>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uchazeči s nárokem na podporu v nezaměstnanosti</w:t>
            </w:r>
          </w:p>
        </w:tc>
        <w:tc>
          <w:tcPr>
            <w:tcW w:w="1562" w:type="dxa"/>
            <w:tcBorders>
              <w:top w:val="single" w:sz="12" w:space="0" w:color="auto"/>
              <w:left w:val="nil"/>
              <w:bottom w:val="nil"/>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15 515</w:t>
            </w:r>
          </w:p>
        </w:tc>
        <w:tc>
          <w:tcPr>
            <w:tcW w:w="1562" w:type="dxa"/>
            <w:tcBorders>
              <w:top w:val="single" w:sz="12" w:space="0" w:color="auto"/>
              <w:bottom w:val="nil"/>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14 671</w:t>
            </w:r>
          </w:p>
        </w:tc>
        <w:tc>
          <w:tcPr>
            <w:tcW w:w="1125" w:type="dxa"/>
            <w:tcBorders>
              <w:top w:val="single" w:sz="12" w:space="0" w:color="auto"/>
              <w:left w:val="single" w:sz="12" w:space="0" w:color="auto"/>
              <w:bottom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-844</w:t>
            </w:r>
          </w:p>
        </w:tc>
        <w:tc>
          <w:tcPr>
            <w:tcW w:w="851" w:type="dxa"/>
            <w:tcBorders>
              <w:top w:val="single" w:sz="12"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-5,4</w:t>
            </w:r>
          </w:p>
        </w:tc>
      </w:tr>
      <w:tr w:rsidR="00B97902" w:rsidRPr="002B6BB8" w:rsidTr="00027ABA">
        <w:tc>
          <w:tcPr>
            <w:tcW w:w="4398" w:type="dxa"/>
            <w:tcBorders>
              <w:top w:val="single" w:sz="4" w:space="0" w:color="auto"/>
              <w:left w:val="single" w:sz="12" w:space="0" w:color="auto"/>
              <w:bottom w:val="single" w:sz="4"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průměrná výše podpory v nezaměstnanosti v Kč</w:t>
            </w:r>
          </w:p>
        </w:tc>
        <w:tc>
          <w:tcPr>
            <w:tcW w:w="1562" w:type="dxa"/>
            <w:tcBorders>
              <w:top w:val="single" w:sz="4" w:space="0" w:color="auto"/>
              <w:left w:val="nil"/>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6 137</w:t>
            </w:r>
          </w:p>
        </w:tc>
        <w:tc>
          <w:tcPr>
            <w:tcW w:w="1562" w:type="dxa"/>
            <w:tcBorders>
              <w:top w:val="single" w:sz="4" w:space="0" w:color="auto"/>
              <w:bottom w:val="single" w:sz="4"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5 708</w:t>
            </w:r>
          </w:p>
        </w:tc>
        <w:tc>
          <w:tcPr>
            <w:tcW w:w="1125" w:type="dxa"/>
            <w:tcBorders>
              <w:top w:val="single" w:sz="4" w:space="0" w:color="auto"/>
              <w:left w:val="single" w:sz="12" w:space="0" w:color="auto"/>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-429</w:t>
            </w:r>
          </w:p>
        </w:tc>
        <w:tc>
          <w:tcPr>
            <w:tcW w:w="851" w:type="dxa"/>
            <w:tcBorders>
              <w:top w:val="single" w:sz="4" w:space="0" w:color="auto"/>
              <w:bottom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-7,0</w:t>
            </w:r>
          </w:p>
        </w:tc>
      </w:tr>
      <w:tr w:rsidR="00B97902" w:rsidRPr="002B6BB8" w:rsidTr="00027ABA">
        <w:tc>
          <w:tcPr>
            <w:tcW w:w="4398" w:type="dxa"/>
            <w:tcBorders>
              <w:top w:val="single" w:sz="12" w:space="0" w:color="auto"/>
              <w:left w:val="single" w:sz="12" w:space="0" w:color="auto"/>
              <w:bottom w:val="single" w:sz="4"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volná pracovní místa</w:t>
            </w:r>
          </w:p>
        </w:tc>
        <w:tc>
          <w:tcPr>
            <w:tcW w:w="1562" w:type="dxa"/>
            <w:tcBorders>
              <w:top w:val="single" w:sz="12" w:space="0" w:color="auto"/>
              <w:left w:val="nil"/>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2 280</w:t>
            </w:r>
          </w:p>
        </w:tc>
        <w:tc>
          <w:tcPr>
            <w:tcW w:w="1562" w:type="dxa"/>
            <w:tcBorders>
              <w:top w:val="single" w:sz="12" w:space="0" w:color="auto"/>
              <w:bottom w:val="single" w:sz="4"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5 399</w:t>
            </w:r>
          </w:p>
        </w:tc>
        <w:tc>
          <w:tcPr>
            <w:tcW w:w="1125" w:type="dxa"/>
            <w:tcBorders>
              <w:top w:val="single" w:sz="12" w:space="0" w:color="auto"/>
              <w:left w:val="single" w:sz="12" w:space="0" w:color="auto"/>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+3 119</w:t>
            </w:r>
          </w:p>
        </w:tc>
        <w:tc>
          <w:tcPr>
            <w:tcW w:w="851" w:type="dxa"/>
            <w:tcBorders>
              <w:top w:val="single" w:sz="12" w:space="0" w:color="auto"/>
              <w:bottom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+136,8</w:t>
            </w:r>
          </w:p>
        </w:tc>
      </w:tr>
      <w:tr w:rsidR="00B97902" w:rsidRPr="002B6BB8" w:rsidTr="00027ABA">
        <w:tc>
          <w:tcPr>
            <w:tcW w:w="4398" w:type="dxa"/>
            <w:tcBorders>
              <w:top w:val="single" w:sz="4" w:space="0" w:color="auto"/>
              <w:left w:val="single" w:sz="12" w:space="0" w:color="auto"/>
              <w:bottom w:val="single" w:sz="12"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uchazeči připadající na 1 VPM</w:t>
            </w:r>
          </w:p>
        </w:tc>
        <w:tc>
          <w:tcPr>
            <w:tcW w:w="1562" w:type="dxa"/>
            <w:tcBorders>
              <w:top w:val="single" w:sz="4" w:space="0" w:color="auto"/>
              <w:left w:val="nil"/>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39,5</w:t>
            </w:r>
          </w:p>
        </w:tc>
        <w:tc>
          <w:tcPr>
            <w:tcW w:w="1562" w:type="dxa"/>
            <w:tcBorders>
              <w:top w:val="single" w:sz="4" w:space="0" w:color="auto"/>
              <w:bottom w:val="single" w:sz="12"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15,5</w:t>
            </w:r>
          </w:p>
        </w:tc>
        <w:tc>
          <w:tcPr>
            <w:tcW w:w="1125" w:type="dxa"/>
            <w:tcBorders>
              <w:top w:val="single" w:sz="4"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-24,0</w:t>
            </w:r>
          </w:p>
        </w:tc>
        <w:tc>
          <w:tcPr>
            <w:tcW w:w="851" w:type="dxa"/>
            <w:tcBorders>
              <w:top w:val="single" w:sz="4"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-60,8</w:t>
            </w:r>
          </w:p>
        </w:tc>
      </w:tr>
      <w:tr w:rsidR="00B97902" w:rsidRPr="002B6BB8" w:rsidTr="00027ABA">
        <w:tc>
          <w:tcPr>
            <w:tcW w:w="4398" w:type="dxa"/>
            <w:tcBorders>
              <w:top w:val="single" w:sz="4" w:space="0" w:color="auto"/>
              <w:left w:val="single" w:sz="12" w:space="0" w:color="auto"/>
              <w:bottom w:val="single" w:sz="12" w:space="0" w:color="auto"/>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 xml:space="preserve">podíl nezaměstnaných osob v % </w:t>
            </w:r>
          </w:p>
        </w:tc>
        <w:tc>
          <w:tcPr>
            <w:tcW w:w="1562" w:type="dxa"/>
            <w:tcBorders>
              <w:top w:val="single" w:sz="4" w:space="0" w:color="auto"/>
              <w:left w:val="nil"/>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10,5</w:t>
            </w:r>
          </w:p>
        </w:tc>
        <w:tc>
          <w:tcPr>
            <w:tcW w:w="1562" w:type="dxa"/>
            <w:tcBorders>
              <w:top w:val="single" w:sz="4" w:space="0" w:color="auto"/>
              <w:bottom w:val="single" w:sz="12"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9,8</w:t>
            </w:r>
          </w:p>
        </w:tc>
        <w:tc>
          <w:tcPr>
            <w:tcW w:w="1125" w:type="dxa"/>
            <w:tcBorders>
              <w:top w:val="single" w:sz="4" w:space="0" w:color="auto"/>
              <w:left w:val="single" w:sz="12" w:space="0" w:color="auto"/>
              <w:bottom w:val="single" w:sz="12" w:space="0" w:color="auto"/>
            </w:tcBorders>
            <w:shd w:val="clear" w:color="auto" w:fill="C0C0C0"/>
            <w:vAlign w:val="center"/>
          </w:tcPr>
          <w:p w:rsidR="00B97902" w:rsidRPr="002B6BB8" w:rsidRDefault="00B97902" w:rsidP="00027ABA">
            <w:pPr>
              <w:jc w:val="center"/>
              <w:rPr>
                <w:rFonts w:asciiTheme="minorHAnsi" w:hAnsiTheme="minorHAnsi" w:cstheme="minorHAnsi"/>
                <w:sz w:val="24"/>
                <w:szCs w:val="24"/>
              </w:rPr>
            </w:pPr>
          </w:p>
        </w:tc>
        <w:tc>
          <w:tcPr>
            <w:tcW w:w="851" w:type="dxa"/>
            <w:tcBorders>
              <w:top w:val="single" w:sz="4" w:space="0" w:color="auto"/>
              <w:bottom w:val="single" w:sz="12" w:space="0" w:color="auto"/>
              <w:right w:val="single" w:sz="12" w:space="0" w:color="auto"/>
            </w:tcBorders>
            <w:shd w:val="clear" w:color="auto" w:fill="C0C0C0"/>
            <w:vAlign w:val="center"/>
          </w:tcPr>
          <w:p w:rsidR="00B97902" w:rsidRPr="002B6BB8" w:rsidRDefault="00B97902" w:rsidP="00027ABA">
            <w:pPr>
              <w:jc w:val="center"/>
              <w:rPr>
                <w:rFonts w:asciiTheme="minorHAnsi" w:hAnsiTheme="minorHAnsi" w:cstheme="minorHAnsi"/>
                <w:sz w:val="24"/>
                <w:szCs w:val="24"/>
              </w:rPr>
            </w:pPr>
          </w:p>
        </w:tc>
      </w:tr>
    </w:tbl>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 xml:space="preserve">Počet evidovaných uchazečů </w:t>
      </w:r>
      <w:r>
        <w:rPr>
          <w:rFonts w:asciiTheme="minorHAnsi" w:hAnsiTheme="minorHAnsi" w:cstheme="minorHAnsi"/>
        </w:rPr>
        <w:t xml:space="preserve">s výjimkou července </w:t>
      </w:r>
      <w:r w:rsidRPr="002B6BB8">
        <w:rPr>
          <w:rFonts w:asciiTheme="minorHAnsi" w:hAnsiTheme="minorHAnsi" w:cstheme="minorHAnsi"/>
        </w:rPr>
        <w:t xml:space="preserve">postupně klesal a </w:t>
      </w:r>
      <w:r>
        <w:rPr>
          <w:rFonts w:asciiTheme="minorHAnsi" w:hAnsiTheme="minorHAnsi" w:cstheme="minorHAnsi"/>
        </w:rPr>
        <w:t>k dalšímu nárůstu uchazečů došlo až ke konci roku</w:t>
      </w:r>
      <w:r w:rsidRPr="002B6BB8">
        <w:rPr>
          <w:rFonts w:asciiTheme="minorHAnsi" w:hAnsiTheme="minorHAnsi" w:cstheme="minorHAnsi"/>
        </w:rPr>
        <w:t xml:space="preserve">. </w:t>
      </w:r>
      <w:r>
        <w:rPr>
          <w:rFonts w:asciiTheme="minorHAnsi" w:hAnsiTheme="minorHAnsi" w:cstheme="minorHAnsi"/>
        </w:rPr>
        <w:t xml:space="preserve">I přes toto navýšení v závěru roku je celkový počet evidovaných uchazečů v MSK k 31.12.2014 (83 877) o více než 6 tisíc nižší než jsme očekávali v případě lepší </w:t>
      </w:r>
      <w:r w:rsidRPr="002B6BB8">
        <w:rPr>
          <w:rFonts w:asciiTheme="minorHAnsi" w:hAnsiTheme="minorHAnsi" w:cstheme="minorHAnsi"/>
        </w:rPr>
        <w:t>varia</w:t>
      </w:r>
      <w:r>
        <w:rPr>
          <w:rFonts w:asciiTheme="minorHAnsi" w:hAnsiTheme="minorHAnsi" w:cstheme="minorHAnsi"/>
        </w:rPr>
        <w:t>nty prognózy z počátku roku 2014</w:t>
      </w:r>
      <w:r w:rsidRPr="002B6BB8">
        <w:rPr>
          <w:rFonts w:asciiTheme="minorHAnsi" w:hAnsiTheme="minorHAnsi" w:cstheme="minorHAnsi"/>
        </w:rPr>
        <w:t xml:space="preserve">. </w:t>
      </w:r>
    </w:p>
    <w:p w:rsidR="00B97902" w:rsidRPr="002B6BB8" w:rsidRDefault="00B97902" w:rsidP="00B97902">
      <w:pPr>
        <w:pStyle w:val="Zkladntextodsazen"/>
        <w:rPr>
          <w:rFonts w:asciiTheme="minorHAnsi" w:hAnsiTheme="minorHAnsi" w:cstheme="minorHAnsi"/>
        </w:rPr>
      </w:pPr>
      <w:r>
        <w:rPr>
          <w:rFonts w:asciiTheme="minorHAnsi" w:hAnsiTheme="minorHAnsi" w:cstheme="minorHAnsi"/>
        </w:rPr>
        <w:t>Přestože došlo v prosinci k meziročnímu poklesu nezaměstnaných o více než 6 tisíc, je loňský měsíční průměrný počet 86 302 UoZ stále meziročně o 9</w:t>
      </w:r>
      <w:r w:rsidRPr="002B6BB8">
        <w:rPr>
          <w:rFonts w:asciiTheme="minorHAnsi" w:hAnsiTheme="minorHAnsi" w:cstheme="minorHAnsi"/>
        </w:rPr>
        <w:t>1</w:t>
      </w:r>
      <w:r>
        <w:rPr>
          <w:rFonts w:asciiTheme="minorHAnsi" w:hAnsiTheme="minorHAnsi" w:cstheme="minorHAnsi"/>
        </w:rPr>
        <w:t>7</w:t>
      </w:r>
      <w:r w:rsidRPr="002B6BB8">
        <w:rPr>
          <w:rFonts w:asciiTheme="minorHAnsi" w:hAnsiTheme="minorHAnsi" w:cstheme="minorHAnsi"/>
        </w:rPr>
        <w:t xml:space="preserve"> (+1</w:t>
      </w:r>
      <w:r>
        <w:rPr>
          <w:rFonts w:asciiTheme="minorHAnsi" w:hAnsiTheme="minorHAnsi" w:cstheme="minorHAnsi"/>
        </w:rPr>
        <w:t>,1</w:t>
      </w:r>
      <w:r w:rsidRPr="002B6BB8">
        <w:rPr>
          <w:rFonts w:asciiTheme="minorHAnsi" w:hAnsiTheme="minorHAnsi" w:cstheme="minorHAnsi"/>
        </w:rPr>
        <w:t xml:space="preserve"> %) </w:t>
      </w:r>
      <w:r>
        <w:rPr>
          <w:rFonts w:asciiTheme="minorHAnsi" w:hAnsiTheme="minorHAnsi" w:cstheme="minorHAnsi"/>
        </w:rPr>
        <w:t>osob vyšší</w:t>
      </w:r>
      <w:r w:rsidRPr="002B6BB8">
        <w:rPr>
          <w:rFonts w:asciiTheme="minorHAnsi" w:hAnsiTheme="minorHAnsi" w:cstheme="minorHAnsi"/>
        </w:rPr>
        <w:t>.</w:t>
      </w:r>
    </w:p>
    <w:p w:rsidR="00B97902" w:rsidRPr="002B6BB8" w:rsidRDefault="00B97902" w:rsidP="00B97902">
      <w:pPr>
        <w:jc w:val="both"/>
        <w:rPr>
          <w:rFonts w:asciiTheme="minorHAnsi" w:hAnsiTheme="minorHAnsi" w:cstheme="minorHAnsi"/>
          <w:sz w:val="24"/>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2. Tok nezaměstnanosti</w:t>
      </w:r>
    </w:p>
    <w:p w:rsidR="00B97902" w:rsidRPr="002B6BB8" w:rsidRDefault="00B97902" w:rsidP="00B97902">
      <w:pPr>
        <w:rPr>
          <w:rFonts w:asciiTheme="minorHAnsi" w:hAnsiTheme="minorHAnsi" w:cstheme="minorHAnsi"/>
          <w:sz w:val="24"/>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Trh práce v MSK se již dlouhodobě vyznačuje obrovským tokem evidované neza</w:t>
      </w:r>
      <w:r>
        <w:rPr>
          <w:rFonts w:asciiTheme="minorHAnsi" w:hAnsiTheme="minorHAnsi" w:cstheme="minorHAnsi"/>
        </w:rPr>
        <w:t>městnanosti. V průběhu roku 2014</w:t>
      </w:r>
      <w:r w:rsidRPr="002B6BB8">
        <w:rPr>
          <w:rFonts w:asciiTheme="minorHAnsi" w:hAnsiTheme="minorHAnsi" w:cstheme="minorHAnsi"/>
        </w:rPr>
        <w:t xml:space="preserve"> se zde do evidence </w:t>
      </w:r>
      <w:r>
        <w:rPr>
          <w:rFonts w:asciiTheme="minorHAnsi" w:hAnsiTheme="minorHAnsi" w:cstheme="minorHAnsi"/>
        </w:rPr>
        <w:t>úřadu práce přihlásilo celkem 82 516 UoZ (průměrně měsíčně 6 876), což je o 51 (-0,7 %) méně</w:t>
      </w:r>
      <w:r w:rsidRPr="002B6BB8">
        <w:rPr>
          <w:rFonts w:asciiTheme="minorHAnsi" w:hAnsiTheme="minorHAnsi" w:cstheme="minorHAnsi"/>
        </w:rPr>
        <w:t xml:space="preserve"> než před rokem</w:t>
      </w:r>
      <w:r>
        <w:rPr>
          <w:rFonts w:asciiTheme="minorHAnsi" w:hAnsiTheme="minorHAnsi" w:cstheme="minorHAnsi"/>
        </w:rPr>
        <w:t>. Toto množství představovalo 12,8</w:t>
      </w:r>
      <w:r w:rsidRPr="002B6BB8">
        <w:rPr>
          <w:rFonts w:asciiTheme="minorHAnsi" w:hAnsiTheme="minorHAnsi" w:cstheme="minorHAnsi"/>
        </w:rPr>
        <w:t xml:space="preserve"> % všech osob, které se nově zaevidovaly</w:t>
      </w:r>
      <w:r>
        <w:rPr>
          <w:rFonts w:asciiTheme="minorHAnsi" w:hAnsiTheme="minorHAnsi" w:cstheme="minorHAnsi"/>
        </w:rPr>
        <w:t xml:space="preserve"> v celé ČR. Vyřazeno bylo 88 615 osob, meziročně o 14 374 více, přičemž 56 910 (64,2</w:t>
      </w:r>
      <w:r w:rsidRPr="002B6BB8">
        <w:rPr>
          <w:rFonts w:asciiTheme="minorHAnsi" w:hAnsiTheme="minorHAnsi" w:cstheme="minorHAnsi"/>
        </w:rPr>
        <w:t xml:space="preserve"> %) z nich nalezlo uplatnění na trhu</w:t>
      </w:r>
      <w:r>
        <w:rPr>
          <w:rFonts w:asciiTheme="minorHAnsi" w:hAnsiTheme="minorHAnsi" w:cstheme="minorHAnsi"/>
        </w:rPr>
        <w:t xml:space="preserve"> práce, což je meziročně o 20 903 osob více</w:t>
      </w:r>
      <w:r w:rsidRPr="002B6BB8">
        <w:rPr>
          <w:rFonts w:asciiTheme="minorHAnsi" w:hAnsiTheme="minorHAnsi" w:cstheme="minorHAnsi"/>
        </w:rPr>
        <w:t>.</w:t>
      </w: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Pr="002B6BB8" w:rsidRDefault="00B97902" w:rsidP="00B97902">
      <w:pPr>
        <w:pStyle w:val="Zkladntextodsazen"/>
        <w:ind w:firstLine="0"/>
        <w:rPr>
          <w:rFonts w:asciiTheme="minorHAnsi" w:hAnsiTheme="minorHAnsi" w:cstheme="minorHAnsi"/>
        </w:rPr>
      </w:pPr>
      <w:r w:rsidRPr="002B6BB8">
        <w:rPr>
          <w:rFonts w:asciiTheme="minorHAnsi" w:hAnsiTheme="minorHAnsi" w:cstheme="minorHAnsi"/>
        </w:rPr>
        <w:t xml:space="preserve"> </w:t>
      </w:r>
    </w:p>
    <w:p w:rsidR="00B97902" w:rsidRPr="002B6BB8" w:rsidRDefault="00B97902" w:rsidP="00B97902">
      <w:pPr>
        <w:pStyle w:val="Zkladntextodsazen"/>
        <w:ind w:firstLine="0"/>
        <w:rPr>
          <w:rFonts w:asciiTheme="minorHAnsi" w:hAnsiTheme="minorHAnsi" w:cstheme="minorHAnsi"/>
          <w:szCs w:val="24"/>
        </w:rPr>
      </w:pPr>
      <w:r w:rsidRPr="002B6BB8">
        <w:rPr>
          <w:rFonts w:asciiTheme="minorHAnsi" w:hAnsiTheme="minorHAnsi" w:cstheme="minorHAnsi"/>
          <w:b/>
        </w:rPr>
        <w:t>Tabulka III/2</w:t>
      </w:r>
      <w:r w:rsidRPr="002B6BB8">
        <w:rPr>
          <w:rFonts w:asciiTheme="minorHAnsi" w:hAnsiTheme="minorHAnsi" w:cstheme="minorHAnsi"/>
        </w:rPr>
        <w:t xml:space="preserve"> - Tok evidované nezaměstnanosti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418"/>
        <w:gridCol w:w="1134"/>
        <w:gridCol w:w="1276"/>
        <w:gridCol w:w="1275"/>
        <w:gridCol w:w="1367"/>
        <w:gridCol w:w="1043"/>
      </w:tblGrid>
      <w:tr w:rsidR="00B97902" w:rsidRPr="002B6BB8" w:rsidTr="00027ABA">
        <w:tc>
          <w:tcPr>
            <w:tcW w:w="1913" w:type="dxa"/>
            <w:tcBorders>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období</w:t>
            </w:r>
          </w:p>
        </w:tc>
        <w:tc>
          <w:tcPr>
            <w:tcW w:w="1418" w:type="dxa"/>
            <w:tcBorders>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 xml:space="preserve">evidovaní celkem </w:t>
            </w:r>
            <w:r w:rsidRPr="002B6BB8">
              <w:rPr>
                <w:rFonts w:asciiTheme="minorHAnsi" w:hAnsiTheme="minorHAnsi" w:cstheme="minorHAnsi"/>
                <w:i/>
                <w:sz w:val="24"/>
                <w:vertAlign w:val="superscript"/>
              </w:rPr>
              <w:t>1)</w:t>
            </w:r>
          </w:p>
        </w:tc>
        <w:tc>
          <w:tcPr>
            <w:tcW w:w="1134" w:type="dxa"/>
            <w:tcBorders>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nově evidovaní</w:t>
            </w:r>
          </w:p>
        </w:tc>
        <w:tc>
          <w:tcPr>
            <w:tcW w:w="1276" w:type="dxa"/>
            <w:tcBorders>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vyřazení</w:t>
            </w:r>
          </w:p>
        </w:tc>
        <w:tc>
          <w:tcPr>
            <w:tcW w:w="1275"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umístění celkem</w:t>
            </w:r>
          </w:p>
        </w:tc>
        <w:tc>
          <w:tcPr>
            <w:tcW w:w="1367" w:type="dxa"/>
            <w:tcBorders>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vyřazení podle § 30, odst. 2 ZoZ</w:t>
            </w:r>
          </w:p>
        </w:tc>
        <w:tc>
          <w:tcPr>
            <w:tcW w:w="1043" w:type="dxa"/>
            <w:tcBorders>
              <w:bottom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ostatní</w:t>
            </w:r>
          </w:p>
        </w:tc>
      </w:tr>
      <w:tr w:rsidR="00B97902" w:rsidRPr="002B6BB8" w:rsidTr="00027ABA">
        <w:tc>
          <w:tcPr>
            <w:tcW w:w="1913" w:type="dxa"/>
            <w:tcBorders>
              <w:top w:val="single" w:sz="12" w:space="0" w:color="auto"/>
              <w:bottom w:val="double" w:sz="4"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prosinec 201</w:t>
            </w:r>
            <w:r>
              <w:rPr>
                <w:rFonts w:asciiTheme="minorHAnsi" w:hAnsiTheme="minorHAnsi" w:cstheme="minorHAnsi"/>
                <w:sz w:val="24"/>
              </w:rPr>
              <w:t>3</w:t>
            </w:r>
          </w:p>
        </w:tc>
        <w:tc>
          <w:tcPr>
            <w:tcW w:w="1418" w:type="dxa"/>
            <w:tcBorders>
              <w:top w:val="single" w:sz="12" w:space="0" w:color="auto"/>
              <w:bottom w:val="double" w:sz="4"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bCs/>
                <w:sz w:val="24"/>
                <w:szCs w:val="24"/>
              </w:rPr>
              <w:t>89 976</w:t>
            </w:r>
          </w:p>
        </w:tc>
        <w:tc>
          <w:tcPr>
            <w:tcW w:w="1134" w:type="dxa"/>
            <w:tcBorders>
              <w:top w:val="single" w:sz="12" w:space="0" w:color="auto"/>
              <w:bottom w:val="double" w:sz="4" w:space="0" w:color="auto"/>
            </w:tcBorders>
            <w:shd w:val="clear" w:color="auto" w:fill="E6E6E6"/>
            <w:vAlign w:val="center"/>
          </w:tcPr>
          <w:p w:rsidR="00B97902" w:rsidRPr="002B6BB8" w:rsidRDefault="00B97902" w:rsidP="00027ABA">
            <w:pPr>
              <w:jc w:val="center"/>
              <w:rPr>
                <w:rFonts w:asciiTheme="minorHAnsi" w:hAnsiTheme="minorHAnsi" w:cstheme="minorHAnsi"/>
                <w:sz w:val="24"/>
                <w:highlight w:val="lightGray"/>
              </w:rPr>
            </w:pPr>
          </w:p>
        </w:tc>
        <w:tc>
          <w:tcPr>
            <w:tcW w:w="1276" w:type="dxa"/>
            <w:tcBorders>
              <w:top w:val="single" w:sz="12" w:space="0" w:color="auto"/>
              <w:bottom w:val="double" w:sz="4" w:space="0" w:color="auto"/>
              <w:right w:val="single" w:sz="12" w:space="0" w:color="auto"/>
            </w:tcBorders>
            <w:shd w:val="clear" w:color="auto" w:fill="E6E6E6"/>
            <w:vAlign w:val="center"/>
          </w:tcPr>
          <w:p w:rsidR="00B97902" w:rsidRPr="002B6BB8" w:rsidRDefault="00B97902" w:rsidP="00027ABA">
            <w:pPr>
              <w:jc w:val="center"/>
              <w:rPr>
                <w:rFonts w:asciiTheme="minorHAnsi" w:hAnsiTheme="minorHAnsi" w:cstheme="minorHAnsi"/>
                <w:sz w:val="24"/>
                <w:highlight w:val="lightGray"/>
              </w:rPr>
            </w:pPr>
          </w:p>
        </w:tc>
        <w:tc>
          <w:tcPr>
            <w:tcW w:w="1275" w:type="dxa"/>
            <w:tcBorders>
              <w:top w:val="single" w:sz="12" w:space="0" w:color="auto"/>
              <w:left w:val="single" w:sz="12" w:space="0" w:color="auto"/>
              <w:bottom w:val="double" w:sz="4" w:space="0" w:color="auto"/>
            </w:tcBorders>
            <w:shd w:val="clear" w:color="auto" w:fill="E6E6E6"/>
            <w:vAlign w:val="center"/>
          </w:tcPr>
          <w:p w:rsidR="00B97902" w:rsidRPr="002B6BB8" w:rsidRDefault="00B97902" w:rsidP="00027ABA">
            <w:pPr>
              <w:jc w:val="center"/>
              <w:rPr>
                <w:rFonts w:asciiTheme="minorHAnsi" w:hAnsiTheme="minorHAnsi" w:cstheme="minorHAnsi"/>
                <w:sz w:val="24"/>
                <w:highlight w:val="lightGray"/>
              </w:rPr>
            </w:pPr>
          </w:p>
        </w:tc>
        <w:tc>
          <w:tcPr>
            <w:tcW w:w="1367" w:type="dxa"/>
            <w:tcBorders>
              <w:top w:val="single" w:sz="12" w:space="0" w:color="auto"/>
              <w:bottom w:val="double" w:sz="4" w:space="0" w:color="auto"/>
            </w:tcBorders>
            <w:shd w:val="clear" w:color="auto" w:fill="E6E6E6"/>
            <w:vAlign w:val="center"/>
          </w:tcPr>
          <w:p w:rsidR="00B97902" w:rsidRPr="002B6BB8" w:rsidRDefault="00B97902" w:rsidP="00027ABA">
            <w:pPr>
              <w:jc w:val="center"/>
              <w:rPr>
                <w:rFonts w:asciiTheme="minorHAnsi" w:hAnsiTheme="minorHAnsi" w:cstheme="minorHAnsi"/>
                <w:sz w:val="24"/>
                <w:highlight w:val="lightGray"/>
              </w:rPr>
            </w:pPr>
          </w:p>
        </w:tc>
        <w:tc>
          <w:tcPr>
            <w:tcW w:w="1043" w:type="dxa"/>
            <w:tcBorders>
              <w:top w:val="single" w:sz="12" w:space="0" w:color="auto"/>
              <w:bottom w:val="double" w:sz="4" w:space="0" w:color="auto"/>
            </w:tcBorders>
            <w:shd w:val="clear" w:color="auto" w:fill="E6E6E6"/>
            <w:vAlign w:val="center"/>
          </w:tcPr>
          <w:p w:rsidR="00B97902" w:rsidRPr="002B6BB8" w:rsidRDefault="00B97902" w:rsidP="00027ABA">
            <w:pPr>
              <w:jc w:val="center"/>
              <w:rPr>
                <w:rFonts w:asciiTheme="minorHAnsi" w:hAnsiTheme="minorHAnsi" w:cstheme="minorHAnsi"/>
                <w:sz w:val="24"/>
                <w:highlight w:val="lightGray"/>
              </w:rPr>
            </w:pPr>
          </w:p>
        </w:tc>
      </w:tr>
      <w:tr w:rsidR="00B97902" w:rsidRPr="002B6BB8" w:rsidTr="00027ABA">
        <w:tc>
          <w:tcPr>
            <w:tcW w:w="1913" w:type="dxa"/>
            <w:tcBorders>
              <w:top w:val="double" w:sz="4" w:space="0" w:color="auto"/>
            </w:tcBorders>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leden 201</w:t>
            </w:r>
            <w:r>
              <w:rPr>
                <w:rFonts w:asciiTheme="minorHAnsi" w:hAnsiTheme="minorHAnsi" w:cstheme="minorHAnsi"/>
                <w:sz w:val="24"/>
              </w:rPr>
              <w:t>4</w:t>
            </w:r>
          </w:p>
        </w:tc>
        <w:tc>
          <w:tcPr>
            <w:tcW w:w="1418" w:type="dxa"/>
            <w:tcBorders>
              <w:top w:val="double" w:sz="4" w:space="0" w:color="auto"/>
            </w:tcBorders>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93</w:t>
            </w:r>
            <w:r>
              <w:rPr>
                <w:rFonts w:ascii="Calibri" w:hAnsi="Calibri" w:cs="Calibri"/>
                <w:bCs/>
                <w:sz w:val="24"/>
                <w:szCs w:val="24"/>
              </w:rPr>
              <w:t xml:space="preserve"> </w:t>
            </w:r>
            <w:r w:rsidRPr="005321F9">
              <w:rPr>
                <w:rFonts w:ascii="Calibri" w:hAnsi="Calibri" w:cs="Calibri"/>
                <w:bCs/>
                <w:sz w:val="24"/>
                <w:szCs w:val="24"/>
              </w:rPr>
              <w:t>714</w:t>
            </w:r>
          </w:p>
        </w:tc>
        <w:tc>
          <w:tcPr>
            <w:tcW w:w="1134" w:type="dxa"/>
            <w:tcBorders>
              <w:top w:val="double" w:sz="4"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10</w:t>
            </w:r>
            <w:r>
              <w:rPr>
                <w:rFonts w:asciiTheme="minorHAnsi" w:hAnsiTheme="minorHAnsi" w:cstheme="minorHAnsi"/>
                <w:sz w:val="24"/>
                <w:szCs w:val="24"/>
              </w:rPr>
              <w:t xml:space="preserve"> </w:t>
            </w:r>
            <w:r w:rsidRPr="005321F9">
              <w:rPr>
                <w:rFonts w:asciiTheme="minorHAnsi" w:hAnsiTheme="minorHAnsi" w:cstheme="minorHAnsi"/>
                <w:sz w:val="24"/>
                <w:szCs w:val="24"/>
              </w:rPr>
              <w:t>019</w:t>
            </w:r>
          </w:p>
        </w:tc>
        <w:tc>
          <w:tcPr>
            <w:tcW w:w="1276" w:type="dxa"/>
            <w:tcBorders>
              <w:top w:val="double" w:sz="4" w:space="0" w:color="auto"/>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281</w:t>
            </w:r>
          </w:p>
        </w:tc>
        <w:tc>
          <w:tcPr>
            <w:tcW w:w="1275" w:type="dxa"/>
            <w:tcBorders>
              <w:top w:val="double" w:sz="4" w:space="0" w:color="auto"/>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3</w:t>
            </w:r>
            <w:r>
              <w:rPr>
                <w:rFonts w:asciiTheme="minorHAnsi" w:hAnsiTheme="minorHAnsi" w:cstheme="minorHAnsi"/>
                <w:sz w:val="24"/>
                <w:szCs w:val="24"/>
              </w:rPr>
              <w:t xml:space="preserve"> </w:t>
            </w:r>
            <w:r w:rsidRPr="0098711E">
              <w:rPr>
                <w:rFonts w:asciiTheme="minorHAnsi" w:hAnsiTheme="minorHAnsi" w:cstheme="minorHAnsi"/>
                <w:sz w:val="24"/>
                <w:szCs w:val="24"/>
              </w:rPr>
              <w:t>749</w:t>
            </w:r>
          </w:p>
        </w:tc>
        <w:tc>
          <w:tcPr>
            <w:tcW w:w="1367" w:type="dxa"/>
            <w:tcBorders>
              <w:top w:val="double" w:sz="4" w:space="0" w:color="auto"/>
            </w:tcBorders>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590</w:t>
            </w:r>
          </w:p>
        </w:tc>
        <w:tc>
          <w:tcPr>
            <w:tcW w:w="1043" w:type="dxa"/>
            <w:tcBorders>
              <w:top w:val="double" w:sz="4"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942</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únor</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93</w:t>
            </w:r>
            <w:r>
              <w:rPr>
                <w:rFonts w:ascii="Calibri" w:hAnsi="Calibri" w:cs="Calibri"/>
                <w:bCs/>
                <w:sz w:val="24"/>
                <w:szCs w:val="24"/>
              </w:rPr>
              <w:t xml:space="preserve"> </w:t>
            </w:r>
            <w:r w:rsidRPr="005321F9">
              <w:rPr>
                <w:rFonts w:ascii="Calibri" w:hAnsi="Calibri" w:cs="Calibri"/>
                <w:bCs/>
                <w:sz w:val="24"/>
                <w:szCs w:val="24"/>
              </w:rPr>
              <w:t>619</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384</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479</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3</w:t>
            </w:r>
            <w:r>
              <w:rPr>
                <w:rFonts w:asciiTheme="minorHAnsi" w:hAnsiTheme="minorHAnsi" w:cstheme="minorHAnsi"/>
                <w:sz w:val="24"/>
                <w:szCs w:val="24"/>
              </w:rPr>
              <w:t xml:space="preserve"> </w:t>
            </w:r>
            <w:r w:rsidRPr="0098711E">
              <w:rPr>
                <w:rFonts w:asciiTheme="minorHAnsi" w:hAnsiTheme="minorHAnsi" w:cstheme="minorHAnsi"/>
                <w:sz w:val="24"/>
                <w:szCs w:val="24"/>
              </w:rPr>
              <w:t>875</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727</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877</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březen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91</w:t>
            </w:r>
            <w:r>
              <w:rPr>
                <w:rFonts w:ascii="Calibri" w:hAnsi="Calibri" w:cs="Calibri"/>
                <w:bCs/>
                <w:sz w:val="24"/>
                <w:szCs w:val="24"/>
              </w:rPr>
              <w:t xml:space="preserve"> </w:t>
            </w:r>
            <w:r w:rsidRPr="005321F9">
              <w:rPr>
                <w:rFonts w:ascii="Calibri" w:hAnsi="Calibri" w:cs="Calibri"/>
                <w:bCs/>
                <w:sz w:val="24"/>
                <w:szCs w:val="24"/>
              </w:rPr>
              <w:t>837</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285</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8</w:t>
            </w:r>
            <w:r>
              <w:rPr>
                <w:rFonts w:asciiTheme="minorHAnsi" w:hAnsiTheme="minorHAnsi" w:cstheme="minorHAnsi"/>
                <w:sz w:val="24"/>
                <w:szCs w:val="24"/>
              </w:rPr>
              <w:t xml:space="preserve"> </w:t>
            </w:r>
            <w:r w:rsidRPr="005321F9">
              <w:rPr>
                <w:rFonts w:asciiTheme="minorHAnsi" w:hAnsiTheme="minorHAnsi" w:cstheme="minorHAnsi"/>
                <w:sz w:val="24"/>
                <w:szCs w:val="24"/>
              </w:rPr>
              <w:t>067</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5</w:t>
            </w:r>
            <w:r>
              <w:rPr>
                <w:rFonts w:asciiTheme="minorHAnsi" w:hAnsiTheme="minorHAnsi" w:cstheme="minorHAnsi"/>
                <w:sz w:val="24"/>
                <w:szCs w:val="24"/>
              </w:rPr>
              <w:t xml:space="preserve"> </w:t>
            </w:r>
            <w:r w:rsidRPr="0098711E">
              <w:rPr>
                <w:rFonts w:asciiTheme="minorHAnsi" w:hAnsiTheme="minorHAnsi" w:cstheme="minorHAnsi"/>
                <w:sz w:val="24"/>
                <w:szCs w:val="24"/>
              </w:rPr>
              <w:t>529</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858</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680</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duben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88</w:t>
            </w:r>
            <w:r>
              <w:rPr>
                <w:rFonts w:ascii="Calibri" w:hAnsi="Calibri" w:cs="Calibri"/>
                <w:bCs/>
                <w:sz w:val="24"/>
                <w:szCs w:val="24"/>
              </w:rPr>
              <w:t xml:space="preserve"> </w:t>
            </w:r>
            <w:r w:rsidRPr="005321F9">
              <w:rPr>
                <w:rFonts w:ascii="Calibri" w:hAnsi="Calibri" w:cs="Calibri"/>
                <w:bCs/>
                <w:sz w:val="24"/>
                <w:szCs w:val="24"/>
              </w:rPr>
              <w:t>369</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424</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9</w:t>
            </w:r>
            <w:r>
              <w:rPr>
                <w:rFonts w:asciiTheme="minorHAnsi" w:hAnsiTheme="minorHAnsi" w:cstheme="minorHAnsi"/>
                <w:sz w:val="24"/>
                <w:szCs w:val="24"/>
              </w:rPr>
              <w:t xml:space="preserve"> </w:t>
            </w:r>
            <w:r w:rsidRPr="005321F9">
              <w:rPr>
                <w:rFonts w:asciiTheme="minorHAnsi" w:hAnsiTheme="minorHAnsi" w:cstheme="minorHAnsi"/>
                <w:sz w:val="24"/>
                <w:szCs w:val="24"/>
              </w:rPr>
              <w:t>892</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7</w:t>
            </w:r>
            <w:r>
              <w:rPr>
                <w:rFonts w:asciiTheme="minorHAnsi" w:hAnsiTheme="minorHAnsi" w:cstheme="minorHAnsi"/>
                <w:sz w:val="24"/>
                <w:szCs w:val="24"/>
              </w:rPr>
              <w:t xml:space="preserve"> </w:t>
            </w:r>
            <w:r w:rsidRPr="0098711E">
              <w:rPr>
                <w:rFonts w:asciiTheme="minorHAnsi" w:hAnsiTheme="minorHAnsi" w:cstheme="minorHAnsi"/>
                <w:sz w:val="24"/>
                <w:szCs w:val="24"/>
              </w:rPr>
              <w:t>205</w:t>
            </w:r>
          </w:p>
        </w:tc>
        <w:tc>
          <w:tcPr>
            <w:tcW w:w="1367"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963</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724</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květen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85</w:t>
            </w:r>
            <w:r>
              <w:rPr>
                <w:rFonts w:ascii="Calibri" w:hAnsi="Calibri" w:cs="Calibri"/>
                <w:bCs/>
                <w:sz w:val="24"/>
                <w:szCs w:val="24"/>
              </w:rPr>
              <w:t xml:space="preserve"> </w:t>
            </w:r>
            <w:r w:rsidRPr="005321F9">
              <w:rPr>
                <w:rFonts w:ascii="Calibri" w:hAnsi="Calibri" w:cs="Calibri"/>
                <w:bCs/>
                <w:sz w:val="24"/>
                <w:szCs w:val="24"/>
              </w:rPr>
              <w:t>588</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5</w:t>
            </w:r>
            <w:r>
              <w:rPr>
                <w:rFonts w:asciiTheme="minorHAnsi" w:hAnsiTheme="minorHAnsi" w:cstheme="minorHAnsi"/>
                <w:sz w:val="24"/>
                <w:szCs w:val="24"/>
              </w:rPr>
              <w:t xml:space="preserve"> </w:t>
            </w:r>
            <w:r w:rsidRPr="005321F9">
              <w:rPr>
                <w:rFonts w:asciiTheme="minorHAnsi" w:hAnsiTheme="minorHAnsi" w:cstheme="minorHAnsi"/>
                <w:sz w:val="24"/>
                <w:szCs w:val="24"/>
              </w:rPr>
              <w:t>425</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8</w:t>
            </w:r>
            <w:r>
              <w:rPr>
                <w:rFonts w:asciiTheme="minorHAnsi" w:hAnsiTheme="minorHAnsi" w:cstheme="minorHAnsi"/>
                <w:sz w:val="24"/>
                <w:szCs w:val="24"/>
              </w:rPr>
              <w:t xml:space="preserve"> </w:t>
            </w:r>
            <w:r w:rsidRPr="005321F9">
              <w:rPr>
                <w:rFonts w:asciiTheme="minorHAnsi" w:hAnsiTheme="minorHAnsi" w:cstheme="minorHAnsi"/>
                <w:sz w:val="24"/>
                <w:szCs w:val="24"/>
              </w:rPr>
              <w:t>206</w:t>
            </w:r>
          </w:p>
        </w:tc>
        <w:tc>
          <w:tcPr>
            <w:tcW w:w="1275" w:type="dxa"/>
            <w:tcBorders>
              <w:left w:val="single" w:sz="12" w:space="0" w:color="auto"/>
            </w:tcBorders>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5</w:t>
            </w:r>
            <w:r>
              <w:rPr>
                <w:rFonts w:asciiTheme="minorHAnsi" w:hAnsiTheme="minorHAnsi" w:cstheme="minorHAnsi"/>
                <w:sz w:val="24"/>
                <w:szCs w:val="24"/>
              </w:rPr>
              <w:t xml:space="preserve"> </w:t>
            </w:r>
            <w:r w:rsidRPr="0098711E">
              <w:rPr>
                <w:rFonts w:asciiTheme="minorHAnsi" w:hAnsiTheme="minorHAnsi" w:cstheme="minorHAnsi"/>
                <w:sz w:val="24"/>
                <w:szCs w:val="24"/>
              </w:rPr>
              <w:t>723</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860</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623</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červen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84</w:t>
            </w:r>
            <w:r>
              <w:rPr>
                <w:rFonts w:ascii="Calibri" w:hAnsi="Calibri" w:cs="Calibri"/>
                <w:bCs/>
                <w:sz w:val="24"/>
                <w:szCs w:val="24"/>
              </w:rPr>
              <w:t xml:space="preserve"> </w:t>
            </w:r>
            <w:r w:rsidRPr="005321F9">
              <w:rPr>
                <w:rFonts w:ascii="Calibri" w:hAnsi="Calibri" w:cs="Calibri"/>
                <w:bCs/>
                <w:sz w:val="24"/>
                <w:szCs w:val="24"/>
              </w:rPr>
              <w:t>254</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5</w:t>
            </w:r>
            <w:r>
              <w:rPr>
                <w:rFonts w:asciiTheme="minorHAnsi" w:hAnsiTheme="minorHAnsi" w:cstheme="minorHAnsi"/>
                <w:sz w:val="24"/>
                <w:szCs w:val="24"/>
              </w:rPr>
              <w:t xml:space="preserve"> </w:t>
            </w:r>
            <w:r w:rsidRPr="005321F9">
              <w:rPr>
                <w:rFonts w:asciiTheme="minorHAnsi" w:hAnsiTheme="minorHAnsi" w:cstheme="minorHAnsi"/>
                <w:sz w:val="24"/>
                <w:szCs w:val="24"/>
              </w:rPr>
              <w:t>961</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7</w:t>
            </w:r>
            <w:r>
              <w:rPr>
                <w:rFonts w:asciiTheme="minorHAnsi" w:hAnsiTheme="minorHAnsi" w:cstheme="minorHAnsi"/>
                <w:sz w:val="24"/>
                <w:szCs w:val="24"/>
              </w:rPr>
              <w:t xml:space="preserve"> </w:t>
            </w:r>
            <w:r w:rsidRPr="005321F9">
              <w:rPr>
                <w:rFonts w:asciiTheme="minorHAnsi" w:hAnsiTheme="minorHAnsi" w:cstheme="minorHAnsi"/>
                <w:sz w:val="24"/>
                <w:szCs w:val="24"/>
              </w:rPr>
              <w:t>295</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4</w:t>
            </w:r>
            <w:r>
              <w:rPr>
                <w:rFonts w:asciiTheme="minorHAnsi" w:hAnsiTheme="minorHAnsi" w:cstheme="minorHAnsi"/>
                <w:sz w:val="24"/>
                <w:szCs w:val="24"/>
              </w:rPr>
              <w:t xml:space="preserve"> </w:t>
            </w:r>
            <w:r w:rsidRPr="0098711E">
              <w:rPr>
                <w:rFonts w:asciiTheme="minorHAnsi" w:hAnsiTheme="minorHAnsi" w:cstheme="minorHAnsi"/>
                <w:sz w:val="24"/>
                <w:szCs w:val="24"/>
              </w:rPr>
              <w:t>719</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956</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620</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červenec</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84</w:t>
            </w:r>
            <w:r>
              <w:rPr>
                <w:rFonts w:ascii="Calibri" w:hAnsi="Calibri" w:cs="Calibri"/>
                <w:bCs/>
                <w:sz w:val="24"/>
                <w:szCs w:val="24"/>
              </w:rPr>
              <w:t xml:space="preserve"> </w:t>
            </w:r>
            <w:r w:rsidRPr="005321F9">
              <w:rPr>
                <w:rFonts w:ascii="Calibri" w:hAnsi="Calibri" w:cs="Calibri"/>
                <w:bCs/>
                <w:sz w:val="24"/>
                <w:szCs w:val="24"/>
              </w:rPr>
              <w:t>341</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7</w:t>
            </w:r>
            <w:r>
              <w:rPr>
                <w:rFonts w:asciiTheme="minorHAnsi" w:hAnsiTheme="minorHAnsi" w:cstheme="minorHAnsi"/>
                <w:sz w:val="24"/>
                <w:szCs w:val="24"/>
              </w:rPr>
              <w:t xml:space="preserve"> </w:t>
            </w:r>
            <w:r w:rsidRPr="005321F9">
              <w:rPr>
                <w:rFonts w:asciiTheme="minorHAnsi" w:hAnsiTheme="minorHAnsi" w:cstheme="minorHAnsi"/>
                <w:sz w:val="24"/>
                <w:szCs w:val="24"/>
              </w:rPr>
              <w:t>125</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7</w:t>
            </w:r>
            <w:r>
              <w:rPr>
                <w:rFonts w:asciiTheme="minorHAnsi" w:hAnsiTheme="minorHAnsi" w:cstheme="minorHAnsi"/>
                <w:sz w:val="24"/>
                <w:szCs w:val="24"/>
              </w:rPr>
              <w:t xml:space="preserve"> </w:t>
            </w:r>
            <w:r w:rsidRPr="005321F9">
              <w:rPr>
                <w:rFonts w:asciiTheme="minorHAnsi" w:hAnsiTheme="minorHAnsi" w:cstheme="minorHAnsi"/>
                <w:sz w:val="24"/>
                <w:szCs w:val="24"/>
              </w:rPr>
              <w:t>038</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4</w:t>
            </w:r>
            <w:r>
              <w:rPr>
                <w:rFonts w:asciiTheme="minorHAnsi" w:hAnsiTheme="minorHAnsi" w:cstheme="minorHAnsi"/>
                <w:sz w:val="24"/>
                <w:szCs w:val="24"/>
              </w:rPr>
              <w:t xml:space="preserve"> </w:t>
            </w:r>
            <w:r w:rsidRPr="0098711E">
              <w:rPr>
                <w:rFonts w:asciiTheme="minorHAnsi" w:hAnsiTheme="minorHAnsi" w:cstheme="minorHAnsi"/>
                <w:sz w:val="24"/>
                <w:szCs w:val="24"/>
              </w:rPr>
              <w:t>172</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031</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835</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srpen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83</w:t>
            </w:r>
            <w:r>
              <w:rPr>
                <w:rFonts w:ascii="Calibri" w:hAnsi="Calibri" w:cs="Calibri"/>
                <w:bCs/>
                <w:sz w:val="24"/>
                <w:szCs w:val="24"/>
              </w:rPr>
              <w:t xml:space="preserve"> </w:t>
            </w:r>
            <w:r w:rsidRPr="005321F9">
              <w:rPr>
                <w:rFonts w:ascii="Calibri" w:hAnsi="Calibri" w:cs="Calibri"/>
                <w:bCs/>
                <w:sz w:val="24"/>
                <w:szCs w:val="24"/>
              </w:rPr>
              <w:t>586</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5</w:t>
            </w:r>
            <w:r>
              <w:rPr>
                <w:rFonts w:asciiTheme="minorHAnsi" w:hAnsiTheme="minorHAnsi" w:cstheme="minorHAnsi"/>
                <w:sz w:val="24"/>
                <w:szCs w:val="24"/>
              </w:rPr>
              <w:t xml:space="preserve"> </w:t>
            </w:r>
            <w:r w:rsidRPr="005321F9">
              <w:rPr>
                <w:rFonts w:asciiTheme="minorHAnsi" w:hAnsiTheme="minorHAnsi" w:cstheme="minorHAnsi"/>
                <w:sz w:val="24"/>
                <w:szCs w:val="24"/>
              </w:rPr>
              <w:t>520</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275</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4</w:t>
            </w:r>
            <w:r>
              <w:rPr>
                <w:rFonts w:asciiTheme="minorHAnsi" w:hAnsiTheme="minorHAnsi" w:cstheme="minorHAnsi"/>
                <w:sz w:val="24"/>
                <w:szCs w:val="24"/>
              </w:rPr>
              <w:t xml:space="preserve"> </w:t>
            </w:r>
            <w:r w:rsidRPr="0098711E">
              <w:rPr>
                <w:rFonts w:asciiTheme="minorHAnsi" w:hAnsiTheme="minorHAnsi" w:cstheme="minorHAnsi"/>
                <w:sz w:val="24"/>
                <w:szCs w:val="24"/>
              </w:rPr>
              <w:t>005</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805</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465</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září</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83</w:t>
            </w:r>
            <w:r>
              <w:rPr>
                <w:rFonts w:ascii="Calibri" w:hAnsi="Calibri" w:cs="Calibri"/>
                <w:bCs/>
                <w:sz w:val="24"/>
                <w:szCs w:val="24"/>
              </w:rPr>
              <w:t xml:space="preserve"> </w:t>
            </w:r>
            <w:r w:rsidRPr="005321F9">
              <w:rPr>
                <w:rFonts w:ascii="Calibri" w:hAnsi="Calibri" w:cs="Calibri"/>
                <w:bCs/>
                <w:sz w:val="24"/>
                <w:szCs w:val="24"/>
              </w:rPr>
              <w:t>301</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9</w:t>
            </w:r>
            <w:r>
              <w:rPr>
                <w:rFonts w:asciiTheme="minorHAnsi" w:hAnsiTheme="minorHAnsi" w:cstheme="minorHAnsi"/>
                <w:sz w:val="24"/>
                <w:szCs w:val="24"/>
              </w:rPr>
              <w:t xml:space="preserve"> </w:t>
            </w:r>
            <w:r w:rsidRPr="005321F9">
              <w:rPr>
                <w:rFonts w:asciiTheme="minorHAnsi" w:hAnsiTheme="minorHAnsi" w:cstheme="minorHAnsi"/>
                <w:sz w:val="24"/>
                <w:szCs w:val="24"/>
              </w:rPr>
              <w:t>084</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9</w:t>
            </w:r>
            <w:r>
              <w:rPr>
                <w:rFonts w:asciiTheme="minorHAnsi" w:hAnsiTheme="minorHAnsi" w:cstheme="minorHAnsi"/>
                <w:sz w:val="24"/>
                <w:szCs w:val="24"/>
              </w:rPr>
              <w:t xml:space="preserve"> </w:t>
            </w:r>
            <w:r w:rsidRPr="005321F9">
              <w:rPr>
                <w:rFonts w:asciiTheme="minorHAnsi" w:hAnsiTheme="minorHAnsi" w:cstheme="minorHAnsi"/>
                <w:sz w:val="24"/>
                <w:szCs w:val="24"/>
              </w:rPr>
              <w:t>369</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5</w:t>
            </w:r>
            <w:r>
              <w:rPr>
                <w:rFonts w:asciiTheme="minorHAnsi" w:hAnsiTheme="minorHAnsi" w:cstheme="minorHAnsi"/>
                <w:sz w:val="24"/>
                <w:szCs w:val="24"/>
              </w:rPr>
              <w:t xml:space="preserve"> </w:t>
            </w:r>
            <w:r w:rsidRPr="0098711E">
              <w:rPr>
                <w:rFonts w:asciiTheme="minorHAnsi" w:hAnsiTheme="minorHAnsi" w:cstheme="minorHAnsi"/>
                <w:sz w:val="24"/>
                <w:szCs w:val="24"/>
              </w:rPr>
              <w:t>765</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916</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2</w:t>
            </w:r>
            <w:r>
              <w:rPr>
                <w:rFonts w:asciiTheme="minorHAnsi" w:hAnsiTheme="minorHAnsi" w:cstheme="minorHAnsi"/>
                <w:sz w:val="24"/>
                <w:szCs w:val="24"/>
              </w:rPr>
              <w:t xml:space="preserve"> </w:t>
            </w:r>
            <w:r w:rsidRPr="0098711E">
              <w:rPr>
                <w:rFonts w:asciiTheme="minorHAnsi" w:hAnsiTheme="minorHAnsi" w:cstheme="minorHAnsi"/>
                <w:sz w:val="24"/>
                <w:szCs w:val="24"/>
              </w:rPr>
              <w:t>688</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říjen</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81</w:t>
            </w:r>
            <w:r>
              <w:rPr>
                <w:rFonts w:ascii="Calibri" w:hAnsi="Calibri" w:cs="Calibri"/>
                <w:bCs/>
                <w:sz w:val="24"/>
                <w:szCs w:val="24"/>
              </w:rPr>
              <w:t xml:space="preserve"> </w:t>
            </w:r>
            <w:r w:rsidRPr="005321F9">
              <w:rPr>
                <w:rFonts w:ascii="Calibri" w:hAnsi="Calibri" w:cs="Calibri"/>
                <w:bCs/>
                <w:sz w:val="24"/>
                <w:szCs w:val="24"/>
              </w:rPr>
              <w:t>971</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516</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7</w:t>
            </w:r>
            <w:r>
              <w:rPr>
                <w:rFonts w:asciiTheme="minorHAnsi" w:hAnsiTheme="minorHAnsi" w:cstheme="minorHAnsi"/>
                <w:sz w:val="24"/>
                <w:szCs w:val="24"/>
              </w:rPr>
              <w:t xml:space="preserve"> </w:t>
            </w:r>
            <w:r w:rsidRPr="005321F9">
              <w:rPr>
                <w:rFonts w:asciiTheme="minorHAnsi" w:hAnsiTheme="minorHAnsi" w:cstheme="minorHAnsi"/>
                <w:sz w:val="24"/>
                <w:szCs w:val="24"/>
              </w:rPr>
              <w:t>846</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4</w:t>
            </w:r>
            <w:r>
              <w:rPr>
                <w:rFonts w:asciiTheme="minorHAnsi" w:hAnsiTheme="minorHAnsi" w:cstheme="minorHAnsi"/>
                <w:sz w:val="24"/>
                <w:szCs w:val="24"/>
              </w:rPr>
              <w:t xml:space="preserve"> </w:t>
            </w:r>
            <w:r w:rsidRPr="0098711E">
              <w:rPr>
                <w:rFonts w:asciiTheme="minorHAnsi" w:hAnsiTheme="minorHAnsi" w:cstheme="minorHAnsi"/>
                <w:sz w:val="24"/>
                <w:szCs w:val="24"/>
              </w:rPr>
              <w:t>997</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042</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807</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listopad</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81</w:t>
            </w:r>
            <w:r>
              <w:rPr>
                <w:rFonts w:ascii="Calibri" w:hAnsi="Calibri" w:cs="Calibri"/>
                <w:bCs/>
                <w:sz w:val="24"/>
                <w:szCs w:val="24"/>
              </w:rPr>
              <w:t xml:space="preserve"> </w:t>
            </w:r>
            <w:r w:rsidRPr="005321F9">
              <w:rPr>
                <w:rFonts w:ascii="Calibri" w:hAnsi="Calibri" w:cs="Calibri"/>
                <w:bCs/>
                <w:sz w:val="24"/>
                <w:szCs w:val="24"/>
              </w:rPr>
              <w:t>171</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5</w:t>
            </w:r>
            <w:r>
              <w:rPr>
                <w:rFonts w:asciiTheme="minorHAnsi" w:hAnsiTheme="minorHAnsi" w:cstheme="minorHAnsi"/>
                <w:sz w:val="24"/>
                <w:szCs w:val="24"/>
              </w:rPr>
              <w:t xml:space="preserve"> </w:t>
            </w:r>
            <w:r w:rsidRPr="005321F9">
              <w:rPr>
                <w:rFonts w:asciiTheme="minorHAnsi" w:hAnsiTheme="minorHAnsi" w:cstheme="minorHAnsi"/>
                <w:sz w:val="24"/>
                <w:szCs w:val="24"/>
              </w:rPr>
              <w:t>844</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6</w:t>
            </w:r>
            <w:r>
              <w:rPr>
                <w:rFonts w:asciiTheme="minorHAnsi" w:hAnsiTheme="minorHAnsi" w:cstheme="minorHAnsi"/>
                <w:sz w:val="24"/>
                <w:szCs w:val="24"/>
              </w:rPr>
              <w:t xml:space="preserve"> </w:t>
            </w:r>
            <w:r w:rsidRPr="005321F9">
              <w:rPr>
                <w:rFonts w:asciiTheme="minorHAnsi" w:hAnsiTheme="minorHAnsi" w:cstheme="minorHAnsi"/>
                <w:sz w:val="24"/>
                <w:szCs w:val="24"/>
              </w:rPr>
              <w:t>644</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4</w:t>
            </w:r>
            <w:r>
              <w:rPr>
                <w:rFonts w:asciiTheme="minorHAnsi" w:hAnsiTheme="minorHAnsi" w:cstheme="minorHAnsi"/>
                <w:sz w:val="24"/>
                <w:szCs w:val="24"/>
              </w:rPr>
              <w:t xml:space="preserve"> </w:t>
            </w:r>
            <w:r w:rsidRPr="0098711E">
              <w:rPr>
                <w:rFonts w:asciiTheme="minorHAnsi" w:hAnsiTheme="minorHAnsi" w:cstheme="minorHAnsi"/>
                <w:sz w:val="24"/>
                <w:szCs w:val="24"/>
              </w:rPr>
              <w:t>178</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934</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532</w:t>
            </w:r>
          </w:p>
        </w:tc>
      </w:tr>
      <w:tr w:rsidR="00B97902" w:rsidRPr="002B6BB8" w:rsidTr="00027ABA">
        <w:tc>
          <w:tcPr>
            <w:tcW w:w="1913" w:type="dxa"/>
            <w:vAlign w:val="center"/>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prosinec</w:t>
            </w:r>
          </w:p>
        </w:tc>
        <w:tc>
          <w:tcPr>
            <w:tcW w:w="1418" w:type="dxa"/>
            <w:vAlign w:val="bottom"/>
          </w:tcPr>
          <w:p w:rsidR="00B97902" w:rsidRPr="005321F9" w:rsidRDefault="00B97902" w:rsidP="00027ABA">
            <w:pPr>
              <w:jc w:val="center"/>
              <w:rPr>
                <w:rFonts w:ascii="Calibri" w:hAnsi="Calibri" w:cs="Calibri"/>
                <w:bCs/>
                <w:sz w:val="24"/>
                <w:szCs w:val="24"/>
              </w:rPr>
            </w:pPr>
            <w:r w:rsidRPr="005321F9">
              <w:rPr>
                <w:rFonts w:ascii="Calibri" w:hAnsi="Calibri" w:cs="Calibri"/>
                <w:bCs/>
                <w:sz w:val="24"/>
                <w:szCs w:val="24"/>
              </w:rPr>
              <w:t>83</w:t>
            </w:r>
            <w:r>
              <w:rPr>
                <w:rFonts w:ascii="Calibri" w:hAnsi="Calibri" w:cs="Calibri"/>
                <w:bCs/>
                <w:sz w:val="24"/>
                <w:szCs w:val="24"/>
              </w:rPr>
              <w:t xml:space="preserve"> </w:t>
            </w:r>
            <w:r w:rsidRPr="005321F9">
              <w:rPr>
                <w:rFonts w:ascii="Calibri" w:hAnsi="Calibri" w:cs="Calibri"/>
                <w:bCs/>
                <w:sz w:val="24"/>
                <w:szCs w:val="24"/>
              </w:rPr>
              <w:t>877</w:t>
            </w:r>
          </w:p>
        </w:tc>
        <w:tc>
          <w:tcPr>
            <w:tcW w:w="1134" w:type="dxa"/>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7</w:t>
            </w:r>
            <w:r>
              <w:rPr>
                <w:rFonts w:asciiTheme="minorHAnsi" w:hAnsiTheme="minorHAnsi" w:cstheme="minorHAnsi"/>
                <w:sz w:val="24"/>
                <w:szCs w:val="24"/>
              </w:rPr>
              <w:t xml:space="preserve"> </w:t>
            </w:r>
            <w:r w:rsidRPr="005321F9">
              <w:rPr>
                <w:rFonts w:asciiTheme="minorHAnsi" w:hAnsiTheme="minorHAnsi" w:cstheme="minorHAnsi"/>
                <w:sz w:val="24"/>
                <w:szCs w:val="24"/>
              </w:rPr>
              <w:t>929</w:t>
            </w:r>
          </w:p>
        </w:tc>
        <w:tc>
          <w:tcPr>
            <w:tcW w:w="1276" w:type="dxa"/>
            <w:tcBorders>
              <w:right w:val="single" w:sz="12" w:space="0" w:color="auto"/>
            </w:tcBorders>
            <w:vAlign w:val="bottom"/>
          </w:tcPr>
          <w:p w:rsidR="00B97902" w:rsidRPr="005321F9" w:rsidRDefault="00B97902" w:rsidP="00027ABA">
            <w:pPr>
              <w:jc w:val="center"/>
              <w:rPr>
                <w:rFonts w:asciiTheme="minorHAnsi" w:hAnsiTheme="minorHAnsi" w:cstheme="minorHAnsi"/>
                <w:sz w:val="24"/>
                <w:szCs w:val="24"/>
              </w:rPr>
            </w:pPr>
            <w:r w:rsidRPr="005321F9">
              <w:rPr>
                <w:rFonts w:asciiTheme="minorHAnsi" w:hAnsiTheme="minorHAnsi" w:cstheme="minorHAnsi"/>
                <w:sz w:val="24"/>
                <w:szCs w:val="24"/>
              </w:rPr>
              <w:t>5</w:t>
            </w:r>
            <w:r>
              <w:rPr>
                <w:rFonts w:asciiTheme="minorHAnsi" w:hAnsiTheme="minorHAnsi" w:cstheme="minorHAnsi"/>
                <w:sz w:val="24"/>
                <w:szCs w:val="24"/>
              </w:rPr>
              <w:t xml:space="preserve"> </w:t>
            </w:r>
            <w:r w:rsidRPr="005321F9">
              <w:rPr>
                <w:rFonts w:asciiTheme="minorHAnsi" w:hAnsiTheme="minorHAnsi" w:cstheme="minorHAnsi"/>
                <w:sz w:val="24"/>
                <w:szCs w:val="24"/>
              </w:rPr>
              <w:t>223</w:t>
            </w:r>
          </w:p>
        </w:tc>
        <w:tc>
          <w:tcPr>
            <w:tcW w:w="1275" w:type="dxa"/>
            <w:tcBorders>
              <w:left w:val="single" w:sz="12" w:space="0" w:color="auto"/>
            </w:tcBorders>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2</w:t>
            </w:r>
            <w:r>
              <w:rPr>
                <w:rFonts w:asciiTheme="minorHAnsi" w:hAnsiTheme="minorHAnsi" w:cstheme="minorHAnsi"/>
                <w:sz w:val="24"/>
                <w:szCs w:val="24"/>
              </w:rPr>
              <w:t xml:space="preserve"> </w:t>
            </w:r>
            <w:r w:rsidRPr="0098711E">
              <w:rPr>
                <w:rFonts w:asciiTheme="minorHAnsi" w:hAnsiTheme="minorHAnsi" w:cstheme="minorHAnsi"/>
                <w:sz w:val="24"/>
                <w:szCs w:val="24"/>
              </w:rPr>
              <w:t>993</w:t>
            </w:r>
          </w:p>
        </w:tc>
        <w:tc>
          <w:tcPr>
            <w:tcW w:w="1367" w:type="dxa"/>
            <w:vAlign w:val="center"/>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928</w:t>
            </w:r>
          </w:p>
        </w:tc>
        <w:tc>
          <w:tcPr>
            <w:tcW w:w="1043" w:type="dxa"/>
            <w:vAlign w:val="bottom"/>
          </w:tcPr>
          <w:p w:rsidR="00B97902" w:rsidRPr="0098711E" w:rsidRDefault="00B97902" w:rsidP="00027ABA">
            <w:pPr>
              <w:jc w:val="center"/>
              <w:rPr>
                <w:rFonts w:asciiTheme="minorHAnsi" w:hAnsiTheme="minorHAnsi" w:cstheme="minorHAnsi"/>
                <w:sz w:val="24"/>
                <w:szCs w:val="24"/>
              </w:rPr>
            </w:pPr>
            <w:r w:rsidRPr="0098711E">
              <w:rPr>
                <w:rFonts w:asciiTheme="minorHAnsi" w:hAnsiTheme="minorHAnsi" w:cstheme="minorHAnsi"/>
                <w:sz w:val="24"/>
                <w:szCs w:val="24"/>
              </w:rPr>
              <w:t>1</w:t>
            </w:r>
            <w:r>
              <w:rPr>
                <w:rFonts w:asciiTheme="minorHAnsi" w:hAnsiTheme="minorHAnsi" w:cstheme="minorHAnsi"/>
                <w:sz w:val="24"/>
                <w:szCs w:val="24"/>
              </w:rPr>
              <w:t xml:space="preserve"> </w:t>
            </w:r>
            <w:r w:rsidRPr="0098711E">
              <w:rPr>
                <w:rFonts w:asciiTheme="minorHAnsi" w:hAnsiTheme="minorHAnsi" w:cstheme="minorHAnsi"/>
                <w:sz w:val="24"/>
                <w:szCs w:val="24"/>
              </w:rPr>
              <w:t>302</w:t>
            </w:r>
          </w:p>
        </w:tc>
      </w:tr>
      <w:tr w:rsidR="00B97902" w:rsidRPr="002B6BB8" w:rsidTr="00027ABA">
        <w:tc>
          <w:tcPr>
            <w:tcW w:w="1913" w:type="dxa"/>
            <w:tcBorders>
              <w:top w:val="single" w:sz="12" w:space="0" w:color="auto"/>
              <w:bottom w:val="single" w:sz="12" w:space="0" w:color="auto"/>
            </w:tcBorders>
            <w:vAlign w:val="center"/>
          </w:tcPr>
          <w:p w:rsidR="00B97902" w:rsidRPr="002B6BB8" w:rsidRDefault="00B97902" w:rsidP="00027ABA">
            <w:pPr>
              <w:rPr>
                <w:rFonts w:asciiTheme="minorHAnsi" w:hAnsiTheme="minorHAnsi" w:cstheme="minorHAnsi"/>
                <w:b/>
                <w:sz w:val="24"/>
              </w:rPr>
            </w:pPr>
            <w:r w:rsidRPr="002B6BB8">
              <w:rPr>
                <w:rFonts w:asciiTheme="minorHAnsi" w:hAnsiTheme="minorHAnsi" w:cstheme="minorHAnsi"/>
                <w:b/>
                <w:sz w:val="24"/>
              </w:rPr>
              <w:t>celkem</w:t>
            </w:r>
          </w:p>
        </w:tc>
        <w:tc>
          <w:tcPr>
            <w:tcW w:w="1418" w:type="dxa"/>
            <w:tcBorders>
              <w:top w:val="single" w:sz="12" w:space="0" w:color="auto"/>
              <w:bottom w:val="single" w:sz="12" w:space="0" w:color="auto"/>
            </w:tcBorders>
            <w:shd w:val="clear" w:color="auto" w:fill="E6E6E6"/>
            <w:vAlign w:val="center"/>
          </w:tcPr>
          <w:p w:rsidR="00B97902" w:rsidRPr="002B6BB8" w:rsidRDefault="00B97902" w:rsidP="00027ABA">
            <w:pPr>
              <w:jc w:val="center"/>
              <w:rPr>
                <w:rFonts w:asciiTheme="minorHAnsi" w:hAnsiTheme="minorHAnsi" w:cstheme="minorHAnsi"/>
                <w:b/>
                <w:bCs/>
                <w:sz w:val="24"/>
                <w:szCs w:val="24"/>
              </w:rPr>
            </w:pPr>
          </w:p>
        </w:tc>
        <w:tc>
          <w:tcPr>
            <w:tcW w:w="1134"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82 516</w:t>
            </w:r>
          </w:p>
        </w:tc>
        <w:tc>
          <w:tcPr>
            <w:tcW w:w="1276" w:type="dxa"/>
            <w:tcBorders>
              <w:top w:val="single" w:sz="12" w:space="0" w:color="auto"/>
              <w:bottom w:val="single" w:sz="12" w:space="0" w:color="auto"/>
              <w:right w:val="single" w:sz="12" w:space="0" w:color="auto"/>
            </w:tcBorders>
            <w:vAlign w:val="bottom"/>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88 615</w:t>
            </w:r>
          </w:p>
        </w:tc>
        <w:tc>
          <w:tcPr>
            <w:tcW w:w="1275"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56 910</w:t>
            </w:r>
          </w:p>
        </w:tc>
        <w:tc>
          <w:tcPr>
            <w:tcW w:w="1367"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10 610</w:t>
            </w:r>
          </w:p>
        </w:tc>
        <w:tc>
          <w:tcPr>
            <w:tcW w:w="1043"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21 095</w:t>
            </w:r>
          </w:p>
        </w:tc>
      </w:tr>
    </w:tbl>
    <w:p w:rsidR="00B97902" w:rsidRPr="002B6BB8" w:rsidRDefault="00B97902" w:rsidP="00B97902">
      <w:pPr>
        <w:rPr>
          <w:rFonts w:asciiTheme="minorHAnsi" w:hAnsiTheme="minorHAnsi" w:cstheme="minorHAnsi"/>
          <w:i/>
          <w:iCs/>
        </w:rPr>
      </w:pPr>
      <w:r w:rsidRPr="002B6BB8">
        <w:rPr>
          <w:rFonts w:asciiTheme="minorHAnsi" w:hAnsiTheme="minorHAnsi" w:cstheme="minorHAnsi"/>
          <w:i/>
          <w:iCs/>
        </w:rPr>
        <w:t>1) koncový stav měsíce</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3. Struktura uchazečů o zaměstnání</w:t>
      </w:r>
    </w:p>
    <w:p w:rsidR="00B97902" w:rsidRPr="002B6BB8" w:rsidRDefault="00B97902" w:rsidP="00B97902">
      <w:pPr>
        <w:pStyle w:val="dka"/>
        <w:rPr>
          <w:rFonts w:asciiTheme="minorHAnsi" w:hAnsiTheme="minorHAnsi" w:cstheme="minorHAnsi"/>
          <w:bCs/>
          <w:iCs/>
          <w:color w:val="auto"/>
          <w:szCs w:val="24"/>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 xml:space="preserve">3.1 Věková struktura uchazečů o zaměstnání </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Během sledovaného roku se věková struktura uchazečů o zaměstnání výrazně nezměnila, v podílovém zastoupení se jednalo o odchylky menší než jeden procentní bod</w:t>
      </w:r>
      <w:r>
        <w:rPr>
          <w:rFonts w:asciiTheme="minorHAnsi" w:hAnsiTheme="minorHAnsi" w:cstheme="minorHAnsi"/>
        </w:rPr>
        <w:t xml:space="preserve">, s výjimkou kategorie 20-24 let, u které během minulého roku došlo ke </w:t>
      </w:r>
      <w:r w:rsidRPr="002B6BB8">
        <w:rPr>
          <w:rFonts w:asciiTheme="minorHAnsi" w:hAnsiTheme="minorHAnsi" w:cstheme="minorHAnsi"/>
        </w:rPr>
        <w:t xml:space="preserve">snížení poměrného zastoupení </w:t>
      </w:r>
      <w:r>
        <w:rPr>
          <w:rFonts w:asciiTheme="minorHAnsi" w:hAnsiTheme="minorHAnsi" w:cstheme="minorHAnsi"/>
        </w:rPr>
        <w:t>o 1,8</w:t>
      </w:r>
      <w:r w:rsidRPr="002B6BB8">
        <w:rPr>
          <w:rFonts w:asciiTheme="minorHAnsi" w:hAnsiTheme="minorHAnsi" w:cstheme="minorHAnsi"/>
        </w:rPr>
        <w:t xml:space="preserve"> procentního bodu. </w:t>
      </w:r>
    </w:p>
    <w:p w:rsidR="00B97902" w:rsidRPr="002B6BB8" w:rsidRDefault="00B97902" w:rsidP="00B97902">
      <w:pPr>
        <w:pStyle w:val="dka"/>
        <w:rPr>
          <w:rFonts w:asciiTheme="minorHAnsi" w:hAnsiTheme="minorHAnsi" w:cstheme="minorHAnsi"/>
          <w:b/>
          <w:bCs/>
          <w:i/>
          <w:iCs/>
          <w:color w:val="auto"/>
        </w:rPr>
      </w:pPr>
    </w:p>
    <w:p w:rsidR="00B97902" w:rsidRPr="002B6BB8" w:rsidRDefault="00B97902" w:rsidP="00B97902">
      <w:pPr>
        <w:rPr>
          <w:rFonts w:asciiTheme="minorHAnsi" w:hAnsiTheme="minorHAnsi" w:cstheme="minorHAnsi"/>
          <w:sz w:val="24"/>
        </w:rPr>
      </w:pPr>
      <w:r w:rsidRPr="002B6BB8">
        <w:rPr>
          <w:rFonts w:asciiTheme="minorHAnsi" w:hAnsiTheme="minorHAnsi" w:cstheme="minorHAnsi"/>
          <w:b/>
          <w:sz w:val="24"/>
        </w:rPr>
        <w:t>Tabulka III/3</w:t>
      </w:r>
      <w:r w:rsidRPr="002B6BB8">
        <w:rPr>
          <w:rFonts w:asciiTheme="minorHAnsi" w:hAnsiTheme="minorHAnsi" w:cstheme="minorHAnsi"/>
          <w:sz w:val="24"/>
        </w:rPr>
        <w:t xml:space="preserve"> - Věková struktura evidovaných uchazečů o zaměstnání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1757"/>
        <w:gridCol w:w="1757"/>
        <w:gridCol w:w="1758"/>
        <w:gridCol w:w="1755"/>
      </w:tblGrid>
      <w:tr w:rsidR="00B97902" w:rsidRPr="002B6BB8" w:rsidTr="00027ABA">
        <w:trPr>
          <w:cantSplit/>
          <w:trHeight w:val="269"/>
        </w:trPr>
        <w:tc>
          <w:tcPr>
            <w:tcW w:w="2342" w:type="dxa"/>
            <w:vMerge w:val="restart"/>
            <w:tcBorders>
              <w:top w:val="single" w:sz="12" w:space="0" w:color="000000"/>
              <w:left w:val="single" w:sz="12"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bookmarkStart w:id="1" w:name="OLE_LINK3"/>
            <w:r w:rsidRPr="002B6BB8">
              <w:rPr>
                <w:rFonts w:asciiTheme="minorHAnsi" w:hAnsiTheme="minorHAnsi" w:cstheme="minorHAnsi"/>
                <w:sz w:val="24"/>
                <w:szCs w:val="24"/>
              </w:rPr>
              <w:t>věk</w:t>
            </w:r>
          </w:p>
        </w:tc>
        <w:tc>
          <w:tcPr>
            <w:tcW w:w="3514" w:type="dxa"/>
            <w:gridSpan w:val="2"/>
            <w:tcBorders>
              <w:top w:val="single" w:sz="12" w:space="0" w:color="000000"/>
              <w:left w:val="single" w:sz="12" w:space="0" w:color="auto"/>
              <w:bottom w:val="single" w:sz="4" w:space="0" w:color="auto"/>
              <w:right w:val="single" w:sz="12" w:space="0" w:color="auto"/>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stav k 31.12.201</w:t>
            </w:r>
            <w:r>
              <w:rPr>
                <w:rFonts w:asciiTheme="minorHAnsi" w:hAnsiTheme="minorHAnsi" w:cstheme="minorHAnsi"/>
                <w:sz w:val="24"/>
                <w:szCs w:val="24"/>
              </w:rPr>
              <w:t>3</w:t>
            </w:r>
          </w:p>
        </w:tc>
        <w:tc>
          <w:tcPr>
            <w:tcW w:w="3513" w:type="dxa"/>
            <w:gridSpan w:val="2"/>
            <w:tcBorders>
              <w:top w:val="single" w:sz="12" w:space="0" w:color="000000"/>
              <w:left w:val="single" w:sz="12" w:space="0" w:color="auto"/>
              <w:bottom w:val="nil"/>
              <w:right w:val="single" w:sz="12" w:space="0" w:color="000000"/>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stav k 31.12.201</w:t>
            </w:r>
            <w:r>
              <w:rPr>
                <w:rFonts w:asciiTheme="minorHAnsi" w:hAnsiTheme="minorHAnsi" w:cstheme="minorHAnsi"/>
                <w:sz w:val="24"/>
                <w:szCs w:val="24"/>
              </w:rPr>
              <w:t>4</w:t>
            </w:r>
          </w:p>
        </w:tc>
      </w:tr>
      <w:tr w:rsidR="00B97902" w:rsidRPr="002B6BB8" w:rsidTr="00027ABA">
        <w:trPr>
          <w:cantSplit/>
          <w:trHeight w:val="144"/>
        </w:trPr>
        <w:tc>
          <w:tcPr>
            <w:tcW w:w="2342" w:type="dxa"/>
            <w:vMerge/>
            <w:tcBorders>
              <w:top w:val="nil"/>
              <w:left w:val="single" w:sz="12" w:space="0" w:color="auto"/>
              <w:bottom w:val="single" w:sz="12" w:space="0" w:color="auto"/>
              <w:right w:val="single" w:sz="12" w:space="0" w:color="auto"/>
            </w:tcBorders>
          </w:tcPr>
          <w:p w:rsidR="00B97902" w:rsidRPr="002B6BB8" w:rsidRDefault="00B97902" w:rsidP="00027ABA">
            <w:pPr>
              <w:jc w:val="center"/>
              <w:rPr>
                <w:rFonts w:asciiTheme="minorHAnsi" w:hAnsiTheme="minorHAnsi" w:cstheme="minorHAnsi"/>
                <w:sz w:val="24"/>
                <w:szCs w:val="24"/>
              </w:rPr>
            </w:pPr>
          </w:p>
        </w:tc>
        <w:tc>
          <w:tcPr>
            <w:tcW w:w="1757" w:type="dxa"/>
            <w:tcBorders>
              <w:top w:val="nil"/>
              <w:left w:val="single" w:sz="12" w:space="0" w:color="auto"/>
              <w:bottom w:val="single" w:sz="12" w:space="0" w:color="auto"/>
              <w:right w:val="single" w:sz="4" w:space="0" w:color="auto"/>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absolutně</w:t>
            </w:r>
          </w:p>
        </w:tc>
        <w:tc>
          <w:tcPr>
            <w:tcW w:w="1757" w:type="dxa"/>
            <w:tcBorders>
              <w:top w:val="nil"/>
              <w:left w:val="single" w:sz="4"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w:t>
            </w:r>
          </w:p>
        </w:tc>
        <w:tc>
          <w:tcPr>
            <w:tcW w:w="1758" w:type="dxa"/>
            <w:tcBorders>
              <w:top w:val="single" w:sz="4" w:space="0" w:color="000000"/>
              <w:left w:val="single" w:sz="12" w:space="0" w:color="auto"/>
              <w:bottom w:val="single" w:sz="12" w:space="0" w:color="auto"/>
              <w:right w:val="single" w:sz="4" w:space="0" w:color="auto"/>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absolutně</w:t>
            </w:r>
          </w:p>
        </w:tc>
        <w:tc>
          <w:tcPr>
            <w:tcW w:w="1755" w:type="dxa"/>
            <w:tcBorders>
              <w:top w:val="single" w:sz="4" w:space="0" w:color="000000"/>
              <w:left w:val="single" w:sz="4" w:space="0" w:color="auto"/>
              <w:bottom w:val="single" w:sz="12" w:space="0" w:color="auto"/>
              <w:right w:val="single" w:sz="12" w:space="0" w:color="000000"/>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w:t>
            </w:r>
          </w:p>
        </w:tc>
      </w:tr>
      <w:tr w:rsidR="00B97902" w:rsidRPr="002B6BB8" w:rsidTr="00027ABA">
        <w:trPr>
          <w:trHeight w:val="284"/>
        </w:trPr>
        <w:tc>
          <w:tcPr>
            <w:tcW w:w="2342" w:type="dxa"/>
            <w:tcBorders>
              <w:top w:val="nil"/>
              <w:left w:val="single" w:sz="12" w:space="0" w:color="auto"/>
              <w:bottom w:val="single" w:sz="4"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do 19 let</w:t>
            </w:r>
          </w:p>
        </w:tc>
        <w:tc>
          <w:tcPr>
            <w:tcW w:w="1757" w:type="dxa"/>
            <w:tcBorders>
              <w:top w:val="single" w:sz="12" w:space="0" w:color="auto"/>
              <w:left w:val="single" w:sz="12" w:space="0" w:color="auto"/>
              <w:bottom w:val="single" w:sz="4"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3 236</w:t>
            </w:r>
          </w:p>
        </w:tc>
        <w:tc>
          <w:tcPr>
            <w:tcW w:w="1757" w:type="dxa"/>
            <w:tcBorders>
              <w:top w:val="nil"/>
              <w:left w:val="single" w:sz="4" w:space="0" w:color="auto"/>
              <w:bottom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3,6</w:t>
            </w:r>
          </w:p>
        </w:tc>
        <w:tc>
          <w:tcPr>
            <w:tcW w:w="1758" w:type="dxa"/>
            <w:tcBorders>
              <w:top w:val="single" w:sz="4" w:space="0" w:color="auto"/>
              <w:left w:val="nil"/>
              <w:bottom w:val="single" w:sz="4" w:space="0" w:color="auto"/>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2</w:t>
            </w:r>
            <w:r>
              <w:rPr>
                <w:rFonts w:asciiTheme="minorHAnsi" w:hAnsiTheme="minorHAnsi" w:cstheme="minorHAnsi"/>
                <w:sz w:val="24"/>
                <w:szCs w:val="24"/>
              </w:rPr>
              <w:t xml:space="preserve"> </w:t>
            </w:r>
            <w:r w:rsidRPr="00365FDF">
              <w:rPr>
                <w:rFonts w:asciiTheme="minorHAnsi" w:hAnsiTheme="minorHAnsi" w:cstheme="minorHAnsi"/>
                <w:sz w:val="24"/>
                <w:szCs w:val="24"/>
              </w:rPr>
              <w:t>719</w:t>
            </w:r>
          </w:p>
        </w:tc>
        <w:tc>
          <w:tcPr>
            <w:tcW w:w="1755" w:type="dxa"/>
            <w:tcBorders>
              <w:top w:val="single" w:sz="4" w:space="0" w:color="auto"/>
              <w:bottom w:val="single" w:sz="4" w:space="0" w:color="auto"/>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3,2</w:t>
            </w:r>
          </w:p>
        </w:tc>
      </w:tr>
      <w:tr w:rsidR="00B97902" w:rsidRPr="002B6BB8" w:rsidTr="00027ABA">
        <w:trPr>
          <w:trHeight w:val="269"/>
        </w:trPr>
        <w:tc>
          <w:tcPr>
            <w:tcW w:w="2342" w:type="dxa"/>
            <w:tcBorders>
              <w:top w:val="nil"/>
              <w:left w:val="single" w:sz="12" w:space="0" w:color="auto"/>
              <w:bottom w:val="single" w:sz="4"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20-24 let</w:t>
            </w:r>
          </w:p>
        </w:tc>
        <w:tc>
          <w:tcPr>
            <w:tcW w:w="1757" w:type="dxa"/>
            <w:tcBorders>
              <w:top w:val="nil"/>
              <w:left w:val="single" w:sz="12" w:space="0" w:color="auto"/>
              <w:bottom w:val="single" w:sz="4"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11 167</w:t>
            </w:r>
          </w:p>
        </w:tc>
        <w:tc>
          <w:tcPr>
            <w:tcW w:w="1757" w:type="dxa"/>
            <w:tcBorders>
              <w:top w:val="nil"/>
              <w:left w:val="single" w:sz="4" w:space="0" w:color="auto"/>
              <w:bottom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12,4</w:t>
            </w:r>
          </w:p>
        </w:tc>
        <w:tc>
          <w:tcPr>
            <w:tcW w:w="1758" w:type="dxa"/>
            <w:tcBorders>
              <w:top w:val="single" w:sz="4" w:space="0" w:color="auto"/>
              <w:left w:val="nil"/>
              <w:bottom w:val="single" w:sz="4" w:space="0" w:color="auto"/>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8</w:t>
            </w:r>
            <w:r>
              <w:rPr>
                <w:rFonts w:asciiTheme="minorHAnsi" w:hAnsiTheme="minorHAnsi" w:cstheme="minorHAnsi"/>
                <w:sz w:val="24"/>
                <w:szCs w:val="24"/>
              </w:rPr>
              <w:t xml:space="preserve"> </w:t>
            </w:r>
            <w:r w:rsidRPr="00365FDF">
              <w:rPr>
                <w:rFonts w:asciiTheme="minorHAnsi" w:hAnsiTheme="minorHAnsi" w:cstheme="minorHAnsi"/>
                <w:sz w:val="24"/>
                <w:szCs w:val="24"/>
              </w:rPr>
              <w:t>861</w:t>
            </w:r>
          </w:p>
        </w:tc>
        <w:tc>
          <w:tcPr>
            <w:tcW w:w="1755" w:type="dxa"/>
            <w:tcBorders>
              <w:top w:val="single" w:sz="4" w:space="0" w:color="auto"/>
              <w:bottom w:val="single" w:sz="4" w:space="0" w:color="auto"/>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10,6</w:t>
            </w:r>
          </w:p>
        </w:tc>
      </w:tr>
      <w:tr w:rsidR="00B97902" w:rsidRPr="002B6BB8" w:rsidTr="00027ABA">
        <w:trPr>
          <w:trHeight w:val="269"/>
        </w:trPr>
        <w:tc>
          <w:tcPr>
            <w:tcW w:w="2342" w:type="dxa"/>
            <w:tcBorders>
              <w:top w:val="single" w:sz="4" w:space="0" w:color="auto"/>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25-29 let</w:t>
            </w:r>
          </w:p>
        </w:tc>
        <w:tc>
          <w:tcPr>
            <w:tcW w:w="1757" w:type="dxa"/>
            <w:tcBorders>
              <w:top w:val="single" w:sz="4" w:space="0" w:color="auto"/>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9 997</w:t>
            </w:r>
          </w:p>
        </w:tc>
        <w:tc>
          <w:tcPr>
            <w:tcW w:w="1757" w:type="dxa"/>
            <w:tcBorders>
              <w:top w:val="single" w:sz="4" w:space="0" w:color="auto"/>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11,1</w:t>
            </w:r>
          </w:p>
        </w:tc>
        <w:tc>
          <w:tcPr>
            <w:tcW w:w="1758" w:type="dxa"/>
            <w:tcBorders>
              <w:top w:val="single" w:sz="4" w:space="0" w:color="auto"/>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8</w:t>
            </w:r>
            <w:r>
              <w:rPr>
                <w:rFonts w:asciiTheme="minorHAnsi" w:hAnsiTheme="minorHAnsi" w:cstheme="minorHAnsi"/>
                <w:sz w:val="24"/>
                <w:szCs w:val="24"/>
              </w:rPr>
              <w:t xml:space="preserve"> </w:t>
            </w:r>
            <w:r w:rsidRPr="00365FDF">
              <w:rPr>
                <w:rFonts w:asciiTheme="minorHAnsi" w:hAnsiTheme="minorHAnsi" w:cstheme="minorHAnsi"/>
                <w:sz w:val="24"/>
                <w:szCs w:val="24"/>
              </w:rPr>
              <w:t>865</w:t>
            </w:r>
          </w:p>
        </w:tc>
        <w:tc>
          <w:tcPr>
            <w:tcW w:w="1755" w:type="dxa"/>
            <w:tcBorders>
              <w:top w:val="single" w:sz="4" w:space="0" w:color="auto"/>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10,6</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30-34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9 361</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10,4</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8</w:t>
            </w:r>
            <w:r>
              <w:rPr>
                <w:rFonts w:asciiTheme="minorHAnsi" w:hAnsiTheme="minorHAnsi" w:cstheme="minorHAnsi"/>
                <w:sz w:val="24"/>
                <w:szCs w:val="24"/>
              </w:rPr>
              <w:t xml:space="preserve"> </w:t>
            </w:r>
            <w:r w:rsidRPr="00365FDF">
              <w:rPr>
                <w:rFonts w:asciiTheme="minorHAnsi" w:hAnsiTheme="minorHAnsi" w:cstheme="minorHAnsi"/>
                <w:sz w:val="24"/>
                <w:szCs w:val="24"/>
              </w:rPr>
              <w:t>560</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10,2</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35-39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10 742</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12,0</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10</w:t>
            </w:r>
            <w:r>
              <w:rPr>
                <w:rFonts w:asciiTheme="minorHAnsi" w:hAnsiTheme="minorHAnsi" w:cstheme="minorHAnsi"/>
                <w:sz w:val="24"/>
                <w:szCs w:val="24"/>
              </w:rPr>
              <w:t xml:space="preserve"> </w:t>
            </w:r>
            <w:r w:rsidRPr="00365FDF">
              <w:rPr>
                <w:rFonts w:asciiTheme="minorHAnsi" w:hAnsiTheme="minorHAnsi" w:cstheme="minorHAnsi"/>
                <w:sz w:val="24"/>
                <w:szCs w:val="24"/>
              </w:rPr>
              <w:t>056</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12,0</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40-44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9 657</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10,7</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9</w:t>
            </w:r>
            <w:r>
              <w:rPr>
                <w:rFonts w:asciiTheme="minorHAnsi" w:hAnsiTheme="minorHAnsi" w:cstheme="minorHAnsi"/>
                <w:sz w:val="24"/>
                <w:szCs w:val="24"/>
              </w:rPr>
              <w:t xml:space="preserve"> </w:t>
            </w:r>
            <w:r w:rsidRPr="00365FDF">
              <w:rPr>
                <w:rFonts w:asciiTheme="minorHAnsi" w:hAnsiTheme="minorHAnsi" w:cstheme="minorHAnsi"/>
                <w:sz w:val="24"/>
                <w:szCs w:val="24"/>
              </w:rPr>
              <w:t>557</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11,4</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45-49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10 126</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11,3</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9</w:t>
            </w:r>
            <w:r>
              <w:rPr>
                <w:rFonts w:asciiTheme="minorHAnsi" w:hAnsiTheme="minorHAnsi" w:cstheme="minorHAnsi"/>
                <w:sz w:val="24"/>
                <w:szCs w:val="24"/>
              </w:rPr>
              <w:t xml:space="preserve"> </w:t>
            </w:r>
            <w:r w:rsidRPr="00365FDF">
              <w:rPr>
                <w:rFonts w:asciiTheme="minorHAnsi" w:hAnsiTheme="minorHAnsi" w:cstheme="minorHAnsi"/>
                <w:sz w:val="24"/>
                <w:szCs w:val="24"/>
              </w:rPr>
              <w:t>422</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11,2</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50-54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10 368</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11,5</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10</w:t>
            </w:r>
            <w:r>
              <w:rPr>
                <w:rFonts w:asciiTheme="minorHAnsi" w:hAnsiTheme="minorHAnsi" w:cstheme="minorHAnsi"/>
                <w:sz w:val="24"/>
                <w:szCs w:val="24"/>
              </w:rPr>
              <w:t xml:space="preserve"> </w:t>
            </w:r>
            <w:r w:rsidRPr="00365FDF">
              <w:rPr>
                <w:rFonts w:asciiTheme="minorHAnsi" w:hAnsiTheme="minorHAnsi" w:cstheme="minorHAnsi"/>
                <w:sz w:val="24"/>
                <w:szCs w:val="24"/>
              </w:rPr>
              <w:t>398</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12,4</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55-59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11 697</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13,0</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11</w:t>
            </w:r>
            <w:r>
              <w:rPr>
                <w:rFonts w:asciiTheme="minorHAnsi" w:hAnsiTheme="minorHAnsi" w:cstheme="minorHAnsi"/>
                <w:sz w:val="24"/>
                <w:szCs w:val="24"/>
              </w:rPr>
              <w:t xml:space="preserve"> </w:t>
            </w:r>
            <w:r w:rsidRPr="00365FDF">
              <w:rPr>
                <w:rFonts w:asciiTheme="minorHAnsi" w:hAnsiTheme="minorHAnsi" w:cstheme="minorHAnsi"/>
                <w:sz w:val="24"/>
                <w:szCs w:val="24"/>
              </w:rPr>
              <w:t>396</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13,6</w:t>
            </w:r>
          </w:p>
        </w:tc>
      </w:tr>
      <w:tr w:rsidR="00B97902" w:rsidRPr="002B6BB8" w:rsidTr="00027ABA">
        <w:trPr>
          <w:trHeight w:val="269"/>
        </w:trPr>
        <w:tc>
          <w:tcPr>
            <w:tcW w:w="2342" w:type="dxa"/>
            <w:tcBorders>
              <w:left w:val="single" w:sz="12" w:space="0" w:color="auto"/>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60-64 let</w:t>
            </w:r>
          </w:p>
        </w:tc>
        <w:tc>
          <w:tcPr>
            <w:tcW w:w="1757" w:type="dxa"/>
            <w:tcBorders>
              <w:left w:val="single" w:sz="12" w:space="0" w:color="auto"/>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3 519</w:t>
            </w:r>
          </w:p>
        </w:tc>
        <w:tc>
          <w:tcPr>
            <w:tcW w:w="1757" w:type="dxa"/>
            <w:tcBorders>
              <w:left w:val="single" w:sz="4"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3,9</w:t>
            </w:r>
          </w:p>
        </w:tc>
        <w:tc>
          <w:tcPr>
            <w:tcW w:w="1758" w:type="dxa"/>
            <w:tcBorders>
              <w:left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3</w:t>
            </w:r>
            <w:r>
              <w:rPr>
                <w:rFonts w:asciiTheme="minorHAnsi" w:hAnsiTheme="minorHAnsi" w:cstheme="minorHAnsi"/>
                <w:sz w:val="24"/>
                <w:szCs w:val="24"/>
              </w:rPr>
              <w:t xml:space="preserve"> </w:t>
            </w:r>
            <w:r w:rsidRPr="00365FDF">
              <w:rPr>
                <w:rFonts w:asciiTheme="minorHAnsi" w:hAnsiTheme="minorHAnsi" w:cstheme="minorHAnsi"/>
                <w:sz w:val="24"/>
                <w:szCs w:val="24"/>
              </w:rPr>
              <w:t>927</w:t>
            </w:r>
          </w:p>
        </w:tc>
        <w:tc>
          <w:tcPr>
            <w:tcW w:w="1755" w:type="dxa"/>
            <w:tcBorders>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4,7</w:t>
            </w:r>
          </w:p>
        </w:tc>
      </w:tr>
      <w:tr w:rsidR="00B97902" w:rsidRPr="002B6BB8" w:rsidTr="00027ABA">
        <w:trPr>
          <w:trHeight w:val="284"/>
        </w:trPr>
        <w:tc>
          <w:tcPr>
            <w:tcW w:w="2342" w:type="dxa"/>
            <w:tcBorders>
              <w:left w:val="single" w:sz="12" w:space="0" w:color="auto"/>
              <w:bottom w:val="nil"/>
              <w:right w:val="single" w:sz="12" w:space="0" w:color="auto"/>
            </w:tcBorders>
            <w:vAlign w:val="center"/>
          </w:tcPr>
          <w:p w:rsidR="00B97902" w:rsidRPr="002B6BB8" w:rsidRDefault="00B97902" w:rsidP="00027ABA">
            <w:pPr>
              <w:rPr>
                <w:rFonts w:asciiTheme="minorHAnsi" w:hAnsiTheme="minorHAnsi" w:cstheme="minorHAnsi"/>
                <w:snapToGrid w:val="0"/>
                <w:sz w:val="24"/>
                <w:szCs w:val="24"/>
              </w:rPr>
            </w:pPr>
            <w:r w:rsidRPr="002B6BB8">
              <w:rPr>
                <w:rFonts w:asciiTheme="minorHAnsi" w:hAnsiTheme="minorHAnsi" w:cstheme="minorHAnsi"/>
                <w:snapToGrid w:val="0"/>
                <w:sz w:val="24"/>
                <w:szCs w:val="24"/>
              </w:rPr>
              <w:t>nad 65let</w:t>
            </w:r>
          </w:p>
        </w:tc>
        <w:tc>
          <w:tcPr>
            <w:tcW w:w="1757" w:type="dxa"/>
            <w:tcBorders>
              <w:left w:val="single" w:sz="12" w:space="0" w:color="auto"/>
              <w:bottom w:val="nil"/>
              <w:right w:val="single" w:sz="4"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106</w:t>
            </w:r>
          </w:p>
        </w:tc>
        <w:tc>
          <w:tcPr>
            <w:tcW w:w="1757" w:type="dxa"/>
            <w:tcBorders>
              <w:left w:val="single" w:sz="4"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0,1</w:t>
            </w:r>
          </w:p>
        </w:tc>
        <w:tc>
          <w:tcPr>
            <w:tcW w:w="1758" w:type="dxa"/>
            <w:tcBorders>
              <w:left w:val="nil"/>
              <w:bottom w:val="nil"/>
            </w:tcBorders>
            <w:vAlign w:val="bottom"/>
          </w:tcPr>
          <w:p w:rsidR="00B97902" w:rsidRPr="00365FDF" w:rsidRDefault="00B97902" w:rsidP="00027ABA">
            <w:pPr>
              <w:jc w:val="center"/>
              <w:rPr>
                <w:rFonts w:asciiTheme="minorHAnsi" w:hAnsiTheme="minorHAnsi" w:cstheme="minorHAnsi"/>
                <w:sz w:val="24"/>
                <w:szCs w:val="24"/>
              </w:rPr>
            </w:pPr>
            <w:r w:rsidRPr="00365FDF">
              <w:rPr>
                <w:rFonts w:asciiTheme="minorHAnsi" w:hAnsiTheme="minorHAnsi" w:cstheme="minorHAnsi"/>
                <w:sz w:val="24"/>
                <w:szCs w:val="24"/>
              </w:rPr>
              <w:t>116</w:t>
            </w:r>
          </w:p>
        </w:tc>
        <w:tc>
          <w:tcPr>
            <w:tcW w:w="1755" w:type="dxa"/>
            <w:tcBorders>
              <w:bottom w:val="nil"/>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0,1</w:t>
            </w:r>
          </w:p>
        </w:tc>
      </w:tr>
      <w:tr w:rsidR="00B97902" w:rsidRPr="002B6BB8" w:rsidTr="00027ABA">
        <w:trPr>
          <w:trHeight w:val="269"/>
        </w:trPr>
        <w:tc>
          <w:tcPr>
            <w:tcW w:w="2342" w:type="dxa"/>
            <w:tcBorders>
              <w:top w:val="single" w:sz="12" w:space="0" w:color="000000"/>
              <w:left w:val="single" w:sz="12" w:space="0" w:color="auto"/>
              <w:bottom w:val="single" w:sz="12" w:space="0" w:color="000000"/>
              <w:right w:val="single" w:sz="12" w:space="0" w:color="auto"/>
            </w:tcBorders>
            <w:vAlign w:val="center"/>
          </w:tcPr>
          <w:p w:rsidR="00B97902" w:rsidRPr="002B6BB8" w:rsidRDefault="00B97902" w:rsidP="00027ABA">
            <w:pPr>
              <w:rPr>
                <w:rFonts w:asciiTheme="minorHAnsi" w:hAnsiTheme="minorHAnsi" w:cstheme="minorHAnsi"/>
                <w:b/>
                <w:bCs/>
                <w:snapToGrid w:val="0"/>
                <w:sz w:val="24"/>
                <w:szCs w:val="24"/>
              </w:rPr>
            </w:pPr>
            <w:r w:rsidRPr="002B6BB8">
              <w:rPr>
                <w:rFonts w:asciiTheme="minorHAnsi" w:hAnsiTheme="minorHAnsi" w:cstheme="minorHAnsi"/>
                <w:b/>
                <w:bCs/>
                <w:snapToGrid w:val="0"/>
                <w:sz w:val="24"/>
                <w:szCs w:val="24"/>
              </w:rPr>
              <w:t>celkem</w:t>
            </w:r>
          </w:p>
        </w:tc>
        <w:tc>
          <w:tcPr>
            <w:tcW w:w="1757" w:type="dxa"/>
            <w:tcBorders>
              <w:top w:val="single" w:sz="12" w:space="0" w:color="000000"/>
              <w:left w:val="single" w:sz="12" w:space="0" w:color="auto"/>
              <w:bottom w:val="single" w:sz="12" w:space="0" w:color="000000"/>
              <w:right w:val="single" w:sz="4"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89 976</w:t>
            </w:r>
          </w:p>
        </w:tc>
        <w:tc>
          <w:tcPr>
            <w:tcW w:w="1757" w:type="dxa"/>
            <w:tcBorders>
              <w:top w:val="single" w:sz="12" w:space="0" w:color="000000"/>
              <w:left w:val="single" w:sz="4" w:space="0" w:color="auto"/>
              <w:bottom w:val="single" w:sz="12" w:space="0" w:color="000000"/>
              <w:right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c>
          <w:tcPr>
            <w:tcW w:w="1758" w:type="dxa"/>
            <w:tcBorders>
              <w:top w:val="single" w:sz="12" w:space="0" w:color="000000"/>
              <w:left w:val="nil"/>
              <w:bottom w:val="single" w:sz="12" w:space="0" w:color="000000"/>
            </w:tcBorders>
            <w:vAlign w:val="center"/>
          </w:tcPr>
          <w:p w:rsidR="00B97902" w:rsidRPr="002B6BB8" w:rsidRDefault="00B97902" w:rsidP="00027ABA">
            <w:pPr>
              <w:jc w:val="center"/>
              <w:rPr>
                <w:rFonts w:asciiTheme="minorHAnsi" w:hAnsiTheme="minorHAnsi" w:cstheme="minorHAnsi"/>
                <w:b/>
                <w:sz w:val="24"/>
                <w:szCs w:val="24"/>
              </w:rPr>
            </w:pPr>
            <w:r>
              <w:rPr>
                <w:rFonts w:asciiTheme="minorHAnsi" w:hAnsiTheme="minorHAnsi" w:cstheme="minorHAnsi"/>
                <w:b/>
                <w:sz w:val="24"/>
                <w:szCs w:val="24"/>
              </w:rPr>
              <w:t>83 877</w:t>
            </w:r>
          </w:p>
        </w:tc>
        <w:tc>
          <w:tcPr>
            <w:tcW w:w="1755" w:type="dxa"/>
            <w:tcBorders>
              <w:top w:val="single" w:sz="12" w:space="0" w:color="000000"/>
              <w:bottom w:val="single" w:sz="12" w:space="0" w:color="000000"/>
              <w:right w:val="single" w:sz="12" w:space="0" w:color="000000"/>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r>
      <w:bookmarkEnd w:id="1"/>
    </w:tbl>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 xml:space="preserve">Počet nezaměstnaných osob starších 50 let </w:t>
      </w:r>
      <w:r>
        <w:rPr>
          <w:rFonts w:asciiTheme="minorHAnsi" w:hAnsiTheme="minorHAnsi" w:cstheme="minorHAnsi"/>
        </w:rPr>
        <w:t>věku se meziročně zvýšil o 147 (+0,6</w:t>
      </w:r>
      <w:r w:rsidRPr="002B6BB8">
        <w:rPr>
          <w:rFonts w:asciiTheme="minorHAnsi" w:hAnsiTheme="minorHAnsi" w:cstheme="minorHAnsi"/>
        </w:rPr>
        <w:t xml:space="preserve"> %) a jejic</w:t>
      </w:r>
      <w:r>
        <w:rPr>
          <w:rFonts w:asciiTheme="minorHAnsi" w:hAnsiTheme="minorHAnsi" w:cstheme="minorHAnsi"/>
        </w:rPr>
        <w:t>h podílové zastoupení se zvýšilo o 2,3</w:t>
      </w:r>
      <w:r w:rsidRPr="002B6BB8">
        <w:rPr>
          <w:rFonts w:asciiTheme="minorHAnsi" w:hAnsiTheme="minorHAnsi" w:cstheme="minorHAnsi"/>
        </w:rPr>
        <w:t xml:space="preserve"> proc</w:t>
      </w:r>
      <w:r>
        <w:rPr>
          <w:rFonts w:asciiTheme="minorHAnsi" w:hAnsiTheme="minorHAnsi" w:cstheme="minorHAnsi"/>
        </w:rPr>
        <w:t>entního bodu. V závěru roku 2014 bylo v evidenci 30,8</w:t>
      </w:r>
      <w:r w:rsidRPr="002B6BB8">
        <w:rPr>
          <w:rFonts w:asciiTheme="minorHAnsi" w:hAnsiTheme="minorHAnsi" w:cstheme="minorHAnsi"/>
        </w:rPr>
        <w:t> % UoZ starších 50 let věku, přičemž průměrný věk UoZ ve srovnání se stejným obdo</w:t>
      </w:r>
      <w:r>
        <w:rPr>
          <w:rFonts w:asciiTheme="minorHAnsi" w:hAnsiTheme="minorHAnsi" w:cstheme="minorHAnsi"/>
        </w:rPr>
        <w:t xml:space="preserve">bím předchozího roku vzrostl o 1,3 roku. V roce 2014 činil 41,2 let, zatímco </w:t>
      </w:r>
      <w:r w:rsidRPr="002B6BB8">
        <w:rPr>
          <w:rFonts w:asciiTheme="minorHAnsi" w:hAnsiTheme="minorHAnsi" w:cstheme="minorHAnsi"/>
        </w:rPr>
        <w:t>v cel</w:t>
      </w:r>
      <w:r>
        <w:rPr>
          <w:rFonts w:asciiTheme="minorHAnsi" w:hAnsiTheme="minorHAnsi" w:cstheme="minorHAnsi"/>
        </w:rPr>
        <w:t>é ČR je průměrný věk uchazečů 40,6</w:t>
      </w:r>
      <w:r w:rsidRPr="002B6BB8">
        <w:rPr>
          <w:rFonts w:asciiTheme="minorHAnsi" w:hAnsiTheme="minorHAnsi" w:cstheme="minorHAnsi"/>
        </w:rPr>
        <w:t xml:space="preserve"> let.</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 xml:space="preserve">3.2 Kvalifikační struktura uchazečů o zaměstnání </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Z pohledu kvalifikační str</w:t>
      </w:r>
      <w:r>
        <w:rPr>
          <w:rFonts w:asciiTheme="minorHAnsi" w:hAnsiTheme="minorHAnsi" w:cstheme="minorHAnsi"/>
        </w:rPr>
        <w:t>uktury došlo v průběhu roku 2014</w:t>
      </w:r>
      <w:r w:rsidRPr="002B6BB8">
        <w:rPr>
          <w:rFonts w:asciiTheme="minorHAnsi" w:hAnsiTheme="minorHAnsi" w:cstheme="minorHAnsi"/>
        </w:rPr>
        <w:t xml:space="preserve"> k absolutnímu nárůstu počtu evidovaných</w:t>
      </w:r>
      <w:r>
        <w:rPr>
          <w:rFonts w:asciiTheme="minorHAnsi" w:hAnsiTheme="minorHAnsi" w:cstheme="minorHAnsi"/>
        </w:rPr>
        <w:t xml:space="preserve"> uchazečů o zaměstnání ve skupině středního všeobecného vzdělání (+232, tj.  +11,3 %) a u skupiny uchazečů bez vzdělání (+144, tj. +18,9 %)</w:t>
      </w:r>
      <w:r w:rsidRPr="002B6BB8">
        <w:rPr>
          <w:rFonts w:asciiTheme="minorHAnsi" w:hAnsiTheme="minorHAnsi" w:cstheme="minorHAnsi"/>
        </w:rPr>
        <w:t xml:space="preserve">. </w:t>
      </w:r>
      <w:r>
        <w:rPr>
          <w:rFonts w:asciiTheme="minorHAnsi" w:hAnsiTheme="minorHAnsi" w:cstheme="minorHAnsi"/>
        </w:rPr>
        <w:t xml:space="preserve">U všech ostatních kategorií absolutní stavy poklesly, nejvíce v oblasti středního odborného vzdělání (-2 962, tj. -7,3 %). U středního všeobecného vzdělání </w:t>
      </w:r>
      <w:r w:rsidRPr="002B6BB8">
        <w:rPr>
          <w:rFonts w:asciiTheme="minorHAnsi" w:hAnsiTheme="minorHAnsi" w:cstheme="minorHAnsi"/>
        </w:rPr>
        <w:t>došlo k největšímu</w:t>
      </w:r>
      <w:r>
        <w:rPr>
          <w:rFonts w:asciiTheme="minorHAnsi" w:hAnsiTheme="minorHAnsi" w:cstheme="minorHAnsi"/>
        </w:rPr>
        <w:t xml:space="preserve"> podílovému navýšení, a to o 0,4</w:t>
      </w:r>
      <w:r w:rsidRPr="002B6BB8">
        <w:rPr>
          <w:rFonts w:asciiTheme="minorHAnsi" w:hAnsiTheme="minorHAnsi" w:cstheme="minorHAnsi"/>
        </w:rPr>
        <w:t xml:space="preserve"> procentního bodu.</w:t>
      </w:r>
      <w:r>
        <w:rPr>
          <w:rFonts w:asciiTheme="minorHAnsi" w:hAnsiTheme="minorHAnsi" w:cstheme="minorHAnsi"/>
        </w:rPr>
        <w:t xml:space="preserve"> Naopak k největšímu podílovému poklesu došlo ve skupině středního odborného vzdělání s maturitou (-0,5 p. b.).</w:t>
      </w: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 xml:space="preserve"> </w:t>
      </w:r>
    </w:p>
    <w:p w:rsidR="00B97902" w:rsidRPr="002B6BB8" w:rsidRDefault="00B97902" w:rsidP="00B97902">
      <w:pPr>
        <w:rPr>
          <w:rFonts w:asciiTheme="minorHAnsi" w:hAnsiTheme="minorHAnsi" w:cstheme="minorHAnsi"/>
          <w:sz w:val="24"/>
        </w:rPr>
      </w:pPr>
      <w:r w:rsidRPr="002B6BB8">
        <w:rPr>
          <w:rFonts w:asciiTheme="minorHAnsi" w:hAnsiTheme="minorHAnsi" w:cstheme="minorHAnsi"/>
          <w:b/>
          <w:sz w:val="24"/>
        </w:rPr>
        <w:t xml:space="preserve">Tabulka III/4 </w:t>
      </w:r>
      <w:r w:rsidRPr="002B6BB8">
        <w:rPr>
          <w:rFonts w:asciiTheme="minorHAnsi" w:hAnsiTheme="minorHAnsi" w:cstheme="minorHAnsi"/>
          <w:sz w:val="24"/>
        </w:rPr>
        <w:t xml:space="preserve">- Vzdělanostní struktura evidovaných uchazečů o zaměstnání </w:t>
      </w:r>
    </w:p>
    <w:tbl>
      <w:tblPr>
        <w:tblW w:w="0" w:type="auto"/>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729"/>
        <w:gridCol w:w="1401"/>
        <w:gridCol w:w="876"/>
        <w:gridCol w:w="1401"/>
        <w:gridCol w:w="875"/>
      </w:tblGrid>
      <w:tr w:rsidR="00B97902" w:rsidRPr="002B6BB8" w:rsidTr="00027ABA">
        <w:trPr>
          <w:cantSplit/>
          <w:trHeight w:val="270"/>
        </w:trPr>
        <w:tc>
          <w:tcPr>
            <w:tcW w:w="4729" w:type="dxa"/>
            <w:vMerge w:val="restart"/>
            <w:tcBorders>
              <w:right w:val="nil"/>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stupeň vzdělání</w:t>
            </w:r>
          </w:p>
        </w:tc>
        <w:tc>
          <w:tcPr>
            <w:tcW w:w="2277" w:type="dxa"/>
            <w:gridSpan w:val="2"/>
            <w:tcBorders>
              <w:top w:val="single" w:sz="12" w:space="0" w:color="auto"/>
              <w:left w:val="single" w:sz="12" w:space="0" w:color="auto"/>
              <w:bottom w:val="single" w:sz="6" w:space="0" w:color="auto"/>
              <w:right w:val="single" w:sz="12" w:space="0" w:color="auto"/>
            </w:tcBorders>
          </w:tcPr>
          <w:p w:rsidR="00B97902" w:rsidRPr="002B6BB8" w:rsidRDefault="00B97902" w:rsidP="00027ABA">
            <w:pPr>
              <w:pStyle w:val="Texttabulky"/>
              <w:jc w:val="center"/>
              <w:rPr>
                <w:rFonts w:asciiTheme="minorHAnsi" w:hAnsiTheme="minorHAnsi" w:cstheme="minorHAnsi"/>
                <w:color w:val="auto"/>
                <w:szCs w:val="24"/>
              </w:rPr>
            </w:pPr>
            <w:r w:rsidRPr="002B6BB8">
              <w:rPr>
                <w:rFonts w:asciiTheme="minorHAnsi" w:hAnsiTheme="minorHAnsi" w:cstheme="minorHAnsi"/>
                <w:color w:val="auto"/>
                <w:szCs w:val="24"/>
              </w:rPr>
              <w:t>stav k 31.12.201</w:t>
            </w:r>
            <w:r>
              <w:rPr>
                <w:rFonts w:asciiTheme="minorHAnsi" w:hAnsiTheme="minorHAnsi" w:cstheme="minorHAnsi"/>
                <w:color w:val="auto"/>
                <w:szCs w:val="24"/>
              </w:rPr>
              <w:t>3</w:t>
            </w:r>
          </w:p>
        </w:tc>
        <w:tc>
          <w:tcPr>
            <w:tcW w:w="2276" w:type="dxa"/>
            <w:gridSpan w:val="2"/>
            <w:tcBorders>
              <w:top w:val="single" w:sz="12" w:space="0" w:color="auto"/>
              <w:left w:val="single" w:sz="12" w:space="0" w:color="auto"/>
              <w:bottom w:val="single" w:sz="6" w:space="0" w:color="auto"/>
            </w:tcBorders>
          </w:tcPr>
          <w:p w:rsidR="00B97902" w:rsidRPr="002B6BB8" w:rsidRDefault="00B97902" w:rsidP="00027ABA">
            <w:pPr>
              <w:pStyle w:val="Texttabulky"/>
              <w:jc w:val="center"/>
              <w:rPr>
                <w:rFonts w:asciiTheme="minorHAnsi" w:hAnsiTheme="minorHAnsi" w:cstheme="minorHAnsi"/>
                <w:color w:val="auto"/>
                <w:szCs w:val="24"/>
              </w:rPr>
            </w:pPr>
            <w:r w:rsidRPr="002B6BB8">
              <w:rPr>
                <w:rFonts w:asciiTheme="minorHAnsi" w:hAnsiTheme="minorHAnsi" w:cstheme="minorHAnsi"/>
                <w:color w:val="auto"/>
                <w:szCs w:val="24"/>
              </w:rPr>
              <w:t>stav k 31.12.201</w:t>
            </w:r>
            <w:r>
              <w:rPr>
                <w:rFonts w:asciiTheme="minorHAnsi" w:hAnsiTheme="minorHAnsi" w:cstheme="minorHAnsi"/>
                <w:color w:val="auto"/>
                <w:szCs w:val="24"/>
              </w:rPr>
              <w:t>4</w:t>
            </w:r>
          </w:p>
        </w:tc>
      </w:tr>
      <w:tr w:rsidR="00B97902" w:rsidRPr="002B6BB8" w:rsidTr="00027ABA">
        <w:trPr>
          <w:cantSplit/>
          <w:trHeight w:val="144"/>
        </w:trPr>
        <w:tc>
          <w:tcPr>
            <w:tcW w:w="4729" w:type="dxa"/>
            <w:vMerge/>
            <w:tcBorders>
              <w:bottom w:val="nil"/>
              <w:right w:val="nil"/>
            </w:tcBorders>
          </w:tcPr>
          <w:p w:rsidR="00B97902" w:rsidRPr="002B6BB8" w:rsidRDefault="00B97902" w:rsidP="00027ABA">
            <w:pPr>
              <w:pStyle w:val="Texttabulky"/>
              <w:rPr>
                <w:rFonts w:asciiTheme="minorHAnsi" w:hAnsiTheme="minorHAnsi" w:cstheme="minorHAnsi"/>
                <w:color w:val="auto"/>
              </w:rPr>
            </w:pPr>
          </w:p>
        </w:tc>
        <w:tc>
          <w:tcPr>
            <w:tcW w:w="1401" w:type="dxa"/>
            <w:tcBorders>
              <w:top w:val="single" w:sz="6" w:space="0" w:color="auto"/>
              <w:left w:val="single" w:sz="12" w:space="0" w:color="auto"/>
              <w:bottom w:val="nil"/>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absolutně</w:t>
            </w:r>
          </w:p>
        </w:tc>
        <w:tc>
          <w:tcPr>
            <w:tcW w:w="876" w:type="dxa"/>
            <w:tcBorders>
              <w:top w:val="single" w:sz="6" w:space="0" w:color="auto"/>
              <w:bottom w:val="nil"/>
              <w:right w:val="single" w:sz="12" w:space="0" w:color="auto"/>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w:t>
            </w:r>
          </w:p>
        </w:tc>
        <w:tc>
          <w:tcPr>
            <w:tcW w:w="1401" w:type="dxa"/>
            <w:tcBorders>
              <w:top w:val="single" w:sz="6" w:space="0" w:color="auto"/>
              <w:left w:val="single" w:sz="12" w:space="0" w:color="auto"/>
              <w:bottom w:val="nil"/>
              <w:right w:val="single" w:sz="6" w:space="0" w:color="auto"/>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absolutně</w:t>
            </w:r>
          </w:p>
        </w:tc>
        <w:tc>
          <w:tcPr>
            <w:tcW w:w="875" w:type="dxa"/>
            <w:tcBorders>
              <w:top w:val="single" w:sz="6" w:space="0" w:color="auto"/>
              <w:left w:val="single" w:sz="6" w:space="0" w:color="auto"/>
              <w:bottom w:val="nil"/>
            </w:tcBorders>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w:t>
            </w:r>
          </w:p>
        </w:tc>
      </w:tr>
      <w:tr w:rsidR="00B97902" w:rsidRPr="002B6BB8" w:rsidTr="00027ABA">
        <w:trPr>
          <w:trHeight w:val="270"/>
        </w:trPr>
        <w:tc>
          <w:tcPr>
            <w:tcW w:w="4729" w:type="dxa"/>
            <w:tcBorders>
              <w:top w:val="single" w:sz="12" w:space="0" w:color="auto"/>
              <w:bottom w:val="single" w:sz="6" w:space="0" w:color="auto"/>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bez vzdělání</w:t>
            </w:r>
          </w:p>
        </w:tc>
        <w:tc>
          <w:tcPr>
            <w:tcW w:w="1401" w:type="dxa"/>
            <w:tcBorders>
              <w:top w:val="single" w:sz="12"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761</w:t>
            </w:r>
          </w:p>
        </w:tc>
        <w:tc>
          <w:tcPr>
            <w:tcW w:w="876" w:type="dxa"/>
            <w:tcBorders>
              <w:top w:val="single" w:sz="12"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0,8</w:t>
            </w:r>
          </w:p>
        </w:tc>
        <w:tc>
          <w:tcPr>
            <w:tcW w:w="1401" w:type="dxa"/>
            <w:tcBorders>
              <w:top w:val="single" w:sz="12"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905</w:t>
            </w:r>
          </w:p>
        </w:tc>
        <w:tc>
          <w:tcPr>
            <w:tcW w:w="875" w:type="dxa"/>
            <w:tcBorders>
              <w:top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w:t>
            </w:r>
          </w:p>
        </w:tc>
      </w:tr>
      <w:tr w:rsidR="00B97902" w:rsidRPr="002B6BB8" w:rsidTr="00027ABA">
        <w:trPr>
          <w:trHeight w:val="285"/>
        </w:trPr>
        <w:tc>
          <w:tcPr>
            <w:tcW w:w="4729" w:type="dxa"/>
            <w:tcBorders>
              <w:top w:val="nil"/>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základní vzdělání</w:t>
            </w:r>
          </w:p>
        </w:tc>
        <w:tc>
          <w:tcPr>
            <w:tcW w:w="1401"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26 097</w:t>
            </w:r>
          </w:p>
        </w:tc>
        <w:tc>
          <w:tcPr>
            <w:tcW w:w="876" w:type="dxa"/>
            <w:tcBorders>
              <w:top w:val="nil"/>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29,0</w:t>
            </w:r>
          </w:p>
        </w:tc>
        <w:tc>
          <w:tcPr>
            <w:tcW w:w="1401"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24 502</w:t>
            </w:r>
          </w:p>
        </w:tc>
        <w:tc>
          <w:tcPr>
            <w:tcW w:w="875" w:type="dxa"/>
            <w:tcBorders>
              <w:top w:val="nil"/>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29,2</w:t>
            </w:r>
          </w:p>
        </w:tc>
      </w:tr>
      <w:tr w:rsidR="00B97902" w:rsidRPr="002B6BB8" w:rsidTr="00027ABA">
        <w:trPr>
          <w:trHeight w:val="285"/>
        </w:trPr>
        <w:tc>
          <w:tcPr>
            <w:tcW w:w="4729" w:type="dxa"/>
            <w:tcBorders>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odborné (SOU+OU+OŠ)</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40 382</w:t>
            </w:r>
          </w:p>
        </w:tc>
        <w:tc>
          <w:tcPr>
            <w:tcW w:w="876"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44,9</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37 420</w:t>
            </w:r>
          </w:p>
        </w:tc>
        <w:tc>
          <w:tcPr>
            <w:tcW w:w="875"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44,6</w:t>
            </w:r>
          </w:p>
        </w:tc>
      </w:tr>
      <w:tr w:rsidR="00B97902" w:rsidRPr="002B6BB8" w:rsidTr="00027ABA">
        <w:trPr>
          <w:trHeight w:val="360"/>
        </w:trPr>
        <w:tc>
          <w:tcPr>
            <w:tcW w:w="4729" w:type="dxa"/>
            <w:tcBorders>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odborné s maturitou (SOU+SOŠ)</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16 222</w:t>
            </w:r>
          </w:p>
        </w:tc>
        <w:tc>
          <w:tcPr>
            <w:tcW w:w="876"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18,0</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14 633</w:t>
            </w:r>
          </w:p>
        </w:tc>
        <w:tc>
          <w:tcPr>
            <w:tcW w:w="875"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17,5</w:t>
            </w:r>
          </w:p>
        </w:tc>
      </w:tr>
      <w:tr w:rsidR="00B97902" w:rsidRPr="002B6BB8" w:rsidTr="00027ABA">
        <w:trPr>
          <w:trHeight w:val="285"/>
        </w:trPr>
        <w:tc>
          <w:tcPr>
            <w:tcW w:w="4729" w:type="dxa"/>
            <w:tcBorders>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všeobecné</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2 057</w:t>
            </w:r>
          </w:p>
        </w:tc>
        <w:tc>
          <w:tcPr>
            <w:tcW w:w="876"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2,3</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2 289</w:t>
            </w:r>
          </w:p>
        </w:tc>
        <w:tc>
          <w:tcPr>
            <w:tcW w:w="875"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2,7</w:t>
            </w:r>
          </w:p>
        </w:tc>
      </w:tr>
      <w:tr w:rsidR="00B97902" w:rsidRPr="002B6BB8" w:rsidTr="00027ABA">
        <w:trPr>
          <w:trHeight w:val="285"/>
        </w:trPr>
        <w:tc>
          <w:tcPr>
            <w:tcW w:w="4729" w:type="dxa"/>
            <w:tcBorders>
              <w:right w:val="nil"/>
            </w:tcBorders>
            <w:vAlign w:val="center"/>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vysokoškolské</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4 457</w:t>
            </w:r>
          </w:p>
        </w:tc>
        <w:tc>
          <w:tcPr>
            <w:tcW w:w="876"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5,0</w:t>
            </w:r>
          </w:p>
        </w:tc>
        <w:tc>
          <w:tcPr>
            <w:tcW w:w="1401"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4 128</w:t>
            </w:r>
          </w:p>
        </w:tc>
        <w:tc>
          <w:tcPr>
            <w:tcW w:w="875"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4,9</w:t>
            </w:r>
          </w:p>
        </w:tc>
      </w:tr>
      <w:tr w:rsidR="00B97902" w:rsidRPr="002B6BB8" w:rsidTr="00027ABA">
        <w:trPr>
          <w:trHeight w:val="285"/>
        </w:trPr>
        <w:tc>
          <w:tcPr>
            <w:tcW w:w="4729" w:type="dxa"/>
            <w:tcBorders>
              <w:top w:val="single" w:sz="12" w:space="0" w:color="auto"/>
              <w:bottom w:val="single" w:sz="12" w:space="0" w:color="auto"/>
              <w:right w:val="nil"/>
            </w:tcBorders>
            <w:vAlign w:val="center"/>
          </w:tcPr>
          <w:p w:rsidR="00B97902" w:rsidRPr="002B6BB8" w:rsidRDefault="00B97902" w:rsidP="00027ABA">
            <w:pPr>
              <w:pStyle w:val="Texttabulky"/>
              <w:rPr>
                <w:rFonts w:asciiTheme="minorHAnsi" w:hAnsiTheme="minorHAnsi" w:cstheme="minorHAnsi"/>
                <w:b/>
                <w:bCs/>
                <w:color w:val="auto"/>
              </w:rPr>
            </w:pPr>
            <w:r w:rsidRPr="002B6BB8">
              <w:rPr>
                <w:rFonts w:asciiTheme="minorHAnsi" w:hAnsiTheme="minorHAnsi" w:cstheme="minorHAnsi"/>
                <w:b/>
                <w:bCs/>
                <w:color w:val="auto"/>
              </w:rPr>
              <w:t>celkem</w:t>
            </w:r>
          </w:p>
        </w:tc>
        <w:tc>
          <w:tcPr>
            <w:tcW w:w="1401"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89 976</w:t>
            </w:r>
          </w:p>
        </w:tc>
        <w:tc>
          <w:tcPr>
            <w:tcW w:w="876" w:type="dxa"/>
            <w:tcBorders>
              <w:top w:val="single" w:sz="12"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c>
          <w:tcPr>
            <w:tcW w:w="1401"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Pr>
                <w:rFonts w:asciiTheme="minorHAnsi" w:hAnsiTheme="minorHAnsi" w:cstheme="minorHAnsi"/>
                <w:b/>
                <w:sz w:val="24"/>
                <w:szCs w:val="24"/>
              </w:rPr>
              <w:t>83 877</w:t>
            </w:r>
          </w:p>
        </w:tc>
        <w:tc>
          <w:tcPr>
            <w:tcW w:w="875"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r>
    </w:tbl>
    <w:p w:rsidR="00B97902" w:rsidRPr="002B6BB8" w:rsidRDefault="00B97902" w:rsidP="00B97902">
      <w:pPr>
        <w:pStyle w:val="Nadpis6"/>
        <w:rPr>
          <w:rFonts w:asciiTheme="minorHAnsi" w:hAnsiTheme="minorHAnsi" w:cstheme="minorHAnsi"/>
          <w:b w:val="0"/>
          <w:i w:val="0"/>
        </w:rPr>
      </w:pPr>
    </w:p>
    <w:p w:rsidR="00B97902" w:rsidRPr="002B6BB8" w:rsidRDefault="00B97902" w:rsidP="00B97902">
      <w:pPr>
        <w:rPr>
          <w:rFonts w:asciiTheme="minorHAnsi" w:hAnsiTheme="minorHAnsi" w:cstheme="minorHAnsi"/>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3.3 Délka evidované nezaměstnanosti</w:t>
      </w:r>
    </w:p>
    <w:p w:rsidR="00B97902" w:rsidRPr="002B6BB8" w:rsidRDefault="00B97902" w:rsidP="00B97902">
      <w:pPr>
        <w:pStyle w:val="Zhlav"/>
        <w:tabs>
          <w:tab w:val="clear" w:pos="4536"/>
          <w:tab w:val="clear" w:pos="9072"/>
        </w:tabs>
        <w:rPr>
          <w:rFonts w:asciiTheme="minorHAnsi" w:hAnsiTheme="minorHAnsi" w:cstheme="minorHAnsi"/>
          <w:sz w:val="24"/>
          <w:szCs w:val="24"/>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Velice závažným problémem nezaměstnanosti v MSK a výrazně negativním rysem je stále délka evidence. Průměrná doba evidence uchazečů, kteří byli v MSK vyřazeni z registrů kontaktních pra</w:t>
      </w:r>
      <w:r>
        <w:rPr>
          <w:rFonts w:asciiTheme="minorHAnsi" w:hAnsiTheme="minorHAnsi" w:cstheme="minorHAnsi"/>
        </w:rPr>
        <w:t>covišť ve čtvrtém čtvrtletí 2014</w:t>
      </w:r>
      <w:r w:rsidRPr="002B6BB8">
        <w:rPr>
          <w:rFonts w:asciiTheme="minorHAnsi" w:hAnsiTheme="minorHAnsi" w:cstheme="minorHAnsi"/>
        </w:rPr>
        <w:t xml:space="preserve"> (tzv. délka ukončené evidence), </w:t>
      </w:r>
      <w:r>
        <w:rPr>
          <w:rFonts w:asciiTheme="minorHAnsi" w:hAnsiTheme="minorHAnsi" w:cstheme="minorHAnsi"/>
        </w:rPr>
        <w:t>představovala 355</w:t>
      </w:r>
      <w:r w:rsidRPr="002B6BB8">
        <w:rPr>
          <w:rFonts w:asciiTheme="minorHAnsi" w:hAnsiTheme="minorHAnsi" w:cstheme="minorHAnsi"/>
        </w:rPr>
        <w:t xml:space="preserve"> dní, zatímco konce</w:t>
      </w:r>
      <w:r>
        <w:rPr>
          <w:rFonts w:asciiTheme="minorHAnsi" w:hAnsiTheme="minorHAnsi" w:cstheme="minorHAnsi"/>
        </w:rPr>
        <w:t>m prosince 2013 to bylo 412</w:t>
      </w:r>
      <w:r w:rsidRPr="002B6BB8">
        <w:rPr>
          <w:rFonts w:asciiTheme="minorHAnsi" w:hAnsiTheme="minorHAnsi" w:cstheme="minorHAnsi"/>
        </w:rPr>
        <w:t xml:space="preserve"> dní. Průměrná doba setrvání všech uchazečů v evidencích během s</w:t>
      </w:r>
      <w:r>
        <w:rPr>
          <w:rFonts w:asciiTheme="minorHAnsi" w:hAnsiTheme="minorHAnsi" w:cstheme="minorHAnsi"/>
        </w:rPr>
        <w:t>ledovaného období vzrostla ze 711 dní v prosinci 2013 na 808 dní v závěru roku 2014</w:t>
      </w:r>
      <w:r w:rsidRPr="002B6BB8">
        <w:rPr>
          <w:rFonts w:asciiTheme="minorHAnsi" w:hAnsiTheme="minorHAnsi" w:cstheme="minorHAnsi"/>
        </w:rPr>
        <w:t>, což je dlouhodobě víc</w:t>
      </w:r>
      <w:r>
        <w:rPr>
          <w:rFonts w:asciiTheme="minorHAnsi" w:hAnsiTheme="minorHAnsi" w:cstheme="minorHAnsi"/>
        </w:rPr>
        <w:t>e než činil celostátní průměr (</w:t>
      </w:r>
      <w:r w:rsidRPr="002B6BB8">
        <w:rPr>
          <w:rFonts w:asciiTheme="minorHAnsi" w:hAnsiTheme="minorHAnsi" w:cstheme="minorHAnsi"/>
        </w:rPr>
        <w:t>63</w:t>
      </w:r>
      <w:r>
        <w:rPr>
          <w:rFonts w:asciiTheme="minorHAnsi" w:hAnsiTheme="minorHAnsi" w:cstheme="minorHAnsi"/>
        </w:rPr>
        <w:t>9 dní), a to o 169</w:t>
      </w:r>
      <w:r w:rsidRPr="002B6BB8">
        <w:rPr>
          <w:rFonts w:asciiTheme="minorHAnsi" w:hAnsiTheme="minorHAnsi" w:cstheme="minorHAnsi"/>
        </w:rPr>
        <w:t xml:space="preserve"> dní.</w:t>
      </w: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ind w:firstLine="0"/>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ind w:firstLine="0"/>
        <w:rPr>
          <w:rFonts w:asciiTheme="minorHAnsi" w:hAnsiTheme="minorHAnsi" w:cstheme="minorHAnsi"/>
        </w:rPr>
      </w:pPr>
      <w:r w:rsidRPr="002B6BB8">
        <w:rPr>
          <w:rFonts w:asciiTheme="minorHAnsi" w:hAnsiTheme="minorHAnsi" w:cstheme="minorHAnsi"/>
          <w:b/>
        </w:rPr>
        <w:t xml:space="preserve">Tabulka III/5 </w:t>
      </w:r>
      <w:r w:rsidRPr="002B6BB8">
        <w:rPr>
          <w:rFonts w:asciiTheme="minorHAnsi" w:hAnsiTheme="minorHAnsi" w:cstheme="minorHAnsi"/>
        </w:rPr>
        <w:t>- Délka evidované nezaměstnanosti</w:t>
      </w:r>
    </w:p>
    <w:tbl>
      <w:tblPr>
        <w:tblW w:w="0" w:type="auto"/>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866"/>
        <w:gridCol w:w="1473"/>
        <w:gridCol w:w="1288"/>
        <w:gridCol w:w="1473"/>
        <w:gridCol w:w="1288"/>
      </w:tblGrid>
      <w:tr w:rsidR="00B97902" w:rsidRPr="002B6BB8" w:rsidTr="00027ABA">
        <w:trPr>
          <w:cantSplit/>
          <w:trHeight w:val="283"/>
        </w:trPr>
        <w:tc>
          <w:tcPr>
            <w:tcW w:w="3866" w:type="dxa"/>
            <w:vMerge w:val="restart"/>
            <w:tcBorders>
              <w:top w:val="single" w:sz="12" w:space="0" w:color="auto"/>
              <w:right w:val="nil"/>
            </w:tcBorders>
            <w:shd w:val="clear" w:color="auto" w:fill="auto"/>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délka evidence</w:t>
            </w:r>
          </w:p>
        </w:tc>
        <w:tc>
          <w:tcPr>
            <w:tcW w:w="2761" w:type="dxa"/>
            <w:gridSpan w:val="2"/>
            <w:tcBorders>
              <w:top w:val="single" w:sz="12" w:space="0" w:color="auto"/>
              <w:left w:val="single" w:sz="12" w:space="0" w:color="auto"/>
              <w:bottom w:val="single" w:sz="6" w:space="0" w:color="auto"/>
              <w:right w:val="single" w:sz="12" w:space="0" w:color="auto"/>
            </w:tcBorders>
            <w:shd w:val="clear" w:color="auto" w:fill="auto"/>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stav k 31.12.201</w:t>
            </w:r>
            <w:r>
              <w:rPr>
                <w:rFonts w:asciiTheme="minorHAnsi" w:hAnsiTheme="minorHAnsi" w:cstheme="minorHAnsi"/>
                <w:color w:val="auto"/>
              </w:rPr>
              <w:t>3</w:t>
            </w:r>
          </w:p>
        </w:tc>
        <w:tc>
          <w:tcPr>
            <w:tcW w:w="2761" w:type="dxa"/>
            <w:gridSpan w:val="2"/>
            <w:tcBorders>
              <w:top w:val="single" w:sz="12" w:space="0" w:color="auto"/>
              <w:left w:val="single" w:sz="12" w:space="0" w:color="auto"/>
              <w:bottom w:val="single" w:sz="6" w:space="0" w:color="auto"/>
            </w:tcBorders>
            <w:shd w:val="clear" w:color="auto" w:fill="auto"/>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stav k 31.12.201</w:t>
            </w:r>
            <w:r>
              <w:rPr>
                <w:rFonts w:asciiTheme="minorHAnsi" w:hAnsiTheme="minorHAnsi" w:cstheme="minorHAnsi"/>
                <w:color w:val="auto"/>
              </w:rPr>
              <w:t>4</w:t>
            </w:r>
          </w:p>
        </w:tc>
      </w:tr>
      <w:tr w:rsidR="00B97902" w:rsidRPr="002B6BB8" w:rsidTr="00027ABA">
        <w:trPr>
          <w:cantSplit/>
          <w:trHeight w:val="143"/>
        </w:trPr>
        <w:tc>
          <w:tcPr>
            <w:tcW w:w="3866" w:type="dxa"/>
            <w:vMerge/>
            <w:tcBorders>
              <w:bottom w:val="single" w:sz="12" w:space="0" w:color="auto"/>
              <w:right w:val="nil"/>
            </w:tcBorders>
            <w:shd w:val="clear" w:color="auto" w:fill="auto"/>
          </w:tcPr>
          <w:p w:rsidR="00B97902" w:rsidRPr="002B6BB8" w:rsidRDefault="00B97902" w:rsidP="00027ABA">
            <w:pPr>
              <w:jc w:val="center"/>
              <w:rPr>
                <w:rFonts w:asciiTheme="minorHAnsi" w:hAnsiTheme="minorHAnsi" w:cstheme="minorHAnsi"/>
                <w:sz w:val="24"/>
              </w:rPr>
            </w:pPr>
          </w:p>
        </w:tc>
        <w:tc>
          <w:tcPr>
            <w:tcW w:w="1473" w:type="dxa"/>
            <w:tcBorders>
              <w:top w:val="single" w:sz="6" w:space="0" w:color="auto"/>
              <w:left w:val="single" w:sz="12" w:space="0" w:color="auto"/>
              <w:bottom w:val="single" w:sz="12" w:space="0" w:color="auto"/>
            </w:tcBorders>
            <w:shd w:val="clear" w:color="auto" w:fill="auto"/>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1288" w:type="dxa"/>
            <w:tcBorders>
              <w:top w:val="single" w:sz="6" w:space="0" w:color="auto"/>
              <w:bottom w:val="single" w:sz="12" w:space="0" w:color="auto"/>
              <w:right w:val="single" w:sz="12" w:space="0" w:color="auto"/>
            </w:tcBorders>
            <w:shd w:val="clear" w:color="auto" w:fill="auto"/>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c>
          <w:tcPr>
            <w:tcW w:w="1473" w:type="dxa"/>
            <w:tcBorders>
              <w:top w:val="single" w:sz="6" w:space="0" w:color="auto"/>
              <w:left w:val="single" w:sz="12" w:space="0" w:color="auto"/>
              <w:bottom w:val="single" w:sz="12" w:space="0" w:color="auto"/>
              <w:right w:val="single" w:sz="6" w:space="0" w:color="auto"/>
            </w:tcBorders>
            <w:shd w:val="clear" w:color="auto" w:fill="auto"/>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1288" w:type="dxa"/>
            <w:tcBorders>
              <w:top w:val="single" w:sz="6" w:space="0" w:color="auto"/>
              <w:left w:val="single" w:sz="6" w:space="0" w:color="auto"/>
              <w:bottom w:val="single" w:sz="12" w:space="0" w:color="auto"/>
            </w:tcBorders>
            <w:shd w:val="clear" w:color="auto" w:fill="auto"/>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r>
      <w:tr w:rsidR="00B97902" w:rsidRPr="002B6BB8" w:rsidTr="00027ABA">
        <w:trPr>
          <w:trHeight w:val="268"/>
        </w:trPr>
        <w:tc>
          <w:tcPr>
            <w:tcW w:w="3866" w:type="dxa"/>
            <w:tcBorders>
              <w:top w:val="single" w:sz="12" w:space="0" w:color="auto"/>
              <w:bottom w:val="single" w:sz="4" w:space="0" w:color="auto"/>
              <w:right w:val="nil"/>
            </w:tcBorders>
            <w:shd w:val="clear" w:color="auto" w:fill="auto"/>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do 3 měsíců</w:t>
            </w:r>
          </w:p>
        </w:tc>
        <w:tc>
          <w:tcPr>
            <w:tcW w:w="1473" w:type="dxa"/>
            <w:tcBorders>
              <w:top w:val="single" w:sz="12" w:space="0" w:color="auto"/>
              <w:left w:val="single" w:sz="12" w:space="0" w:color="auto"/>
              <w:bottom w:val="single" w:sz="4" w:space="0" w:color="auto"/>
            </w:tcBorders>
            <w:shd w:val="clear" w:color="auto" w:fill="auto"/>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19 447</w:t>
            </w:r>
          </w:p>
        </w:tc>
        <w:tc>
          <w:tcPr>
            <w:tcW w:w="1288" w:type="dxa"/>
            <w:tcBorders>
              <w:top w:val="single" w:sz="12" w:space="0" w:color="auto"/>
              <w:bottom w:val="single" w:sz="4" w:space="0" w:color="auto"/>
              <w:right w:val="single" w:sz="12" w:space="0" w:color="auto"/>
            </w:tcBorders>
            <w:shd w:val="clear" w:color="auto" w:fill="auto"/>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21,6</w:t>
            </w:r>
          </w:p>
        </w:tc>
        <w:tc>
          <w:tcPr>
            <w:tcW w:w="1473" w:type="dxa"/>
            <w:tcBorders>
              <w:top w:val="single" w:sz="12" w:space="0" w:color="auto"/>
              <w:left w:val="single" w:sz="12" w:space="0" w:color="auto"/>
              <w:bottom w:val="single" w:sz="4" w:space="0" w:color="auto"/>
            </w:tcBorders>
            <w:shd w:val="clear" w:color="auto" w:fill="auto"/>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17 209</w:t>
            </w:r>
          </w:p>
        </w:tc>
        <w:tc>
          <w:tcPr>
            <w:tcW w:w="1288" w:type="dxa"/>
            <w:tcBorders>
              <w:top w:val="single" w:sz="12" w:space="0" w:color="auto"/>
              <w:bottom w:val="single" w:sz="4" w:space="0" w:color="auto"/>
            </w:tcBorders>
            <w:shd w:val="clear" w:color="auto" w:fill="auto"/>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20,5</w:t>
            </w:r>
          </w:p>
        </w:tc>
      </w:tr>
      <w:tr w:rsidR="00B97902" w:rsidRPr="002B6BB8" w:rsidTr="00027ABA">
        <w:trPr>
          <w:trHeight w:val="268"/>
        </w:trPr>
        <w:tc>
          <w:tcPr>
            <w:tcW w:w="3866" w:type="dxa"/>
            <w:tcBorders>
              <w:top w:val="single" w:sz="4" w:space="0" w:color="auto"/>
              <w:right w:val="nil"/>
            </w:tcBorders>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3 - 6 měsíců</w:t>
            </w:r>
          </w:p>
        </w:tc>
        <w:tc>
          <w:tcPr>
            <w:tcW w:w="1473" w:type="dxa"/>
            <w:tcBorders>
              <w:top w:val="single" w:sz="4"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14 055</w:t>
            </w:r>
          </w:p>
        </w:tc>
        <w:tc>
          <w:tcPr>
            <w:tcW w:w="1288" w:type="dxa"/>
            <w:tcBorders>
              <w:top w:val="single" w:sz="4"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15,6</w:t>
            </w:r>
          </w:p>
        </w:tc>
        <w:tc>
          <w:tcPr>
            <w:tcW w:w="1473" w:type="dxa"/>
            <w:tcBorders>
              <w:top w:val="single" w:sz="4"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11 605</w:t>
            </w:r>
          </w:p>
        </w:tc>
        <w:tc>
          <w:tcPr>
            <w:tcW w:w="1288" w:type="dxa"/>
            <w:tcBorders>
              <w:top w:val="single" w:sz="4"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13,8</w:t>
            </w:r>
          </w:p>
        </w:tc>
      </w:tr>
      <w:tr w:rsidR="00B97902" w:rsidRPr="002B6BB8" w:rsidTr="00027ABA">
        <w:trPr>
          <w:trHeight w:val="268"/>
        </w:trPr>
        <w:tc>
          <w:tcPr>
            <w:tcW w:w="3866" w:type="dxa"/>
            <w:tcBorders>
              <w:top w:val="nil"/>
              <w:right w:val="nil"/>
            </w:tcBorders>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6 - 9 měsíců</w:t>
            </w:r>
          </w:p>
        </w:tc>
        <w:tc>
          <w:tcPr>
            <w:tcW w:w="1473"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8 024</w:t>
            </w:r>
          </w:p>
        </w:tc>
        <w:tc>
          <w:tcPr>
            <w:tcW w:w="1288" w:type="dxa"/>
            <w:tcBorders>
              <w:top w:val="nil"/>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8,9</w:t>
            </w:r>
          </w:p>
        </w:tc>
        <w:tc>
          <w:tcPr>
            <w:tcW w:w="1473"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6 995</w:t>
            </w:r>
          </w:p>
        </w:tc>
        <w:tc>
          <w:tcPr>
            <w:tcW w:w="1288" w:type="dxa"/>
            <w:tcBorders>
              <w:top w:val="nil"/>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8,3</w:t>
            </w:r>
          </w:p>
        </w:tc>
      </w:tr>
      <w:tr w:rsidR="00B97902" w:rsidRPr="002B6BB8" w:rsidTr="00027ABA">
        <w:trPr>
          <w:trHeight w:val="283"/>
        </w:trPr>
        <w:tc>
          <w:tcPr>
            <w:tcW w:w="3866" w:type="dxa"/>
            <w:tcBorders>
              <w:top w:val="nil"/>
              <w:right w:val="nil"/>
            </w:tcBorders>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9 - 12 měsíců</w:t>
            </w:r>
          </w:p>
        </w:tc>
        <w:tc>
          <w:tcPr>
            <w:tcW w:w="1473"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7 696</w:t>
            </w:r>
          </w:p>
        </w:tc>
        <w:tc>
          <w:tcPr>
            <w:tcW w:w="1288" w:type="dxa"/>
            <w:tcBorders>
              <w:top w:val="nil"/>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8,6</w:t>
            </w:r>
          </w:p>
        </w:tc>
        <w:tc>
          <w:tcPr>
            <w:tcW w:w="1473"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5 791</w:t>
            </w:r>
          </w:p>
        </w:tc>
        <w:tc>
          <w:tcPr>
            <w:tcW w:w="1288" w:type="dxa"/>
            <w:tcBorders>
              <w:top w:val="nil"/>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6,9</w:t>
            </w:r>
          </w:p>
        </w:tc>
      </w:tr>
      <w:tr w:rsidR="00B97902" w:rsidRPr="002B6BB8" w:rsidTr="00027ABA">
        <w:trPr>
          <w:trHeight w:val="283"/>
        </w:trPr>
        <w:tc>
          <w:tcPr>
            <w:tcW w:w="3866" w:type="dxa"/>
            <w:tcBorders>
              <w:bottom w:val="single" w:sz="6" w:space="0" w:color="auto"/>
              <w:right w:val="nil"/>
            </w:tcBorders>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12 - 24 měsíců</w:t>
            </w:r>
          </w:p>
        </w:tc>
        <w:tc>
          <w:tcPr>
            <w:tcW w:w="147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17 001</w:t>
            </w:r>
          </w:p>
        </w:tc>
        <w:tc>
          <w:tcPr>
            <w:tcW w:w="1288"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18,9</w:t>
            </w:r>
          </w:p>
        </w:tc>
        <w:tc>
          <w:tcPr>
            <w:tcW w:w="147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14 721</w:t>
            </w:r>
          </w:p>
        </w:tc>
        <w:tc>
          <w:tcPr>
            <w:tcW w:w="1288"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17,6</w:t>
            </w:r>
          </w:p>
        </w:tc>
      </w:tr>
      <w:tr w:rsidR="00B97902" w:rsidRPr="002B6BB8" w:rsidTr="00027ABA">
        <w:trPr>
          <w:trHeight w:val="283"/>
        </w:trPr>
        <w:tc>
          <w:tcPr>
            <w:tcW w:w="3866" w:type="dxa"/>
            <w:tcBorders>
              <w:top w:val="single" w:sz="6" w:space="0" w:color="auto"/>
              <w:bottom w:val="single" w:sz="12" w:space="0" w:color="auto"/>
              <w:right w:val="nil"/>
            </w:tcBorders>
            <w:vAlign w:val="bottom"/>
          </w:tcPr>
          <w:p w:rsidR="00B97902" w:rsidRPr="002B6BB8" w:rsidRDefault="00B97902" w:rsidP="00027ABA">
            <w:pPr>
              <w:rPr>
                <w:rFonts w:asciiTheme="minorHAnsi" w:eastAsia="Arial Unicode MS" w:hAnsiTheme="minorHAnsi" w:cstheme="minorHAnsi"/>
                <w:sz w:val="24"/>
              </w:rPr>
            </w:pPr>
            <w:r w:rsidRPr="002B6BB8">
              <w:rPr>
                <w:rFonts w:asciiTheme="minorHAnsi" w:hAnsiTheme="minorHAnsi" w:cstheme="minorHAnsi"/>
                <w:sz w:val="24"/>
              </w:rPr>
              <w:t>nad 24 měsíců</w:t>
            </w:r>
          </w:p>
        </w:tc>
        <w:tc>
          <w:tcPr>
            <w:tcW w:w="1473" w:type="dxa"/>
            <w:tcBorders>
              <w:top w:val="single" w:sz="6"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23 753</w:t>
            </w:r>
          </w:p>
        </w:tc>
        <w:tc>
          <w:tcPr>
            <w:tcW w:w="1288" w:type="dxa"/>
            <w:tcBorders>
              <w:top w:val="single" w:sz="6"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26,4</w:t>
            </w:r>
          </w:p>
        </w:tc>
        <w:tc>
          <w:tcPr>
            <w:tcW w:w="1473" w:type="dxa"/>
            <w:tcBorders>
              <w:top w:val="single" w:sz="6"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27 556</w:t>
            </w:r>
          </w:p>
        </w:tc>
        <w:tc>
          <w:tcPr>
            <w:tcW w:w="1288" w:type="dxa"/>
            <w:tcBorders>
              <w:top w:val="single" w:sz="6" w:space="0" w:color="auto"/>
              <w:bottom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32,9</w:t>
            </w:r>
          </w:p>
        </w:tc>
      </w:tr>
      <w:tr w:rsidR="00B97902" w:rsidRPr="00D72FAF" w:rsidTr="00027ABA">
        <w:trPr>
          <w:trHeight w:val="268"/>
        </w:trPr>
        <w:tc>
          <w:tcPr>
            <w:tcW w:w="3866" w:type="dxa"/>
            <w:tcBorders>
              <w:top w:val="single" w:sz="12" w:space="0" w:color="auto"/>
              <w:bottom w:val="single" w:sz="12" w:space="0" w:color="auto"/>
              <w:right w:val="nil"/>
            </w:tcBorders>
          </w:tcPr>
          <w:p w:rsidR="00B97902" w:rsidRPr="002B6BB8" w:rsidRDefault="00B97902" w:rsidP="00027ABA">
            <w:pPr>
              <w:rPr>
                <w:rFonts w:asciiTheme="minorHAnsi" w:hAnsiTheme="minorHAnsi" w:cstheme="minorHAnsi"/>
                <w:b/>
                <w:bCs/>
                <w:snapToGrid w:val="0"/>
                <w:sz w:val="24"/>
              </w:rPr>
            </w:pPr>
            <w:r w:rsidRPr="002B6BB8">
              <w:rPr>
                <w:rFonts w:asciiTheme="minorHAnsi" w:hAnsiTheme="minorHAnsi" w:cstheme="minorHAnsi"/>
                <w:b/>
                <w:bCs/>
                <w:sz w:val="24"/>
              </w:rPr>
              <w:t>celkem</w:t>
            </w:r>
          </w:p>
        </w:tc>
        <w:tc>
          <w:tcPr>
            <w:tcW w:w="1473"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89 976</w:t>
            </w:r>
          </w:p>
        </w:tc>
        <w:tc>
          <w:tcPr>
            <w:tcW w:w="1288" w:type="dxa"/>
            <w:tcBorders>
              <w:top w:val="single" w:sz="12"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c>
          <w:tcPr>
            <w:tcW w:w="1473"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Pr>
                <w:rFonts w:asciiTheme="minorHAnsi" w:hAnsiTheme="minorHAnsi" w:cstheme="minorHAnsi"/>
                <w:b/>
                <w:sz w:val="24"/>
                <w:szCs w:val="24"/>
              </w:rPr>
              <w:t>83 877</w:t>
            </w:r>
          </w:p>
        </w:tc>
        <w:tc>
          <w:tcPr>
            <w:tcW w:w="1288"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sz w:val="24"/>
                <w:szCs w:val="24"/>
              </w:rPr>
            </w:pPr>
            <w:r w:rsidRPr="002B6BB8">
              <w:rPr>
                <w:rFonts w:asciiTheme="minorHAnsi" w:hAnsiTheme="minorHAnsi" w:cstheme="minorHAnsi"/>
                <w:b/>
                <w:sz w:val="24"/>
                <w:szCs w:val="24"/>
              </w:rPr>
              <w:t>100,0</w:t>
            </w:r>
          </w:p>
        </w:tc>
      </w:tr>
    </w:tbl>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Koncem prosince 201</w:t>
      </w:r>
      <w:r>
        <w:rPr>
          <w:rFonts w:asciiTheme="minorHAnsi" w:hAnsiTheme="minorHAnsi" w:cstheme="minorHAnsi"/>
        </w:rPr>
        <w:t>4</w:t>
      </w:r>
      <w:r w:rsidRPr="002B6BB8">
        <w:rPr>
          <w:rFonts w:asciiTheme="minorHAnsi" w:hAnsiTheme="minorHAnsi" w:cstheme="minorHAnsi"/>
        </w:rPr>
        <w:t xml:space="preserve"> bylo </w:t>
      </w:r>
      <w:r>
        <w:rPr>
          <w:rFonts w:asciiTheme="minorHAnsi" w:hAnsiTheme="minorHAnsi" w:cstheme="minorHAnsi"/>
        </w:rPr>
        <w:t xml:space="preserve">déle než 6 měsíců </w:t>
      </w:r>
      <w:r w:rsidRPr="002B6BB8">
        <w:rPr>
          <w:rFonts w:asciiTheme="minorHAnsi" w:hAnsiTheme="minorHAnsi" w:cstheme="minorHAnsi"/>
        </w:rPr>
        <w:t>regis</w:t>
      </w:r>
      <w:r>
        <w:rPr>
          <w:rFonts w:asciiTheme="minorHAnsi" w:hAnsiTheme="minorHAnsi" w:cstheme="minorHAnsi"/>
        </w:rPr>
        <w:t xml:space="preserve">trováno 55 063 </w:t>
      </w:r>
      <w:r w:rsidRPr="002B6BB8">
        <w:rPr>
          <w:rFonts w:asciiTheme="minorHAnsi" w:hAnsiTheme="minorHAnsi" w:cstheme="minorHAnsi"/>
        </w:rPr>
        <w:t xml:space="preserve">UoZ, což je o </w:t>
      </w:r>
      <w:r>
        <w:rPr>
          <w:rFonts w:asciiTheme="minorHAnsi" w:hAnsiTheme="minorHAnsi" w:cstheme="minorHAnsi"/>
        </w:rPr>
        <w:t>1 411   (-</w:t>
      </w:r>
      <w:r w:rsidRPr="002B6BB8">
        <w:rPr>
          <w:rFonts w:asciiTheme="minorHAnsi" w:hAnsiTheme="minorHAnsi" w:cstheme="minorHAnsi"/>
        </w:rPr>
        <w:t>2</w:t>
      </w:r>
      <w:r>
        <w:rPr>
          <w:rFonts w:asciiTheme="minorHAnsi" w:hAnsiTheme="minorHAnsi" w:cstheme="minorHAnsi"/>
        </w:rPr>
        <w:t>,5 %) méně než v závěru roku 2013</w:t>
      </w:r>
      <w:r w:rsidRPr="002B6BB8">
        <w:rPr>
          <w:rFonts w:asciiTheme="minorHAnsi" w:hAnsiTheme="minorHAnsi" w:cstheme="minorHAnsi"/>
        </w:rPr>
        <w:t>. Podíl této skupiny klientů na celkové nezaměstnanosti s</w:t>
      </w:r>
      <w:r>
        <w:rPr>
          <w:rFonts w:asciiTheme="minorHAnsi" w:hAnsiTheme="minorHAnsi" w:cstheme="minorHAnsi"/>
        </w:rPr>
        <w:t>e za sledované období zvýšil o 2,9 procentního bodu a nyní činí 65,7</w:t>
      </w:r>
      <w:r w:rsidRPr="002B6BB8">
        <w:rPr>
          <w:rFonts w:asciiTheme="minorHAnsi" w:hAnsiTheme="minorHAnsi" w:cstheme="minorHAnsi"/>
        </w:rPr>
        <w:t xml:space="preserve"> %.</w:t>
      </w: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Počet uchazečů v kategorii tzv. dlouhodobě nezaměstnaných</w:t>
      </w:r>
      <w:r>
        <w:rPr>
          <w:rFonts w:asciiTheme="minorHAnsi" w:hAnsiTheme="minorHAnsi" w:cstheme="minorHAnsi"/>
        </w:rPr>
        <w:t xml:space="preserve"> (nad 12 měsíců) během roku 2014 stoupl o 1 523 (+3,7</w:t>
      </w:r>
      <w:r w:rsidRPr="002B6BB8">
        <w:rPr>
          <w:rFonts w:asciiTheme="minorHAnsi" w:hAnsiTheme="minorHAnsi" w:cstheme="minorHAnsi"/>
        </w:rPr>
        <w:t xml:space="preserve"> %) a jejich podíl na celkové </w:t>
      </w:r>
      <w:r>
        <w:rPr>
          <w:rFonts w:asciiTheme="minorHAnsi" w:hAnsiTheme="minorHAnsi" w:cstheme="minorHAnsi"/>
        </w:rPr>
        <w:t>nezaměstnanosti vzrostl o 5,2</w:t>
      </w:r>
      <w:r w:rsidRPr="002B6BB8">
        <w:rPr>
          <w:rFonts w:asciiTheme="minorHAnsi" w:hAnsiTheme="minorHAnsi" w:cstheme="minorHAnsi"/>
        </w:rPr>
        <w:t xml:space="preserve"> procen</w:t>
      </w:r>
      <w:r>
        <w:rPr>
          <w:rFonts w:asciiTheme="minorHAnsi" w:hAnsiTheme="minorHAnsi" w:cstheme="minorHAnsi"/>
        </w:rPr>
        <w:t>tního bodu. Koncem prosince 2014</w:t>
      </w:r>
      <w:r w:rsidRPr="002B6BB8">
        <w:rPr>
          <w:rFonts w:asciiTheme="minorHAnsi" w:hAnsiTheme="minorHAnsi" w:cstheme="minorHAnsi"/>
        </w:rPr>
        <w:t xml:space="preserve"> bylo v MSK evidov</w:t>
      </w:r>
      <w:r>
        <w:rPr>
          <w:rFonts w:asciiTheme="minorHAnsi" w:hAnsiTheme="minorHAnsi" w:cstheme="minorHAnsi"/>
        </w:rPr>
        <w:t xml:space="preserve">áno celkem 42 277 těchto osob, což bylo </w:t>
      </w:r>
      <w:r w:rsidRPr="002B6BB8">
        <w:rPr>
          <w:rFonts w:asciiTheme="minorHAnsi" w:hAnsiTheme="minorHAnsi" w:cstheme="minorHAnsi"/>
        </w:rPr>
        <w:t>5</w:t>
      </w:r>
      <w:r>
        <w:rPr>
          <w:rFonts w:asciiTheme="minorHAnsi" w:hAnsiTheme="minorHAnsi" w:cstheme="minorHAnsi"/>
        </w:rPr>
        <w:t>0,5</w:t>
      </w:r>
      <w:r w:rsidRPr="002B6BB8">
        <w:rPr>
          <w:rFonts w:asciiTheme="minorHAnsi" w:hAnsiTheme="minorHAnsi" w:cstheme="minorHAnsi"/>
        </w:rPr>
        <w:t xml:space="preserve"> % z </w:t>
      </w:r>
      <w:r>
        <w:rPr>
          <w:rFonts w:asciiTheme="minorHAnsi" w:hAnsiTheme="minorHAnsi" w:cstheme="minorHAnsi"/>
        </w:rPr>
        <w:t>celkového evidenčního stavu UoZ</w:t>
      </w:r>
      <w:r w:rsidRPr="002B6BB8">
        <w:rPr>
          <w:rFonts w:asciiTheme="minorHAnsi" w:hAnsiTheme="minorHAnsi" w:cstheme="minorHAnsi"/>
        </w:rPr>
        <w:t xml:space="preserve">. </w:t>
      </w: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 xml:space="preserve">Počet UoZ evidovaných déle než 24 měsíců (tzv. „tvrdé </w:t>
      </w:r>
      <w:r>
        <w:rPr>
          <w:rFonts w:asciiTheme="minorHAnsi" w:hAnsiTheme="minorHAnsi" w:cstheme="minorHAnsi"/>
        </w:rPr>
        <w:t>jádro“) se meziročně zvýšil o 3 803 (+16,0 %), takže koncem prosince 2014 jich bylo 27 556</w:t>
      </w:r>
      <w:r w:rsidRPr="002B6BB8">
        <w:rPr>
          <w:rFonts w:asciiTheme="minorHAnsi" w:hAnsiTheme="minorHAnsi" w:cstheme="minorHAnsi"/>
        </w:rPr>
        <w:t xml:space="preserve">. Jejich podíl na celkové nezaměstnanosti </w:t>
      </w:r>
      <w:r>
        <w:rPr>
          <w:rFonts w:asciiTheme="minorHAnsi" w:hAnsiTheme="minorHAnsi" w:cstheme="minorHAnsi"/>
        </w:rPr>
        <w:t xml:space="preserve">meziročně výrazně vzrostl a je velmi vysoký. Na konci roku 2014 činil 32,9 </w:t>
      </w:r>
      <w:r w:rsidRPr="002B6BB8">
        <w:rPr>
          <w:rFonts w:asciiTheme="minorHAnsi" w:hAnsiTheme="minorHAnsi" w:cstheme="minorHAnsi"/>
        </w:rPr>
        <w:t>% (republikový průměr b</w:t>
      </w:r>
      <w:r>
        <w:rPr>
          <w:rFonts w:asciiTheme="minorHAnsi" w:hAnsiTheme="minorHAnsi" w:cstheme="minorHAnsi"/>
        </w:rPr>
        <w:t>yl v závěru minulého roku jen 27,0</w:t>
      </w:r>
      <w:r w:rsidRPr="002B6BB8">
        <w:rPr>
          <w:rFonts w:asciiTheme="minorHAnsi" w:hAnsiTheme="minorHAnsi" w:cstheme="minorHAnsi"/>
        </w:rPr>
        <w:t xml:space="preserve"> %). Meziročně se jejich podíl na celkové neza</w:t>
      </w:r>
      <w:r>
        <w:rPr>
          <w:rFonts w:asciiTheme="minorHAnsi" w:hAnsiTheme="minorHAnsi" w:cstheme="minorHAnsi"/>
        </w:rPr>
        <w:t>městnanosti zvýšil o 6,5</w:t>
      </w:r>
      <w:r w:rsidRPr="002B6BB8">
        <w:rPr>
          <w:rFonts w:asciiTheme="minorHAnsi" w:hAnsiTheme="minorHAnsi" w:cstheme="minorHAnsi"/>
        </w:rPr>
        <w:t xml:space="preserve"> procentního bodu a </w:t>
      </w:r>
      <w:r>
        <w:rPr>
          <w:rFonts w:asciiTheme="minorHAnsi" w:hAnsiTheme="minorHAnsi" w:cstheme="minorHAnsi"/>
        </w:rPr>
        <w:t xml:space="preserve">dosáhl téměř třetiny </w:t>
      </w:r>
      <w:r w:rsidRPr="002B6BB8">
        <w:rPr>
          <w:rFonts w:asciiTheme="minorHAnsi" w:hAnsiTheme="minorHAnsi" w:cstheme="minorHAnsi"/>
        </w:rPr>
        <w:t>uchazečů o zaměstnání v MSK, kteří jsou bez práce déle než 24 měsíců.</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Kategorii dlouhodobě evidovaných nezaměstnaných tvoří především:</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 xml:space="preserve">uchazeči - OZP, </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fyzické osoby starší 50 let věku,</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lidé bez vzdělání, popřípadě pouze s ukončenou základní školní docházkou,</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příslušníci národnostních menšin,</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fyzické osoby pečující o malé dítě či o dlouhodobě zdravotně postiženého člena rodiny,</w:t>
      </w:r>
    </w:p>
    <w:p w:rsidR="00B97902" w:rsidRPr="002B6BB8" w:rsidRDefault="00B97902" w:rsidP="00B97902">
      <w:pPr>
        <w:pStyle w:val="odsazen"/>
        <w:rPr>
          <w:rFonts w:asciiTheme="minorHAnsi" w:hAnsiTheme="minorHAnsi" w:cstheme="minorHAnsi"/>
        </w:rPr>
      </w:pPr>
      <w:r w:rsidRPr="002B6BB8">
        <w:rPr>
          <w:rFonts w:asciiTheme="minorHAnsi" w:hAnsiTheme="minorHAnsi" w:cstheme="minorHAnsi"/>
        </w:rPr>
        <w:t>fyzické osoby společensky nepřizpůsobené.</w:t>
      </w:r>
    </w:p>
    <w:p w:rsidR="00B97902" w:rsidRPr="002B6BB8" w:rsidRDefault="00B97902" w:rsidP="00B97902">
      <w:pPr>
        <w:pStyle w:val="odsazen"/>
        <w:numPr>
          <w:ilvl w:val="0"/>
          <w:numId w:val="0"/>
        </w:numPr>
        <w:rPr>
          <w:rFonts w:asciiTheme="minorHAnsi" w:hAnsiTheme="minorHAnsi" w:cstheme="minorHAnsi"/>
        </w:rPr>
      </w:pPr>
    </w:p>
    <w:p w:rsidR="00B97902" w:rsidRPr="002B6BB8" w:rsidRDefault="00B97902" w:rsidP="00B97902">
      <w:pPr>
        <w:pStyle w:val="Zkladntextodsazen3"/>
        <w:ind w:left="0" w:firstLine="709"/>
        <w:jc w:val="both"/>
        <w:rPr>
          <w:rFonts w:asciiTheme="minorHAnsi" w:hAnsiTheme="minorHAnsi" w:cstheme="minorHAnsi"/>
          <w:sz w:val="24"/>
          <w:szCs w:val="24"/>
        </w:rPr>
      </w:pPr>
      <w:r w:rsidRPr="002B6BB8">
        <w:rPr>
          <w:rFonts w:asciiTheme="minorHAnsi" w:hAnsiTheme="minorHAnsi" w:cstheme="minorHAnsi"/>
          <w:sz w:val="24"/>
          <w:szCs w:val="24"/>
        </w:rPr>
        <w:t>Dlouhodobá, ale i opakovaná nezaměstnanost se negativně promítá nejen do sociální oblasti, ale i do oblasti vnímání morálních hodnot, osobních vlastností a zájmů této ohrožené skupiny lidí. Zpravidla bývá příčinou i jejich asociálního chování a často také nárůstu kriminality.</w:t>
      </w:r>
    </w:p>
    <w:p w:rsidR="00B97902" w:rsidRPr="002B6BB8" w:rsidRDefault="00B97902" w:rsidP="00B97902">
      <w:pPr>
        <w:rPr>
          <w:rFonts w:asciiTheme="minorHAnsi" w:hAnsiTheme="minorHAnsi" w:cstheme="minorHAnsi"/>
          <w:sz w:val="24"/>
          <w:szCs w:val="24"/>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 xml:space="preserve">4. Vybrané skupiny uchazečů o zaměstnání </w:t>
      </w:r>
    </w:p>
    <w:p w:rsidR="00B97902" w:rsidRPr="002B6BB8" w:rsidRDefault="00B97902" w:rsidP="00B97902">
      <w:pPr>
        <w:pStyle w:val="dka"/>
        <w:rPr>
          <w:rFonts w:asciiTheme="minorHAnsi" w:hAnsiTheme="minorHAnsi" w:cstheme="minorHAnsi"/>
          <w:b/>
          <w:bCs/>
          <w:i/>
          <w:iCs/>
          <w:color w:val="auto"/>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4.1 Absolventi škol a mladiství</w:t>
      </w:r>
    </w:p>
    <w:p w:rsidR="00B97902" w:rsidRPr="002B6BB8" w:rsidRDefault="00B97902" w:rsidP="00B97902">
      <w:pPr>
        <w:jc w:val="both"/>
        <w:rPr>
          <w:rFonts w:asciiTheme="minorHAnsi" w:hAnsiTheme="minorHAnsi" w:cstheme="minorHAnsi"/>
          <w:sz w:val="24"/>
        </w:rPr>
      </w:pPr>
    </w:p>
    <w:p w:rsidR="00B97902" w:rsidRDefault="00B97902" w:rsidP="00B97902">
      <w:pPr>
        <w:pStyle w:val="Zkladntextodsazen"/>
        <w:rPr>
          <w:rFonts w:asciiTheme="minorHAnsi" w:hAnsiTheme="minorHAnsi" w:cstheme="minorHAnsi"/>
        </w:rPr>
      </w:pPr>
      <w:r w:rsidRPr="002B6BB8">
        <w:rPr>
          <w:rFonts w:asciiTheme="minorHAnsi" w:hAnsiTheme="minorHAnsi" w:cstheme="minorHAnsi"/>
        </w:rPr>
        <w:t>K osobám ohroženým nezaměstnaností patří v Moravskoslezském kraji kromě dalších skupin občanů také mladí lidé, kteří se po ukončení vzdělávacího procesu místo nástupu do praxe velmi často stávají našimi klienty. Pro účely statistiky považujeme za absolventy všechny UoZ po dobu dvou let od úspěšného ukončení studia (na střední, vyšší odborné nebo vysoké škole).</w:t>
      </w:r>
    </w:p>
    <w:p w:rsidR="00B97902" w:rsidRPr="002B6BB8" w:rsidRDefault="00B97902" w:rsidP="00B97902">
      <w:pPr>
        <w:pStyle w:val="Zkladntextodsazen"/>
        <w:ind w:firstLine="0"/>
        <w:rPr>
          <w:rFonts w:asciiTheme="minorHAnsi" w:hAnsiTheme="minorHAnsi" w:cstheme="minorHAnsi"/>
        </w:rPr>
      </w:pPr>
    </w:p>
    <w:p w:rsidR="00B97902" w:rsidRPr="002B6BB8" w:rsidRDefault="00B97902" w:rsidP="00B97902">
      <w:pPr>
        <w:jc w:val="both"/>
        <w:rPr>
          <w:rFonts w:asciiTheme="minorHAnsi" w:hAnsiTheme="minorHAnsi" w:cstheme="minorHAnsi"/>
          <w:sz w:val="24"/>
        </w:rPr>
      </w:pPr>
      <w:r w:rsidRPr="002B6BB8">
        <w:rPr>
          <w:rFonts w:asciiTheme="minorHAnsi" w:hAnsiTheme="minorHAnsi" w:cstheme="minorHAnsi"/>
          <w:b/>
          <w:sz w:val="24"/>
        </w:rPr>
        <w:t xml:space="preserve">Tabulka III/6 - </w:t>
      </w:r>
      <w:r w:rsidRPr="002B6BB8">
        <w:rPr>
          <w:rFonts w:asciiTheme="minorHAnsi" w:hAnsiTheme="minorHAnsi" w:cstheme="minorHAnsi"/>
          <w:sz w:val="24"/>
        </w:rPr>
        <w:t>Vývoj počtu evidovaných absolventů škol a mladistvých po splnění povinné školní docházky podle stupně vzdělání</w:t>
      </w:r>
    </w:p>
    <w:tbl>
      <w:tblPr>
        <w:tblW w:w="0" w:type="auto"/>
        <w:tblInd w:w="4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261"/>
        <w:gridCol w:w="1134"/>
        <w:gridCol w:w="850"/>
        <w:gridCol w:w="1134"/>
        <w:gridCol w:w="993"/>
        <w:gridCol w:w="1133"/>
        <w:gridCol w:w="850"/>
      </w:tblGrid>
      <w:tr w:rsidR="00B97902" w:rsidRPr="002B6BB8" w:rsidTr="00027ABA">
        <w:trPr>
          <w:cantSplit/>
        </w:trPr>
        <w:tc>
          <w:tcPr>
            <w:tcW w:w="3261" w:type="dxa"/>
            <w:vMerge w:val="restart"/>
            <w:tcBorders>
              <w:right w:val="nil"/>
            </w:tcBorders>
            <w:vAlign w:val="center"/>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stupeň vzdělání</w:t>
            </w:r>
          </w:p>
        </w:tc>
        <w:tc>
          <w:tcPr>
            <w:tcW w:w="1984" w:type="dxa"/>
            <w:gridSpan w:val="2"/>
            <w:tcBorders>
              <w:top w:val="single" w:sz="12" w:space="0" w:color="auto"/>
              <w:left w:val="single" w:sz="12" w:space="0" w:color="auto"/>
              <w:bottom w:val="single" w:sz="6" w:space="0" w:color="auto"/>
              <w:right w:val="single" w:sz="12" w:space="0" w:color="auto"/>
            </w:tcBorders>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stav k 30.09.201</w:t>
            </w:r>
            <w:r>
              <w:rPr>
                <w:rFonts w:asciiTheme="minorHAnsi" w:hAnsiTheme="minorHAnsi" w:cstheme="minorHAnsi"/>
                <w:color w:val="auto"/>
              </w:rPr>
              <w:t>3</w:t>
            </w:r>
          </w:p>
        </w:tc>
        <w:tc>
          <w:tcPr>
            <w:tcW w:w="2127" w:type="dxa"/>
            <w:gridSpan w:val="2"/>
            <w:tcBorders>
              <w:left w:val="nil"/>
              <w:right w:val="nil"/>
            </w:tcBorders>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stav k 30.04.201</w:t>
            </w:r>
            <w:r>
              <w:rPr>
                <w:rFonts w:asciiTheme="minorHAnsi" w:hAnsiTheme="minorHAnsi" w:cstheme="minorHAnsi"/>
                <w:color w:val="auto"/>
              </w:rPr>
              <w:t>4</w:t>
            </w:r>
          </w:p>
        </w:tc>
        <w:tc>
          <w:tcPr>
            <w:tcW w:w="1983" w:type="dxa"/>
            <w:gridSpan w:val="2"/>
            <w:tcBorders>
              <w:top w:val="single" w:sz="12" w:space="0" w:color="auto"/>
              <w:left w:val="single" w:sz="12" w:space="0" w:color="auto"/>
              <w:bottom w:val="single" w:sz="6" w:space="0" w:color="auto"/>
            </w:tcBorders>
          </w:tcPr>
          <w:p w:rsidR="00B97902" w:rsidRPr="002B6BB8" w:rsidRDefault="00B97902" w:rsidP="00027ABA">
            <w:pPr>
              <w:pStyle w:val="Texttabulky"/>
              <w:jc w:val="center"/>
              <w:rPr>
                <w:rFonts w:asciiTheme="minorHAnsi" w:hAnsiTheme="minorHAnsi" w:cstheme="minorHAnsi"/>
                <w:color w:val="auto"/>
              </w:rPr>
            </w:pPr>
            <w:r w:rsidRPr="002B6BB8">
              <w:rPr>
                <w:rFonts w:asciiTheme="minorHAnsi" w:hAnsiTheme="minorHAnsi" w:cstheme="minorHAnsi"/>
                <w:color w:val="auto"/>
              </w:rPr>
              <w:t>stav k 30.09.201</w:t>
            </w:r>
            <w:r>
              <w:rPr>
                <w:rFonts w:asciiTheme="minorHAnsi" w:hAnsiTheme="minorHAnsi" w:cstheme="minorHAnsi"/>
                <w:color w:val="auto"/>
              </w:rPr>
              <w:t>4</w:t>
            </w:r>
          </w:p>
        </w:tc>
      </w:tr>
      <w:tr w:rsidR="00B97902" w:rsidRPr="002B6BB8" w:rsidTr="00027ABA">
        <w:trPr>
          <w:cantSplit/>
        </w:trPr>
        <w:tc>
          <w:tcPr>
            <w:tcW w:w="3261" w:type="dxa"/>
            <w:vMerge/>
            <w:tcBorders>
              <w:bottom w:val="nil"/>
              <w:right w:val="nil"/>
            </w:tcBorders>
          </w:tcPr>
          <w:p w:rsidR="00B97902" w:rsidRPr="002B6BB8" w:rsidRDefault="00B97902" w:rsidP="00027ABA">
            <w:pPr>
              <w:pStyle w:val="Texttabulky"/>
              <w:rPr>
                <w:rFonts w:asciiTheme="minorHAnsi" w:hAnsiTheme="minorHAnsi" w:cstheme="minorHAnsi"/>
                <w:color w:val="auto"/>
              </w:rPr>
            </w:pPr>
          </w:p>
        </w:tc>
        <w:tc>
          <w:tcPr>
            <w:tcW w:w="1134" w:type="dxa"/>
            <w:tcBorders>
              <w:top w:val="single" w:sz="6" w:space="0" w:color="auto"/>
              <w:left w:val="single" w:sz="12" w:space="0" w:color="auto"/>
              <w:bottom w:val="nil"/>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850" w:type="dxa"/>
            <w:tcBorders>
              <w:top w:val="single" w:sz="6" w:space="0" w:color="auto"/>
              <w:bottom w:val="nil"/>
              <w:right w:val="single" w:sz="12" w:space="0" w:color="auto"/>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c>
          <w:tcPr>
            <w:tcW w:w="1134" w:type="dxa"/>
            <w:tcBorders>
              <w:left w:val="nil"/>
              <w:bottom w:val="nil"/>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993" w:type="dxa"/>
            <w:tcBorders>
              <w:bottom w:val="nil"/>
              <w:right w:val="nil"/>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c>
          <w:tcPr>
            <w:tcW w:w="1133" w:type="dxa"/>
            <w:tcBorders>
              <w:top w:val="single" w:sz="6" w:space="0" w:color="auto"/>
              <w:left w:val="single" w:sz="12" w:space="0" w:color="auto"/>
              <w:bottom w:val="nil"/>
              <w:right w:val="single" w:sz="6" w:space="0" w:color="auto"/>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850" w:type="dxa"/>
            <w:tcBorders>
              <w:top w:val="single" w:sz="6" w:space="0" w:color="auto"/>
              <w:left w:val="single" w:sz="6" w:space="0" w:color="auto"/>
              <w:bottom w:val="nil"/>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w:t>
            </w:r>
          </w:p>
        </w:tc>
      </w:tr>
      <w:tr w:rsidR="00B97902" w:rsidRPr="002B6BB8" w:rsidTr="00027ABA">
        <w:tc>
          <w:tcPr>
            <w:tcW w:w="3261" w:type="dxa"/>
            <w:tcBorders>
              <w:top w:val="single" w:sz="12" w:space="0" w:color="auto"/>
              <w:bottom w:val="single" w:sz="6" w:space="0" w:color="auto"/>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bez vzdělání</w:t>
            </w:r>
          </w:p>
        </w:tc>
        <w:tc>
          <w:tcPr>
            <w:tcW w:w="1134" w:type="dxa"/>
            <w:tcBorders>
              <w:top w:val="single" w:sz="12"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166</w:t>
            </w:r>
          </w:p>
        </w:tc>
        <w:tc>
          <w:tcPr>
            <w:tcW w:w="850" w:type="dxa"/>
            <w:tcBorders>
              <w:top w:val="single" w:sz="12"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2,7</w:t>
            </w:r>
          </w:p>
        </w:tc>
        <w:tc>
          <w:tcPr>
            <w:tcW w:w="1134" w:type="dxa"/>
            <w:tcBorders>
              <w:top w:val="single" w:sz="12" w:space="0" w:color="auto"/>
              <w:left w:val="nil"/>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146</w:t>
            </w:r>
          </w:p>
        </w:tc>
        <w:tc>
          <w:tcPr>
            <w:tcW w:w="993" w:type="dxa"/>
            <w:tcBorders>
              <w:top w:val="single" w:sz="12" w:space="0" w:color="auto"/>
              <w:bottom w:val="single" w:sz="6" w:space="0" w:color="auto"/>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3,3</w:t>
            </w:r>
          </w:p>
        </w:tc>
        <w:tc>
          <w:tcPr>
            <w:tcW w:w="1133" w:type="dxa"/>
            <w:tcBorders>
              <w:top w:val="single" w:sz="12"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157</w:t>
            </w:r>
          </w:p>
        </w:tc>
        <w:tc>
          <w:tcPr>
            <w:tcW w:w="850" w:type="dxa"/>
            <w:tcBorders>
              <w:top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3,3</w:t>
            </w:r>
          </w:p>
        </w:tc>
      </w:tr>
      <w:tr w:rsidR="00B97902" w:rsidRPr="002B6BB8" w:rsidTr="00027ABA">
        <w:tc>
          <w:tcPr>
            <w:tcW w:w="3261" w:type="dxa"/>
            <w:tcBorders>
              <w:top w:val="nil"/>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základní vzdělání</w:t>
            </w:r>
          </w:p>
        </w:tc>
        <w:tc>
          <w:tcPr>
            <w:tcW w:w="1134"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445</w:t>
            </w:r>
          </w:p>
        </w:tc>
        <w:tc>
          <w:tcPr>
            <w:tcW w:w="850" w:type="dxa"/>
            <w:tcBorders>
              <w:top w:val="nil"/>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7,4</w:t>
            </w:r>
          </w:p>
        </w:tc>
        <w:tc>
          <w:tcPr>
            <w:tcW w:w="1134" w:type="dxa"/>
            <w:tcBorders>
              <w:top w:val="nil"/>
              <w:lef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522</w:t>
            </w:r>
          </w:p>
        </w:tc>
        <w:tc>
          <w:tcPr>
            <w:tcW w:w="993" w:type="dxa"/>
            <w:tcBorders>
              <w:top w:val="nil"/>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11,9</w:t>
            </w:r>
          </w:p>
        </w:tc>
        <w:tc>
          <w:tcPr>
            <w:tcW w:w="1133" w:type="dxa"/>
            <w:tcBorders>
              <w:top w:val="nil"/>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437</w:t>
            </w:r>
          </w:p>
        </w:tc>
        <w:tc>
          <w:tcPr>
            <w:tcW w:w="850" w:type="dxa"/>
            <w:tcBorders>
              <w:top w:val="nil"/>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9,1</w:t>
            </w:r>
          </w:p>
        </w:tc>
      </w:tr>
      <w:tr w:rsidR="00B97902" w:rsidRPr="002B6BB8" w:rsidTr="00027ABA">
        <w:tc>
          <w:tcPr>
            <w:tcW w:w="3261" w:type="dxa"/>
            <w:tcBorders>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odborné (SOU+OU+OŠ)</w:t>
            </w:r>
          </w:p>
        </w:tc>
        <w:tc>
          <w:tcPr>
            <w:tcW w:w="1134"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1 939</w:t>
            </w:r>
          </w:p>
        </w:tc>
        <w:tc>
          <w:tcPr>
            <w:tcW w:w="850"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32,0</w:t>
            </w:r>
          </w:p>
        </w:tc>
        <w:tc>
          <w:tcPr>
            <w:tcW w:w="1134" w:type="dxa"/>
            <w:tcBorders>
              <w:lef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1 255</w:t>
            </w:r>
          </w:p>
        </w:tc>
        <w:tc>
          <w:tcPr>
            <w:tcW w:w="993" w:type="dxa"/>
            <w:tcBorders>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28,5</w:t>
            </w:r>
          </w:p>
        </w:tc>
        <w:tc>
          <w:tcPr>
            <w:tcW w:w="113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1 425</w:t>
            </w:r>
          </w:p>
        </w:tc>
        <w:tc>
          <w:tcPr>
            <w:tcW w:w="850"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29,8</w:t>
            </w:r>
          </w:p>
        </w:tc>
      </w:tr>
      <w:tr w:rsidR="00B97902" w:rsidRPr="002B6BB8" w:rsidTr="00027ABA">
        <w:tc>
          <w:tcPr>
            <w:tcW w:w="3261" w:type="dxa"/>
            <w:tcBorders>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odborné s maturitou (SOU+SOŠ)</w:t>
            </w:r>
          </w:p>
        </w:tc>
        <w:tc>
          <w:tcPr>
            <w:tcW w:w="1134"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2 186</w:t>
            </w:r>
          </w:p>
        </w:tc>
        <w:tc>
          <w:tcPr>
            <w:tcW w:w="850"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36,1</w:t>
            </w:r>
          </w:p>
        </w:tc>
        <w:tc>
          <w:tcPr>
            <w:tcW w:w="1134" w:type="dxa"/>
            <w:tcBorders>
              <w:lef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1 556</w:t>
            </w:r>
          </w:p>
        </w:tc>
        <w:tc>
          <w:tcPr>
            <w:tcW w:w="993" w:type="dxa"/>
            <w:tcBorders>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35,3</w:t>
            </w:r>
          </w:p>
        </w:tc>
        <w:tc>
          <w:tcPr>
            <w:tcW w:w="113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1 610</w:t>
            </w:r>
          </w:p>
        </w:tc>
        <w:tc>
          <w:tcPr>
            <w:tcW w:w="850"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33,7</w:t>
            </w:r>
          </w:p>
        </w:tc>
      </w:tr>
      <w:tr w:rsidR="00B97902" w:rsidRPr="002B6BB8" w:rsidTr="00027ABA">
        <w:tc>
          <w:tcPr>
            <w:tcW w:w="3261" w:type="dxa"/>
            <w:tcBorders>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střední všeobecné</w:t>
            </w:r>
          </w:p>
        </w:tc>
        <w:tc>
          <w:tcPr>
            <w:tcW w:w="1134"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129</w:t>
            </w:r>
          </w:p>
        </w:tc>
        <w:tc>
          <w:tcPr>
            <w:tcW w:w="850"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2,1</w:t>
            </w:r>
          </w:p>
        </w:tc>
        <w:tc>
          <w:tcPr>
            <w:tcW w:w="1134" w:type="dxa"/>
            <w:tcBorders>
              <w:lef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223</w:t>
            </w:r>
          </w:p>
        </w:tc>
        <w:tc>
          <w:tcPr>
            <w:tcW w:w="993" w:type="dxa"/>
            <w:tcBorders>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5,1</w:t>
            </w:r>
          </w:p>
        </w:tc>
        <w:tc>
          <w:tcPr>
            <w:tcW w:w="113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98</w:t>
            </w:r>
          </w:p>
        </w:tc>
        <w:tc>
          <w:tcPr>
            <w:tcW w:w="850"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2,0</w:t>
            </w:r>
          </w:p>
        </w:tc>
      </w:tr>
      <w:tr w:rsidR="00B97902" w:rsidRPr="002B6BB8" w:rsidTr="00027ABA">
        <w:tc>
          <w:tcPr>
            <w:tcW w:w="3261" w:type="dxa"/>
            <w:tcBorders>
              <w:right w:val="nil"/>
            </w:tcBorders>
          </w:tcPr>
          <w:p w:rsidR="00B97902" w:rsidRPr="002B6BB8" w:rsidRDefault="00B97902" w:rsidP="00027ABA">
            <w:pPr>
              <w:rPr>
                <w:rFonts w:asciiTheme="minorHAnsi" w:hAnsiTheme="minorHAnsi" w:cstheme="minorHAnsi"/>
                <w:snapToGrid w:val="0"/>
                <w:sz w:val="24"/>
              </w:rPr>
            </w:pPr>
            <w:r w:rsidRPr="002B6BB8">
              <w:rPr>
                <w:rFonts w:asciiTheme="minorHAnsi" w:hAnsiTheme="minorHAnsi" w:cstheme="minorHAnsi"/>
                <w:snapToGrid w:val="0"/>
                <w:sz w:val="24"/>
              </w:rPr>
              <w:t>vysokoškolské</w:t>
            </w:r>
          </w:p>
        </w:tc>
        <w:tc>
          <w:tcPr>
            <w:tcW w:w="1134"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1 193</w:t>
            </w:r>
          </w:p>
        </w:tc>
        <w:tc>
          <w:tcPr>
            <w:tcW w:w="850" w:type="dxa"/>
            <w:tcBorders>
              <w:top w:val="single" w:sz="6" w:space="0" w:color="auto"/>
              <w:bottom w:val="single" w:sz="6" w:space="0" w:color="auto"/>
              <w:right w:val="single" w:sz="12" w:space="0" w:color="auto"/>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19,7</w:t>
            </w:r>
          </w:p>
        </w:tc>
        <w:tc>
          <w:tcPr>
            <w:tcW w:w="1134" w:type="dxa"/>
            <w:tcBorders>
              <w:lef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701</w:t>
            </w:r>
          </w:p>
        </w:tc>
        <w:tc>
          <w:tcPr>
            <w:tcW w:w="993" w:type="dxa"/>
            <w:tcBorders>
              <w:right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15,9</w:t>
            </w:r>
          </w:p>
        </w:tc>
        <w:tc>
          <w:tcPr>
            <w:tcW w:w="1133" w:type="dxa"/>
            <w:tcBorders>
              <w:top w:val="single" w:sz="6" w:space="0" w:color="auto"/>
              <w:left w:val="single" w:sz="12"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1 055</w:t>
            </w:r>
          </w:p>
        </w:tc>
        <w:tc>
          <w:tcPr>
            <w:tcW w:w="850" w:type="dxa"/>
            <w:tcBorders>
              <w:top w:val="single" w:sz="6" w:space="0" w:color="auto"/>
              <w:bottom w:val="single" w:sz="6"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22,1</w:t>
            </w:r>
          </w:p>
        </w:tc>
      </w:tr>
      <w:tr w:rsidR="00B97902" w:rsidRPr="002B6BB8" w:rsidTr="00027ABA">
        <w:tc>
          <w:tcPr>
            <w:tcW w:w="3261" w:type="dxa"/>
            <w:tcBorders>
              <w:top w:val="single" w:sz="12" w:space="0" w:color="auto"/>
              <w:bottom w:val="single" w:sz="12" w:space="0" w:color="auto"/>
              <w:right w:val="nil"/>
            </w:tcBorders>
          </w:tcPr>
          <w:p w:rsidR="00B97902" w:rsidRPr="002B6BB8" w:rsidRDefault="00B97902" w:rsidP="00027ABA">
            <w:pPr>
              <w:pStyle w:val="Texttabulky"/>
              <w:rPr>
                <w:rFonts w:asciiTheme="minorHAnsi" w:hAnsiTheme="minorHAnsi" w:cstheme="minorHAnsi"/>
                <w:b/>
                <w:bCs/>
                <w:color w:val="auto"/>
              </w:rPr>
            </w:pPr>
            <w:r w:rsidRPr="002B6BB8">
              <w:rPr>
                <w:rFonts w:asciiTheme="minorHAnsi" w:hAnsiTheme="minorHAnsi" w:cstheme="minorHAnsi"/>
                <w:b/>
                <w:bCs/>
                <w:color w:val="auto"/>
              </w:rPr>
              <w:t>celkem</w:t>
            </w:r>
          </w:p>
        </w:tc>
        <w:tc>
          <w:tcPr>
            <w:tcW w:w="1134"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sidRPr="002B6BB8">
              <w:rPr>
                <w:rFonts w:asciiTheme="minorHAnsi" w:hAnsiTheme="minorHAnsi" w:cstheme="minorHAnsi"/>
                <w:b/>
                <w:bCs/>
                <w:sz w:val="24"/>
                <w:szCs w:val="24"/>
              </w:rPr>
              <w:t>6 058</w:t>
            </w:r>
          </w:p>
        </w:tc>
        <w:tc>
          <w:tcPr>
            <w:tcW w:w="850" w:type="dxa"/>
            <w:tcBorders>
              <w:top w:val="single" w:sz="12" w:space="0" w:color="auto"/>
              <w:bottom w:val="single" w:sz="12" w:space="0" w:color="auto"/>
              <w:right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sidRPr="002B6BB8">
              <w:rPr>
                <w:rFonts w:asciiTheme="minorHAnsi" w:hAnsiTheme="minorHAnsi" w:cstheme="minorHAnsi"/>
                <w:b/>
                <w:bCs/>
                <w:sz w:val="24"/>
                <w:szCs w:val="24"/>
              </w:rPr>
              <w:t>100,0</w:t>
            </w:r>
          </w:p>
        </w:tc>
        <w:tc>
          <w:tcPr>
            <w:tcW w:w="1134" w:type="dxa"/>
            <w:tcBorders>
              <w:top w:val="single" w:sz="12" w:space="0" w:color="auto"/>
              <w:left w:val="nil"/>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4 403</w:t>
            </w:r>
          </w:p>
        </w:tc>
        <w:tc>
          <w:tcPr>
            <w:tcW w:w="993" w:type="dxa"/>
            <w:tcBorders>
              <w:top w:val="single" w:sz="12" w:space="0" w:color="auto"/>
              <w:bottom w:val="single" w:sz="12" w:space="0" w:color="auto"/>
              <w:right w:val="nil"/>
            </w:tcBorders>
            <w:vAlign w:val="center"/>
          </w:tcPr>
          <w:p w:rsidR="00B97902" w:rsidRPr="002B6BB8" w:rsidRDefault="00B97902" w:rsidP="00027ABA">
            <w:pPr>
              <w:jc w:val="center"/>
              <w:rPr>
                <w:rFonts w:asciiTheme="minorHAnsi" w:hAnsiTheme="minorHAnsi" w:cstheme="minorHAnsi"/>
                <w:b/>
                <w:bCs/>
                <w:sz w:val="24"/>
                <w:szCs w:val="24"/>
              </w:rPr>
            </w:pPr>
            <w:r w:rsidRPr="002B6BB8">
              <w:rPr>
                <w:rFonts w:asciiTheme="minorHAnsi" w:hAnsiTheme="minorHAnsi" w:cstheme="minorHAnsi"/>
                <w:b/>
                <w:bCs/>
                <w:sz w:val="24"/>
                <w:szCs w:val="24"/>
              </w:rPr>
              <w:t>100,0</w:t>
            </w:r>
          </w:p>
        </w:tc>
        <w:tc>
          <w:tcPr>
            <w:tcW w:w="1133" w:type="dxa"/>
            <w:tcBorders>
              <w:top w:val="single" w:sz="12" w:space="0" w:color="auto"/>
              <w:left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Pr>
                <w:rFonts w:asciiTheme="minorHAnsi" w:hAnsiTheme="minorHAnsi" w:cstheme="minorHAnsi"/>
                <w:b/>
                <w:bCs/>
                <w:sz w:val="24"/>
                <w:szCs w:val="24"/>
              </w:rPr>
              <w:t>4 782</w:t>
            </w:r>
          </w:p>
        </w:tc>
        <w:tc>
          <w:tcPr>
            <w:tcW w:w="850" w:type="dxa"/>
            <w:tcBorders>
              <w:top w:val="single" w:sz="12" w:space="0" w:color="auto"/>
              <w:bottom w:val="single" w:sz="12" w:space="0" w:color="auto"/>
            </w:tcBorders>
            <w:vAlign w:val="center"/>
          </w:tcPr>
          <w:p w:rsidR="00B97902" w:rsidRPr="002B6BB8" w:rsidRDefault="00B97902" w:rsidP="00027ABA">
            <w:pPr>
              <w:jc w:val="center"/>
              <w:rPr>
                <w:rFonts w:asciiTheme="minorHAnsi" w:hAnsiTheme="minorHAnsi" w:cstheme="minorHAnsi"/>
                <w:b/>
                <w:bCs/>
                <w:sz w:val="24"/>
                <w:szCs w:val="24"/>
              </w:rPr>
            </w:pPr>
            <w:r w:rsidRPr="002B6BB8">
              <w:rPr>
                <w:rFonts w:asciiTheme="minorHAnsi" w:hAnsiTheme="minorHAnsi" w:cstheme="minorHAnsi"/>
                <w:b/>
                <w:bCs/>
                <w:sz w:val="24"/>
                <w:szCs w:val="24"/>
              </w:rPr>
              <w:t>100,0</w:t>
            </w:r>
          </w:p>
        </w:tc>
      </w:tr>
    </w:tbl>
    <w:p w:rsidR="00B97902" w:rsidRPr="002B6BB8" w:rsidRDefault="00B97902" w:rsidP="00B97902">
      <w:pPr>
        <w:jc w:val="both"/>
        <w:rPr>
          <w:rFonts w:asciiTheme="minorHAnsi" w:hAnsiTheme="minorHAnsi" w:cstheme="minorHAnsi"/>
          <w:b/>
          <w:i/>
          <w:sz w:val="24"/>
          <w:szCs w:val="24"/>
        </w:rPr>
      </w:pPr>
    </w:p>
    <w:p w:rsidR="00B97902" w:rsidRPr="002B6BB8" w:rsidRDefault="00B97902" w:rsidP="00B97902">
      <w:pPr>
        <w:ind w:firstLine="709"/>
        <w:jc w:val="both"/>
        <w:rPr>
          <w:rFonts w:asciiTheme="minorHAnsi" w:hAnsiTheme="minorHAnsi" w:cstheme="minorHAnsi"/>
          <w:i/>
          <w:sz w:val="24"/>
        </w:rPr>
      </w:pPr>
      <w:r w:rsidRPr="002B6BB8">
        <w:rPr>
          <w:rFonts w:asciiTheme="minorHAnsi" w:hAnsiTheme="minorHAnsi" w:cstheme="minorHAnsi"/>
          <w:sz w:val="24"/>
        </w:rPr>
        <w:t>V</w:t>
      </w:r>
      <w:r w:rsidRPr="002B6BB8">
        <w:rPr>
          <w:rFonts w:asciiTheme="minorHAnsi" w:hAnsiTheme="minorHAnsi" w:cstheme="minorHAnsi"/>
          <w:sz w:val="24"/>
          <w:szCs w:val="24"/>
        </w:rPr>
        <w:t xml:space="preserve">ývoj evidované nezaměstnanosti absolventů škol a mladistvých má každoročně sezónní charakter - v rámci celé České republiky je jejich evidenční počet dlouhodobě obvykle nejmenší v dubnu a maximální v září. Proto se statistické rozbory této skupiny uchazečů </w:t>
      </w:r>
      <w:r w:rsidRPr="002B6BB8">
        <w:rPr>
          <w:rFonts w:asciiTheme="minorHAnsi" w:hAnsiTheme="minorHAnsi" w:cstheme="minorHAnsi"/>
          <w:sz w:val="24"/>
          <w:szCs w:val="24"/>
        </w:rPr>
        <w:br/>
        <w:t>o zaměstnání celostátně provádějí vždy k 30.04. a k 30.09. daného roku.</w:t>
      </w:r>
    </w:p>
    <w:p w:rsidR="00B97902" w:rsidRPr="002B6BB8" w:rsidRDefault="00B97902" w:rsidP="00B97902">
      <w:pPr>
        <w:pStyle w:val="Zkladntextodsazen"/>
        <w:rPr>
          <w:rFonts w:asciiTheme="minorHAnsi" w:hAnsiTheme="minorHAnsi" w:cstheme="minorHAnsi"/>
        </w:rPr>
      </w:pPr>
      <w:r>
        <w:rPr>
          <w:rFonts w:asciiTheme="minorHAnsi" w:hAnsiTheme="minorHAnsi" w:cstheme="minorHAnsi"/>
        </w:rPr>
        <w:t>K 30.09.2014</w:t>
      </w:r>
      <w:r w:rsidRPr="002B6BB8">
        <w:rPr>
          <w:rFonts w:asciiTheme="minorHAnsi" w:hAnsiTheme="minorHAnsi" w:cstheme="minorHAnsi"/>
        </w:rPr>
        <w:t xml:space="preserve"> b</w:t>
      </w:r>
      <w:r>
        <w:rPr>
          <w:rFonts w:asciiTheme="minorHAnsi" w:hAnsiTheme="minorHAnsi" w:cstheme="minorHAnsi"/>
        </w:rPr>
        <w:t>ylo v  MSK registrováno celkem 4 782</w:t>
      </w:r>
      <w:r w:rsidRPr="002B6BB8">
        <w:rPr>
          <w:rFonts w:asciiTheme="minorHAnsi" w:hAnsiTheme="minorHAnsi" w:cstheme="minorHAnsi"/>
        </w:rPr>
        <w:t xml:space="preserve"> nezaměstnaných absolventů</w:t>
      </w:r>
      <w:r>
        <w:rPr>
          <w:rFonts w:asciiTheme="minorHAnsi" w:hAnsiTheme="minorHAnsi" w:cstheme="minorHAnsi"/>
        </w:rPr>
        <w:t xml:space="preserve"> škol a mladistvých, tj. o 1 276 (-21,1 %) méně</w:t>
      </w:r>
      <w:r w:rsidRPr="002B6BB8">
        <w:rPr>
          <w:rFonts w:asciiTheme="minorHAnsi" w:hAnsiTheme="minorHAnsi" w:cstheme="minorHAnsi"/>
        </w:rPr>
        <w:t xml:space="preserve"> než před dvanácti měsíci. Jejich loňský kulm</w:t>
      </w:r>
      <w:r>
        <w:rPr>
          <w:rFonts w:asciiTheme="minorHAnsi" w:hAnsiTheme="minorHAnsi" w:cstheme="minorHAnsi"/>
        </w:rPr>
        <w:t>inační stav (5 760) jsme zaznamenali v lednu</w:t>
      </w:r>
      <w:r w:rsidRPr="002B6BB8">
        <w:rPr>
          <w:rFonts w:asciiTheme="minorHAnsi" w:hAnsiTheme="minorHAnsi" w:cstheme="minorHAnsi"/>
        </w:rPr>
        <w:t xml:space="preserve"> a p</w:t>
      </w:r>
      <w:r>
        <w:rPr>
          <w:rFonts w:asciiTheme="minorHAnsi" w:hAnsiTheme="minorHAnsi" w:cstheme="minorHAnsi"/>
        </w:rPr>
        <w:t>růměrně měsíčně jsme v roce 2014 evidovali 4 409</w:t>
      </w:r>
      <w:r w:rsidRPr="002B6BB8">
        <w:rPr>
          <w:rFonts w:asciiTheme="minorHAnsi" w:hAnsiTheme="minorHAnsi" w:cstheme="minorHAnsi"/>
        </w:rPr>
        <w:t xml:space="preserve"> absolven</w:t>
      </w:r>
      <w:r>
        <w:rPr>
          <w:rFonts w:asciiTheme="minorHAnsi" w:hAnsiTheme="minorHAnsi" w:cstheme="minorHAnsi"/>
        </w:rPr>
        <w:t>tů a mladistvých, což je o 768 méně</w:t>
      </w:r>
      <w:r w:rsidRPr="002B6BB8">
        <w:rPr>
          <w:rFonts w:asciiTheme="minorHAnsi" w:hAnsiTheme="minorHAnsi" w:cstheme="minorHAnsi"/>
        </w:rPr>
        <w:t xml:space="preserve"> než v p</w:t>
      </w:r>
      <w:r>
        <w:rPr>
          <w:rFonts w:asciiTheme="minorHAnsi" w:hAnsiTheme="minorHAnsi" w:cstheme="minorHAnsi"/>
        </w:rPr>
        <w:t>ředchozím roce. Koncem roku 2014</w:t>
      </w:r>
      <w:r w:rsidRPr="002B6BB8">
        <w:rPr>
          <w:rFonts w:asciiTheme="minorHAnsi" w:hAnsiTheme="minorHAnsi" w:cstheme="minorHAnsi"/>
        </w:rPr>
        <w:t xml:space="preserve"> jich </w:t>
      </w:r>
      <w:r>
        <w:rPr>
          <w:rFonts w:asciiTheme="minorHAnsi" w:hAnsiTheme="minorHAnsi" w:cstheme="minorHAnsi"/>
        </w:rPr>
        <w:t>registrovala KrP v Ostravě 3 909</w:t>
      </w:r>
      <w:r w:rsidRPr="002B6BB8">
        <w:rPr>
          <w:rFonts w:asciiTheme="minorHAnsi" w:hAnsiTheme="minorHAnsi" w:cstheme="minorHAnsi"/>
        </w:rPr>
        <w:t xml:space="preserve"> a na celkové nezaměstnanosti v MSK</w:t>
      </w:r>
      <w:r>
        <w:rPr>
          <w:rFonts w:asciiTheme="minorHAnsi" w:hAnsiTheme="minorHAnsi" w:cstheme="minorHAnsi"/>
        </w:rPr>
        <w:t xml:space="preserve"> se tito mladí lidé podíleli 4,7</w:t>
      </w:r>
      <w:r w:rsidRPr="002B6BB8">
        <w:rPr>
          <w:rFonts w:asciiTheme="minorHAnsi" w:hAnsiTheme="minorHAnsi" w:cstheme="minorHAnsi"/>
        </w:rPr>
        <w:t xml:space="preserve"> %, </w:t>
      </w:r>
      <w:r>
        <w:rPr>
          <w:rFonts w:asciiTheme="minorHAnsi" w:hAnsiTheme="minorHAnsi" w:cstheme="minorHAnsi"/>
        </w:rPr>
        <w:t>což je v meziročním srovnání o 1,8 procentního bodu méně</w:t>
      </w:r>
      <w:r w:rsidRPr="002B6BB8">
        <w:rPr>
          <w:rFonts w:asciiTheme="minorHAnsi" w:hAnsiTheme="minorHAnsi" w:cstheme="minorHAnsi"/>
        </w:rPr>
        <w:t xml:space="preserve">. </w:t>
      </w: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Souhrnně za všechny vzdělanostní kategorie s vyšším než základním v</w:t>
      </w:r>
      <w:r>
        <w:rPr>
          <w:rFonts w:asciiTheme="minorHAnsi" w:hAnsiTheme="minorHAnsi" w:cstheme="minorHAnsi"/>
        </w:rPr>
        <w:t>zděláním byli v MSK k 30.09.2014</w:t>
      </w:r>
      <w:r w:rsidRPr="002B6BB8">
        <w:rPr>
          <w:rFonts w:asciiTheme="minorHAnsi" w:hAnsiTheme="minorHAnsi" w:cstheme="minorHAnsi"/>
        </w:rPr>
        <w:t xml:space="preserve"> nejvíce evidováni absolventi </w:t>
      </w:r>
      <w:r>
        <w:rPr>
          <w:rFonts w:asciiTheme="minorHAnsi" w:hAnsiTheme="minorHAnsi" w:cstheme="minorHAnsi"/>
        </w:rPr>
        <w:t>oborů ekonomika a management, kadeřník, kuchař-číšník, týkalo se to rovněž obchodní akademie, hospodářské politiky a správy, podnikání a gymnázií. Dále se jednalo o informační technologie, hotelnictví a obory zedník, instalatér, mechanik opravář motorových vozidel, stravovací a ubytovací služby.</w:t>
      </w:r>
    </w:p>
    <w:p w:rsidR="00B97902" w:rsidRPr="002B6BB8" w:rsidRDefault="00B97902" w:rsidP="00B97902">
      <w:pPr>
        <w:pStyle w:val="Zkladntextodsazen"/>
        <w:ind w:firstLine="708"/>
        <w:rPr>
          <w:rFonts w:asciiTheme="minorHAnsi" w:hAnsiTheme="minorHAnsi" w:cstheme="minorHAnsi"/>
        </w:rPr>
      </w:pPr>
      <w:r w:rsidRPr="002B6BB8">
        <w:rPr>
          <w:rFonts w:asciiTheme="minorHAnsi" w:hAnsiTheme="minorHAnsi" w:cstheme="minorHAnsi"/>
        </w:rPr>
        <w:t>Důležitou úlohu při omezování nerovnováhy mezi nabídkou a poptávkou na moravskoslezském trhu práce a v prevenci nezaměstnanosti plní IPS - bezplatně poskytuje informační a poradenské služby všem zájemcům o studium, kteří chtějí získat kvalifikaci, zvýšit si ji nebo zvažují svou dosavadní kvalifikaci změnit. IPS při poskytování svých služeb velmi úzce spolupracuje se základními a středními školami i s ostatními sociálními partnery. Tato střediska nabízejí individuální a skupinové poradenství žákům základních a středních škol při hledání studijního, učebního a profesního zaměření a aktuálně informují žáky, rodiče i zájemce z řad dospělých o možnostech profesního vzdělávání na všech typech a skupinách škol, ale i o rekvalifikačních kurzech, zaměstnavatelích a o celkovém vývoji a situaci na trhu práce. Zájem o služby zabezpečované IPS je dlouhodobě vysoký, což svědčí o to</w:t>
      </w:r>
      <w:r>
        <w:rPr>
          <w:rFonts w:asciiTheme="minorHAnsi" w:hAnsiTheme="minorHAnsi" w:cstheme="minorHAnsi"/>
        </w:rPr>
        <w:t>m, že jejich aktivity získaly a </w:t>
      </w:r>
      <w:r w:rsidRPr="002B6BB8">
        <w:rPr>
          <w:rFonts w:asciiTheme="minorHAnsi" w:hAnsiTheme="minorHAnsi" w:cstheme="minorHAnsi"/>
        </w:rPr>
        <w:t>stále si udržují mezi veřejností našeho kraje velice pozitivní odezvu. K tomu se IPS v MSK podílí v rámci spolupráce se všemi kraji ČR na metodice ohledně zadávání dat apod. do informačního systému včetně různých dotazů.</w:t>
      </w:r>
    </w:p>
    <w:p w:rsidR="00B97902" w:rsidRPr="002B6BB8" w:rsidRDefault="00B97902" w:rsidP="00B97902">
      <w:pPr>
        <w:rPr>
          <w:rFonts w:asciiTheme="minorHAnsi" w:hAnsiTheme="minorHAnsi" w:cstheme="minorHAnsi"/>
          <w:sz w:val="24"/>
        </w:rPr>
      </w:pPr>
    </w:p>
    <w:p w:rsidR="00B97902" w:rsidRPr="002B6BB8" w:rsidRDefault="00B97902" w:rsidP="00B97902">
      <w:pPr>
        <w:pStyle w:val="Nadpis6"/>
        <w:rPr>
          <w:rFonts w:asciiTheme="minorHAnsi" w:hAnsiTheme="minorHAnsi" w:cstheme="minorHAnsi"/>
        </w:rPr>
      </w:pPr>
      <w:r w:rsidRPr="002B6BB8">
        <w:rPr>
          <w:rFonts w:asciiTheme="minorHAnsi" w:hAnsiTheme="minorHAnsi" w:cstheme="minorHAnsi"/>
        </w:rPr>
        <w:t>4.2 Uchazeči o zaměstnání se zdravotním postižením</w:t>
      </w:r>
    </w:p>
    <w:p w:rsidR="00B97902" w:rsidRPr="002B6BB8" w:rsidRDefault="00B97902" w:rsidP="00B97902">
      <w:pPr>
        <w:rPr>
          <w:rFonts w:asciiTheme="minorHAnsi" w:hAnsiTheme="minorHAnsi" w:cstheme="minorHAnsi"/>
          <w:sz w:val="24"/>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 xml:space="preserve">Mezi nejhůře uplatnitelné skupiny </w:t>
      </w:r>
      <w:r>
        <w:rPr>
          <w:rFonts w:asciiTheme="minorHAnsi" w:hAnsiTheme="minorHAnsi" w:cstheme="minorHAnsi"/>
        </w:rPr>
        <w:t xml:space="preserve">osob </w:t>
      </w:r>
      <w:r w:rsidRPr="002B6BB8">
        <w:rPr>
          <w:rFonts w:asciiTheme="minorHAnsi" w:hAnsiTheme="minorHAnsi" w:cstheme="minorHAnsi"/>
        </w:rPr>
        <w:t>na trhu práce se po mnoho let řadí především OZP. Evidenční stav těchto zdravotně handicapovaných občanů je v našem kraji z celé ČR dlouhodob</w:t>
      </w:r>
      <w:r>
        <w:rPr>
          <w:rFonts w:asciiTheme="minorHAnsi" w:hAnsiTheme="minorHAnsi" w:cstheme="minorHAnsi"/>
        </w:rPr>
        <w:t>ě nejvyšší. Koncem prosince 2014 jsme registrovali celkem 8 759</w:t>
      </w:r>
      <w:r w:rsidRPr="002B6BB8">
        <w:rPr>
          <w:rFonts w:asciiTheme="minorHAnsi" w:hAnsiTheme="minorHAnsi" w:cstheme="minorHAnsi"/>
        </w:rPr>
        <w:t xml:space="preserve"> těchto uchazečů, </w:t>
      </w:r>
      <w:r>
        <w:rPr>
          <w:rFonts w:asciiTheme="minorHAnsi" w:hAnsiTheme="minorHAnsi" w:cstheme="minorHAnsi"/>
        </w:rPr>
        <w:t>což je o 94 (-1,1</w:t>
      </w:r>
      <w:r w:rsidRPr="002B6BB8">
        <w:rPr>
          <w:rFonts w:asciiTheme="minorHAnsi" w:hAnsiTheme="minorHAnsi" w:cstheme="minorHAnsi"/>
        </w:rPr>
        <w:t xml:space="preserve"> %) méně než v závěru předchozího roku. Jejich podíl na celkové nez</w:t>
      </w:r>
      <w:r>
        <w:rPr>
          <w:rFonts w:asciiTheme="minorHAnsi" w:hAnsiTheme="minorHAnsi" w:cstheme="minorHAnsi"/>
        </w:rPr>
        <w:t>aměstnanosti se i z důvodu snížení</w:t>
      </w:r>
      <w:r w:rsidRPr="002B6BB8">
        <w:rPr>
          <w:rFonts w:asciiTheme="minorHAnsi" w:hAnsiTheme="minorHAnsi" w:cstheme="minorHAnsi"/>
        </w:rPr>
        <w:t xml:space="preserve"> celkového stavu UoZ ve sr</w:t>
      </w:r>
      <w:r>
        <w:rPr>
          <w:rFonts w:asciiTheme="minorHAnsi" w:hAnsiTheme="minorHAnsi" w:cstheme="minorHAnsi"/>
        </w:rPr>
        <w:t>ovnání s předchozím rokem zvýšil, a to na 10,4</w:t>
      </w:r>
      <w:r w:rsidRPr="002B6BB8">
        <w:rPr>
          <w:rFonts w:asciiTheme="minorHAnsi" w:hAnsiTheme="minorHAnsi" w:cstheme="minorHAnsi"/>
        </w:rPr>
        <w:t xml:space="preserve"> %. Ve srovnání s celorepublikovým průměrem je to tudíž </w:t>
      </w:r>
      <w:r>
        <w:rPr>
          <w:rFonts w:asciiTheme="minorHAnsi" w:hAnsiTheme="minorHAnsi" w:cstheme="minorHAnsi"/>
        </w:rPr>
        <w:t>o 0,9</w:t>
      </w:r>
      <w:r w:rsidRPr="002B6BB8">
        <w:rPr>
          <w:rFonts w:asciiTheme="minorHAnsi" w:hAnsiTheme="minorHAnsi" w:cstheme="minorHAnsi"/>
        </w:rPr>
        <w:t xml:space="preserve"> procentního bod</w:t>
      </w:r>
      <w:r>
        <w:rPr>
          <w:rFonts w:asciiTheme="minorHAnsi" w:hAnsiTheme="minorHAnsi" w:cstheme="minorHAnsi"/>
        </w:rPr>
        <w:t>u méně, ten byl v závěru roku 11,3</w:t>
      </w:r>
      <w:r w:rsidRPr="002B6BB8">
        <w:rPr>
          <w:rFonts w:asciiTheme="minorHAnsi" w:hAnsiTheme="minorHAnsi" w:cstheme="minorHAnsi"/>
        </w:rPr>
        <w:t xml:space="preserve"> % z celkového počtu UoZ. V našem kraji tento průměr nejvíce převyšuje </w:t>
      </w:r>
      <w:r>
        <w:rPr>
          <w:rFonts w:asciiTheme="minorHAnsi" w:hAnsiTheme="minorHAnsi" w:cstheme="minorHAnsi"/>
        </w:rPr>
        <w:t>okres Frýdek-Místek s podílem 12,6</w:t>
      </w:r>
      <w:r w:rsidRPr="002B6BB8">
        <w:rPr>
          <w:rFonts w:asciiTheme="minorHAnsi" w:hAnsiTheme="minorHAnsi" w:cstheme="minorHAnsi"/>
        </w:rPr>
        <w:t xml:space="preserve"> % OZP ze všech jejich evidovaných UoZ.</w:t>
      </w:r>
    </w:p>
    <w:p w:rsidR="00B97902" w:rsidRPr="002B6BB8" w:rsidRDefault="00B97902" w:rsidP="00B97902">
      <w:pPr>
        <w:pStyle w:val="Zkladntextodsazen"/>
        <w:rPr>
          <w:rFonts w:asciiTheme="minorHAnsi" w:hAnsiTheme="minorHAnsi" w:cstheme="minorHAnsi"/>
        </w:rPr>
      </w:pPr>
    </w:p>
    <w:p w:rsidR="00B97902" w:rsidRPr="002B6BB8" w:rsidRDefault="00B97902" w:rsidP="00B97902">
      <w:pPr>
        <w:rPr>
          <w:rFonts w:asciiTheme="minorHAnsi" w:hAnsiTheme="minorHAnsi" w:cstheme="minorHAnsi"/>
          <w:sz w:val="24"/>
        </w:rPr>
      </w:pPr>
      <w:r w:rsidRPr="002B6BB8">
        <w:rPr>
          <w:rFonts w:asciiTheme="minorHAnsi" w:hAnsiTheme="minorHAnsi" w:cstheme="minorHAnsi"/>
          <w:b/>
          <w:sz w:val="24"/>
        </w:rPr>
        <w:t>Tabulka III/7</w:t>
      </w:r>
      <w:r w:rsidRPr="002B6BB8">
        <w:rPr>
          <w:rFonts w:asciiTheme="minorHAnsi" w:hAnsiTheme="minorHAnsi" w:cstheme="minorHAnsi"/>
          <w:sz w:val="24"/>
        </w:rPr>
        <w:t xml:space="preserve"> - Vývoj počtu evidovaných uchazečů o zaměstnání - OZP</w:t>
      </w:r>
    </w:p>
    <w:tbl>
      <w:tblPr>
        <w:tblW w:w="937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1843"/>
        <w:gridCol w:w="2003"/>
        <w:gridCol w:w="1134"/>
        <w:gridCol w:w="850"/>
      </w:tblGrid>
      <w:tr w:rsidR="00B97902" w:rsidRPr="002B6BB8" w:rsidTr="00027ABA">
        <w:trPr>
          <w:cantSplit/>
        </w:trPr>
        <w:tc>
          <w:tcPr>
            <w:tcW w:w="3544" w:type="dxa"/>
            <w:vMerge w:val="restart"/>
            <w:tcBorders>
              <w:top w:val="single" w:sz="12" w:space="0" w:color="000000"/>
              <w:left w:val="single" w:sz="12"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ukazatel</w:t>
            </w:r>
          </w:p>
        </w:tc>
        <w:tc>
          <w:tcPr>
            <w:tcW w:w="3846" w:type="dxa"/>
            <w:gridSpan w:val="2"/>
            <w:tcBorders>
              <w:top w:val="single" w:sz="12" w:space="0" w:color="000000"/>
            </w:tcBorders>
          </w:tcPr>
          <w:p w:rsidR="00B97902" w:rsidRPr="002B6BB8" w:rsidRDefault="00B97902" w:rsidP="00027ABA">
            <w:pPr>
              <w:jc w:val="center"/>
              <w:rPr>
                <w:rFonts w:asciiTheme="minorHAnsi" w:hAnsiTheme="minorHAnsi" w:cstheme="minorHAnsi"/>
                <w:sz w:val="24"/>
              </w:rPr>
            </w:pPr>
            <w:r w:rsidRPr="002B6BB8">
              <w:rPr>
                <w:rFonts w:asciiTheme="minorHAnsi" w:hAnsiTheme="minorHAnsi" w:cstheme="minorHAnsi"/>
                <w:sz w:val="24"/>
              </w:rPr>
              <w:t>stav k</w:t>
            </w:r>
          </w:p>
        </w:tc>
        <w:tc>
          <w:tcPr>
            <w:tcW w:w="1984" w:type="dxa"/>
            <w:gridSpan w:val="2"/>
            <w:tcBorders>
              <w:top w:val="single" w:sz="12" w:space="0" w:color="000000"/>
              <w:right w:val="single" w:sz="12" w:space="0" w:color="000000"/>
            </w:tcBorders>
          </w:tcPr>
          <w:p w:rsidR="00B97902" w:rsidRPr="002B6BB8" w:rsidRDefault="00B97902" w:rsidP="00027ABA">
            <w:pPr>
              <w:jc w:val="center"/>
              <w:rPr>
                <w:rFonts w:asciiTheme="minorHAnsi" w:hAnsiTheme="minorHAnsi" w:cstheme="minorHAnsi"/>
                <w:sz w:val="24"/>
              </w:rPr>
            </w:pPr>
            <w:r>
              <w:rPr>
                <w:rFonts w:asciiTheme="minorHAnsi" w:hAnsiTheme="minorHAnsi" w:cstheme="minorHAnsi"/>
                <w:sz w:val="24"/>
              </w:rPr>
              <w:t>12/2014</w:t>
            </w:r>
            <w:r w:rsidRPr="002B6BB8">
              <w:rPr>
                <w:rFonts w:asciiTheme="minorHAnsi" w:hAnsiTheme="minorHAnsi" w:cstheme="minorHAnsi"/>
                <w:sz w:val="24"/>
              </w:rPr>
              <w:t xml:space="preserve"> - 12/201</w:t>
            </w:r>
            <w:r>
              <w:rPr>
                <w:rFonts w:asciiTheme="minorHAnsi" w:hAnsiTheme="minorHAnsi" w:cstheme="minorHAnsi"/>
                <w:sz w:val="24"/>
              </w:rPr>
              <w:t>3</w:t>
            </w:r>
          </w:p>
        </w:tc>
      </w:tr>
      <w:tr w:rsidR="00B97902" w:rsidRPr="002B6BB8" w:rsidTr="00027ABA">
        <w:trPr>
          <w:cantSplit/>
        </w:trPr>
        <w:tc>
          <w:tcPr>
            <w:tcW w:w="3544" w:type="dxa"/>
            <w:vMerge/>
            <w:tcBorders>
              <w:top w:val="nil"/>
              <w:left w:val="single" w:sz="12" w:space="0" w:color="auto"/>
              <w:bottom w:val="nil"/>
              <w:right w:val="single" w:sz="12" w:space="0" w:color="auto"/>
            </w:tcBorders>
            <w:vAlign w:val="center"/>
          </w:tcPr>
          <w:p w:rsidR="00B97902" w:rsidRPr="002B6BB8" w:rsidRDefault="00B97902" w:rsidP="00027ABA">
            <w:pPr>
              <w:jc w:val="center"/>
              <w:rPr>
                <w:rFonts w:asciiTheme="minorHAnsi" w:hAnsiTheme="minorHAnsi" w:cstheme="minorHAnsi"/>
                <w:sz w:val="24"/>
              </w:rPr>
            </w:pPr>
          </w:p>
        </w:tc>
        <w:tc>
          <w:tcPr>
            <w:tcW w:w="1843" w:type="dxa"/>
            <w:tcBorders>
              <w:top w:val="single" w:sz="4" w:space="0" w:color="000000"/>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31.12.2013</w:t>
            </w:r>
          </w:p>
        </w:tc>
        <w:tc>
          <w:tcPr>
            <w:tcW w:w="2003" w:type="dxa"/>
            <w:tcBorders>
              <w:top w:val="single" w:sz="4" w:space="0" w:color="000000"/>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31.12.201</w:t>
            </w:r>
            <w:r>
              <w:rPr>
                <w:rFonts w:asciiTheme="minorHAnsi" w:hAnsiTheme="minorHAnsi" w:cstheme="minorHAnsi"/>
                <w:sz w:val="24"/>
                <w:szCs w:val="24"/>
              </w:rPr>
              <w:t>4</w:t>
            </w:r>
          </w:p>
        </w:tc>
        <w:tc>
          <w:tcPr>
            <w:tcW w:w="1134" w:type="dxa"/>
            <w:tcBorders>
              <w:top w:val="single" w:sz="4" w:space="0" w:color="000000"/>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absolutně</w:t>
            </w:r>
          </w:p>
        </w:tc>
        <w:tc>
          <w:tcPr>
            <w:tcW w:w="850" w:type="dxa"/>
            <w:tcBorders>
              <w:top w:val="single" w:sz="4" w:space="0" w:color="000000"/>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v %</w:t>
            </w:r>
          </w:p>
        </w:tc>
      </w:tr>
      <w:tr w:rsidR="00B97902" w:rsidRPr="002B6BB8" w:rsidTr="00027ABA">
        <w:tc>
          <w:tcPr>
            <w:tcW w:w="3544" w:type="dxa"/>
            <w:tcBorders>
              <w:top w:val="single" w:sz="12" w:space="0" w:color="auto"/>
              <w:left w:val="single" w:sz="12" w:space="0" w:color="auto"/>
              <w:bottom w:val="nil"/>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celkový počet evidovaných uchazečů - OZP</w:t>
            </w:r>
          </w:p>
        </w:tc>
        <w:tc>
          <w:tcPr>
            <w:tcW w:w="1843" w:type="dxa"/>
            <w:tcBorders>
              <w:top w:val="single" w:sz="12" w:space="0" w:color="auto"/>
              <w:left w:val="nil"/>
              <w:bottom w:val="nil"/>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8 853</w:t>
            </w:r>
          </w:p>
        </w:tc>
        <w:tc>
          <w:tcPr>
            <w:tcW w:w="2003" w:type="dxa"/>
            <w:tcBorders>
              <w:top w:val="single" w:sz="12" w:space="0" w:color="auto"/>
              <w:left w:val="nil"/>
              <w:bottom w:val="nil"/>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8 759</w:t>
            </w:r>
          </w:p>
        </w:tc>
        <w:tc>
          <w:tcPr>
            <w:tcW w:w="1134" w:type="dxa"/>
            <w:tcBorders>
              <w:top w:val="single" w:sz="12" w:space="0" w:color="auto"/>
              <w:bottom w:val="single" w:sz="4" w:space="0" w:color="auto"/>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-94</w:t>
            </w:r>
          </w:p>
        </w:tc>
        <w:tc>
          <w:tcPr>
            <w:tcW w:w="850" w:type="dxa"/>
            <w:tcBorders>
              <w:top w:val="single" w:sz="12" w:space="0" w:color="auto"/>
              <w:bottom w:val="single" w:sz="4" w:space="0" w:color="auto"/>
              <w:right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-1,1</w:t>
            </w:r>
          </w:p>
        </w:tc>
      </w:tr>
      <w:tr w:rsidR="00B97902" w:rsidRPr="002B6BB8" w:rsidTr="00027ABA">
        <w:tc>
          <w:tcPr>
            <w:tcW w:w="3544" w:type="dxa"/>
            <w:tcBorders>
              <w:left w:val="single" w:sz="12" w:space="0" w:color="auto"/>
              <w:bottom w:val="single" w:sz="12" w:space="0" w:color="000000"/>
              <w:right w:val="single" w:sz="12" w:space="0" w:color="auto"/>
            </w:tcBorders>
          </w:tcPr>
          <w:p w:rsidR="00B97902" w:rsidRPr="002B6BB8" w:rsidRDefault="00B97902" w:rsidP="00027ABA">
            <w:pPr>
              <w:rPr>
                <w:rFonts w:asciiTheme="minorHAnsi" w:hAnsiTheme="minorHAnsi" w:cstheme="minorHAnsi"/>
                <w:sz w:val="24"/>
              </w:rPr>
            </w:pPr>
            <w:r w:rsidRPr="002B6BB8">
              <w:rPr>
                <w:rFonts w:asciiTheme="minorHAnsi" w:hAnsiTheme="minorHAnsi" w:cstheme="minorHAnsi"/>
                <w:sz w:val="24"/>
              </w:rPr>
              <w:t>jejich podíl na celkovém stavu evidovaných uchazečů v %</w:t>
            </w:r>
          </w:p>
        </w:tc>
        <w:tc>
          <w:tcPr>
            <w:tcW w:w="1843" w:type="dxa"/>
            <w:tcBorders>
              <w:left w:val="nil"/>
              <w:bottom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sidRPr="002B6BB8">
              <w:rPr>
                <w:rFonts w:asciiTheme="minorHAnsi" w:hAnsiTheme="minorHAnsi" w:cstheme="minorHAnsi"/>
                <w:sz w:val="24"/>
                <w:szCs w:val="24"/>
              </w:rPr>
              <w:t>9,8</w:t>
            </w:r>
          </w:p>
        </w:tc>
        <w:tc>
          <w:tcPr>
            <w:tcW w:w="2003" w:type="dxa"/>
            <w:tcBorders>
              <w:left w:val="nil"/>
              <w:bottom w:val="single" w:sz="12" w:space="0" w:color="000000"/>
            </w:tcBorders>
            <w:vAlign w:val="center"/>
          </w:tcPr>
          <w:p w:rsidR="00B97902" w:rsidRPr="002B6BB8" w:rsidRDefault="00B97902" w:rsidP="00027ABA">
            <w:pPr>
              <w:jc w:val="center"/>
              <w:rPr>
                <w:rFonts w:asciiTheme="minorHAnsi" w:hAnsiTheme="minorHAnsi" w:cstheme="minorHAnsi"/>
                <w:sz w:val="24"/>
                <w:szCs w:val="24"/>
              </w:rPr>
            </w:pPr>
            <w:r>
              <w:rPr>
                <w:rFonts w:asciiTheme="minorHAnsi" w:hAnsiTheme="minorHAnsi" w:cstheme="minorHAnsi"/>
                <w:sz w:val="24"/>
                <w:szCs w:val="24"/>
              </w:rPr>
              <w:t>10,4</w:t>
            </w:r>
          </w:p>
        </w:tc>
        <w:tc>
          <w:tcPr>
            <w:tcW w:w="1134" w:type="dxa"/>
            <w:tcBorders>
              <w:bottom w:val="single" w:sz="12" w:space="0" w:color="000000"/>
            </w:tcBorders>
            <w:shd w:val="clear" w:color="auto" w:fill="C0C0C0"/>
            <w:vAlign w:val="center"/>
          </w:tcPr>
          <w:p w:rsidR="00B97902" w:rsidRPr="002B6BB8" w:rsidRDefault="00B97902" w:rsidP="00027ABA">
            <w:pPr>
              <w:jc w:val="center"/>
              <w:rPr>
                <w:rFonts w:asciiTheme="minorHAnsi" w:hAnsiTheme="minorHAnsi" w:cstheme="minorHAnsi"/>
                <w:sz w:val="24"/>
                <w:szCs w:val="24"/>
              </w:rPr>
            </w:pPr>
          </w:p>
        </w:tc>
        <w:tc>
          <w:tcPr>
            <w:tcW w:w="850" w:type="dxa"/>
            <w:tcBorders>
              <w:bottom w:val="single" w:sz="12" w:space="0" w:color="000000"/>
              <w:right w:val="single" w:sz="12" w:space="0" w:color="000000"/>
            </w:tcBorders>
            <w:shd w:val="clear" w:color="auto" w:fill="C0C0C0"/>
            <w:vAlign w:val="center"/>
          </w:tcPr>
          <w:p w:rsidR="00B97902" w:rsidRPr="002B6BB8" w:rsidRDefault="00B97902" w:rsidP="00027ABA">
            <w:pPr>
              <w:jc w:val="center"/>
              <w:rPr>
                <w:rFonts w:asciiTheme="minorHAnsi" w:hAnsiTheme="minorHAnsi" w:cstheme="minorHAnsi"/>
                <w:sz w:val="24"/>
                <w:szCs w:val="24"/>
              </w:rPr>
            </w:pPr>
          </w:p>
        </w:tc>
      </w:tr>
    </w:tbl>
    <w:p w:rsidR="00B97902" w:rsidRPr="002B6BB8" w:rsidRDefault="00B97902" w:rsidP="00B97902">
      <w:pPr>
        <w:ind w:firstLine="708"/>
        <w:jc w:val="both"/>
        <w:rPr>
          <w:rFonts w:asciiTheme="minorHAnsi" w:hAnsiTheme="minorHAnsi" w:cstheme="minorHAnsi"/>
          <w:sz w:val="24"/>
        </w:rPr>
      </w:pP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Při ztrátě zaměstnání přicházejí tyto osoby většinou ihned do evidence úřadu práce a stávají se „klasickými” představiteli dlouhodobé nezaměstnanosti, která je velmi často zbavuje motivace i potřebného sebevědomí. Někteří zdravotně znevýhodnění uchazeči se proto mnohdy z vlastní vůle spokojují se svými částečnými invalidními důchody nebo sociálními dávkami.</w:t>
      </w:r>
    </w:p>
    <w:p w:rsidR="00B97902" w:rsidRPr="002B6BB8" w:rsidRDefault="00B97902" w:rsidP="00B97902">
      <w:pPr>
        <w:pStyle w:val="Zkladntextodsazen"/>
        <w:rPr>
          <w:rFonts w:asciiTheme="minorHAnsi" w:hAnsiTheme="minorHAnsi" w:cstheme="minorHAnsi"/>
        </w:rPr>
      </w:pPr>
      <w:r w:rsidRPr="002B6BB8">
        <w:rPr>
          <w:rFonts w:asciiTheme="minorHAnsi" w:hAnsiTheme="minorHAnsi" w:cstheme="minorHAnsi"/>
        </w:rPr>
        <w:t>Možnosti vhodného pracovního uplatnění uchazečů o zaměstnání - OZP jsou v MSK trvale velmi mizivé, neboť počet VPM nahlášených zaměstnavateli a vhodných pro tyto handicapované osoby je dlouhodobě minimální. Průměrně měsíčn</w:t>
      </w:r>
      <w:r>
        <w:rPr>
          <w:rFonts w:asciiTheme="minorHAnsi" w:hAnsiTheme="minorHAnsi" w:cstheme="minorHAnsi"/>
        </w:rPr>
        <w:t>ě měla KrP v Ostravě v roce 2014</w:t>
      </w:r>
      <w:r w:rsidRPr="002B6BB8">
        <w:rPr>
          <w:rFonts w:asciiTheme="minorHAnsi" w:hAnsiTheme="minorHAnsi" w:cstheme="minorHAnsi"/>
        </w:rPr>
        <w:t xml:space="preserve"> v</w:t>
      </w:r>
      <w:r>
        <w:rPr>
          <w:rFonts w:asciiTheme="minorHAnsi" w:hAnsiTheme="minorHAnsi" w:cstheme="minorHAnsi"/>
        </w:rPr>
        <w:t> našem kraji k dispozici jen 385</w:t>
      </w:r>
      <w:r w:rsidRPr="002B6BB8">
        <w:rPr>
          <w:rFonts w:asciiTheme="minorHAnsi" w:hAnsiTheme="minorHAnsi" w:cstheme="minorHAnsi"/>
        </w:rPr>
        <w:t xml:space="preserve"> VPM vhodných pro uchazeče - OZP, </w:t>
      </w:r>
      <w:r>
        <w:rPr>
          <w:rFonts w:asciiTheme="minorHAnsi" w:hAnsiTheme="minorHAnsi" w:cstheme="minorHAnsi"/>
        </w:rPr>
        <w:t>i když meziročně je to o 12</w:t>
      </w:r>
      <w:r w:rsidRPr="002B6BB8">
        <w:rPr>
          <w:rFonts w:asciiTheme="minorHAnsi" w:hAnsiTheme="minorHAnsi" w:cstheme="minorHAnsi"/>
        </w:rPr>
        <w:t xml:space="preserve"> více. Na 1 VPM vhodné pro uchazeče o zaměstnání - OZP </w:t>
      </w:r>
      <w:r>
        <w:rPr>
          <w:rFonts w:asciiTheme="minorHAnsi" w:hAnsiTheme="minorHAnsi" w:cstheme="minorHAnsi"/>
        </w:rPr>
        <w:t>průměrně měsíčně připadalo až 22,8</w:t>
      </w:r>
      <w:r w:rsidRPr="002B6BB8">
        <w:rPr>
          <w:rFonts w:asciiTheme="minorHAnsi" w:hAnsiTheme="minorHAnsi" w:cstheme="minorHAnsi"/>
        </w:rPr>
        <w:t xml:space="preserve"> těchto osob. </w:t>
      </w: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Default="00B97902" w:rsidP="00B97902">
      <w:pPr>
        <w:pStyle w:val="Zkladntextodsazen"/>
        <w:rPr>
          <w:rFonts w:asciiTheme="minorHAnsi" w:hAnsiTheme="minorHAnsi" w:cstheme="minorHAnsi"/>
        </w:rPr>
      </w:pPr>
    </w:p>
    <w:p w:rsidR="00B97902" w:rsidRPr="002B6BB8" w:rsidRDefault="00B97902" w:rsidP="00B97902">
      <w:pPr>
        <w:pStyle w:val="Zkladntextodsazen"/>
        <w:rPr>
          <w:rFonts w:asciiTheme="minorHAnsi" w:hAnsiTheme="minorHAnsi" w:cstheme="minorHAnsi"/>
        </w:rPr>
      </w:pPr>
    </w:p>
    <w:p w:rsidR="00B97902" w:rsidRDefault="00B97902" w:rsidP="00B97902">
      <w:pPr>
        <w:pStyle w:val="Zkladntextodsazen"/>
        <w:ind w:firstLine="0"/>
      </w:pPr>
      <w:r>
        <w:rPr>
          <w:rFonts w:asciiTheme="minorHAnsi" w:hAnsiTheme="minorHAnsi" w:cstheme="minorHAnsi"/>
          <w:b/>
          <w:noProof/>
        </w:rPr>
        <w:drawing>
          <wp:anchor distT="0" distB="0" distL="114300" distR="114300" simplePos="0" relativeHeight="251662336" behindDoc="1" locked="0" layoutInCell="1" allowOverlap="1">
            <wp:simplePos x="0" y="0"/>
            <wp:positionH relativeFrom="column">
              <wp:posOffset>-43180</wp:posOffset>
            </wp:positionH>
            <wp:positionV relativeFrom="paragraph">
              <wp:posOffset>565785</wp:posOffset>
            </wp:positionV>
            <wp:extent cx="6056630" cy="5543550"/>
            <wp:effectExtent l="190500" t="152400" r="172720" b="133350"/>
            <wp:wrapTight wrapText="bothSides">
              <wp:wrapPolygon edited="0">
                <wp:start x="0" y="-594"/>
                <wp:lineTo x="-408" y="-371"/>
                <wp:lineTo x="-679" y="74"/>
                <wp:lineTo x="-679" y="21080"/>
                <wp:lineTo x="-408" y="21971"/>
                <wp:lineTo x="0" y="22120"/>
                <wp:lineTo x="21537" y="22120"/>
                <wp:lineTo x="21605" y="22120"/>
                <wp:lineTo x="21876" y="21971"/>
                <wp:lineTo x="21944" y="21971"/>
                <wp:lineTo x="22216" y="21080"/>
                <wp:lineTo x="22216" y="223"/>
                <wp:lineTo x="21876" y="-445"/>
                <wp:lineTo x="21537" y="-594"/>
                <wp:lineTo x="0" y="-594"/>
              </wp:wrapPolygon>
            </wp:wrapTight>
            <wp:docPr id="7" name="Obrázek 1" descr="OZ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P 2014.jpg"/>
                    <pic:cNvPicPr/>
                  </pic:nvPicPr>
                  <pic:blipFill>
                    <a:blip r:embed="rId22" cstate="print"/>
                    <a:stretch>
                      <a:fillRect/>
                    </a:stretch>
                  </pic:blipFill>
                  <pic:spPr>
                    <a:xfrm>
                      <a:off x="0" y="0"/>
                      <a:ext cx="6056630" cy="5543550"/>
                    </a:xfrm>
                    <a:prstGeom prst="rect">
                      <a:avLst/>
                    </a:prstGeom>
                    <a:ln>
                      <a:noFill/>
                    </a:ln>
                    <a:effectLst>
                      <a:outerShdw blurRad="190500" algn="tl" rotWithShape="0">
                        <a:srgbClr val="000000">
                          <a:alpha val="70000"/>
                        </a:srgbClr>
                      </a:outerShdw>
                    </a:effectLst>
                  </pic:spPr>
                </pic:pic>
              </a:graphicData>
            </a:graphic>
          </wp:anchor>
        </w:drawing>
      </w:r>
      <w:r w:rsidRPr="002B6BB8">
        <w:rPr>
          <w:rFonts w:asciiTheme="minorHAnsi" w:hAnsiTheme="minorHAnsi" w:cstheme="minorHAnsi"/>
          <w:b/>
        </w:rPr>
        <w:t>Mapa III/2</w:t>
      </w:r>
      <w:r w:rsidRPr="002B6BB8">
        <w:rPr>
          <w:rFonts w:asciiTheme="minorHAnsi" w:hAnsiTheme="minorHAnsi" w:cstheme="minorHAnsi"/>
        </w:rPr>
        <w:t xml:space="preserve"> - Podíl OZP na celkovém počtu uchazečů o zaměstnání v jednotlivých okresech MSK ke konci roku 201</w:t>
      </w:r>
      <w:r>
        <w:rPr>
          <w:rFonts w:asciiTheme="minorHAnsi" w:hAnsiTheme="minorHAnsi" w:cstheme="minorHAnsi"/>
        </w:rPr>
        <w:t>4</w:t>
      </w:r>
    </w:p>
    <w:p w:rsidR="00B97902" w:rsidRPr="002B6BB8" w:rsidRDefault="00B97902" w:rsidP="00B97902">
      <w:pPr>
        <w:pStyle w:val="Zkladntextodsazen"/>
        <w:ind w:firstLine="0"/>
        <w:rPr>
          <w:rFonts w:asciiTheme="minorHAnsi" w:hAnsiTheme="minorHAnsi" w:cstheme="minorHAnsi"/>
        </w:rPr>
      </w:pPr>
    </w:p>
    <w:p w:rsidR="00B97902" w:rsidRPr="002B6BB8" w:rsidRDefault="00B97902" w:rsidP="00B97902">
      <w:pPr>
        <w:rPr>
          <w:rFonts w:asciiTheme="minorHAnsi" w:hAnsiTheme="minorHAnsi" w:cstheme="minorHAnsi"/>
          <w:sz w:val="24"/>
          <w:szCs w:val="24"/>
        </w:rPr>
      </w:pPr>
    </w:p>
    <w:p w:rsidR="007C5FBA" w:rsidRPr="002B6BB8" w:rsidRDefault="00626926" w:rsidP="007C5FBA">
      <w:pPr>
        <w:jc w:val="both"/>
        <w:rPr>
          <w:rFonts w:asciiTheme="minorHAnsi" w:hAnsiTheme="minorHAnsi" w:cstheme="minorHAnsi"/>
          <w:sz w:val="24"/>
          <w:szCs w:val="24"/>
        </w:rPr>
      </w:pPr>
      <w:r>
        <w:rPr>
          <w:rFonts w:asciiTheme="minorHAnsi" w:hAnsiTheme="minorHAnsi" w:cstheme="minorHAnsi"/>
          <w:sz w:val="24"/>
          <w:szCs w:val="24"/>
        </w:rPr>
        <w:br w:type="page"/>
      </w:r>
      <w:r w:rsidR="007C5FBA" w:rsidRPr="002B6BB8">
        <w:rPr>
          <w:rFonts w:asciiTheme="minorHAnsi" w:hAnsiTheme="minorHAnsi" w:cstheme="minorHAnsi"/>
          <w:b/>
          <w:sz w:val="28"/>
          <w:szCs w:val="28"/>
        </w:rPr>
        <w:t xml:space="preserve">IV.  ZAHRANIČNÍ  ZAMĚSTNANOST </w:t>
      </w:r>
    </w:p>
    <w:p w:rsidR="007C5FBA" w:rsidRPr="002B6BB8" w:rsidRDefault="007C5FBA" w:rsidP="007C5FBA">
      <w:pPr>
        <w:rPr>
          <w:rFonts w:asciiTheme="minorHAnsi" w:hAnsiTheme="minorHAnsi" w:cstheme="minorHAnsi"/>
          <w:sz w:val="24"/>
          <w:szCs w:val="24"/>
        </w:rPr>
      </w:pPr>
    </w:p>
    <w:p w:rsidR="007C5FBA" w:rsidRPr="002B6BB8" w:rsidRDefault="007C5FBA" w:rsidP="007C5FBA">
      <w:pPr>
        <w:rPr>
          <w:rFonts w:asciiTheme="minorHAnsi" w:hAnsiTheme="minorHAnsi" w:cstheme="minorHAnsi"/>
          <w:b/>
          <w:i/>
          <w:sz w:val="24"/>
          <w:szCs w:val="24"/>
        </w:rPr>
      </w:pPr>
      <w:r w:rsidRPr="002B6BB8">
        <w:rPr>
          <w:rFonts w:asciiTheme="minorHAnsi" w:hAnsiTheme="minorHAnsi" w:cstheme="minorHAnsi"/>
          <w:b/>
          <w:i/>
          <w:sz w:val="24"/>
          <w:szCs w:val="24"/>
        </w:rPr>
        <w:t>1. Cizinci na trhu práce</w:t>
      </w:r>
    </w:p>
    <w:p w:rsidR="007C5FBA" w:rsidRPr="002B6BB8" w:rsidRDefault="007C5FBA" w:rsidP="007C5FBA">
      <w:pPr>
        <w:pStyle w:val="dka"/>
        <w:rPr>
          <w:rFonts w:asciiTheme="minorHAnsi" w:hAnsiTheme="minorHAnsi" w:cstheme="minorHAnsi"/>
          <w:b/>
          <w:color w:val="000000" w:themeColor="text1"/>
          <w:szCs w:val="24"/>
        </w:rPr>
      </w:pPr>
    </w:p>
    <w:p w:rsidR="007C5FBA" w:rsidRPr="002B6BB8" w:rsidRDefault="007C5FBA" w:rsidP="007C5FBA">
      <w:pPr>
        <w:ind w:firstLine="708"/>
        <w:jc w:val="both"/>
        <w:rPr>
          <w:rFonts w:asciiTheme="minorHAnsi" w:hAnsiTheme="minorHAnsi" w:cstheme="minorHAnsi"/>
          <w:snapToGrid w:val="0"/>
          <w:sz w:val="24"/>
        </w:rPr>
      </w:pPr>
      <w:r w:rsidRPr="002B6BB8">
        <w:rPr>
          <w:rFonts w:asciiTheme="minorHAnsi" w:hAnsiTheme="minorHAnsi" w:cstheme="minorHAnsi"/>
          <w:snapToGrid w:val="0"/>
          <w:sz w:val="24"/>
        </w:rPr>
        <w:t>Stav nezaměstnaných osob v MSK výrazně několikanásobně převyšuje počet registrovaných volných pracovních míst, přesto bylo i v roce</w:t>
      </w:r>
      <w:r>
        <w:rPr>
          <w:rFonts w:asciiTheme="minorHAnsi" w:hAnsiTheme="minorHAnsi" w:cstheme="minorHAnsi"/>
          <w:snapToGrid w:val="0"/>
          <w:sz w:val="24"/>
        </w:rPr>
        <w:t xml:space="preserve"> 2014</w:t>
      </w:r>
      <w:r w:rsidRPr="002B6BB8">
        <w:rPr>
          <w:rFonts w:asciiTheme="minorHAnsi" w:hAnsiTheme="minorHAnsi" w:cstheme="minorHAnsi"/>
          <w:snapToGrid w:val="0"/>
          <w:sz w:val="24"/>
        </w:rPr>
        <w:t xml:space="preserve"> pro některé zaměstnavatele obtížné obsadit volná pracovní místa občany ČR. V určitých profesích se projevuje nedostatek vhodných uchazečů o zaměstnání, a proto tento problém řeší firmy mimo jiné zaměstnáváním cizích státních příslušníků.</w:t>
      </w:r>
      <w:r>
        <w:rPr>
          <w:rFonts w:asciiTheme="minorHAnsi" w:hAnsiTheme="minorHAnsi" w:cstheme="minorHAnsi"/>
          <w:snapToGrid w:val="0"/>
          <w:sz w:val="24"/>
        </w:rPr>
        <w:t xml:space="preserve"> </w:t>
      </w:r>
      <w:r w:rsidRPr="00C3735E">
        <w:rPr>
          <w:rFonts w:asciiTheme="minorHAnsi" w:hAnsiTheme="minorHAnsi" w:cstheme="minorHAnsi"/>
          <w:sz w:val="24"/>
          <w:szCs w:val="24"/>
        </w:rPr>
        <w:t>Dne 24.6.2014 nabyl účinnost</w:t>
      </w:r>
      <w:r>
        <w:rPr>
          <w:rFonts w:asciiTheme="minorHAnsi" w:hAnsiTheme="minorHAnsi" w:cstheme="minorHAnsi"/>
          <w:sz w:val="24"/>
          <w:szCs w:val="24"/>
        </w:rPr>
        <w:t>i</w:t>
      </w:r>
      <w:r w:rsidRPr="00C3735E">
        <w:rPr>
          <w:rFonts w:asciiTheme="minorHAnsi" w:hAnsiTheme="minorHAnsi" w:cstheme="minorHAnsi"/>
          <w:sz w:val="24"/>
          <w:szCs w:val="24"/>
        </w:rPr>
        <w:t xml:space="preserve"> zákon č. 101/2014 Sb., který vychází z novelizace zákona č. 326/1999 Sb. o pobytu cizinců. Postup při zaměstnávání cizinců se zjednodušil, jak pro cizince, tak pro zaměstnavatele. Cizinec nově žádá o </w:t>
      </w:r>
      <w:r>
        <w:rPr>
          <w:rFonts w:asciiTheme="minorHAnsi" w:hAnsiTheme="minorHAnsi" w:cstheme="minorHAnsi"/>
          <w:sz w:val="24"/>
          <w:szCs w:val="24"/>
        </w:rPr>
        <w:t xml:space="preserve">zaměstnaneckou kartu </w:t>
      </w:r>
      <w:r w:rsidRPr="00C3735E">
        <w:rPr>
          <w:rFonts w:asciiTheme="minorHAnsi" w:hAnsiTheme="minorHAnsi" w:cstheme="minorHAnsi"/>
          <w:sz w:val="24"/>
          <w:szCs w:val="24"/>
        </w:rPr>
        <w:t>na zastupitelských úřadech nebo na MV ČR (odbor azylové a migračn</w:t>
      </w:r>
      <w:r>
        <w:rPr>
          <w:rFonts w:asciiTheme="minorHAnsi" w:hAnsiTheme="minorHAnsi" w:cstheme="minorHAnsi"/>
          <w:sz w:val="24"/>
          <w:szCs w:val="24"/>
        </w:rPr>
        <w:t>í politiky). Úřady práce provádějí</w:t>
      </w:r>
      <w:r w:rsidRPr="00C3735E">
        <w:rPr>
          <w:rFonts w:asciiTheme="minorHAnsi" w:hAnsiTheme="minorHAnsi" w:cstheme="minorHAnsi"/>
          <w:sz w:val="24"/>
          <w:szCs w:val="24"/>
        </w:rPr>
        <w:t xml:space="preserve"> v těchto případech pouze test trhu práce.</w:t>
      </w:r>
    </w:p>
    <w:p w:rsidR="007C5FBA" w:rsidRPr="002B6BB8" w:rsidRDefault="007C5FBA" w:rsidP="007C5FBA">
      <w:pPr>
        <w:ind w:firstLine="709"/>
        <w:jc w:val="both"/>
        <w:rPr>
          <w:rFonts w:asciiTheme="minorHAnsi" w:hAnsiTheme="minorHAnsi" w:cstheme="minorHAnsi"/>
          <w:snapToGrid w:val="0"/>
          <w:sz w:val="24"/>
        </w:rPr>
      </w:pPr>
      <w:r w:rsidRPr="002B6BB8">
        <w:rPr>
          <w:rFonts w:asciiTheme="minorHAnsi" w:hAnsiTheme="minorHAnsi" w:cstheme="minorHAnsi"/>
          <w:snapToGrid w:val="0"/>
          <w:sz w:val="24"/>
        </w:rPr>
        <w:t>Na konci roku 201</w:t>
      </w:r>
      <w:r>
        <w:rPr>
          <w:rFonts w:asciiTheme="minorHAnsi" w:hAnsiTheme="minorHAnsi" w:cstheme="minorHAnsi"/>
          <w:snapToGrid w:val="0"/>
          <w:sz w:val="24"/>
        </w:rPr>
        <w:t>4</w:t>
      </w:r>
      <w:r w:rsidRPr="002B6BB8">
        <w:rPr>
          <w:rFonts w:asciiTheme="minorHAnsi" w:hAnsiTheme="minorHAnsi" w:cstheme="minorHAnsi"/>
          <w:snapToGrid w:val="0"/>
          <w:sz w:val="24"/>
        </w:rPr>
        <w:t xml:space="preserve"> by</w:t>
      </w:r>
      <w:r>
        <w:rPr>
          <w:rFonts w:asciiTheme="minorHAnsi" w:hAnsiTheme="minorHAnsi" w:cstheme="minorHAnsi"/>
          <w:snapToGrid w:val="0"/>
          <w:sz w:val="24"/>
        </w:rPr>
        <w:t>lo v MSK evidováno celkem 15 615</w:t>
      </w:r>
      <w:r w:rsidRPr="002B6BB8">
        <w:rPr>
          <w:rFonts w:asciiTheme="minorHAnsi" w:hAnsiTheme="minorHAnsi" w:cstheme="minorHAnsi"/>
          <w:snapToGrid w:val="0"/>
          <w:sz w:val="24"/>
        </w:rPr>
        <w:t xml:space="preserve"> občanů </w:t>
      </w:r>
      <w:r>
        <w:rPr>
          <w:rFonts w:asciiTheme="minorHAnsi" w:hAnsiTheme="minorHAnsi" w:cstheme="minorHAnsi"/>
          <w:snapToGrid w:val="0"/>
          <w:sz w:val="24"/>
        </w:rPr>
        <w:t>EU/EHP a Švýcarska, z toho 9 573 (61,3</w:t>
      </w:r>
      <w:r w:rsidRPr="002B6BB8">
        <w:rPr>
          <w:rFonts w:asciiTheme="minorHAnsi" w:hAnsiTheme="minorHAnsi" w:cstheme="minorHAnsi"/>
          <w:snapToGrid w:val="0"/>
          <w:sz w:val="24"/>
        </w:rPr>
        <w:t xml:space="preserve"> %) občanů Slovenské republiky. V meziročním porovnání došlo u občanů EU/EHP a Švýcarska pracující</w:t>
      </w:r>
      <w:r>
        <w:rPr>
          <w:rFonts w:asciiTheme="minorHAnsi" w:hAnsiTheme="minorHAnsi" w:cstheme="minorHAnsi"/>
          <w:snapToGrid w:val="0"/>
          <w:sz w:val="24"/>
        </w:rPr>
        <w:t>ch v MSK k jejich navýšení o 839</w:t>
      </w:r>
      <w:r w:rsidRPr="002B6BB8">
        <w:rPr>
          <w:rFonts w:asciiTheme="minorHAnsi" w:hAnsiTheme="minorHAnsi" w:cstheme="minorHAnsi"/>
          <w:snapToGrid w:val="0"/>
          <w:sz w:val="24"/>
        </w:rPr>
        <w:t xml:space="preserve"> (+</w:t>
      </w:r>
      <w:r>
        <w:rPr>
          <w:rFonts w:asciiTheme="minorHAnsi" w:hAnsiTheme="minorHAnsi" w:cstheme="minorHAnsi"/>
          <w:snapToGrid w:val="0"/>
          <w:sz w:val="24"/>
        </w:rPr>
        <w:t>5</w:t>
      </w:r>
      <w:r w:rsidRPr="002B6BB8">
        <w:rPr>
          <w:rFonts w:asciiTheme="minorHAnsi" w:hAnsiTheme="minorHAnsi" w:cstheme="minorHAnsi"/>
          <w:snapToGrid w:val="0"/>
          <w:sz w:val="24"/>
        </w:rPr>
        <w:t>,7 %) osob. Největší změny počtů občanů zaznamenaly země, které mají v MSK tradičně silné zastoupení, a to Slovensko</w:t>
      </w:r>
      <w:r>
        <w:rPr>
          <w:rFonts w:asciiTheme="minorHAnsi" w:hAnsiTheme="minorHAnsi" w:cstheme="minorHAnsi"/>
          <w:snapToGrid w:val="0"/>
          <w:sz w:val="24"/>
        </w:rPr>
        <w:t xml:space="preserve"> (+422</w:t>
      </w:r>
      <w:r w:rsidRPr="002B6BB8">
        <w:rPr>
          <w:rFonts w:asciiTheme="minorHAnsi" w:hAnsiTheme="minorHAnsi" w:cstheme="minorHAnsi"/>
          <w:snapToGrid w:val="0"/>
          <w:sz w:val="24"/>
        </w:rPr>
        <w:t xml:space="preserve"> osob) a Polsko</w:t>
      </w:r>
      <w:r>
        <w:rPr>
          <w:rFonts w:asciiTheme="minorHAnsi" w:hAnsiTheme="minorHAnsi" w:cstheme="minorHAnsi"/>
          <w:snapToGrid w:val="0"/>
          <w:sz w:val="24"/>
        </w:rPr>
        <w:t xml:space="preserve"> (+244</w:t>
      </w:r>
      <w:r w:rsidRPr="002B6BB8">
        <w:rPr>
          <w:rFonts w:asciiTheme="minorHAnsi" w:hAnsiTheme="minorHAnsi" w:cstheme="minorHAnsi"/>
          <w:snapToGrid w:val="0"/>
          <w:sz w:val="24"/>
        </w:rPr>
        <w:t xml:space="preserve"> osob). Nejčastěji tito lidé pracovali na pozicích horník a při obsluze důlních zařízení (převážně v okrese Karviná),</w:t>
      </w:r>
      <w:r w:rsidRPr="002B6BB8">
        <w:rPr>
          <w:rFonts w:asciiTheme="minorHAnsi" w:hAnsiTheme="minorHAnsi" w:cstheme="minorHAnsi"/>
          <w:snapToGrid w:val="0"/>
          <w:color w:val="FF0000"/>
          <w:sz w:val="24"/>
        </w:rPr>
        <w:t xml:space="preserve"> </w:t>
      </w:r>
      <w:r w:rsidRPr="002B6BB8">
        <w:rPr>
          <w:rFonts w:asciiTheme="minorHAnsi" w:hAnsiTheme="minorHAnsi" w:cstheme="minorHAnsi"/>
          <w:snapToGrid w:val="0"/>
          <w:sz w:val="24"/>
        </w:rPr>
        <w:t xml:space="preserve">jako </w:t>
      </w:r>
      <w:r>
        <w:rPr>
          <w:rFonts w:asciiTheme="minorHAnsi" w:hAnsiTheme="minorHAnsi" w:cstheme="minorHAnsi"/>
          <w:snapToGrid w:val="0"/>
          <w:sz w:val="24"/>
        </w:rPr>
        <w:t>nástrojař</w:t>
      </w:r>
      <w:r w:rsidRPr="002B6BB8">
        <w:rPr>
          <w:rFonts w:asciiTheme="minorHAnsi" w:hAnsiTheme="minorHAnsi" w:cstheme="minorHAnsi"/>
          <w:snapToGrid w:val="0"/>
          <w:sz w:val="24"/>
        </w:rPr>
        <w:t>, svářeč</w:t>
      </w:r>
      <w:r>
        <w:rPr>
          <w:rFonts w:asciiTheme="minorHAnsi" w:hAnsiTheme="minorHAnsi" w:cstheme="minorHAnsi"/>
          <w:snapToGrid w:val="0"/>
          <w:sz w:val="24"/>
        </w:rPr>
        <w:t xml:space="preserve">, </w:t>
      </w:r>
      <w:r w:rsidRPr="002B6BB8">
        <w:rPr>
          <w:rFonts w:asciiTheme="minorHAnsi" w:hAnsiTheme="minorHAnsi" w:cstheme="minorHAnsi"/>
          <w:snapToGrid w:val="0"/>
          <w:sz w:val="24"/>
        </w:rPr>
        <w:t>dělník v oblasti výstavby budov</w:t>
      </w:r>
      <w:r>
        <w:rPr>
          <w:rFonts w:asciiTheme="minorHAnsi" w:hAnsiTheme="minorHAnsi" w:cstheme="minorHAnsi"/>
          <w:snapToGrid w:val="0"/>
          <w:sz w:val="24"/>
        </w:rPr>
        <w:t xml:space="preserve"> a pomocný pracovník ve výrobě</w:t>
      </w:r>
      <w:r w:rsidRPr="002B6BB8">
        <w:rPr>
          <w:rFonts w:asciiTheme="minorHAnsi" w:hAnsiTheme="minorHAnsi" w:cstheme="minorHAnsi"/>
          <w:snapToGrid w:val="0"/>
          <w:sz w:val="24"/>
        </w:rPr>
        <w:t xml:space="preserve">. Dále se tito lidé uplatnili jako </w:t>
      </w:r>
      <w:r>
        <w:rPr>
          <w:rFonts w:asciiTheme="minorHAnsi" w:hAnsiTheme="minorHAnsi" w:cstheme="minorHAnsi"/>
          <w:snapToGrid w:val="0"/>
          <w:sz w:val="24"/>
        </w:rPr>
        <w:t xml:space="preserve">pěstitelé zemědělských plodin, zedníci, montážní dělníci, </w:t>
      </w:r>
      <w:r w:rsidRPr="002B6BB8">
        <w:rPr>
          <w:rFonts w:asciiTheme="minorHAnsi" w:hAnsiTheme="minorHAnsi" w:cstheme="minorHAnsi"/>
          <w:snapToGrid w:val="0"/>
          <w:sz w:val="24"/>
        </w:rPr>
        <w:t xml:space="preserve">specialisté v oblasti vzdělávání a rozvoje lidských zdrojů, </w:t>
      </w:r>
      <w:r>
        <w:rPr>
          <w:rFonts w:asciiTheme="minorHAnsi" w:hAnsiTheme="minorHAnsi" w:cstheme="minorHAnsi"/>
          <w:snapToGrid w:val="0"/>
          <w:sz w:val="24"/>
        </w:rPr>
        <w:t>učitelé na VŠ a systémoví administrátoři a správci počítačových sítí.</w:t>
      </w:r>
      <w:r w:rsidRPr="002B6BB8">
        <w:rPr>
          <w:rFonts w:asciiTheme="minorHAnsi" w:hAnsiTheme="minorHAnsi" w:cstheme="minorHAnsi"/>
          <w:snapToGrid w:val="0"/>
          <w:sz w:val="24"/>
        </w:rPr>
        <w:t xml:space="preserve"> </w:t>
      </w:r>
    </w:p>
    <w:p w:rsidR="007C5FBA" w:rsidRPr="002B6BB8" w:rsidRDefault="007C5FBA" w:rsidP="007C5FBA">
      <w:pPr>
        <w:ind w:firstLine="709"/>
        <w:jc w:val="both"/>
        <w:rPr>
          <w:rFonts w:asciiTheme="minorHAnsi" w:hAnsiTheme="minorHAnsi" w:cstheme="minorHAnsi"/>
          <w:snapToGrid w:val="0"/>
          <w:sz w:val="24"/>
        </w:rPr>
      </w:pPr>
      <w:r>
        <w:rPr>
          <w:rFonts w:asciiTheme="minorHAnsi" w:hAnsiTheme="minorHAnsi" w:cstheme="minorHAnsi"/>
          <w:snapToGrid w:val="0"/>
          <w:sz w:val="24"/>
        </w:rPr>
        <w:t>K 31.12.2014</w:t>
      </w:r>
      <w:r w:rsidRPr="002B6BB8">
        <w:rPr>
          <w:rFonts w:asciiTheme="minorHAnsi" w:hAnsiTheme="minorHAnsi" w:cstheme="minorHAnsi"/>
          <w:snapToGrid w:val="0"/>
          <w:sz w:val="24"/>
        </w:rPr>
        <w:t xml:space="preserve"> bylo v MSK rovn</w:t>
      </w:r>
      <w:r>
        <w:rPr>
          <w:rFonts w:asciiTheme="minorHAnsi" w:hAnsiTheme="minorHAnsi" w:cstheme="minorHAnsi"/>
          <w:snapToGrid w:val="0"/>
          <w:sz w:val="24"/>
        </w:rPr>
        <w:t>ěž legálně zaměstnáno celkem 470</w:t>
      </w:r>
      <w:r w:rsidRPr="002B6BB8">
        <w:rPr>
          <w:rFonts w:asciiTheme="minorHAnsi" w:hAnsiTheme="minorHAnsi" w:cstheme="minorHAnsi"/>
          <w:snapToGrid w:val="0"/>
          <w:sz w:val="24"/>
        </w:rPr>
        <w:t xml:space="preserve"> cizích státních příslušníků (z tohoto počtu nejvíce Korejců</w:t>
      </w:r>
      <w:r>
        <w:rPr>
          <w:rFonts w:asciiTheme="minorHAnsi" w:hAnsiTheme="minorHAnsi" w:cstheme="minorHAnsi"/>
          <w:snapToGrid w:val="0"/>
          <w:sz w:val="24"/>
        </w:rPr>
        <w:t>), kterých meziročně ubylo pouze 14 (-2,9 %)</w:t>
      </w:r>
      <w:r w:rsidRPr="002B6BB8">
        <w:rPr>
          <w:rFonts w:asciiTheme="minorHAnsi" w:hAnsiTheme="minorHAnsi" w:cstheme="minorHAnsi"/>
          <w:snapToGrid w:val="0"/>
          <w:sz w:val="24"/>
        </w:rPr>
        <w:t>.</w:t>
      </w:r>
      <w:r w:rsidRPr="002B6BB8">
        <w:rPr>
          <w:rFonts w:asciiTheme="minorHAnsi" w:hAnsiTheme="minorHAnsi" w:cstheme="minorHAnsi"/>
          <w:snapToGrid w:val="0"/>
          <w:color w:val="FF0000"/>
          <w:sz w:val="24"/>
        </w:rPr>
        <w:t xml:space="preserve"> </w:t>
      </w:r>
      <w:r>
        <w:rPr>
          <w:rFonts w:asciiTheme="minorHAnsi" w:hAnsiTheme="minorHAnsi" w:cstheme="minorHAnsi"/>
          <w:snapToGrid w:val="0"/>
          <w:sz w:val="24"/>
        </w:rPr>
        <w:t>Během roku 2014</w:t>
      </w:r>
      <w:r w:rsidRPr="002B6BB8">
        <w:rPr>
          <w:rFonts w:asciiTheme="minorHAnsi" w:hAnsiTheme="minorHAnsi" w:cstheme="minorHAnsi"/>
          <w:snapToGrid w:val="0"/>
          <w:sz w:val="24"/>
        </w:rPr>
        <w:t xml:space="preserve"> se dál</w:t>
      </w:r>
      <w:r>
        <w:rPr>
          <w:rFonts w:asciiTheme="minorHAnsi" w:hAnsiTheme="minorHAnsi" w:cstheme="minorHAnsi"/>
          <w:snapToGrid w:val="0"/>
          <w:sz w:val="24"/>
        </w:rPr>
        <w:t>e nejvíce snížil počet občanů Koreji (-55</w:t>
      </w:r>
      <w:r w:rsidRPr="002B6BB8">
        <w:rPr>
          <w:rFonts w:asciiTheme="minorHAnsi" w:hAnsiTheme="minorHAnsi" w:cstheme="minorHAnsi"/>
          <w:snapToGrid w:val="0"/>
          <w:sz w:val="24"/>
        </w:rPr>
        <w:t xml:space="preserve">), naopak největší nárůst zaznamenala </w:t>
      </w:r>
      <w:r>
        <w:rPr>
          <w:rFonts w:asciiTheme="minorHAnsi" w:hAnsiTheme="minorHAnsi" w:cstheme="minorHAnsi"/>
          <w:snapToGrid w:val="0"/>
          <w:sz w:val="24"/>
        </w:rPr>
        <w:t xml:space="preserve">Ukrajina (+34), Indie (+26) a Vietnam </w:t>
      </w:r>
      <w:r w:rsidRPr="002B6BB8">
        <w:rPr>
          <w:rFonts w:asciiTheme="minorHAnsi" w:hAnsiTheme="minorHAnsi" w:cstheme="minorHAnsi"/>
          <w:snapToGrid w:val="0"/>
          <w:sz w:val="24"/>
        </w:rPr>
        <w:t>(+</w:t>
      </w:r>
      <w:r>
        <w:rPr>
          <w:rFonts w:asciiTheme="minorHAnsi" w:hAnsiTheme="minorHAnsi" w:cstheme="minorHAnsi"/>
          <w:snapToGrid w:val="0"/>
          <w:sz w:val="24"/>
        </w:rPr>
        <w:t>14 osob</w:t>
      </w:r>
      <w:r w:rsidRPr="002B6BB8">
        <w:rPr>
          <w:rFonts w:asciiTheme="minorHAnsi" w:hAnsiTheme="minorHAnsi" w:cstheme="minorHAnsi"/>
          <w:snapToGrid w:val="0"/>
          <w:sz w:val="24"/>
        </w:rPr>
        <w:t>). Nejvíce těchto cizinců pracova</w:t>
      </w:r>
      <w:r>
        <w:rPr>
          <w:rFonts w:asciiTheme="minorHAnsi" w:hAnsiTheme="minorHAnsi" w:cstheme="minorHAnsi"/>
          <w:snapToGrid w:val="0"/>
          <w:sz w:val="24"/>
        </w:rPr>
        <w:t xml:space="preserve">lo mezi </w:t>
      </w:r>
      <w:r w:rsidRPr="002B6BB8">
        <w:rPr>
          <w:rFonts w:asciiTheme="minorHAnsi" w:hAnsiTheme="minorHAnsi" w:cstheme="minorHAnsi"/>
          <w:snapToGrid w:val="0"/>
          <w:sz w:val="24"/>
        </w:rPr>
        <w:t>řídící</w:t>
      </w:r>
      <w:r>
        <w:rPr>
          <w:rFonts w:asciiTheme="minorHAnsi" w:hAnsiTheme="minorHAnsi" w:cstheme="minorHAnsi"/>
          <w:snapToGrid w:val="0"/>
          <w:sz w:val="24"/>
        </w:rPr>
        <w:t>mi pracovníky a nejvyššími představiteli společností</w:t>
      </w:r>
      <w:r w:rsidRPr="002B6BB8">
        <w:rPr>
          <w:rFonts w:asciiTheme="minorHAnsi" w:hAnsiTheme="minorHAnsi" w:cstheme="minorHAnsi"/>
          <w:snapToGrid w:val="0"/>
          <w:sz w:val="24"/>
        </w:rPr>
        <w:t xml:space="preserve">, </w:t>
      </w:r>
      <w:r>
        <w:rPr>
          <w:rFonts w:asciiTheme="minorHAnsi" w:hAnsiTheme="minorHAnsi" w:cstheme="minorHAnsi"/>
          <w:snapToGrid w:val="0"/>
          <w:sz w:val="24"/>
        </w:rPr>
        <w:t xml:space="preserve">dále se uplatňovali jako </w:t>
      </w:r>
      <w:r w:rsidRPr="002B6BB8">
        <w:rPr>
          <w:rFonts w:asciiTheme="minorHAnsi" w:hAnsiTheme="minorHAnsi" w:cstheme="minorHAnsi"/>
          <w:snapToGrid w:val="0"/>
          <w:sz w:val="24"/>
        </w:rPr>
        <w:t xml:space="preserve">zedníci, </w:t>
      </w:r>
      <w:r>
        <w:rPr>
          <w:rFonts w:asciiTheme="minorHAnsi" w:hAnsiTheme="minorHAnsi" w:cstheme="minorHAnsi"/>
          <w:snapToGrid w:val="0"/>
          <w:sz w:val="24"/>
        </w:rPr>
        <w:t xml:space="preserve">svářeči, </w:t>
      </w:r>
      <w:r w:rsidRPr="002B6BB8">
        <w:rPr>
          <w:rFonts w:asciiTheme="minorHAnsi" w:hAnsiTheme="minorHAnsi" w:cstheme="minorHAnsi"/>
          <w:snapToGrid w:val="0"/>
          <w:sz w:val="24"/>
        </w:rPr>
        <w:t xml:space="preserve">horníci, kuchaři, </w:t>
      </w:r>
      <w:r>
        <w:rPr>
          <w:rFonts w:asciiTheme="minorHAnsi" w:hAnsiTheme="minorHAnsi" w:cstheme="minorHAnsi"/>
          <w:snapToGrid w:val="0"/>
          <w:sz w:val="24"/>
        </w:rPr>
        <w:t>betonáři, specialisté průmyslového inženýrství a pomocní pracovníci v rostlinné výrobě.</w:t>
      </w:r>
    </w:p>
    <w:p w:rsidR="007C5FBA" w:rsidRPr="002B6BB8" w:rsidRDefault="007C5FBA" w:rsidP="007C5FBA">
      <w:pPr>
        <w:ind w:firstLine="708"/>
        <w:jc w:val="both"/>
        <w:rPr>
          <w:rFonts w:asciiTheme="minorHAnsi" w:hAnsiTheme="minorHAnsi" w:cstheme="minorHAnsi"/>
          <w:snapToGrid w:val="0"/>
          <w:sz w:val="24"/>
        </w:rPr>
      </w:pPr>
      <w:r w:rsidRPr="002B6BB8">
        <w:rPr>
          <w:rFonts w:asciiTheme="minorHAnsi" w:hAnsiTheme="minorHAnsi" w:cstheme="minorHAnsi"/>
          <w:snapToGrid w:val="0"/>
          <w:sz w:val="24"/>
        </w:rPr>
        <w:t>Jako převažující důvody, kdy KrP v Ostravě povoluje v MSK zaměstnávání cizinců, lze uvést především nesplnění kvalifikačních požadavků českých uchazečů o zaměstnání a jejich nedostatečnou odbornou praxi a dále požadované specifické odborné a jazykové znalosti apod.</w:t>
      </w:r>
    </w:p>
    <w:p w:rsidR="007C5FBA" w:rsidRPr="002B6BB8" w:rsidRDefault="007C5FBA" w:rsidP="007C5FBA">
      <w:pPr>
        <w:pStyle w:val="dka"/>
        <w:rPr>
          <w:rFonts w:asciiTheme="minorHAnsi" w:hAnsiTheme="minorHAnsi" w:cstheme="minorHAnsi"/>
          <w:b/>
          <w:color w:val="auto"/>
        </w:rPr>
      </w:pPr>
    </w:p>
    <w:p w:rsidR="007C5FBA" w:rsidRPr="002B6BB8" w:rsidRDefault="007C5FBA" w:rsidP="007C5FBA">
      <w:pPr>
        <w:pStyle w:val="dka"/>
        <w:rPr>
          <w:rFonts w:asciiTheme="minorHAnsi" w:hAnsiTheme="minorHAnsi" w:cstheme="minorHAnsi"/>
          <w:color w:val="auto"/>
        </w:rPr>
      </w:pPr>
      <w:r w:rsidRPr="002B6BB8">
        <w:rPr>
          <w:rFonts w:asciiTheme="minorHAnsi" w:hAnsiTheme="minorHAnsi" w:cstheme="minorHAnsi"/>
          <w:b/>
          <w:color w:val="auto"/>
        </w:rPr>
        <w:t>Tabulka IV/1</w:t>
      </w:r>
      <w:r w:rsidRPr="002B6BB8">
        <w:rPr>
          <w:rFonts w:asciiTheme="minorHAnsi" w:hAnsiTheme="minorHAnsi" w:cstheme="minorHAnsi"/>
          <w:color w:val="auto"/>
        </w:rPr>
        <w:t xml:space="preserve"> - Zaměstnávání cizinců, evidence občanů EU/EHP a Švýcarska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1417"/>
        <w:gridCol w:w="1418"/>
        <w:gridCol w:w="1417"/>
        <w:gridCol w:w="1418"/>
      </w:tblGrid>
      <w:tr w:rsidR="007C5FBA" w:rsidRPr="002B6BB8" w:rsidTr="00027ABA">
        <w:trPr>
          <w:cantSplit/>
          <w:trHeight w:val="338"/>
        </w:trPr>
        <w:tc>
          <w:tcPr>
            <w:tcW w:w="3828" w:type="dxa"/>
            <w:vMerge w:val="restart"/>
            <w:tcBorders>
              <w:top w:val="single" w:sz="12" w:space="0" w:color="auto"/>
              <w:left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ukazatel (celkový počet)</w:t>
            </w:r>
          </w:p>
        </w:tc>
        <w:tc>
          <w:tcPr>
            <w:tcW w:w="2835" w:type="dxa"/>
            <w:gridSpan w:val="2"/>
            <w:tcBorders>
              <w:top w:val="single" w:sz="12" w:space="0" w:color="auto"/>
              <w:left w:val="nil"/>
              <w:bottom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stav k</w:t>
            </w:r>
          </w:p>
        </w:tc>
        <w:tc>
          <w:tcPr>
            <w:tcW w:w="2835" w:type="dxa"/>
            <w:gridSpan w:val="2"/>
            <w:tcBorders>
              <w:top w:val="single" w:sz="12" w:space="0" w:color="auto"/>
              <w:left w:val="nil"/>
              <w:bottom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12/2014</w:t>
            </w:r>
            <w:r w:rsidRPr="002B6BB8">
              <w:rPr>
                <w:rFonts w:asciiTheme="minorHAnsi" w:hAnsiTheme="minorHAnsi" w:cstheme="minorHAnsi"/>
                <w:sz w:val="24"/>
              </w:rPr>
              <w:t xml:space="preserve"> - 12/201</w:t>
            </w:r>
            <w:r>
              <w:rPr>
                <w:rFonts w:asciiTheme="minorHAnsi" w:hAnsiTheme="minorHAnsi" w:cstheme="minorHAnsi"/>
                <w:sz w:val="24"/>
              </w:rPr>
              <w:t>3</w:t>
            </w:r>
          </w:p>
        </w:tc>
      </w:tr>
      <w:tr w:rsidR="007C5FBA" w:rsidRPr="002B6BB8" w:rsidTr="00027ABA">
        <w:trPr>
          <w:cantSplit/>
          <w:trHeight w:val="340"/>
        </w:trPr>
        <w:tc>
          <w:tcPr>
            <w:tcW w:w="3828" w:type="dxa"/>
            <w:vMerge/>
            <w:tcBorders>
              <w:left w:val="single" w:sz="12"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p>
        </w:tc>
        <w:tc>
          <w:tcPr>
            <w:tcW w:w="1417" w:type="dxa"/>
            <w:tcBorders>
              <w:top w:val="single" w:sz="4" w:space="0" w:color="auto"/>
              <w:left w:val="single" w:sz="4" w:space="0" w:color="auto"/>
              <w:bottom w:val="single" w:sz="12"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31.12.2013</w:t>
            </w:r>
          </w:p>
        </w:tc>
        <w:tc>
          <w:tcPr>
            <w:tcW w:w="1418" w:type="dxa"/>
            <w:tcBorders>
              <w:top w:val="single" w:sz="4" w:space="0" w:color="auto"/>
              <w:left w:val="single" w:sz="4"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w:t>
            </w:r>
            <w:r>
              <w:rPr>
                <w:rFonts w:asciiTheme="minorHAnsi" w:hAnsiTheme="minorHAnsi" w:cstheme="minorHAnsi"/>
                <w:sz w:val="24"/>
              </w:rPr>
              <w:t>4</w:t>
            </w:r>
          </w:p>
        </w:tc>
        <w:tc>
          <w:tcPr>
            <w:tcW w:w="1417" w:type="dxa"/>
            <w:tcBorders>
              <w:top w:val="single" w:sz="4" w:space="0" w:color="auto"/>
              <w:left w:val="single" w:sz="12" w:space="0" w:color="auto"/>
              <w:bottom w:val="single" w:sz="12"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absolutně</w:t>
            </w:r>
          </w:p>
        </w:tc>
        <w:tc>
          <w:tcPr>
            <w:tcW w:w="1418" w:type="dxa"/>
            <w:tcBorders>
              <w:top w:val="single" w:sz="4" w:space="0" w:color="auto"/>
              <w:left w:val="single" w:sz="4"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v %</w:t>
            </w:r>
          </w:p>
        </w:tc>
      </w:tr>
      <w:tr w:rsidR="007C5FBA" w:rsidRPr="002B6BB8" w:rsidTr="00027ABA">
        <w:trPr>
          <w:trHeight w:val="340"/>
        </w:trPr>
        <w:tc>
          <w:tcPr>
            <w:tcW w:w="3828" w:type="dxa"/>
            <w:tcBorders>
              <w:left w:val="single" w:sz="12" w:space="0" w:color="auto"/>
              <w:bottom w:val="nil"/>
              <w:right w:val="single" w:sz="12" w:space="0" w:color="auto"/>
            </w:tcBorders>
          </w:tcPr>
          <w:p w:rsidR="007C5FBA" w:rsidRPr="002B6BB8" w:rsidRDefault="007C5FBA" w:rsidP="00027ABA">
            <w:pPr>
              <w:pStyle w:val="Texttabulky"/>
              <w:rPr>
                <w:rFonts w:asciiTheme="minorHAnsi" w:hAnsiTheme="minorHAnsi" w:cstheme="minorHAnsi"/>
                <w:color w:val="auto"/>
              </w:rPr>
            </w:pPr>
            <w:r w:rsidRPr="002B6BB8">
              <w:rPr>
                <w:rFonts w:asciiTheme="minorHAnsi" w:hAnsiTheme="minorHAnsi" w:cstheme="minorHAnsi"/>
                <w:color w:val="auto"/>
              </w:rPr>
              <w:t>platná povolení k zaměstnání pro cizince</w:t>
            </w:r>
          </w:p>
        </w:tc>
        <w:tc>
          <w:tcPr>
            <w:tcW w:w="1417" w:type="dxa"/>
            <w:tcBorders>
              <w:left w:val="single" w:sz="4" w:space="0" w:color="auto"/>
              <w:bottom w:val="nil"/>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484</w:t>
            </w:r>
          </w:p>
        </w:tc>
        <w:tc>
          <w:tcPr>
            <w:tcW w:w="1418" w:type="dxa"/>
            <w:tcBorders>
              <w:left w:val="single" w:sz="4" w:space="0" w:color="auto"/>
              <w:bottom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470</w:t>
            </w:r>
          </w:p>
        </w:tc>
        <w:tc>
          <w:tcPr>
            <w:tcW w:w="1417" w:type="dxa"/>
            <w:tcBorders>
              <w:left w:val="single" w:sz="12" w:space="0" w:color="auto"/>
              <w:bottom w:val="nil"/>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-14</w:t>
            </w:r>
          </w:p>
        </w:tc>
        <w:tc>
          <w:tcPr>
            <w:tcW w:w="1418" w:type="dxa"/>
            <w:tcBorders>
              <w:bottom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-2,9</w:t>
            </w:r>
          </w:p>
        </w:tc>
      </w:tr>
      <w:tr w:rsidR="007C5FBA" w:rsidRPr="002B6BB8" w:rsidTr="00027ABA">
        <w:tc>
          <w:tcPr>
            <w:tcW w:w="3828" w:type="dxa"/>
            <w:tcBorders>
              <w:left w:val="single" w:sz="12" w:space="0" w:color="auto"/>
              <w:bottom w:val="nil"/>
              <w:right w:val="single" w:sz="12" w:space="0" w:color="auto"/>
            </w:tcBorders>
          </w:tcPr>
          <w:p w:rsidR="007C5FBA" w:rsidRPr="002B6BB8" w:rsidRDefault="007C5FBA" w:rsidP="00027ABA">
            <w:pPr>
              <w:pStyle w:val="Texttabulky"/>
              <w:rPr>
                <w:rFonts w:asciiTheme="minorHAnsi" w:hAnsiTheme="minorHAnsi" w:cstheme="minorHAnsi"/>
                <w:color w:val="auto"/>
              </w:rPr>
            </w:pPr>
            <w:r w:rsidRPr="002B6BB8">
              <w:rPr>
                <w:rFonts w:asciiTheme="minorHAnsi" w:hAnsiTheme="minorHAnsi" w:cstheme="minorHAnsi"/>
                <w:color w:val="auto"/>
              </w:rPr>
              <w:t>evidovaní zaměstnaní občané ze zemí EU/EHP a Švýcarska</w:t>
            </w:r>
          </w:p>
        </w:tc>
        <w:tc>
          <w:tcPr>
            <w:tcW w:w="1417" w:type="dxa"/>
            <w:tcBorders>
              <w:left w:val="single" w:sz="4" w:space="0" w:color="auto"/>
              <w:bottom w:val="nil"/>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14 776</w:t>
            </w:r>
          </w:p>
        </w:tc>
        <w:tc>
          <w:tcPr>
            <w:tcW w:w="1418" w:type="dxa"/>
            <w:tcBorders>
              <w:left w:val="single" w:sz="4" w:space="0" w:color="auto"/>
              <w:bottom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15 615</w:t>
            </w:r>
          </w:p>
        </w:tc>
        <w:tc>
          <w:tcPr>
            <w:tcW w:w="1417" w:type="dxa"/>
            <w:tcBorders>
              <w:left w:val="single" w:sz="12" w:space="0" w:color="auto"/>
              <w:bottom w:val="nil"/>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+839</w:t>
            </w:r>
          </w:p>
        </w:tc>
        <w:tc>
          <w:tcPr>
            <w:tcW w:w="1418" w:type="dxa"/>
            <w:tcBorders>
              <w:bottom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+5,7</w:t>
            </w:r>
          </w:p>
        </w:tc>
      </w:tr>
      <w:tr w:rsidR="007C5FBA" w:rsidRPr="002B6BB8" w:rsidTr="00027ABA">
        <w:tc>
          <w:tcPr>
            <w:tcW w:w="3828" w:type="dxa"/>
            <w:tcBorders>
              <w:left w:val="single" w:sz="12" w:space="0" w:color="auto"/>
              <w:right w:val="single" w:sz="12" w:space="0" w:color="auto"/>
            </w:tcBorders>
          </w:tcPr>
          <w:p w:rsidR="007C5FBA" w:rsidRPr="002B6BB8" w:rsidRDefault="007C5FBA" w:rsidP="00027ABA">
            <w:pPr>
              <w:pStyle w:val="Texttabulky"/>
              <w:rPr>
                <w:rFonts w:asciiTheme="minorHAnsi" w:hAnsiTheme="minorHAnsi" w:cstheme="minorHAnsi"/>
                <w:color w:val="auto"/>
              </w:rPr>
            </w:pPr>
            <w:r w:rsidRPr="002B6BB8">
              <w:rPr>
                <w:rFonts w:asciiTheme="minorHAnsi" w:hAnsiTheme="minorHAnsi" w:cstheme="minorHAnsi"/>
                <w:color w:val="auto"/>
              </w:rPr>
              <w:t>evidovaní cizinci podle u</w:t>
            </w:r>
            <w:r>
              <w:rPr>
                <w:rFonts w:asciiTheme="minorHAnsi" w:hAnsiTheme="minorHAnsi" w:cstheme="minorHAnsi"/>
                <w:color w:val="auto"/>
              </w:rPr>
              <w:t>st. § 98 písm. a) až e), j) až r</w:t>
            </w:r>
            <w:r w:rsidRPr="002B6BB8">
              <w:rPr>
                <w:rFonts w:asciiTheme="minorHAnsi" w:hAnsiTheme="minorHAnsi" w:cstheme="minorHAnsi"/>
                <w:color w:val="auto"/>
              </w:rPr>
              <w:t>) ZoZ</w:t>
            </w:r>
          </w:p>
        </w:tc>
        <w:tc>
          <w:tcPr>
            <w:tcW w:w="1417" w:type="dxa"/>
            <w:tcBorders>
              <w:left w:val="single" w:sz="4"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952</w:t>
            </w:r>
          </w:p>
        </w:tc>
        <w:tc>
          <w:tcPr>
            <w:tcW w:w="1418" w:type="dxa"/>
            <w:tcBorders>
              <w:left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925</w:t>
            </w:r>
          </w:p>
        </w:tc>
        <w:tc>
          <w:tcPr>
            <w:tcW w:w="1417" w:type="dxa"/>
            <w:tcBorders>
              <w:lef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-27</w:t>
            </w:r>
          </w:p>
        </w:tc>
        <w:tc>
          <w:tcPr>
            <w:tcW w:w="1418" w:type="dxa"/>
            <w:tcBorders>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-2,8</w:t>
            </w:r>
          </w:p>
        </w:tc>
      </w:tr>
      <w:tr w:rsidR="007C5FBA" w:rsidRPr="002B6BB8" w:rsidTr="00027ABA">
        <w:tc>
          <w:tcPr>
            <w:tcW w:w="3828" w:type="dxa"/>
            <w:tcBorders>
              <w:left w:val="single" w:sz="12" w:space="0" w:color="auto"/>
              <w:right w:val="single" w:sz="12" w:space="0" w:color="auto"/>
            </w:tcBorders>
          </w:tcPr>
          <w:p w:rsidR="007C5FBA" w:rsidRPr="002B6BB8" w:rsidRDefault="007C5FBA" w:rsidP="00027ABA">
            <w:pPr>
              <w:pStyle w:val="Texttabulky"/>
              <w:rPr>
                <w:rFonts w:asciiTheme="minorHAnsi" w:hAnsiTheme="minorHAnsi" w:cstheme="minorHAnsi"/>
                <w:color w:val="auto"/>
              </w:rPr>
            </w:pPr>
            <w:r w:rsidRPr="002B6BB8">
              <w:rPr>
                <w:rFonts w:asciiTheme="minorHAnsi" w:hAnsiTheme="minorHAnsi" w:cstheme="minorHAnsi"/>
                <w:color w:val="auto"/>
              </w:rPr>
              <w:t>zelené karty</w:t>
            </w:r>
          </w:p>
        </w:tc>
        <w:tc>
          <w:tcPr>
            <w:tcW w:w="1417" w:type="dxa"/>
            <w:tcBorders>
              <w:left w:val="single" w:sz="4"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10</w:t>
            </w:r>
          </w:p>
        </w:tc>
        <w:tc>
          <w:tcPr>
            <w:tcW w:w="1418" w:type="dxa"/>
            <w:tcBorders>
              <w:left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28</w:t>
            </w:r>
          </w:p>
        </w:tc>
        <w:tc>
          <w:tcPr>
            <w:tcW w:w="1417" w:type="dxa"/>
            <w:tcBorders>
              <w:lef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+18</w:t>
            </w:r>
          </w:p>
        </w:tc>
        <w:tc>
          <w:tcPr>
            <w:tcW w:w="1418" w:type="dxa"/>
            <w:tcBorders>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+180,0</w:t>
            </w:r>
          </w:p>
        </w:tc>
      </w:tr>
      <w:tr w:rsidR="007C5FBA" w:rsidRPr="002B6BB8" w:rsidTr="00027ABA">
        <w:tc>
          <w:tcPr>
            <w:tcW w:w="3828" w:type="dxa"/>
            <w:tcBorders>
              <w:left w:val="single" w:sz="12" w:space="0" w:color="auto"/>
              <w:right w:val="single" w:sz="12" w:space="0" w:color="auto"/>
            </w:tcBorders>
          </w:tcPr>
          <w:p w:rsidR="007C5FBA" w:rsidRPr="002B6BB8" w:rsidRDefault="007C5FBA" w:rsidP="00027ABA">
            <w:pPr>
              <w:pStyle w:val="Texttabulky"/>
              <w:rPr>
                <w:rFonts w:asciiTheme="minorHAnsi" w:hAnsiTheme="minorHAnsi" w:cstheme="minorHAnsi"/>
                <w:color w:val="auto"/>
              </w:rPr>
            </w:pPr>
            <w:r w:rsidRPr="002B6BB8">
              <w:rPr>
                <w:rFonts w:asciiTheme="minorHAnsi" w:hAnsiTheme="minorHAnsi" w:cstheme="minorHAnsi"/>
                <w:color w:val="auto"/>
              </w:rPr>
              <w:t>modré karty</w:t>
            </w:r>
          </w:p>
        </w:tc>
        <w:tc>
          <w:tcPr>
            <w:tcW w:w="1417" w:type="dxa"/>
            <w:tcBorders>
              <w:left w:val="single" w:sz="4"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8</w:t>
            </w:r>
          </w:p>
        </w:tc>
        <w:tc>
          <w:tcPr>
            <w:tcW w:w="1418" w:type="dxa"/>
            <w:tcBorders>
              <w:left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8</w:t>
            </w:r>
          </w:p>
        </w:tc>
        <w:tc>
          <w:tcPr>
            <w:tcW w:w="1417" w:type="dxa"/>
            <w:tcBorders>
              <w:lef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0</w:t>
            </w:r>
          </w:p>
        </w:tc>
        <w:tc>
          <w:tcPr>
            <w:tcW w:w="1418" w:type="dxa"/>
            <w:tcBorders>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0,0</w:t>
            </w:r>
          </w:p>
        </w:tc>
      </w:tr>
      <w:tr w:rsidR="007C5FBA" w:rsidRPr="002B6BB8" w:rsidTr="00027ABA">
        <w:tc>
          <w:tcPr>
            <w:tcW w:w="3828" w:type="dxa"/>
            <w:tcBorders>
              <w:left w:val="single" w:sz="12" w:space="0" w:color="auto"/>
              <w:bottom w:val="single" w:sz="12" w:space="0" w:color="auto"/>
              <w:right w:val="single" w:sz="12" w:space="0" w:color="auto"/>
            </w:tcBorders>
          </w:tcPr>
          <w:p w:rsidR="007C5FBA" w:rsidRPr="002B6BB8" w:rsidRDefault="007C5FBA" w:rsidP="00027ABA">
            <w:pPr>
              <w:pStyle w:val="Texttabulky"/>
              <w:rPr>
                <w:rFonts w:asciiTheme="minorHAnsi" w:hAnsiTheme="minorHAnsi" w:cstheme="minorHAnsi"/>
                <w:color w:val="auto"/>
              </w:rPr>
            </w:pPr>
            <w:r>
              <w:rPr>
                <w:rFonts w:asciiTheme="minorHAnsi" w:hAnsiTheme="minorHAnsi" w:cstheme="minorHAnsi"/>
                <w:color w:val="auto"/>
              </w:rPr>
              <w:t>zaměstnanecké karty</w:t>
            </w:r>
          </w:p>
        </w:tc>
        <w:tc>
          <w:tcPr>
            <w:tcW w:w="1417" w:type="dxa"/>
            <w:tcBorders>
              <w:left w:val="single" w:sz="4" w:space="0" w:color="auto"/>
              <w:bottom w:val="single" w:sz="12"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0</w:t>
            </w:r>
          </w:p>
        </w:tc>
        <w:tc>
          <w:tcPr>
            <w:tcW w:w="1418" w:type="dxa"/>
            <w:tcBorders>
              <w:left w:val="single" w:sz="4"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30</w:t>
            </w:r>
          </w:p>
        </w:tc>
        <w:tc>
          <w:tcPr>
            <w:tcW w:w="1417" w:type="dxa"/>
            <w:tcBorders>
              <w:left w:val="single" w:sz="12" w:space="0" w:color="auto"/>
              <w:bottom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+30</w:t>
            </w:r>
          </w:p>
        </w:tc>
        <w:tc>
          <w:tcPr>
            <w:tcW w:w="1418" w:type="dxa"/>
            <w:tcBorders>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w:t>
            </w:r>
          </w:p>
        </w:tc>
      </w:tr>
    </w:tbl>
    <w:p w:rsidR="007C5FBA" w:rsidRPr="002B6BB8" w:rsidRDefault="007C5FBA" w:rsidP="007C5FBA">
      <w:pPr>
        <w:pStyle w:val="dka"/>
        <w:rPr>
          <w:rFonts w:asciiTheme="minorHAnsi" w:hAnsiTheme="minorHAnsi" w:cstheme="minorHAnsi"/>
          <w:b/>
          <w:color w:val="auto"/>
          <w:sz w:val="20"/>
        </w:rPr>
      </w:pPr>
    </w:p>
    <w:p w:rsidR="007C5FBA" w:rsidRPr="002B6BB8" w:rsidRDefault="007C5FBA" w:rsidP="007C5FBA">
      <w:pPr>
        <w:pStyle w:val="dka"/>
        <w:rPr>
          <w:rFonts w:asciiTheme="minorHAnsi" w:hAnsiTheme="minorHAnsi" w:cstheme="minorHAnsi"/>
          <w:b/>
          <w:color w:val="auto"/>
          <w:szCs w:val="24"/>
        </w:rPr>
      </w:pPr>
    </w:p>
    <w:p w:rsidR="007C5FBA" w:rsidRPr="007E6021" w:rsidRDefault="007C5FBA" w:rsidP="007C5FBA">
      <w:pPr>
        <w:pStyle w:val="dka"/>
        <w:jc w:val="both"/>
        <w:rPr>
          <w:color w:val="auto"/>
        </w:rPr>
      </w:pPr>
      <w:r w:rsidRPr="002B6BB8">
        <w:rPr>
          <w:rFonts w:asciiTheme="minorHAnsi" w:hAnsiTheme="minorHAnsi" w:cstheme="minorHAnsi"/>
          <w:b/>
          <w:color w:val="auto"/>
        </w:rPr>
        <w:t>Graf IV/1</w:t>
      </w:r>
      <w:r w:rsidRPr="002B6BB8">
        <w:rPr>
          <w:rFonts w:asciiTheme="minorHAnsi" w:hAnsiTheme="minorHAnsi" w:cstheme="minorHAnsi"/>
          <w:color w:val="auto"/>
        </w:rPr>
        <w:t xml:space="preserve"> - Vývoj zaměstnanosti cizinců a občanů EU/EHP a Švýcarska v MSK od roku 200</w:t>
      </w:r>
      <w:r>
        <w:rPr>
          <w:rFonts w:asciiTheme="minorHAnsi" w:hAnsiTheme="minorHAnsi" w:cstheme="minorHAnsi"/>
          <w:color w:val="auto"/>
        </w:rPr>
        <w:t>8</w:t>
      </w:r>
    </w:p>
    <w:p w:rsidR="007C5FBA" w:rsidRPr="00A171B8" w:rsidRDefault="007C5FBA" w:rsidP="007C5FBA">
      <w:pPr>
        <w:pStyle w:val="dka"/>
        <w:jc w:val="both"/>
        <w:rPr>
          <w:color w:val="auto"/>
        </w:rPr>
      </w:pPr>
      <w:r w:rsidRPr="00544595">
        <w:rPr>
          <w:noProof/>
        </w:rPr>
        <w:drawing>
          <wp:inline distT="0" distB="0" distL="0" distR="0">
            <wp:extent cx="5939790" cy="3679953"/>
            <wp:effectExtent l="19050" t="0" r="381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39790" cy="3679953"/>
                    </a:xfrm>
                    <a:prstGeom prst="rect">
                      <a:avLst/>
                    </a:prstGeom>
                    <a:noFill/>
                    <a:ln w="9525">
                      <a:noFill/>
                      <a:miter lim="800000"/>
                      <a:headEnd/>
                      <a:tailEnd/>
                    </a:ln>
                  </pic:spPr>
                </pic:pic>
              </a:graphicData>
            </a:graphic>
          </wp:inline>
        </w:drawing>
      </w:r>
    </w:p>
    <w:p w:rsidR="007C5FBA" w:rsidRPr="002B6BB8" w:rsidRDefault="007C5FBA" w:rsidP="007C5FBA">
      <w:pPr>
        <w:pStyle w:val="dka"/>
        <w:ind w:right="-2"/>
        <w:jc w:val="both"/>
        <w:rPr>
          <w:rFonts w:asciiTheme="minorHAnsi" w:hAnsiTheme="minorHAnsi" w:cstheme="minorHAnsi"/>
          <w:b/>
          <w:color w:val="auto"/>
        </w:rPr>
      </w:pPr>
    </w:p>
    <w:p w:rsidR="007C5FBA" w:rsidRPr="002B6BB8" w:rsidRDefault="007C5FBA" w:rsidP="007C5FBA">
      <w:pPr>
        <w:pStyle w:val="dka"/>
        <w:ind w:right="-2"/>
        <w:jc w:val="both"/>
        <w:rPr>
          <w:rFonts w:asciiTheme="minorHAnsi" w:hAnsiTheme="minorHAnsi" w:cstheme="minorHAnsi"/>
          <w:b/>
          <w:color w:val="auto"/>
        </w:rPr>
      </w:pPr>
    </w:p>
    <w:p w:rsidR="007C5FBA" w:rsidRPr="002B6BB8" w:rsidRDefault="007C5FBA" w:rsidP="007C5FBA">
      <w:pPr>
        <w:pStyle w:val="dka"/>
        <w:ind w:right="-2"/>
        <w:jc w:val="both"/>
        <w:rPr>
          <w:rFonts w:asciiTheme="minorHAnsi" w:hAnsiTheme="minorHAnsi" w:cstheme="minorHAnsi"/>
          <w:b/>
          <w:color w:val="auto"/>
        </w:rPr>
      </w:pPr>
    </w:p>
    <w:p w:rsidR="007C5FBA" w:rsidRPr="002B6BB8" w:rsidRDefault="007C5FBA" w:rsidP="007C5FBA">
      <w:pPr>
        <w:pStyle w:val="dka"/>
        <w:ind w:right="-2"/>
        <w:jc w:val="both"/>
        <w:rPr>
          <w:rFonts w:asciiTheme="minorHAnsi" w:hAnsiTheme="minorHAnsi" w:cstheme="minorHAnsi"/>
          <w:color w:val="auto"/>
        </w:rPr>
      </w:pPr>
      <w:r w:rsidRPr="002B6BB8">
        <w:rPr>
          <w:rFonts w:asciiTheme="minorHAnsi" w:hAnsiTheme="minorHAnsi" w:cstheme="minorHAnsi"/>
          <w:b/>
          <w:color w:val="auto"/>
        </w:rPr>
        <w:t>Tabulka IV/2</w:t>
      </w:r>
      <w:r w:rsidRPr="002B6BB8">
        <w:rPr>
          <w:rFonts w:asciiTheme="minorHAnsi" w:hAnsiTheme="minorHAnsi" w:cstheme="minorHAnsi"/>
          <w:color w:val="auto"/>
        </w:rPr>
        <w:t xml:space="preserve"> - Počet platných povolení k zaměstnání vydaných cizincům (mimo země EU/EHP a Švýcarska) v členění podle státní příslušnosti</w:t>
      </w:r>
    </w:p>
    <w:tbl>
      <w:tblPr>
        <w:tblW w:w="93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8"/>
        <w:gridCol w:w="1852"/>
        <w:gridCol w:w="1869"/>
        <w:gridCol w:w="1870"/>
      </w:tblGrid>
      <w:tr w:rsidR="007C5FBA" w:rsidRPr="002B6BB8" w:rsidTr="00027ABA">
        <w:trPr>
          <w:cantSplit/>
          <w:trHeight w:val="369"/>
        </w:trPr>
        <w:tc>
          <w:tcPr>
            <w:tcW w:w="3758" w:type="dxa"/>
            <w:vMerge w:val="restart"/>
            <w:tcBorders>
              <w:top w:val="single" w:sz="12" w:space="0" w:color="auto"/>
              <w:left w:val="single" w:sz="12" w:space="0" w:color="auto"/>
              <w:right w:val="single" w:sz="12" w:space="0" w:color="auto"/>
            </w:tcBorders>
            <w:vAlign w:val="center"/>
          </w:tcPr>
          <w:p w:rsidR="007C5FBA" w:rsidRPr="002B6BB8" w:rsidRDefault="007C5FBA" w:rsidP="00027ABA">
            <w:pPr>
              <w:spacing w:before="120"/>
              <w:jc w:val="center"/>
              <w:rPr>
                <w:rFonts w:asciiTheme="minorHAnsi" w:hAnsiTheme="minorHAnsi" w:cstheme="minorHAnsi"/>
                <w:sz w:val="24"/>
                <w:vertAlign w:val="superscript"/>
              </w:rPr>
            </w:pPr>
            <w:r w:rsidRPr="002B6BB8">
              <w:rPr>
                <w:rFonts w:asciiTheme="minorHAnsi" w:hAnsiTheme="minorHAnsi" w:cstheme="minorHAnsi"/>
                <w:sz w:val="24"/>
              </w:rPr>
              <w:t>stát</w:t>
            </w:r>
          </w:p>
        </w:tc>
        <w:tc>
          <w:tcPr>
            <w:tcW w:w="3721" w:type="dxa"/>
            <w:gridSpan w:val="2"/>
            <w:tcBorders>
              <w:top w:val="single" w:sz="12" w:space="0" w:color="auto"/>
              <w:left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stav k</w:t>
            </w:r>
          </w:p>
        </w:tc>
        <w:tc>
          <w:tcPr>
            <w:tcW w:w="1870" w:type="dxa"/>
            <w:vMerge w:val="restart"/>
            <w:tcBorders>
              <w:top w:val="single" w:sz="12" w:space="0" w:color="auto"/>
              <w:left w:val="nil"/>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12/2014</w:t>
            </w:r>
            <w:r w:rsidRPr="002B6BB8">
              <w:rPr>
                <w:rFonts w:asciiTheme="minorHAnsi" w:hAnsiTheme="minorHAnsi" w:cstheme="minorHAnsi"/>
                <w:sz w:val="24"/>
              </w:rPr>
              <w:t xml:space="preserve"> - 12/201</w:t>
            </w:r>
            <w:r>
              <w:rPr>
                <w:rFonts w:asciiTheme="minorHAnsi" w:hAnsiTheme="minorHAnsi" w:cstheme="minorHAnsi"/>
                <w:sz w:val="24"/>
              </w:rPr>
              <w:t>3</w:t>
            </w:r>
          </w:p>
        </w:tc>
      </w:tr>
      <w:tr w:rsidR="007C5FBA" w:rsidRPr="002B6BB8" w:rsidTr="00027ABA">
        <w:trPr>
          <w:cantSplit/>
          <w:trHeight w:val="145"/>
        </w:trPr>
        <w:tc>
          <w:tcPr>
            <w:tcW w:w="3758" w:type="dxa"/>
            <w:vMerge/>
            <w:tcBorders>
              <w:left w:val="single" w:sz="12" w:space="0" w:color="auto"/>
              <w:bottom w:val="single" w:sz="12" w:space="0" w:color="auto"/>
              <w:right w:val="single" w:sz="12" w:space="0" w:color="auto"/>
            </w:tcBorders>
          </w:tcPr>
          <w:p w:rsidR="007C5FBA" w:rsidRPr="002B6BB8" w:rsidRDefault="007C5FBA" w:rsidP="00027ABA">
            <w:pPr>
              <w:rPr>
                <w:rFonts w:asciiTheme="minorHAnsi" w:hAnsiTheme="minorHAnsi" w:cstheme="minorHAnsi"/>
                <w:sz w:val="24"/>
              </w:rPr>
            </w:pPr>
          </w:p>
        </w:tc>
        <w:tc>
          <w:tcPr>
            <w:tcW w:w="1852" w:type="dxa"/>
            <w:tcBorders>
              <w:left w:val="single" w:sz="4" w:space="0" w:color="auto"/>
              <w:bottom w:val="single" w:sz="12"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31.12.2013</w:t>
            </w:r>
          </w:p>
        </w:tc>
        <w:tc>
          <w:tcPr>
            <w:tcW w:w="1869" w:type="dxa"/>
            <w:tcBorders>
              <w:top w:val="single" w:sz="4" w:space="0" w:color="auto"/>
              <w:left w:val="single" w:sz="4"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w:t>
            </w:r>
            <w:r>
              <w:rPr>
                <w:rFonts w:asciiTheme="minorHAnsi" w:hAnsiTheme="minorHAnsi" w:cstheme="minorHAnsi"/>
                <w:sz w:val="24"/>
              </w:rPr>
              <w:t>4</w:t>
            </w:r>
          </w:p>
        </w:tc>
        <w:tc>
          <w:tcPr>
            <w:tcW w:w="1870" w:type="dxa"/>
            <w:vMerge/>
            <w:tcBorders>
              <w:left w:val="single" w:sz="4" w:space="0" w:color="auto"/>
              <w:bottom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p>
        </w:tc>
      </w:tr>
      <w:tr w:rsidR="007C5FBA" w:rsidRPr="002B6BB8" w:rsidTr="00027ABA">
        <w:trPr>
          <w:cantSplit/>
          <w:trHeight w:val="287"/>
        </w:trPr>
        <w:tc>
          <w:tcPr>
            <w:tcW w:w="3758" w:type="dxa"/>
            <w:tcBorders>
              <w:top w:val="single" w:sz="12" w:space="0" w:color="auto"/>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Korea</w:t>
            </w:r>
          </w:p>
        </w:tc>
        <w:tc>
          <w:tcPr>
            <w:tcW w:w="1852" w:type="dxa"/>
            <w:tcBorders>
              <w:top w:val="single" w:sz="12" w:space="0" w:color="auto"/>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277</w:t>
            </w:r>
          </w:p>
        </w:tc>
        <w:tc>
          <w:tcPr>
            <w:tcW w:w="1869" w:type="dxa"/>
            <w:tcBorders>
              <w:top w:val="single" w:sz="12"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222</w:t>
            </w:r>
          </w:p>
        </w:tc>
        <w:tc>
          <w:tcPr>
            <w:tcW w:w="1870" w:type="dxa"/>
            <w:tcBorders>
              <w:top w:val="single" w:sz="12"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-55</w:t>
            </w:r>
          </w:p>
        </w:tc>
      </w:tr>
      <w:tr w:rsidR="007C5FBA" w:rsidRPr="002B6BB8" w:rsidTr="00027ABA">
        <w:trPr>
          <w:cantSplit/>
          <w:trHeight w:val="272"/>
        </w:trPr>
        <w:tc>
          <w:tcPr>
            <w:tcW w:w="3758" w:type="dxa"/>
            <w:tcBorders>
              <w:top w:val="single" w:sz="4" w:space="0" w:color="auto"/>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Ukrajina</w:t>
            </w:r>
          </w:p>
        </w:tc>
        <w:tc>
          <w:tcPr>
            <w:tcW w:w="1852" w:type="dxa"/>
            <w:tcBorders>
              <w:top w:val="single" w:sz="4" w:space="0" w:color="auto"/>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89</w:t>
            </w:r>
          </w:p>
        </w:tc>
        <w:tc>
          <w:tcPr>
            <w:tcW w:w="1869" w:type="dxa"/>
            <w:tcBorders>
              <w:top w:val="single" w:sz="4"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123</w:t>
            </w:r>
          </w:p>
        </w:tc>
        <w:tc>
          <w:tcPr>
            <w:tcW w:w="1870" w:type="dxa"/>
            <w:tcBorders>
              <w:top w:val="single" w:sz="4"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+34</w:t>
            </w:r>
          </w:p>
        </w:tc>
      </w:tr>
      <w:tr w:rsidR="007C5FBA" w:rsidRPr="002B6BB8" w:rsidTr="00027ABA">
        <w:trPr>
          <w:cantSplit/>
          <w:trHeight w:val="272"/>
        </w:trPr>
        <w:tc>
          <w:tcPr>
            <w:tcW w:w="3758" w:type="dxa"/>
            <w:tcBorders>
              <w:top w:val="single" w:sz="4" w:space="0" w:color="auto"/>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Indie</w:t>
            </w:r>
          </w:p>
        </w:tc>
        <w:tc>
          <w:tcPr>
            <w:tcW w:w="1852" w:type="dxa"/>
            <w:tcBorders>
              <w:top w:val="single" w:sz="4" w:space="0" w:color="auto"/>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13</w:t>
            </w:r>
          </w:p>
        </w:tc>
        <w:tc>
          <w:tcPr>
            <w:tcW w:w="1869" w:type="dxa"/>
            <w:tcBorders>
              <w:top w:val="single" w:sz="4"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39</w:t>
            </w:r>
          </w:p>
        </w:tc>
        <w:tc>
          <w:tcPr>
            <w:tcW w:w="1870" w:type="dxa"/>
            <w:tcBorders>
              <w:top w:val="single" w:sz="4" w:space="0" w:color="auto"/>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+26</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Vietnam</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4</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18</w:t>
            </w:r>
          </w:p>
        </w:tc>
        <w:tc>
          <w:tcPr>
            <w:tcW w:w="1870" w:type="dxa"/>
            <w:tcBorders>
              <w:left w:val="single" w:sz="4" w:space="0" w:color="auto"/>
              <w:bottom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+14</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Spojené státy americké</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15</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11</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Rusko</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16</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-9</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Tchaj-wan</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Čína</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14</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6</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-8</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Filipíny</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12</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-9</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Thajsko</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8</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Japonsko</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4</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r>
      <w:tr w:rsidR="007C5FBA" w:rsidRPr="002B6BB8" w:rsidTr="00027ABA">
        <w:trPr>
          <w:cantSplit/>
          <w:trHeight w:val="272"/>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Mexiko</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2</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r>
      <w:tr w:rsidR="007C5FBA" w:rsidRPr="002B6BB8" w:rsidTr="00027ABA">
        <w:trPr>
          <w:cantSplit/>
          <w:trHeight w:val="287"/>
        </w:trPr>
        <w:tc>
          <w:tcPr>
            <w:tcW w:w="3758"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ostatní</w:t>
            </w:r>
          </w:p>
        </w:tc>
        <w:tc>
          <w:tcPr>
            <w:tcW w:w="1852"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21</w:t>
            </w:r>
          </w:p>
        </w:tc>
        <w:tc>
          <w:tcPr>
            <w:tcW w:w="186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28</w:t>
            </w:r>
          </w:p>
        </w:tc>
        <w:tc>
          <w:tcPr>
            <w:tcW w:w="1870" w:type="dxa"/>
            <w:tcBorders>
              <w:left w:val="single" w:sz="12"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r>
      <w:tr w:rsidR="007C5FBA" w:rsidRPr="002B6BB8" w:rsidTr="00027ABA">
        <w:trPr>
          <w:cantSplit/>
          <w:trHeight w:val="287"/>
        </w:trPr>
        <w:tc>
          <w:tcPr>
            <w:tcW w:w="3758" w:type="dxa"/>
            <w:tcBorders>
              <w:top w:val="single" w:sz="12" w:space="0" w:color="auto"/>
              <w:left w:val="single" w:sz="12" w:space="0" w:color="auto"/>
              <w:bottom w:val="single" w:sz="12" w:space="0" w:color="auto"/>
              <w:right w:val="single" w:sz="12" w:space="0" w:color="auto"/>
            </w:tcBorders>
          </w:tcPr>
          <w:p w:rsidR="007C5FBA" w:rsidRPr="002B6BB8" w:rsidRDefault="007C5FBA" w:rsidP="00027ABA">
            <w:pPr>
              <w:rPr>
                <w:rFonts w:asciiTheme="minorHAnsi" w:hAnsiTheme="minorHAnsi" w:cstheme="minorHAnsi"/>
                <w:b/>
                <w:sz w:val="24"/>
              </w:rPr>
            </w:pPr>
            <w:r w:rsidRPr="002B6BB8">
              <w:rPr>
                <w:rFonts w:asciiTheme="minorHAnsi" w:hAnsiTheme="minorHAnsi" w:cstheme="minorHAnsi"/>
                <w:b/>
                <w:sz w:val="24"/>
              </w:rPr>
              <w:t>celkem</w:t>
            </w:r>
          </w:p>
        </w:tc>
        <w:tc>
          <w:tcPr>
            <w:tcW w:w="1852" w:type="dxa"/>
            <w:tcBorders>
              <w:top w:val="single" w:sz="12" w:space="0" w:color="auto"/>
              <w:left w:val="single" w:sz="4" w:space="0" w:color="auto"/>
              <w:bottom w:val="single" w:sz="12" w:space="0" w:color="auto"/>
              <w:right w:val="single" w:sz="4" w:space="0" w:color="auto"/>
            </w:tcBorders>
          </w:tcPr>
          <w:p w:rsidR="007C5FBA" w:rsidRPr="002B6BB8" w:rsidRDefault="007C5FBA" w:rsidP="00027ABA">
            <w:pPr>
              <w:jc w:val="center"/>
              <w:rPr>
                <w:rFonts w:asciiTheme="minorHAnsi" w:hAnsiTheme="minorHAnsi" w:cstheme="minorHAnsi"/>
                <w:b/>
                <w:sz w:val="24"/>
              </w:rPr>
            </w:pPr>
            <w:r w:rsidRPr="002B6BB8">
              <w:rPr>
                <w:rFonts w:asciiTheme="minorHAnsi" w:hAnsiTheme="minorHAnsi" w:cstheme="minorHAnsi"/>
                <w:b/>
                <w:sz w:val="24"/>
              </w:rPr>
              <w:t>484</w:t>
            </w:r>
          </w:p>
        </w:tc>
        <w:tc>
          <w:tcPr>
            <w:tcW w:w="1869" w:type="dxa"/>
            <w:tcBorders>
              <w:top w:val="single" w:sz="12" w:space="0" w:color="auto"/>
              <w:left w:val="single" w:sz="4" w:space="0" w:color="auto"/>
              <w:bottom w:val="single" w:sz="12" w:space="0" w:color="auto"/>
              <w:right w:val="single" w:sz="12" w:space="0" w:color="auto"/>
            </w:tcBorders>
          </w:tcPr>
          <w:p w:rsidR="007C5FBA" w:rsidRPr="002B6BB8" w:rsidRDefault="007C5FBA" w:rsidP="00027ABA">
            <w:pPr>
              <w:jc w:val="center"/>
              <w:rPr>
                <w:rFonts w:asciiTheme="minorHAnsi" w:hAnsiTheme="minorHAnsi" w:cstheme="minorHAnsi"/>
                <w:b/>
                <w:sz w:val="24"/>
              </w:rPr>
            </w:pPr>
            <w:r>
              <w:rPr>
                <w:rFonts w:asciiTheme="minorHAnsi" w:hAnsiTheme="minorHAnsi" w:cstheme="minorHAnsi"/>
                <w:b/>
                <w:sz w:val="24"/>
              </w:rPr>
              <w:t>470</w:t>
            </w:r>
          </w:p>
        </w:tc>
        <w:tc>
          <w:tcPr>
            <w:tcW w:w="1870" w:type="dxa"/>
            <w:tcBorders>
              <w:top w:val="single" w:sz="12" w:space="0" w:color="auto"/>
              <w:left w:val="single" w:sz="12" w:space="0" w:color="auto"/>
              <w:bottom w:val="single" w:sz="12" w:space="0" w:color="auto"/>
              <w:right w:val="single" w:sz="12" w:space="0" w:color="auto"/>
            </w:tcBorders>
          </w:tcPr>
          <w:p w:rsidR="007C5FBA" w:rsidRPr="002B6BB8" w:rsidRDefault="007C5FBA" w:rsidP="00027ABA">
            <w:pPr>
              <w:jc w:val="center"/>
              <w:rPr>
                <w:rFonts w:asciiTheme="minorHAnsi" w:hAnsiTheme="minorHAnsi" w:cstheme="minorHAnsi"/>
                <w:b/>
                <w:sz w:val="24"/>
              </w:rPr>
            </w:pPr>
            <w:r>
              <w:rPr>
                <w:rFonts w:asciiTheme="minorHAnsi" w:hAnsiTheme="minorHAnsi" w:cstheme="minorHAnsi"/>
                <w:b/>
                <w:sz w:val="24"/>
              </w:rPr>
              <w:t>-14</w:t>
            </w:r>
          </w:p>
        </w:tc>
      </w:tr>
    </w:tbl>
    <w:p w:rsidR="007C5FBA" w:rsidRPr="002B6BB8" w:rsidRDefault="007C5FBA" w:rsidP="007C5FBA">
      <w:pPr>
        <w:pStyle w:val="dka"/>
        <w:jc w:val="both"/>
        <w:rPr>
          <w:rFonts w:asciiTheme="minorHAnsi" w:hAnsiTheme="minorHAnsi" w:cstheme="minorHAnsi"/>
          <w:b/>
          <w:color w:val="auto"/>
        </w:rPr>
      </w:pPr>
    </w:p>
    <w:p w:rsidR="007C5FBA" w:rsidRPr="002B6BB8" w:rsidRDefault="007C5FBA" w:rsidP="007C5FBA">
      <w:pPr>
        <w:pStyle w:val="dka"/>
        <w:jc w:val="both"/>
        <w:rPr>
          <w:rFonts w:asciiTheme="minorHAnsi" w:hAnsiTheme="minorHAnsi" w:cstheme="minorHAnsi"/>
          <w:b/>
          <w:color w:val="auto"/>
        </w:rPr>
      </w:pPr>
    </w:p>
    <w:p w:rsidR="007C5FBA" w:rsidRDefault="007C5FBA" w:rsidP="007C5FBA">
      <w:pPr>
        <w:pStyle w:val="dka"/>
        <w:jc w:val="both"/>
        <w:rPr>
          <w:rFonts w:asciiTheme="minorHAnsi" w:hAnsiTheme="minorHAnsi" w:cstheme="minorHAnsi"/>
          <w:b/>
          <w:color w:val="auto"/>
        </w:rPr>
      </w:pPr>
    </w:p>
    <w:p w:rsidR="007C5FBA" w:rsidRPr="002B6BB8" w:rsidRDefault="007C5FBA" w:rsidP="007C5FBA">
      <w:pPr>
        <w:pStyle w:val="dka"/>
        <w:jc w:val="both"/>
        <w:rPr>
          <w:rFonts w:asciiTheme="minorHAnsi" w:hAnsiTheme="minorHAnsi" w:cstheme="minorHAnsi"/>
          <w:b/>
          <w:color w:val="auto"/>
        </w:rPr>
      </w:pPr>
    </w:p>
    <w:p w:rsidR="007C5FBA" w:rsidRPr="002B6BB8" w:rsidRDefault="007C5FBA" w:rsidP="007C5FBA">
      <w:pPr>
        <w:pStyle w:val="dka"/>
        <w:jc w:val="both"/>
        <w:rPr>
          <w:rFonts w:asciiTheme="minorHAnsi" w:hAnsiTheme="minorHAnsi" w:cstheme="minorHAnsi"/>
          <w:b/>
          <w:color w:val="auto"/>
        </w:rPr>
      </w:pPr>
    </w:p>
    <w:p w:rsidR="007C5FBA" w:rsidRPr="002B6BB8" w:rsidRDefault="007C5FBA" w:rsidP="007C5FBA">
      <w:pPr>
        <w:pStyle w:val="dka"/>
        <w:jc w:val="both"/>
        <w:rPr>
          <w:rFonts w:asciiTheme="minorHAnsi" w:hAnsiTheme="minorHAnsi" w:cstheme="minorHAnsi"/>
          <w:color w:val="auto"/>
        </w:rPr>
      </w:pPr>
      <w:r w:rsidRPr="002B6BB8">
        <w:rPr>
          <w:rFonts w:asciiTheme="minorHAnsi" w:hAnsiTheme="minorHAnsi" w:cstheme="minorHAnsi"/>
          <w:b/>
          <w:color w:val="auto"/>
        </w:rPr>
        <w:t>Tabulka IV/3</w:t>
      </w:r>
      <w:r w:rsidRPr="002B6BB8">
        <w:rPr>
          <w:rFonts w:asciiTheme="minorHAnsi" w:hAnsiTheme="minorHAnsi" w:cstheme="minorHAnsi"/>
          <w:color w:val="auto"/>
        </w:rPr>
        <w:t xml:space="preserve"> - Počet zaměstnaných evidovaných občanů EU/EHP a Švýcarska v členění podle státní příslušnosti</w:t>
      </w:r>
    </w:p>
    <w:tbl>
      <w:tblPr>
        <w:tblW w:w="92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1"/>
        <w:gridCol w:w="2027"/>
        <w:gridCol w:w="1852"/>
        <w:gridCol w:w="1709"/>
      </w:tblGrid>
      <w:tr w:rsidR="007C5FBA" w:rsidRPr="002B6BB8" w:rsidTr="00027ABA">
        <w:trPr>
          <w:cantSplit/>
          <w:trHeight w:val="253"/>
        </w:trPr>
        <w:tc>
          <w:tcPr>
            <w:tcW w:w="3671" w:type="dxa"/>
            <w:vMerge w:val="restart"/>
            <w:tcBorders>
              <w:top w:val="single" w:sz="12" w:space="0" w:color="auto"/>
              <w:left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stát</w:t>
            </w:r>
          </w:p>
        </w:tc>
        <w:tc>
          <w:tcPr>
            <w:tcW w:w="3879" w:type="dxa"/>
            <w:gridSpan w:val="2"/>
            <w:tcBorders>
              <w:top w:val="single" w:sz="12" w:space="0" w:color="auto"/>
              <w:left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stav k</w:t>
            </w:r>
          </w:p>
        </w:tc>
        <w:tc>
          <w:tcPr>
            <w:tcW w:w="1709" w:type="dxa"/>
            <w:vMerge w:val="restart"/>
            <w:tcBorders>
              <w:top w:val="single" w:sz="12" w:space="0" w:color="auto"/>
              <w:left w:val="single" w:sz="4"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12/2014</w:t>
            </w:r>
            <w:r w:rsidRPr="002B6BB8">
              <w:rPr>
                <w:rFonts w:asciiTheme="minorHAnsi" w:hAnsiTheme="minorHAnsi" w:cstheme="minorHAnsi"/>
                <w:sz w:val="24"/>
              </w:rPr>
              <w:t xml:space="preserve"> - 12/201</w:t>
            </w:r>
            <w:r>
              <w:rPr>
                <w:rFonts w:asciiTheme="minorHAnsi" w:hAnsiTheme="minorHAnsi" w:cstheme="minorHAnsi"/>
                <w:sz w:val="24"/>
              </w:rPr>
              <w:t>3</w:t>
            </w:r>
          </w:p>
        </w:tc>
      </w:tr>
      <w:tr w:rsidR="007C5FBA" w:rsidRPr="002B6BB8" w:rsidTr="00027ABA">
        <w:trPr>
          <w:cantSplit/>
          <w:trHeight w:val="145"/>
        </w:trPr>
        <w:tc>
          <w:tcPr>
            <w:tcW w:w="3671" w:type="dxa"/>
            <w:vMerge/>
            <w:tcBorders>
              <w:left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p>
        </w:tc>
        <w:tc>
          <w:tcPr>
            <w:tcW w:w="2027" w:type="dxa"/>
            <w:tcBorders>
              <w:left w:val="single" w:sz="4" w:space="0" w:color="auto"/>
              <w:right w:val="single" w:sz="4"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31.12.2013</w:t>
            </w:r>
          </w:p>
        </w:tc>
        <w:tc>
          <w:tcPr>
            <w:tcW w:w="1852" w:type="dxa"/>
            <w:tcBorders>
              <w:top w:val="single" w:sz="4" w:space="0" w:color="auto"/>
              <w:left w:val="single" w:sz="4" w:space="0" w:color="auto"/>
              <w:bottom w:val="single" w:sz="12" w:space="0" w:color="auto"/>
              <w:right w:val="single" w:sz="12" w:space="0" w:color="auto"/>
            </w:tcBorders>
            <w:vAlign w:val="center"/>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31.12.201</w:t>
            </w:r>
            <w:r>
              <w:rPr>
                <w:rFonts w:asciiTheme="minorHAnsi" w:hAnsiTheme="minorHAnsi" w:cstheme="minorHAnsi"/>
                <w:sz w:val="24"/>
              </w:rPr>
              <w:t>4</w:t>
            </w:r>
          </w:p>
        </w:tc>
        <w:tc>
          <w:tcPr>
            <w:tcW w:w="1709" w:type="dxa"/>
            <w:vMerge/>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p>
        </w:tc>
      </w:tr>
      <w:tr w:rsidR="007C5FBA" w:rsidRPr="002B6BB8" w:rsidTr="00027ABA">
        <w:trPr>
          <w:cantSplit/>
          <w:trHeight w:val="272"/>
        </w:trPr>
        <w:tc>
          <w:tcPr>
            <w:tcW w:w="3671" w:type="dxa"/>
            <w:tcBorders>
              <w:top w:val="single" w:sz="12" w:space="0" w:color="auto"/>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Slovenská republika</w:t>
            </w:r>
          </w:p>
        </w:tc>
        <w:tc>
          <w:tcPr>
            <w:tcW w:w="2027" w:type="dxa"/>
            <w:tcBorders>
              <w:top w:val="single" w:sz="12" w:space="0" w:color="auto"/>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9 151</w:t>
            </w:r>
          </w:p>
        </w:tc>
        <w:tc>
          <w:tcPr>
            <w:tcW w:w="1852" w:type="dxa"/>
            <w:tcBorders>
              <w:top w:val="single" w:sz="12"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9 573</w:t>
            </w:r>
          </w:p>
        </w:tc>
        <w:tc>
          <w:tcPr>
            <w:tcW w:w="1709" w:type="dxa"/>
            <w:tcBorders>
              <w:top w:val="single" w:sz="12" w:space="0" w:color="auto"/>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+422</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Polsko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4 773</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5 017</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+244</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i/>
                <w:sz w:val="24"/>
                <w:szCs w:val="24"/>
                <w:vertAlign w:val="superscript"/>
              </w:rPr>
            </w:pPr>
            <w:r w:rsidRPr="002B6BB8">
              <w:rPr>
                <w:rFonts w:asciiTheme="minorHAnsi" w:hAnsiTheme="minorHAnsi" w:cstheme="minorHAnsi"/>
                <w:sz w:val="24"/>
              </w:rPr>
              <w:t>Bulharsko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208</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272</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+64</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i/>
                <w:sz w:val="24"/>
                <w:szCs w:val="24"/>
                <w:vertAlign w:val="superscript"/>
              </w:rPr>
            </w:pPr>
            <w:r w:rsidRPr="002B6BB8">
              <w:rPr>
                <w:rFonts w:asciiTheme="minorHAnsi" w:hAnsiTheme="minorHAnsi" w:cstheme="minorHAnsi"/>
                <w:sz w:val="24"/>
              </w:rPr>
              <w:t>Rumunsko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134</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133</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Německo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92</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122</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+30</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Maďarsko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50</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104</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+54</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Itálie</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62</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82</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+20</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Velká Británie</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54</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57</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p>
        </w:tc>
      </w:tr>
      <w:tr w:rsidR="007C5FBA" w:rsidRPr="002B6BB8" w:rsidTr="00027ABA">
        <w:trPr>
          <w:cantSplit/>
          <w:trHeight w:val="287"/>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Francie</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48</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41</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Španělsko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35</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34</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Rakousko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20</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23</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p>
        </w:tc>
      </w:tr>
      <w:tr w:rsidR="007C5FBA" w:rsidRPr="002B6BB8" w:rsidTr="00027ABA">
        <w:trPr>
          <w:cantSplit/>
          <w:trHeight w:val="287"/>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Řecko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16</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20</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Litva</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14</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16</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Portugalsko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14</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15</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Švédsko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12</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Pr>
                <w:rFonts w:asciiTheme="minorHAnsi" w:hAnsiTheme="minorHAnsi" w:cstheme="minorHAnsi"/>
                <w:sz w:val="24"/>
              </w:rPr>
              <w:t>Chorvatsko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10</w:t>
            </w:r>
          </w:p>
        </w:tc>
        <w:tc>
          <w:tcPr>
            <w:tcW w:w="1852" w:type="dxa"/>
            <w:tcBorders>
              <w:left w:val="single" w:sz="4" w:space="0" w:color="auto"/>
              <w:right w:val="single" w:sz="12" w:space="0" w:color="auto"/>
            </w:tcBorders>
          </w:tcPr>
          <w:p w:rsidR="007C5FBA" w:rsidRDefault="007C5FBA" w:rsidP="00027ABA">
            <w:pPr>
              <w:jc w:val="center"/>
              <w:rPr>
                <w:rFonts w:asciiTheme="minorHAnsi" w:hAnsiTheme="minorHAnsi" w:cstheme="minorHAnsi"/>
                <w:sz w:val="24"/>
              </w:rPr>
            </w:pPr>
            <w:r>
              <w:rPr>
                <w:rFonts w:asciiTheme="minorHAnsi" w:hAnsiTheme="minorHAnsi" w:cstheme="minorHAnsi"/>
                <w:sz w:val="24"/>
              </w:rPr>
              <w:t>9</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-1</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Nizozemsko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9</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r>
      <w:tr w:rsidR="007C5FBA" w:rsidRPr="002B6BB8" w:rsidTr="00027ABA">
        <w:trPr>
          <w:cantSplit/>
          <w:trHeight w:val="287"/>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Belgie</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38</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6</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-32</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Slovinsko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2</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2</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0</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Finsko</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sidRPr="002B6BB8">
              <w:rPr>
                <w:rFonts w:asciiTheme="minorHAnsi" w:hAnsiTheme="minorHAnsi" w:cstheme="minorHAnsi"/>
                <w:sz w:val="24"/>
              </w:rPr>
              <w:t>7</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0</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w:t>
            </w:r>
          </w:p>
        </w:tc>
      </w:tr>
      <w:tr w:rsidR="007C5FBA" w:rsidRPr="002B6BB8" w:rsidTr="00027ABA">
        <w:trPr>
          <w:cantSplit/>
          <w:trHeight w:val="272"/>
        </w:trPr>
        <w:tc>
          <w:tcPr>
            <w:tcW w:w="3671" w:type="dxa"/>
            <w:tcBorders>
              <w:left w:val="single" w:sz="12" w:space="0" w:color="auto"/>
              <w:right w:val="single" w:sz="12" w:space="0" w:color="auto"/>
            </w:tcBorders>
          </w:tcPr>
          <w:p w:rsidR="007C5FBA" w:rsidRPr="002B6BB8" w:rsidRDefault="007C5FBA" w:rsidP="00027ABA">
            <w:pPr>
              <w:rPr>
                <w:rFonts w:asciiTheme="minorHAnsi" w:hAnsiTheme="minorHAnsi" w:cstheme="minorHAnsi"/>
                <w:sz w:val="24"/>
              </w:rPr>
            </w:pPr>
            <w:r w:rsidRPr="002B6BB8">
              <w:rPr>
                <w:rFonts w:asciiTheme="minorHAnsi" w:hAnsiTheme="minorHAnsi" w:cstheme="minorHAnsi"/>
                <w:sz w:val="24"/>
              </w:rPr>
              <w:t>ostatní</w:t>
            </w:r>
          </w:p>
        </w:tc>
        <w:tc>
          <w:tcPr>
            <w:tcW w:w="2027" w:type="dxa"/>
            <w:tcBorders>
              <w:left w:val="single" w:sz="4" w:space="0" w:color="auto"/>
              <w:right w:val="single" w:sz="4"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3</w:t>
            </w:r>
            <w:r w:rsidRPr="002B6BB8">
              <w:rPr>
                <w:rFonts w:asciiTheme="minorHAnsi" w:hAnsiTheme="minorHAnsi" w:cstheme="minorHAnsi"/>
                <w:sz w:val="24"/>
              </w:rPr>
              <w:t>0</w:t>
            </w:r>
          </w:p>
        </w:tc>
        <w:tc>
          <w:tcPr>
            <w:tcW w:w="1852"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70</w:t>
            </w:r>
          </w:p>
        </w:tc>
        <w:tc>
          <w:tcPr>
            <w:tcW w:w="1709" w:type="dxa"/>
            <w:tcBorders>
              <w:left w:val="single" w:sz="4" w:space="0" w:color="auto"/>
              <w:right w:val="single" w:sz="12" w:space="0" w:color="auto"/>
            </w:tcBorders>
          </w:tcPr>
          <w:p w:rsidR="007C5FBA" w:rsidRPr="002B6BB8" w:rsidRDefault="007C5FBA" w:rsidP="00027ABA">
            <w:pPr>
              <w:jc w:val="center"/>
              <w:rPr>
                <w:rFonts w:asciiTheme="minorHAnsi" w:hAnsiTheme="minorHAnsi" w:cstheme="minorHAnsi"/>
                <w:sz w:val="24"/>
              </w:rPr>
            </w:pPr>
            <w:r>
              <w:rPr>
                <w:rFonts w:asciiTheme="minorHAnsi" w:hAnsiTheme="minorHAnsi" w:cstheme="minorHAnsi"/>
                <w:sz w:val="24"/>
              </w:rPr>
              <w:t>+40</w:t>
            </w:r>
          </w:p>
        </w:tc>
      </w:tr>
      <w:tr w:rsidR="007C5FBA" w:rsidRPr="002B6BB8" w:rsidTr="00027ABA">
        <w:trPr>
          <w:cantSplit/>
          <w:trHeight w:val="287"/>
        </w:trPr>
        <w:tc>
          <w:tcPr>
            <w:tcW w:w="3671" w:type="dxa"/>
            <w:tcBorders>
              <w:top w:val="single" w:sz="12" w:space="0" w:color="auto"/>
              <w:left w:val="single" w:sz="12" w:space="0" w:color="auto"/>
              <w:bottom w:val="single" w:sz="12" w:space="0" w:color="auto"/>
              <w:right w:val="single" w:sz="12" w:space="0" w:color="auto"/>
            </w:tcBorders>
          </w:tcPr>
          <w:p w:rsidR="007C5FBA" w:rsidRPr="002B6BB8" w:rsidRDefault="007C5FBA" w:rsidP="00027ABA">
            <w:pPr>
              <w:rPr>
                <w:rFonts w:asciiTheme="minorHAnsi" w:hAnsiTheme="minorHAnsi" w:cstheme="minorHAnsi"/>
                <w:b/>
                <w:sz w:val="24"/>
              </w:rPr>
            </w:pPr>
            <w:r w:rsidRPr="002B6BB8">
              <w:rPr>
                <w:rFonts w:asciiTheme="minorHAnsi" w:hAnsiTheme="minorHAnsi" w:cstheme="minorHAnsi"/>
                <w:b/>
                <w:sz w:val="24"/>
              </w:rPr>
              <w:t>celkem</w:t>
            </w:r>
          </w:p>
        </w:tc>
        <w:tc>
          <w:tcPr>
            <w:tcW w:w="2027" w:type="dxa"/>
            <w:tcBorders>
              <w:top w:val="single" w:sz="12" w:space="0" w:color="auto"/>
              <w:left w:val="single" w:sz="4" w:space="0" w:color="auto"/>
              <w:bottom w:val="single" w:sz="12" w:space="0" w:color="auto"/>
              <w:right w:val="single" w:sz="4" w:space="0" w:color="auto"/>
            </w:tcBorders>
          </w:tcPr>
          <w:p w:rsidR="007C5FBA" w:rsidRPr="002B6BB8" w:rsidRDefault="007C5FBA" w:rsidP="00027ABA">
            <w:pPr>
              <w:jc w:val="center"/>
              <w:rPr>
                <w:rFonts w:asciiTheme="minorHAnsi" w:hAnsiTheme="minorHAnsi" w:cstheme="minorHAnsi"/>
                <w:b/>
                <w:sz w:val="24"/>
              </w:rPr>
            </w:pPr>
            <w:r w:rsidRPr="002B6BB8">
              <w:rPr>
                <w:rFonts w:asciiTheme="minorHAnsi" w:hAnsiTheme="minorHAnsi" w:cstheme="minorHAnsi"/>
                <w:b/>
                <w:sz w:val="24"/>
              </w:rPr>
              <w:t>14 776</w:t>
            </w:r>
          </w:p>
        </w:tc>
        <w:tc>
          <w:tcPr>
            <w:tcW w:w="1852" w:type="dxa"/>
            <w:tcBorders>
              <w:top w:val="single" w:sz="12" w:space="0" w:color="auto"/>
              <w:left w:val="single" w:sz="4" w:space="0" w:color="auto"/>
              <w:bottom w:val="single" w:sz="12" w:space="0" w:color="auto"/>
              <w:right w:val="single" w:sz="12" w:space="0" w:color="auto"/>
            </w:tcBorders>
          </w:tcPr>
          <w:p w:rsidR="007C5FBA" w:rsidRPr="002B6BB8" w:rsidRDefault="007C5FBA" w:rsidP="00027ABA">
            <w:pPr>
              <w:jc w:val="center"/>
              <w:rPr>
                <w:rFonts w:asciiTheme="minorHAnsi" w:hAnsiTheme="minorHAnsi" w:cstheme="minorHAnsi"/>
                <w:b/>
                <w:sz w:val="24"/>
              </w:rPr>
            </w:pPr>
            <w:r>
              <w:rPr>
                <w:rFonts w:asciiTheme="minorHAnsi" w:hAnsiTheme="minorHAnsi" w:cstheme="minorHAnsi"/>
                <w:b/>
                <w:sz w:val="24"/>
              </w:rPr>
              <w:t>15 615</w:t>
            </w:r>
          </w:p>
        </w:tc>
        <w:tc>
          <w:tcPr>
            <w:tcW w:w="1709" w:type="dxa"/>
            <w:tcBorders>
              <w:top w:val="single" w:sz="12" w:space="0" w:color="auto"/>
              <w:left w:val="single" w:sz="4" w:space="0" w:color="auto"/>
              <w:bottom w:val="single" w:sz="12" w:space="0" w:color="auto"/>
              <w:right w:val="single" w:sz="12" w:space="0" w:color="auto"/>
            </w:tcBorders>
          </w:tcPr>
          <w:p w:rsidR="007C5FBA" w:rsidRPr="002B6BB8" w:rsidRDefault="007C5FBA" w:rsidP="00027ABA">
            <w:pPr>
              <w:jc w:val="center"/>
              <w:rPr>
                <w:rFonts w:asciiTheme="minorHAnsi" w:hAnsiTheme="minorHAnsi" w:cstheme="minorHAnsi"/>
                <w:b/>
                <w:sz w:val="24"/>
              </w:rPr>
            </w:pPr>
            <w:r>
              <w:rPr>
                <w:rFonts w:asciiTheme="minorHAnsi" w:hAnsiTheme="minorHAnsi" w:cstheme="minorHAnsi"/>
                <w:b/>
                <w:sz w:val="24"/>
              </w:rPr>
              <w:t>+839</w:t>
            </w:r>
          </w:p>
        </w:tc>
      </w:tr>
    </w:tbl>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Default="007C5FBA" w:rsidP="007C5FBA">
      <w:pPr>
        <w:pStyle w:val="dka"/>
        <w:rPr>
          <w:rFonts w:asciiTheme="minorHAnsi" w:hAnsiTheme="minorHAnsi" w:cstheme="minorHAnsi"/>
          <w:color w:val="auto"/>
          <w:szCs w:val="24"/>
        </w:rPr>
      </w:pPr>
    </w:p>
    <w:p w:rsidR="007C5FBA" w:rsidRPr="002B6BB8" w:rsidRDefault="007C5FBA" w:rsidP="007C5FBA">
      <w:pPr>
        <w:pStyle w:val="dka"/>
        <w:rPr>
          <w:rFonts w:asciiTheme="minorHAnsi" w:hAnsiTheme="minorHAnsi" w:cstheme="minorHAnsi"/>
          <w:color w:val="auto"/>
          <w:szCs w:val="24"/>
        </w:rPr>
      </w:pPr>
    </w:p>
    <w:p w:rsidR="007C5FBA" w:rsidRPr="00E8691B" w:rsidRDefault="007C5FBA" w:rsidP="007C5FBA">
      <w:pPr>
        <w:pStyle w:val="dka"/>
        <w:jc w:val="both"/>
        <w:rPr>
          <w:color w:val="auto"/>
          <w:szCs w:val="24"/>
        </w:rPr>
      </w:pPr>
      <w:r>
        <w:rPr>
          <w:rFonts w:asciiTheme="minorHAnsi" w:hAnsiTheme="minorHAnsi" w:cstheme="minorHAnsi"/>
          <w:b/>
          <w:noProof/>
          <w:snapToGrid/>
          <w:color w:val="auto"/>
          <w:szCs w:val="24"/>
        </w:rPr>
        <w:drawing>
          <wp:anchor distT="0" distB="0" distL="114300" distR="114300" simplePos="0" relativeHeight="251664384" behindDoc="1" locked="0" layoutInCell="1" allowOverlap="1">
            <wp:simplePos x="0" y="0"/>
            <wp:positionH relativeFrom="column">
              <wp:posOffset>13970</wp:posOffset>
            </wp:positionH>
            <wp:positionV relativeFrom="paragraph">
              <wp:posOffset>537210</wp:posOffset>
            </wp:positionV>
            <wp:extent cx="6148070" cy="5734050"/>
            <wp:effectExtent l="190500" t="152400" r="176530" b="133350"/>
            <wp:wrapTight wrapText="bothSides">
              <wp:wrapPolygon edited="0">
                <wp:start x="0" y="-574"/>
                <wp:lineTo x="-402" y="-359"/>
                <wp:lineTo x="-669" y="72"/>
                <wp:lineTo x="-669" y="21528"/>
                <wp:lineTo x="-201" y="22102"/>
                <wp:lineTo x="0" y="22102"/>
                <wp:lineTo x="21551" y="22102"/>
                <wp:lineTo x="21752" y="22102"/>
                <wp:lineTo x="22220" y="21456"/>
                <wp:lineTo x="22220" y="215"/>
                <wp:lineTo x="21886" y="-431"/>
                <wp:lineTo x="21551" y="-574"/>
                <wp:lineTo x="0" y="-574"/>
              </wp:wrapPolygon>
            </wp:wrapTight>
            <wp:docPr id="9" name="Obrázek 1" descr="Cizinci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zinci 2014.jpg"/>
                    <pic:cNvPicPr/>
                  </pic:nvPicPr>
                  <pic:blipFill>
                    <a:blip r:embed="rId24" cstate="print"/>
                    <a:stretch>
                      <a:fillRect/>
                    </a:stretch>
                  </pic:blipFill>
                  <pic:spPr>
                    <a:xfrm>
                      <a:off x="0" y="0"/>
                      <a:ext cx="6148070" cy="5734050"/>
                    </a:xfrm>
                    <a:prstGeom prst="rect">
                      <a:avLst/>
                    </a:prstGeom>
                    <a:ln>
                      <a:noFill/>
                    </a:ln>
                    <a:effectLst>
                      <a:outerShdw blurRad="190500" algn="tl" rotWithShape="0">
                        <a:srgbClr val="000000">
                          <a:alpha val="70000"/>
                        </a:srgbClr>
                      </a:outerShdw>
                    </a:effectLst>
                  </pic:spPr>
                </pic:pic>
              </a:graphicData>
            </a:graphic>
          </wp:anchor>
        </w:drawing>
      </w:r>
      <w:r w:rsidRPr="002B6BB8">
        <w:rPr>
          <w:rFonts w:asciiTheme="minorHAnsi" w:hAnsiTheme="minorHAnsi" w:cstheme="minorHAnsi"/>
          <w:b/>
          <w:color w:val="auto"/>
          <w:szCs w:val="24"/>
        </w:rPr>
        <w:t>Mapa IV/1</w:t>
      </w:r>
      <w:r w:rsidRPr="002B6BB8">
        <w:rPr>
          <w:rFonts w:asciiTheme="minorHAnsi" w:hAnsiTheme="minorHAnsi" w:cstheme="minorHAnsi"/>
          <w:color w:val="auto"/>
          <w:szCs w:val="24"/>
        </w:rPr>
        <w:t xml:space="preserve"> - Celkový počet zaměstnaných cizích státních příslušníků v jednot</w:t>
      </w:r>
      <w:r>
        <w:rPr>
          <w:rFonts w:asciiTheme="minorHAnsi" w:hAnsiTheme="minorHAnsi" w:cstheme="minorHAnsi"/>
          <w:color w:val="auto"/>
          <w:szCs w:val="24"/>
        </w:rPr>
        <w:t>livých okresech MSK k 31.12.2014</w:t>
      </w:r>
      <w:r w:rsidRPr="002B6BB8">
        <w:rPr>
          <w:rFonts w:asciiTheme="minorHAnsi" w:hAnsiTheme="minorHAnsi" w:cstheme="minorHAnsi"/>
          <w:color w:val="auto"/>
          <w:szCs w:val="24"/>
        </w:rPr>
        <w:t xml:space="preserve"> a podíl občanů Slovenské republiky a Polska</w:t>
      </w:r>
    </w:p>
    <w:p w:rsidR="007C5FBA" w:rsidRPr="002B6BB8" w:rsidRDefault="007C5FBA" w:rsidP="007C5FBA">
      <w:pPr>
        <w:widowControl w:val="0"/>
        <w:rPr>
          <w:rFonts w:asciiTheme="minorHAnsi" w:hAnsiTheme="minorHAnsi" w:cstheme="minorHAnsi"/>
          <w:snapToGrid w:val="0"/>
          <w:sz w:val="24"/>
        </w:rPr>
      </w:pPr>
    </w:p>
    <w:p w:rsidR="007C5FBA" w:rsidRPr="002B6BB8" w:rsidRDefault="007C5FBA" w:rsidP="007C5FBA">
      <w:pPr>
        <w:widowControl w:val="0"/>
        <w:rPr>
          <w:rFonts w:asciiTheme="minorHAnsi" w:hAnsiTheme="minorHAnsi" w:cstheme="minorHAnsi"/>
          <w:snapToGrid w:val="0"/>
          <w:sz w:val="24"/>
        </w:rPr>
      </w:pPr>
    </w:p>
    <w:p w:rsidR="007C5FBA" w:rsidRPr="002B6BB8" w:rsidRDefault="007C5FBA" w:rsidP="007C5FBA">
      <w:pPr>
        <w:widowControl w:val="0"/>
        <w:rPr>
          <w:rFonts w:asciiTheme="minorHAnsi" w:hAnsiTheme="minorHAnsi" w:cstheme="minorHAnsi"/>
          <w:b/>
          <w:i/>
          <w:snapToGrid w:val="0"/>
          <w:sz w:val="24"/>
        </w:rPr>
      </w:pPr>
    </w:p>
    <w:p w:rsidR="007C5FBA" w:rsidRPr="002B6BB8" w:rsidRDefault="007C5FBA" w:rsidP="007C5FBA">
      <w:pPr>
        <w:widowControl w:val="0"/>
        <w:rPr>
          <w:rFonts w:asciiTheme="minorHAnsi" w:hAnsiTheme="minorHAnsi" w:cstheme="minorHAnsi"/>
          <w:b/>
          <w:i/>
          <w:snapToGrid w:val="0"/>
          <w:sz w:val="24"/>
        </w:rPr>
      </w:pPr>
      <w:r w:rsidRPr="002B6BB8">
        <w:rPr>
          <w:rFonts w:asciiTheme="minorHAnsi" w:hAnsiTheme="minorHAnsi" w:cstheme="minorHAnsi"/>
          <w:b/>
          <w:i/>
          <w:snapToGrid w:val="0"/>
          <w:sz w:val="24"/>
        </w:rPr>
        <w:t>2. Evropské služby zaměstnanosti - EURES</w:t>
      </w:r>
    </w:p>
    <w:p w:rsidR="007C5FBA" w:rsidRPr="002B6BB8" w:rsidRDefault="007C5FBA" w:rsidP="007C5FBA">
      <w:pPr>
        <w:widowControl w:val="0"/>
        <w:rPr>
          <w:rFonts w:asciiTheme="minorHAnsi" w:hAnsiTheme="minorHAnsi" w:cstheme="minorHAnsi"/>
          <w:snapToGrid w:val="0"/>
          <w:sz w:val="24"/>
        </w:rPr>
      </w:pPr>
    </w:p>
    <w:p w:rsidR="007C5FBA" w:rsidRPr="003369C7" w:rsidRDefault="007C5FBA" w:rsidP="007C5FBA">
      <w:pPr>
        <w:ind w:firstLine="709"/>
        <w:jc w:val="both"/>
        <w:rPr>
          <w:rFonts w:asciiTheme="minorHAnsi" w:hAnsiTheme="minorHAnsi" w:cstheme="minorHAnsi"/>
          <w:snapToGrid w:val="0"/>
          <w:sz w:val="24"/>
        </w:rPr>
      </w:pPr>
      <w:r w:rsidRPr="003369C7">
        <w:rPr>
          <w:rFonts w:asciiTheme="minorHAnsi" w:hAnsiTheme="minorHAnsi" w:cstheme="minorHAnsi"/>
          <w:snapToGrid w:val="0"/>
          <w:sz w:val="24"/>
        </w:rPr>
        <w:t xml:space="preserve">Evropské služby zaměstnanosti </w:t>
      </w:r>
      <w:r w:rsidRPr="00ED1B18">
        <w:rPr>
          <w:rFonts w:asciiTheme="minorHAnsi" w:hAnsiTheme="minorHAnsi" w:cstheme="minorHAnsi"/>
          <w:snapToGrid w:val="0"/>
          <w:sz w:val="24"/>
        </w:rPr>
        <w:t>EURES (EURopean Employment Services</w:t>
      </w:r>
      <w:r w:rsidRPr="003369C7">
        <w:rPr>
          <w:rFonts w:asciiTheme="minorHAnsi" w:hAnsiTheme="minorHAnsi" w:cstheme="minorHAnsi"/>
          <w:snapToGrid w:val="0"/>
          <w:sz w:val="24"/>
        </w:rPr>
        <w:t>)</w:t>
      </w:r>
      <w:r>
        <w:rPr>
          <w:rFonts w:asciiTheme="minorHAnsi" w:hAnsiTheme="minorHAnsi" w:cstheme="minorHAnsi"/>
          <w:snapToGrid w:val="0"/>
          <w:sz w:val="24"/>
        </w:rPr>
        <w:t xml:space="preserve"> </w:t>
      </w:r>
      <w:r w:rsidRPr="003369C7">
        <w:rPr>
          <w:rFonts w:asciiTheme="minorHAnsi" w:hAnsiTheme="minorHAnsi" w:cstheme="minorHAnsi"/>
          <w:snapToGrid w:val="0"/>
          <w:sz w:val="24"/>
        </w:rPr>
        <w:t xml:space="preserve">tvoří </w:t>
      </w:r>
      <w:r>
        <w:rPr>
          <w:rFonts w:asciiTheme="minorHAnsi" w:hAnsiTheme="minorHAnsi" w:cstheme="minorHAnsi"/>
          <w:snapToGrid w:val="0"/>
          <w:sz w:val="24"/>
        </w:rPr>
        <w:t xml:space="preserve">v </w:t>
      </w:r>
      <w:r w:rsidRPr="003369C7">
        <w:rPr>
          <w:rFonts w:asciiTheme="minorHAnsi" w:hAnsiTheme="minorHAnsi" w:cstheme="minorHAnsi"/>
          <w:snapToGrid w:val="0"/>
          <w:sz w:val="24"/>
        </w:rPr>
        <w:t>České republi</w:t>
      </w:r>
      <w:r>
        <w:rPr>
          <w:rFonts w:asciiTheme="minorHAnsi" w:hAnsiTheme="minorHAnsi" w:cstheme="minorHAnsi"/>
          <w:snapToGrid w:val="0"/>
          <w:sz w:val="24"/>
        </w:rPr>
        <w:t>ce</w:t>
      </w:r>
      <w:r w:rsidRPr="003369C7">
        <w:rPr>
          <w:rFonts w:asciiTheme="minorHAnsi" w:hAnsiTheme="minorHAnsi" w:cstheme="minorHAnsi"/>
          <w:snapToGrid w:val="0"/>
          <w:sz w:val="24"/>
        </w:rPr>
        <w:t xml:space="preserve"> od </w:t>
      </w:r>
      <w:r>
        <w:rPr>
          <w:rFonts w:asciiTheme="minorHAnsi" w:hAnsiTheme="minorHAnsi" w:cstheme="minorHAnsi"/>
          <w:snapToGrid w:val="0"/>
          <w:sz w:val="24"/>
        </w:rPr>
        <w:t>jejího vstupu</w:t>
      </w:r>
      <w:r w:rsidRPr="003369C7">
        <w:rPr>
          <w:rFonts w:asciiTheme="minorHAnsi" w:hAnsiTheme="minorHAnsi" w:cstheme="minorHAnsi"/>
          <w:snapToGrid w:val="0"/>
          <w:sz w:val="24"/>
        </w:rPr>
        <w:t xml:space="preserve"> do Evropské unie</w:t>
      </w:r>
      <w:r>
        <w:rPr>
          <w:rFonts w:asciiTheme="minorHAnsi" w:hAnsiTheme="minorHAnsi" w:cstheme="minorHAnsi"/>
          <w:snapToGrid w:val="0"/>
          <w:sz w:val="24"/>
        </w:rPr>
        <w:t xml:space="preserve"> (květen 2004)</w:t>
      </w:r>
      <w:r w:rsidRPr="003369C7">
        <w:rPr>
          <w:rFonts w:asciiTheme="minorHAnsi" w:hAnsiTheme="minorHAnsi" w:cstheme="minorHAnsi"/>
          <w:snapToGrid w:val="0"/>
          <w:sz w:val="24"/>
        </w:rPr>
        <w:t xml:space="preserve"> neodmyslitelnou součást služeb Úřadu práce ČR. </w:t>
      </w:r>
      <w:r w:rsidRPr="00AE271A">
        <w:rPr>
          <w:rFonts w:asciiTheme="minorHAnsi" w:hAnsiTheme="minorHAnsi" w:cstheme="minorHAnsi"/>
          <w:snapToGrid w:val="0"/>
          <w:sz w:val="24"/>
        </w:rPr>
        <w:t>Poradci z 32 zemí celoevropské sítě EURES (EU/EHP a Švýcarska) podporují mezinárodní mobilitu pracovních sil v rámci svých celoročních aktivit.</w:t>
      </w:r>
      <w:r>
        <w:rPr>
          <w:rFonts w:asciiTheme="minorHAnsi" w:hAnsiTheme="minorHAnsi" w:cstheme="minorHAnsi"/>
          <w:snapToGrid w:val="0"/>
          <w:sz w:val="24"/>
        </w:rPr>
        <w:t xml:space="preserve"> </w:t>
      </w:r>
      <w:r w:rsidRPr="003369C7">
        <w:rPr>
          <w:rFonts w:asciiTheme="minorHAnsi" w:hAnsiTheme="minorHAnsi" w:cstheme="minorHAnsi"/>
          <w:snapToGrid w:val="0"/>
          <w:sz w:val="24"/>
        </w:rPr>
        <w:t>Síť E</w:t>
      </w:r>
      <w:r>
        <w:rPr>
          <w:rFonts w:asciiTheme="minorHAnsi" w:hAnsiTheme="minorHAnsi" w:cstheme="minorHAnsi"/>
          <w:snapToGrid w:val="0"/>
          <w:sz w:val="24"/>
        </w:rPr>
        <w:t>URES</w:t>
      </w:r>
      <w:r w:rsidRPr="003369C7">
        <w:rPr>
          <w:rFonts w:asciiTheme="minorHAnsi" w:hAnsiTheme="minorHAnsi" w:cstheme="minorHAnsi"/>
          <w:snapToGrid w:val="0"/>
          <w:sz w:val="24"/>
        </w:rPr>
        <w:t xml:space="preserve"> poskytuje uchazečům o práci v zahraničí a zaměstnavatelům hledají</w:t>
      </w:r>
      <w:r>
        <w:rPr>
          <w:rFonts w:asciiTheme="minorHAnsi" w:hAnsiTheme="minorHAnsi" w:cstheme="minorHAnsi"/>
          <w:snapToGrid w:val="0"/>
          <w:sz w:val="24"/>
        </w:rPr>
        <w:t>cím</w:t>
      </w:r>
      <w:r w:rsidRPr="003369C7">
        <w:rPr>
          <w:rFonts w:asciiTheme="minorHAnsi" w:hAnsiTheme="minorHAnsi" w:cstheme="minorHAnsi"/>
          <w:snapToGrid w:val="0"/>
          <w:sz w:val="24"/>
        </w:rPr>
        <w:t xml:space="preserve"> zahraniční pracovní sílu informační, poradenské a náborové služby dvěma hlavními způsoby: </w:t>
      </w:r>
    </w:p>
    <w:p w:rsidR="007C5FBA" w:rsidRPr="003369C7" w:rsidRDefault="007C5FBA" w:rsidP="007C5FBA">
      <w:pPr>
        <w:pStyle w:val="Odstavecseseznamem"/>
        <w:numPr>
          <w:ilvl w:val="0"/>
          <w:numId w:val="32"/>
        </w:numPr>
        <w:ind w:left="714" w:hanging="357"/>
        <w:jc w:val="both"/>
        <w:rPr>
          <w:rFonts w:asciiTheme="minorHAnsi" w:hAnsiTheme="minorHAnsi" w:cstheme="minorHAnsi"/>
          <w:snapToGrid w:val="0"/>
          <w:sz w:val="24"/>
        </w:rPr>
      </w:pPr>
      <w:r w:rsidRPr="003369C7">
        <w:rPr>
          <w:rFonts w:asciiTheme="minorHAnsi" w:hAnsiTheme="minorHAnsi" w:cstheme="minorHAnsi"/>
          <w:snapToGrid w:val="0"/>
          <w:sz w:val="24"/>
        </w:rPr>
        <w:t xml:space="preserve">prostřednictvím osobního, telefonického či e-mailového kontaktu s EURES poradcem (na krajských pobočkách ÚP </w:t>
      </w:r>
      <w:r>
        <w:rPr>
          <w:rFonts w:asciiTheme="minorHAnsi" w:hAnsiTheme="minorHAnsi" w:cstheme="minorHAnsi"/>
          <w:snapToGrid w:val="0"/>
          <w:sz w:val="24"/>
        </w:rPr>
        <w:t xml:space="preserve">ČR </w:t>
      </w:r>
      <w:r w:rsidRPr="003369C7">
        <w:rPr>
          <w:rFonts w:asciiTheme="minorHAnsi" w:hAnsiTheme="minorHAnsi" w:cstheme="minorHAnsi"/>
          <w:snapToGrid w:val="0"/>
          <w:sz w:val="24"/>
        </w:rPr>
        <w:t>a na kontaktním pracovišti ve Frýdku-Místku) a</w:t>
      </w:r>
      <w:r>
        <w:rPr>
          <w:rFonts w:asciiTheme="minorHAnsi" w:hAnsiTheme="minorHAnsi" w:cstheme="minorHAnsi"/>
          <w:snapToGrid w:val="0"/>
          <w:sz w:val="24"/>
        </w:rPr>
        <w:t> </w:t>
      </w:r>
      <w:r w:rsidRPr="003369C7">
        <w:rPr>
          <w:rFonts w:asciiTheme="minorHAnsi" w:hAnsiTheme="minorHAnsi" w:cstheme="minorHAnsi"/>
          <w:snapToGrid w:val="0"/>
          <w:sz w:val="24"/>
        </w:rPr>
        <w:t>s</w:t>
      </w:r>
      <w:r>
        <w:rPr>
          <w:rFonts w:asciiTheme="minorHAnsi" w:hAnsiTheme="minorHAnsi" w:cstheme="minorHAnsi"/>
          <w:snapToGrid w:val="0"/>
          <w:sz w:val="24"/>
        </w:rPr>
        <w:t> </w:t>
      </w:r>
      <w:r w:rsidRPr="003369C7">
        <w:rPr>
          <w:rFonts w:asciiTheme="minorHAnsi" w:hAnsiTheme="minorHAnsi" w:cstheme="minorHAnsi"/>
          <w:snapToGrid w:val="0"/>
          <w:sz w:val="24"/>
        </w:rPr>
        <w:t>kontaktními osobami EURES (na kontaktních pracovištích ÚP ČR)</w:t>
      </w:r>
      <w:r>
        <w:rPr>
          <w:rFonts w:asciiTheme="minorHAnsi" w:hAnsiTheme="minorHAnsi" w:cstheme="minorHAnsi"/>
          <w:snapToGrid w:val="0"/>
          <w:sz w:val="24"/>
        </w:rPr>
        <w:t>,</w:t>
      </w:r>
    </w:p>
    <w:p w:rsidR="007C5FBA" w:rsidRPr="00ED1B18" w:rsidRDefault="007C5FBA" w:rsidP="007C5FBA">
      <w:pPr>
        <w:pStyle w:val="Odstavecseseznamem"/>
        <w:numPr>
          <w:ilvl w:val="0"/>
          <w:numId w:val="32"/>
        </w:numPr>
        <w:ind w:left="714" w:hanging="357"/>
        <w:jc w:val="both"/>
        <w:rPr>
          <w:rFonts w:asciiTheme="minorHAnsi" w:hAnsiTheme="minorHAnsi" w:cstheme="minorHAnsi"/>
          <w:snapToGrid w:val="0"/>
          <w:sz w:val="24"/>
        </w:rPr>
      </w:pPr>
      <w:r w:rsidRPr="003369C7">
        <w:rPr>
          <w:rFonts w:asciiTheme="minorHAnsi" w:hAnsiTheme="minorHAnsi" w:cstheme="minorHAnsi"/>
          <w:snapToGrid w:val="0"/>
          <w:sz w:val="24"/>
        </w:rPr>
        <w:t xml:space="preserve">správou databáze volných pracovních míst, </w:t>
      </w:r>
      <w:r>
        <w:rPr>
          <w:rFonts w:asciiTheme="minorHAnsi" w:hAnsiTheme="minorHAnsi" w:cstheme="minorHAnsi"/>
          <w:snapToGrid w:val="0"/>
          <w:sz w:val="24"/>
        </w:rPr>
        <w:t>účtů (životopisů)</w:t>
      </w:r>
      <w:r w:rsidRPr="003369C7">
        <w:rPr>
          <w:rFonts w:asciiTheme="minorHAnsi" w:hAnsiTheme="minorHAnsi" w:cstheme="minorHAnsi"/>
          <w:snapToGrid w:val="0"/>
          <w:sz w:val="24"/>
        </w:rPr>
        <w:t xml:space="preserve"> uchazečů </w:t>
      </w:r>
      <w:r>
        <w:rPr>
          <w:rFonts w:asciiTheme="minorHAnsi" w:hAnsiTheme="minorHAnsi" w:cstheme="minorHAnsi"/>
          <w:snapToGrid w:val="0"/>
          <w:sz w:val="24"/>
        </w:rPr>
        <w:t xml:space="preserve">o zaměstnání </w:t>
      </w:r>
      <w:r w:rsidRPr="003369C7">
        <w:rPr>
          <w:rFonts w:asciiTheme="minorHAnsi" w:hAnsiTheme="minorHAnsi" w:cstheme="minorHAnsi"/>
          <w:snapToGrid w:val="0"/>
          <w:sz w:val="24"/>
        </w:rPr>
        <w:t>a</w:t>
      </w:r>
      <w:r>
        <w:rPr>
          <w:rFonts w:asciiTheme="minorHAnsi" w:hAnsiTheme="minorHAnsi" w:cstheme="minorHAnsi"/>
          <w:snapToGrid w:val="0"/>
          <w:sz w:val="24"/>
        </w:rPr>
        <w:t xml:space="preserve"> databáze </w:t>
      </w:r>
      <w:r w:rsidRPr="003369C7">
        <w:rPr>
          <w:rFonts w:asciiTheme="minorHAnsi" w:hAnsiTheme="minorHAnsi" w:cstheme="minorHAnsi"/>
          <w:snapToGrid w:val="0"/>
          <w:sz w:val="24"/>
        </w:rPr>
        <w:t>životních a</w:t>
      </w:r>
      <w:r>
        <w:rPr>
          <w:rFonts w:asciiTheme="minorHAnsi" w:hAnsiTheme="minorHAnsi" w:cstheme="minorHAnsi"/>
          <w:snapToGrid w:val="0"/>
          <w:sz w:val="24"/>
        </w:rPr>
        <w:t> </w:t>
      </w:r>
      <w:r w:rsidRPr="003369C7">
        <w:rPr>
          <w:rFonts w:asciiTheme="minorHAnsi" w:hAnsiTheme="minorHAnsi" w:cstheme="minorHAnsi"/>
          <w:snapToGrid w:val="0"/>
          <w:sz w:val="24"/>
        </w:rPr>
        <w:t>pracovních podmín</w:t>
      </w:r>
      <w:r>
        <w:rPr>
          <w:rFonts w:asciiTheme="minorHAnsi" w:hAnsiTheme="minorHAnsi" w:cstheme="minorHAnsi"/>
          <w:snapToGrid w:val="0"/>
          <w:sz w:val="24"/>
        </w:rPr>
        <w:t>e</w:t>
      </w:r>
      <w:r w:rsidRPr="003369C7">
        <w:rPr>
          <w:rFonts w:asciiTheme="minorHAnsi" w:hAnsiTheme="minorHAnsi" w:cstheme="minorHAnsi"/>
          <w:snapToGrid w:val="0"/>
          <w:sz w:val="24"/>
        </w:rPr>
        <w:t>k v zemích EU/EHP a</w:t>
      </w:r>
      <w:r>
        <w:rPr>
          <w:rFonts w:asciiTheme="minorHAnsi" w:hAnsiTheme="minorHAnsi" w:cstheme="minorHAnsi"/>
          <w:snapToGrid w:val="0"/>
          <w:sz w:val="24"/>
        </w:rPr>
        <w:t> </w:t>
      </w:r>
      <w:r w:rsidRPr="003369C7">
        <w:rPr>
          <w:rFonts w:asciiTheme="minorHAnsi" w:hAnsiTheme="minorHAnsi" w:cstheme="minorHAnsi"/>
          <w:snapToGrid w:val="0"/>
          <w:sz w:val="24"/>
        </w:rPr>
        <w:t>Švýcarska</w:t>
      </w:r>
      <w:r>
        <w:rPr>
          <w:rFonts w:asciiTheme="minorHAnsi" w:hAnsiTheme="minorHAnsi" w:cstheme="minorHAnsi"/>
          <w:snapToGrid w:val="0"/>
          <w:sz w:val="24"/>
        </w:rPr>
        <w:t>, a to</w:t>
      </w:r>
      <w:r w:rsidRPr="003369C7">
        <w:rPr>
          <w:rFonts w:asciiTheme="minorHAnsi" w:hAnsiTheme="minorHAnsi" w:cstheme="minorHAnsi"/>
          <w:snapToGrid w:val="0"/>
          <w:sz w:val="24"/>
        </w:rPr>
        <w:t xml:space="preserve"> </w:t>
      </w:r>
      <w:r>
        <w:rPr>
          <w:rFonts w:asciiTheme="minorHAnsi" w:hAnsiTheme="minorHAnsi" w:cstheme="minorHAnsi"/>
          <w:snapToGrid w:val="0"/>
          <w:sz w:val="24"/>
        </w:rPr>
        <w:t xml:space="preserve">nejen </w:t>
      </w:r>
      <w:r w:rsidRPr="003369C7">
        <w:rPr>
          <w:rFonts w:asciiTheme="minorHAnsi" w:hAnsiTheme="minorHAnsi" w:cstheme="minorHAnsi"/>
          <w:snapToGrid w:val="0"/>
          <w:sz w:val="24"/>
        </w:rPr>
        <w:t xml:space="preserve">na </w:t>
      </w:r>
      <w:r>
        <w:rPr>
          <w:rFonts w:asciiTheme="minorHAnsi" w:hAnsiTheme="minorHAnsi" w:cstheme="minorHAnsi"/>
          <w:snapToGrid w:val="0"/>
          <w:sz w:val="24"/>
        </w:rPr>
        <w:t xml:space="preserve">EURES - </w:t>
      </w:r>
      <w:r w:rsidRPr="003369C7">
        <w:rPr>
          <w:rFonts w:asciiTheme="minorHAnsi" w:hAnsiTheme="minorHAnsi" w:cstheme="minorHAnsi"/>
          <w:snapToGrid w:val="0"/>
          <w:sz w:val="24"/>
        </w:rPr>
        <w:t>Evropském portál</w:t>
      </w:r>
      <w:r>
        <w:rPr>
          <w:rFonts w:asciiTheme="minorHAnsi" w:hAnsiTheme="minorHAnsi" w:cstheme="minorHAnsi"/>
          <w:snapToGrid w:val="0"/>
          <w:sz w:val="24"/>
        </w:rPr>
        <w:t>e</w:t>
      </w:r>
      <w:r w:rsidRPr="003369C7">
        <w:rPr>
          <w:rFonts w:asciiTheme="minorHAnsi" w:hAnsiTheme="minorHAnsi" w:cstheme="minorHAnsi"/>
          <w:snapToGrid w:val="0"/>
          <w:sz w:val="24"/>
        </w:rPr>
        <w:t xml:space="preserve"> pracovní </w:t>
      </w:r>
      <w:r w:rsidRPr="00ED1B18">
        <w:rPr>
          <w:rFonts w:asciiTheme="minorHAnsi" w:hAnsiTheme="minorHAnsi" w:cstheme="minorHAnsi"/>
          <w:snapToGrid w:val="0"/>
          <w:sz w:val="24"/>
        </w:rPr>
        <w:t xml:space="preserve">mobility </w:t>
      </w:r>
      <w:hyperlink r:id="rId25" w:history="1">
        <w:r w:rsidRPr="00ED1B18">
          <w:rPr>
            <w:rStyle w:val="Hypertextovodkaz"/>
            <w:rFonts w:asciiTheme="minorHAnsi" w:hAnsiTheme="minorHAnsi" w:cstheme="minorHAnsi"/>
            <w:snapToGrid w:val="0"/>
            <w:color w:val="auto"/>
            <w:sz w:val="24"/>
          </w:rPr>
          <w:t>www.eures.europa.eu</w:t>
        </w:r>
      </w:hyperlink>
      <w:r w:rsidRPr="00ED1B18">
        <w:rPr>
          <w:rFonts w:asciiTheme="minorHAnsi" w:hAnsiTheme="minorHAnsi" w:cstheme="minorHAnsi"/>
          <w:snapToGrid w:val="0"/>
          <w:sz w:val="24"/>
        </w:rPr>
        <w:t>,</w:t>
      </w:r>
      <w:r>
        <w:rPr>
          <w:rFonts w:asciiTheme="minorHAnsi" w:hAnsiTheme="minorHAnsi" w:cstheme="minorHAnsi"/>
          <w:snapToGrid w:val="0"/>
          <w:sz w:val="24"/>
        </w:rPr>
        <w:t xml:space="preserve"> </w:t>
      </w:r>
      <w:r w:rsidRPr="003369C7">
        <w:rPr>
          <w:rFonts w:asciiTheme="minorHAnsi" w:hAnsiTheme="minorHAnsi" w:cstheme="minorHAnsi"/>
          <w:snapToGrid w:val="0"/>
          <w:sz w:val="24"/>
        </w:rPr>
        <w:t>a</w:t>
      </w:r>
      <w:r>
        <w:rPr>
          <w:rFonts w:asciiTheme="minorHAnsi" w:hAnsiTheme="minorHAnsi" w:cstheme="minorHAnsi"/>
          <w:snapToGrid w:val="0"/>
          <w:sz w:val="24"/>
        </w:rPr>
        <w:t xml:space="preserve">le i </w:t>
      </w:r>
      <w:r w:rsidRPr="003369C7">
        <w:rPr>
          <w:rFonts w:asciiTheme="minorHAnsi" w:hAnsiTheme="minorHAnsi" w:cstheme="minorHAnsi"/>
          <w:snapToGrid w:val="0"/>
          <w:sz w:val="24"/>
        </w:rPr>
        <w:t xml:space="preserve">na </w:t>
      </w:r>
      <w:r w:rsidRPr="00A44E26">
        <w:rPr>
          <w:rFonts w:asciiTheme="minorHAnsi" w:hAnsiTheme="minorHAnsi" w:cstheme="minorHAnsi"/>
          <w:snapToGrid w:val="0"/>
          <w:sz w:val="24"/>
        </w:rPr>
        <w:t xml:space="preserve">národní webové stránce </w:t>
      </w:r>
      <w:r w:rsidRPr="00ED1B18">
        <w:rPr>
          <w:rFonts w:asciiTheme="minorHAnsi" w:hAnsiTheme="minorHAnsi" w:cstheme="minorHAnsi"/>
          <w:snapToGrid w:val="0"/>
          <w:sz w:val="24"/>
        </w:rPr>
        <w:t xml:space="preserve">EURES </w:t>
      </w:r>
      <w:hyperlink r:id="rId26" w:history="1">
        <w:r w:rsidRPr="00ED1B18">
          <w:rPr>
            <w:rStyle w:val="Hypertextovodkaz"/>
            <w:rFonts w:asciiTheme="minorHAnsi" w:hAnsiTheme="minorHAnsi" w:cstheme="minorHAnsi"/>
            <w:snapToGrid w:val="0"/>
            <w:color w:val="auto"/>
            <w:sz w:val="24"/>
          </w:rPr>
          <w:t>www.eures.cz</w:t>
        </w:r>
      </w:hyperlink>
      <w:r w:rsidRPr="00ED1B18">
        <w:rPr>
          <w:rFonts w:asciiTheme="minorHAnsi" w:hAnsiTheme="minorHAnsi" w:cstheme="minorHAnsi"/>
          <w:snapToGrid w:val="0"/>
          <w:sz w:val="24"/>
        </w:rPr>
        <w:t xml:space="preserve">. </w:t>
      </w:r>
    </w:p>
    <w:p w:rsidR="007C5FBA" w:rsidRDefault="007C5FBA" w:rsidP="007C5FBA">
      <w:pPr>
        <w:jc w:val="both"/>
        <w:rPr>
          <w:rFonts w:asciiTheme="minorHAnsi" w:hAnsiTheme="minorHAnsi" w:cstheme="minorHAnsi"/>
          <w:snapToGrid w:val="0"/>
          <w:sz w:val="24"/>
        </w:rPr>
      </w:pPr>
    </w:p>
    <w:p w:rsidR="007C5FBA" w:rsidRPr="003369C7" w:rsidRDefault="007C5FBA" w:rsidP="007C5FBA">
      <w:pPr>
        <w:jc w:val="both"/>
        <w:rPr>
          <w:rFonts w:asciiTheme="minorHAnsi" w:hAnsiTheme="minorHAnsi" w:cstheme="minorHAnsi"/>
          <w:snapToGrid w:val="0"/>
          <w:sz w:val="24"/>
        </w:rPr>
      </w:pPr>
      <w:r w:rsidRPr="00ED1B18">
        <w:rPr>
          <w:rFonts w:asciiTheme="minorHAnsi" w:hAnsiTheme="minorHAnsi" w:cstheme="minorHAnsi"/>
          <w:snapToGrid w:val="0"/>
          <w:sz w:val="24"/>
        </w:rPr>
        <w:t xml:space="preserve">Zájemcům o další vzdělávání v členských zemích sítě EURES je na odkaze </w:t>
      </w:r>
      <w:hyperlink r:id="rId27" w:history="1">
        <w:r w:rsidRPr="00ED1B18">
          <w:rPr>
            <w:rStyle w:val="Hypertextovodkaz"/>
            <w:rFonts w:asciiTheme="minorHAnsi" w:hAnsiTheme="minorHAnsi" w:cstheme="minorHAnsi"/>
            <w:snapToGrid w:val="0"/>
            <w:color w:val="auto"/>
            <w:sz w:val="24"/>
          </w:rPr>
          <w:t>www.eures.europa.eu</w:t>
        </w:r>
      </w:hyperlink>
      <w:r w:rsidRPr="00ED1B18">
        <w:rPr>
          <w:rFonts w:asciiTheme="minorHAnsi" w:hAnsiTheme="minorHAnsi" w:cstheme="minorHAnsi"/>
          <w:snapToGrid w:val="0"/>
          <w:sz w:val="24"/>
        </w:rPr>
        <w:t xml:space="preserve"> k dispozici databáze „Příležitosti pro vzdělávání“.</w:t>
      </w:r>
      <w:r>
        <w:rPr>
          <w:rFonts w:asciiTheme="minorHAnsi" w:hAnsiTheme="minorHAnsi" w:cstheme="minorHAnsi"/>
          <w:snapToGrid w:val="0"/>
          <w:sz w:val="24"/>
        </w:rPr>
        <w:t xml:space="preserve"> </w:t>
      </w:r>
      <w:r w:rsidRPr="00ED1B18">
        <w:rPr>
          <w:rFonts w:asciiTheme="minorHAnsi" w:hAnsiTheme="minorHAnsi" w:cstheme="minorHAnsi"/>
          <w:snapToGrid w:val="0"/>
          <w:sz w:val="24"/>
        </w:rPr>
        <w:t>EURES v průběhu svého více než</w:t>
      </w:r>
      <w:r w:rsidRPr="003369C7">
        <w:rPr>
          <w:rFonts w:asciiTheme="minorHAnsi" w:hAnsiTheme="minorHAnsi" w:cstheme="minorHAnsi"/>
          <w:snapToGrid w:val="0"/>
          <w:sz w:val="24"/>
        </w:rPr>
        <w:t xml:space="preserve"> desetiletého působení v ČR napomohl zorganizovat </w:t>
      </w:r>
      <w:r>
        <w:rPr>
          <w:rFonts w:asciiTheme="minorHAnsi" w:hAnsiTheme="minorHAnsi" w:cstheme="minorHAnsi"/>
          <w:snapToGrid w:val="0"/>
          <w:sz w:val="24"/>
        </w:rPr>
        <w:t xml:space="preserve">spoustu </w:t>
      </w:r>
      <w:r w:rsidRPr="003369C7">
        <w:rPr>
          <w:rFonts w:asciiTheme="minorHAnsi" w:hAnsiTheme="minorHAnsi" w:cstheme="minorHAnsi"/>
          <w:snapToGrid w:val="0"/>
          <w:sz w:val="24"/>
        </w:rPr>
        <w:t>rozsáhl</w:t>
      </w:r>
      <w:r>
        <w:rPr>
          <w:rFonts w:asciiTheme="minorHAnsi" w:hAnsiTheme="minorHAnsi" w:cstheme="minorHAnsi"/>
          <w:snapToGrid w:val="0"/>
          <w:sz w:val="24"/>
        </w:rPr>
        <w:t>ých</w:t>
      </w:r>
      <w:r w:rsidRPr="003369C7">
        <w:rPr>
          <w:rFonts w:asciiTheme="minorHAnsi" w:hAnsiTheme="minorHAnsi" w:cstheme="minorHAnsi"/>
          <w:snapToGrid w:val="0"/>
          <w:sz w:val="24"/>
        </w:rPr>
        <w:t xml:space="preserve"> výběrov</w:t>
      </w:r>
      <w:r>
        <w:rPr>
          <w:rFonts w:asciiTheme="minorHAnsi" w:hAnsiTheme="minorHAnsi" w:cstheme="minorHAnsi"/>
          <w:snapToGrid w:val="0"/>
          <w:sz w:val="24"/>
        </w:rPr>
        <w:t>ých</w:t>
      </w:r>
      <w:r w:rsidRPr="003369C7">
        <w:rPr>
          <w:rFonts w:asciiTheme="minorHAnsi" w:hAnsiTheme="minorHAnsi" w:cstheme="minorHAnsi"/>
          <w:snapToGrid w:val="0"/>
          <w:sz w:val="24"/>
        </w:rPr>
        <w:t xml:space="preserve"> řízení a zahraniční</w:t>
      </w:r>
      <w:r>
        <w:rPr>
          <w:rFonts w:asciiTheme="minorHAnsi" w:hAnsiTheme="minorHAnsi" w:cstheme="minorHAnsi"/>
          <w:snapToGrid w:val="0"/>
          <w:sz w:val="24"/>
        </w:rPr>
        <w:t>ch</w:t>
      </w:r>
      <w:r w:rsidRPr="003369C7">
        <w:rPr>
          <w:rFonts w:asciiTheme="minorHAnsi" w:hAnsiTheme="minorHAnsi" w:cstheme="minorHAnsi"/>
          <w:snapToGrid w:val="0"/>
          <w:sz w:val="24"/>
        </w:rPr>
        <w:t xml:space="preserve"> nábor</w:t>
      </w:r>
      <w:r>
        <w:rPr>
          <w:rFonts w:asciiTheme="minorHAnsi" w:hAnsiTheme="minorHAnsi" w:cstheme="minorHAnsi"/>
          <w:snapToGrid w:val="0"/>
          <w:sz w:val="24"/>
        </w:rPr>
        <w:t>ů</w:t>
      </w:r>
      <w:r w:rsidRPr="003369C7">
        <w:rPr>
          <w:rFonts w:asciiTheme="minorHAnsi" w:hAnsiTheme="minorHAnsi" w:cstheme="minorHAnsi"/>
          <w:snapToGrid w:val="0"/>
          <w:sz w:val="24"/>
        </w:rPr>
        <w:t xml:space="preserve">, díky kterým našlo mnoho českých občanů </w:t>
      </w:r>
      <w:r>
        <w:rPr>
          <w:rFonts w:asciiTheme="minorHAnsi" w:hAnsiTheme="minorHAnsi" w:cstheme="minorHAnsi"/>
          <w:snapToGrid w:val="0"/>
          <w:sz w:val="24"/>
        </w:rPr>
        <w:t>pracovní</w:t>
      </w:r>
      <w:r w:rsidRPr="003369C7">
        <w:rPr>
          <w:rFonts w:asciiTheme="minorHAnsi" w:hAnsiTheme="minorHAnsi" w:cstheme="minorHAnsi"/>
          <w:snapToGrid w:val="0"/>
          <w:sz w:val="24"/>
        </w:rPr>
        <w:t xml:space="preserve"> uplatnění v zahraničí.</w:t>
      </w:r>
      <w:r>
        <w:rPr>
          <w:rFonts w:asciiTheme="minorHAnsi" w:hAnsiTheme="minorHAnsi" w:cstheme="minorHAnsi"/>
          <w:snapToGrid w:val="0"/>
          <w:sz w:val="24"/>
        </w:rPr>
        <w:t xml:space="preserve"> </w:t>
      </w:r>
      <w:r w:rsidRPr="003369C7">
        <w:rPr>
          <w:rFonts w:asciiTheme="minorHAnsi" w:hAnsiTheme="minorHAnsi" w:cstheme="minorHAnsi"/>
          <w:snapToGrid w:val="0"/>
          <w:sz w:val="24"/>
        </w:rPr>
        <w:t>V rámci celoročních aktivit pořádají E</w:t>
      </w:r>
      <w:r>
        <w:rPr>
          <w:rFonts w:asciiTheme="minorHAnsi" w:hAnsiTheme="minorHAnsi" w:cstheme="minorHAnsi"/>
          <w:snapToGrid w:val="0"/>
          <w:sz w:val="24"/>
        </w:rPr>
        <w:t>URES</w:t>
      </w:r>
      <w:r w:rsidRPr="003369C7">
        <w:rPr>
          <w:rFonts w:asciiTheme="minorHAnsi" w:hAnsiTheme="minorHAnsi" w:cstheme="minorHAnsi"/>
          <w:snapToGrid w:val="0"/>
          <w:sz w:val="24"/>
        </w:rPr>
        <w:t xml:space="preserve"> poradci skupinové akce pro </w:t>
      </w:r>
      <w:r>
        <w:rPr>
          <w:rFonts w:asciiTheme="minorHAnsi" w:hAnsiTheme="minorHAnsi" w:cstheme="minorHAnsi"/>
          <w:snapToGrid w:val="0"/>
          <w:sz w:val="24"/>
        </w:rPr>
        <w:t xml:space="preserve">různé </w:t>
      </w:r>
      <w:r w:rsidRPr="003369C7">
        <w:rPr>
          <w:rFonts w:asciiTheme="minorHAnsi" w:hAnsiTheme="minorHAnsi" w:cstheme="minorHAnsi"/>
          <w:snapToGrid w:val="0"/>
          <w:sz w:val="24"/>
        </w:rPr>
        <w:t xml:space="preserve">cílové skupiny (studenty, zaměstnavatele, odbornou veřejnost) i pro širokou veřejnost. Jsou to přednášky, semináře, workshopy, burzy práce a náborové akce. </w:t>
      </w:r>
      <w:r>
        <w:rPr>
          <w:rFonts w:asciiTheme="minorHAnsi" w:hAnsiTheme="minorHAnsi" w:cstheme="minorHAnsi"/>
          <w:snapToGrid w:val="0"/>
          <w:sz w:val="24"/>
        </w:rPr>
        <w:t>Z důvodu</w:t>
      </w:r>
      <w:r w:rsidRPr="003369C7">
        <w:rPr>
          <w:rFonts w:asciiTheme="minorHAnsi" w:hAnsiTheme="minorHAnsi" w:cstheme="minorHAnsi"/>
          <w:snapToGrid w:val="0"/>
          <w:sz w:val="24"/>
        </w:rPr>
        <w:t xml:space="preserve"> </w:t>
      </w:r>
      <w:r>
        <w:rPr>
          <w:rFonts w:asciiTheme="minorHAnsi" w:hAnsiTheme="minorHAnsi" w:cstheme="minorHAnsi"/>
          <w:snapToGrid w:val="0"/>
          <w:sz w:val="24"/>
        </w:rPr>
        <w:t xml:space="preserve">poskytnutí </w:t>
      </w:r>
      <w:r w:rsidRPr="003369C7">
        <w:rPr>
          <w:rFonts w:asciiTheme="minorHAnsi" w:hAnsiTheme="minorHAnsi" w:cstheme="minorHAnsi"/>
          <w:snapToGrid w:val="0"/>
          <w:sz w:val="24"/>
        </w:rPr>
        <w:t>komplexn</w:t>
      </w:r>
      <w:r>
        <w:rPr>
          <w:rFonts w:asciiTheme="minorHAnsi" w:hAnsiTheme="minorHAnsi" w:cstheme="minorHAnsi"/>
          <w:snapToGrid w:val="0"/>
          <w:sz w:val="24"/>
        </w:rPr>
        <w:t>ích</w:t>
      </w:r>
      <w:r w:rsidRPr="003369C7">
        <w:rPr>
          <w:rFonts w:asciiTheme="minorHAnsi" w:hAnsiTheme="minorHAnsi" w:cstheme="minorHAnsi"/>
          <w:snapToGrid w:val="0"/>
          <w:sz w:val="24"/>
        </w:rPr>
        <w:t xml:space="preserve"> informací</w:t>
      </w:r>
      <w:r>
        <w:rPr>
          <w:rFonts w:asciiTheme="minorHAnsi" w:hAnsiTheme="minorHAnsi" w:cstheme="minorHAnsi"/>
          <w:snapToGrid w:val="0"/>
          <w:sz w:val="24"/>
        </w:rPr>
        <w:t>, jak po </w:t>
      </w:r>
      <w:r w:rsidRPr="003369C7">
        <w:rPr>
          <w:rFonts w:asciiTheme="minorHAnsi" w:hAnsiTheme="minorHAnsi" w:cstheme="minorHAnsi"/>
          <w:snapToGrid w:val="0"/>
          <w:sz w:val="24"/>
        </w:rPr>
        <w:t>teoretické</w:t>
      </w:r>
      <w:r>
        <w:rPr>
          <w:rFonts w:asciiTheme="minorHAnsi" w:hAnsiTheme="minorHAnsi" w:cstheme="minorHAnsi"/>
          <w:snapToGrid w:val="0"/>
          <w:sz w:val="24"/>
        </w:rPr>
        <w:t>, tak</w:t>
      </w:r>
      <w:r w:rsidRPr="003369C7">
        <w:rPr>
          <w:rFonts w:asciiTheme="minorHAnsi" w:hAnsiTheme="minorHAnsi" w:cstheme="minorHAnsi"/>
          <w:snapToGrid w:val="0"/>
          <w:sz w:val="24"/>
        </w:rPr>
        <w:t xml:space="preserve"> i praktické strán</w:t>
      </w:r>
      <w:r>
        <w:rPr>
          <w:rFonts w:asciiTheme="minorHAnsi" w:hAnsiTheme="minorHAnsi" w:cstheme="minorHAnsi"/>
          <w:snapToGrid w:val="0"/>
          <w:sz w:val="24"/>
        </w:rPr>
        <w:t>ce,</w:t>
      </w:r>
      <w:r w:rsidRPr="003369C7">
        <w:rPr>
          <w:rFonts w:asciiTheme="minorHAnsi" w:hAnsiTheme="minorHAnsi" w:cstheme="minorHAnsi"/>
          <w:snapToGrid w:val="0"/>
          <w:sz w:val="24"/>
        </w:rPr>
        <w:t xml:space="preserve"> jsou aktivity často pořádány ve spolupráci s partnery, např. z evropských sítí Eurocentrum, Europe Direct a Enterprise Europe Network. </w:t>
      </w:r>
    </w:p>
    <w:p w:rsidR="007C5FBA" w:rsidRPr="003369C7" w:rsidRDefault="007C5FBA" w:rsidP="007C5FBA">
      <w:pPr>
        <w:ind w:firstLine="709"/>
        <w:jc w:val="both"/>
        <w:rPr>
          <w:rFonts w:asciiTheme="minorHAnsi" w:hAnsiTheme="minorHAnsi" w:cstheme="minorHAnsi"/>
          <w:snapToGrid w:val="0"/>
          <w:sz w:val="24"/>
        </w:rPr>
      </w:pPr>
      <w:r w:rsidRPr="003369C7">
        <w:rPr>
          <w:rFonts w:asciiTheme="minorHAnsi" w:hAnsiTheme="minorHAnsi" w:cstheme="minorHAnsi"/>
          <w:snapToGrid w:val="0"/>
          <w:sz w:val="24"/>
        </w:rPr>
        <w:t xml:space="preserve">V roce 2014 se EURES poradci setkali se studenty středních a vysokých škol </w:t>
      </w:r>
      <w:r>
        <w:rPr>
          <w:rFonts w:asciiTheme="minorHAnsi" w:hAnsiTheme="minorHAnsi" w:cstheme="minorHAnsi"/>
          <w:snapToGrid w:val="0"/>
          <w:sz w:val="24"/>
        </w:rPr>
        <w:t xml:space="preserve">celkem </w:t>
      </w:r>
      <w:r w:rsidRPr="003369C7">
        <w:rPr>
          <w:rFonts w:asciiTheme="minorHAnsi" w:hAnsiTheme="minorHAnsi" w:cstheme="minorHAnsi"/>
          <w:snapToGrid w:val="0"/>
          <w:sz w:val="24"/>
        </w:rPr>
        <w:t>na 11</w:t>
      </w:r>
      <w:r>
        <w:rPr>
          <w:rFonts w:asciiTheme="minorHAnsi" w:hAnsiTheme="minorHAnsi" w:cstheme="minorHAnsi"/>
          <w:snapToGrid w:val="0"/>
          <w:sz w:val="24"/>
        </w:rPr>
        <w:t> </w:t>
      </w:r>
      <w:r w:rsidRPr="003369C7">
        <w:rPr>
          <w:rFonts w:asciiTheme="minorHAnsi" w:hAnsiTheme="minorHAnsi" w:cstheme="minorHAnsi"/>
          <w:snapToGrid w:val="0"/>
          <w:sz w:val="24"/>
        </w:rPr>
        <w:t xml:space="preserve">přednáškách. </w:t>
      </w:r>
      <w:r>
        <w:rPr>
          <w:rFonts w:asciiTheme="minorHAnsi" w:hAnsiTheme="minorHAnsi" w:cstheme="minorHAnsi"/>
          <w:snapToGrid w:val="0"/>
          <w:sz w:val="24"/>
        </w:rPr>
        <w:t>Ty se te</w:t>
      </w:r>
      <w:r w:rsidRPr="003369C7">
        <w:rPr>
          <w:rFonts w:asciiTheme="minorHAnsi" w:hAnsiTheme="minorHAnsi" w:cstheme="minorHAnsi"/>
          <w:snapToGrid w:val="0"/>
          <w:sz w:val="24"/>
        </w:rPr>
        <w:t>maticky zaměřoval</w:t>
      </w:r>
      <w:r>
        <w:rPr>
          <w:rFonts w:asciiTheme="minorHAnsi" w:hAnsiTheme="minorHAnsi" w:cstheme="minorHAnsi"/>
          <w:snapToGrid w:val="0"/>
          <w:sz w:val="24"/>
        </w:rPr>
        <w:t>y</w:t>
      </w:r>
      <w:r w:rsidRPr="003369C7">
        <w:rPr>
          <w:rFonts w:asciiTheme="minorHAnsi" w:hAnsiTheme="minorHAnsi" w:cstheme="minorHAnsi"/>
          <w:snapToGrid w:val="0"/>
          <w:sz w:val="24"/>
        </w:rPr>
        <w:t xml:space="preserve"> na informace o aktuální situaci na evropském trhu práce, o možnostech jednotného evropského trhu v rámci pracovních příležitostí, dále pak na informace o neformálním vzdělávání (dobrovolnická činnost, jazykové vzdělávání, stáže) a</w:t>
      </w:r>
      <w:r>
        <w:rPr>
          <w:rFonts w:asciiTheme="minorHAnsi" w:hAnsiTheme="minorHAnsi" w:cstheme="minorHAnsi"/>
          <w:snapToGrid w:val="0"/>
          <w:sz w:val="24"/>
        </w:rPr>
        <w:t> </w:t>
      </w:r>
      <w:r w:rsidRPr="003369C7">
        <w:rPr>
          <w:rFonts w:asciiTheme="minorHAnsi" w:hAnsiTheme="minorHAnsi" w:cstheme="minorHAnsi"/>
          <w:snapToGrid w:val="0"/>
          <w:sz w:val="24"/>
        </w:rPr>
        <w:t>o</w:t>
      </w:r>
      <w:r>
        <w:rPr>
          <w:rFonts w:asciiTheme="minorHAnsi" w:hAnsiTheme="minorHAnsi" w:cstheme="minorHAnsi"/>
          <w:snapToGrid w:val="0"/>
          <w:sz w:val="24"/>
        </w:rPr>
        <w:t> </w:t>
      </w:r>
      <w:r w:rsidRPr="003369C7">
        <w:rPr>
          <w:rFonts w:asciiTheme="minorHAnsi" w:hAnsiTheme="minorHAnsi" w:cstheme="minorHAnsi"/>
          <w:snapToGrid w:val="0"/>
          <w:sz w:val="24"/>
        </w:rPr>
        <w:t xml:space="preserve">mládežnických programech včetně programu EURASMUS/ERASMUS+. V rámci pravidelného semináře </w:t>
      </w:r>
      <w:r>
        <w:rPr>
          <w:rFonts w:asciiTheme="minorHAnsi" w:hAnsiTheme="minorHAnsi" w:cstheme="minorHAnsi"/>
          <w:snapToGrid w:val="0"/>
          <w:sz w:val="24"/>
        </w:rPr>
        <w:t>„</w:t>
      </w:r>
      <w:r w:rsidRPr="003369C7">
        <w:rPr>
          <w:rFonts w:asciiTheme="minorHAnsi" w:hAnsiTheme="minorHAnsi" w:cstheme="minorHAnsi"/>
          <w:snapToGrid w:val="0"/>
          <w:sz w:val="24"/>
        </w:rPr>
        <w:t>KROK</w:t>
      </w:r>
      <w:r>
        <w:rPr>
          <w:rFonts w:asciiTheme="minorHAnsi" w:hAnsiTheme="minorHAnsi" w:cstheme="minorHAnsi"/>
          <w:snapToGrid w:val="0"/>
          <w:sz w:val="24"/>
        </w:rPr>
        <w:t>“</w:t>
      </w:r>
      <w:r w:rsidRPr="003369C7">
        <w:rPr>
          <w:rFonts w:asciiTheme="minorHAnsi" w:hAnsiTheme="minorHAnsi" w:cstheme="minorHAnsi"/>
          <w:snapToGrid w:val="0"/>
          <w:sz w:val="24"/>
        </w:rPr>
        <w:t xml:space="preserve"> na kontaktním pracovišti ve Frýdku-Místku určeného pro absolventy evidované na ÚP ČR bylo o službách sítě EURES a práci v zahraničí informováno celkem 283 osob.</w:t>
      </w:r>
    </w:p>
    <w:p w:rsidR="007C5FBA" w:rsidRPr="003369C7" w:rsidRDefault="007C5FBA" w:rsidP="007C5FBA">
      <w:pPr>
        <w:pStyle w:val="Prosttext"/>
        <w:ind w:firstLine="708"/>
        <w:jc w:val="both"/>
        <w:rPr>
          <w:rFonts w:asciiTheme="minorHAnsi" w:eastAsia="Times New Roman" w:hAnsiTheme="minorHAnsi" w:cstheme="minorHAnsi"/>
          <w:snapToGrid w:val="0"/>
          <w:sz w:val="24"/>
          <w:szCs w:val="20"/>
          <w:lang w:eastAsia="cs-CZ"/>
        </w:rPr>
      </w:pPr>
      <w:r w:rsidRPr="003369C7">
        <w:rPr>
          <w:rFonts w:asciiTheme="minorHAnsi" w:eastAsia="Times New Roman" w:hAnsiTheme="minorHAnsi" w:cstheme="minorHAnsi"/>
          <w:snapToGrid w:val="0"/>
          <w:sz w:val="24"/>
          <w:szCs w:val="20"/>
          <w:lang w:eastAsia="cs-CZ"/>
        </w:rPr>
        <w:t xml:space="preserve">V lednu 2014 zorganizovalo kontaktní pracoviště ÚP ČR v Třinci ve spolupráci s EURES poradcem přednášky, soutěže a praktické ukázky technických dovedností v rámci akce </w:t>
      </w:r>
      <w:r>
        <w:rPr>
          <w:rFonts w:asciiTheme="minorHAnsi" w:eastAsia="Times New Roman" w:hAnsiTheme="minorHAnsi" w:cstheme="minorHAnsi"/>
          <w:snapToGrid w:val="0"/>
          <w:sz w:val="24"/>
          <w:szCs w:val="20"/>
          <w:lang w:eastAsia="cs-CZ"/>
        </w:rPr>
        <w:t>„</w:t>
      </w:r>
      <w:r w:rsidRPr="004A034F">
        <w:rPr>
          <w:rFonts w:asciiTheme="minorHAnsi" w:eastAsia="Times New Roman" w:hAnsiTheme="minorHAnsi" w:cstheme="minorHAnsi"/>
          <w:snapToGrid w:val="0"/>
          <w:color w:val="000000" w:themeColor="text1"/>
          <w:sz w:val="24"/>
          <w:szCs w:val="20"/>
          <w:lang w:eastAsia="cs-CZ"/>
        </w:rPr>
        <w:t>Nebojme se technických oborů“</w:t>
      </w:r>
      <w:r w:rsidRPr="004A034F">
        <w:rPr>
          <w:rFonts w:asciiTheme="minorHAnsi" w:eastAsia="Times New Roman" w:hAnsiTheme="minorHAnsi" w:cstheme="minorHAnsi"/>
          <w:snapToGrid w:val="0"/>
          <w:sz w:val="24"/>
          <w:szCs w:val="20"/>
          <w:lang w:eastAsia="cs-CZ"/>
        </w:rPr>
        <w:t>.</w:t>
      </w:r>
      <w:r w:rsidRPr="003369C7">
        <w:rPr>
          <w:rFonts w:asciiTheme="minorHAnsi" w:eastAsia="Times New Roman" w:hAnsiTheme="minorHAnsi" w:cstheme="minorHAnsi"/>
          <w:snapToGrid w:val="0"/>
          <w:sz w:val="24"/>
          <w:szCs w:val="20"/>
          <w:lang w:eastAsia="cs-CZ"/>
        </w:rPr>
        <w:t xml:space="preserve"> Hlavním cílem bylo zvýšení zájmu žáků ZŠ o studium technických oborů. Na akci vystavovalo </w:t>
      </w:r>
      <w:r>
        <w:rPr>
          <w:rFonts w:asciiTheme="minorHAnsi" w:eastAsia="Times New Roman" w:hAnsiTheme="minorHAnsi" w:cstheme="minorHAnsi"/>
          <w:snapToGrid w:val="0"/>
          <w:sz w:val="24"/>
          <w:szCs w:val="20"/>
          <w:lang w:eastAsia="cs-CZ"/>
        </w:rPr>
        <w:t>5</w:t>
      </w:r>
      <w:r w:rsidRPr="003369C7">
        <w:rPr>
          <w:rFonts w:asciiTheme="minorHAnsi" w:eastAsia="Times New Roman" w:hAnsiTheme="minorHAnsi" w:cstheme="minorHAnsi"/>
          <w:snapToGrid w:val="0"/>
          <w:sz w:val="24"/>
          <w:szCs w:val="20"/>
          <w:lang w:eastAsia="cs-CZ"/>
        </w:rPr>
        <w:t xml:space="preserve"> odborných subjektů, které navštívilo 39 zájemců. </w:t>
      </w:r>
    </w:p>
    <w:p w:rsidR="007C5FBA" w:rsidRPr="003369C7" w:rsidRDefault="007C5FBA" w:rsidP="007C5FBA">
      <w:pPr>
        <w:pStyle w:val="Prosttext"/>
        <w:ind w:firstLine="708"/>
        <w:jc w:val="both"/>
        <w:rPr>
          <w:rFonts w:asciiTheme="minorHAnsi" w:eastAsia="Times New Roman" w:hAnsiTheme="minorHAnsi" w:cstheme="minorHAnsi"/>
          <w:snapToGrid w:val="0"/>
          <w:sz w:val="24"/>
          <w:szCs w:val="20"/>
          <w:lang w:eastAsia="cs-CZ"/>
        </w:rPr>
      </w:pPr>
      <w:r w:rsidRPr="003369C7">
        <w:rPr>
          <w:rFonts w:asciiTheme="minorHAnsi" w:eastAsia="Times New Roman" w:hAnsiTheme="minorHAnsi" w:cstheme="minorHAnsi"/>
          <w:snapToGrid w:val="0"/>
          <w:sz w:val="24"/>
          <w:szCs w:val="20"/>
          <w:lang w:eastAsia="cs-CZ"/>
        </w:rPr>
        <w:t xml:space="preserve">EURES </w:t>
      </w:r>
      <w:r>
        <w:rPr>
          <w:rFonts w:asciiTheme="minorHAnsi" w:eastAsia="Times New Roman" w:hAnsiTheme="minorHAnsi" w:cstheme="minorHAnsi"/>
          <w:snapToGrid w:val="0"/>
          <w:sz w:val="24"/>
          <w:szCs w:val="20"/>
          <w:lang w:eastAsia="cs-CZ"/>
        </w:rPr>
        <w:t>p</w:t>
      </w:r>
      <w:r w:rsidRPr="003369C7">
        <w:rPr>
          <w:rFonts w:asciiTheme="minorHAnsi" w:eastAsia="Times New Roman" w:hAnsiTheme="minorHAnsi" w:cstheme="minorHAnsi"/>
          <w:snapToGrid w:val="0"/>
          <w:sz w:val="24"/>
          <w:szCs w:val="20"/>
          <w:lang w:eastAsia="cs-CZ"/>
        </w:rPr>
        <w:t>oradci ve spolupráci s kontaktním pracovištěm ve Frýdku-Místku, E</w:t>
      </w:r>
      <w:r>
        <w:rPr>
          <w:rFonts w:asciiTheme="minorHAnsi" w:eastAsia="Times New Roman" w:hAnsiTheme="minorHAnsi" w:cstheme="minorHAnsi"/>
          <w:snapToGrid w:val="0"/>
          <w:sz w:val="24"/>
          <w:szCs w:val="20"/>
          <w:lang w:eastAsia="cs-CZ"/>
        </w:rPr>
        <w:t>urocentrem</w:t>
      </w:r>
      <w:r w:rsidRPr="003369C7">
        <w:rPr>
          <w:rFonts w:asciiTheme="minorHAnsi" w:eastAsia="Times New Roman" w:hAnsiTheme="minorHAnsi" w:cstheme="minorHAnsi"/>
          <w:snapToGrid w:val="0"/>
          <w:sz w:val="24"/>
          <w:szCs w:val="20"/>
          <w:lang w:eastAsia="cs-CZ"/>
        </w:rPr>
        <w:t xml:space="preserve"> Ostrava a Enterprise Europe Network zorganizovali </w:t>
      </w:r>
      <w:r>
        <w:rPr>
          <w:rFonts w:asciiTheme="minorHAnsi" w:eastAsia="Times New Roman" w:hAnsiTheme="minorHAnsi" w:cstheme="minorHAnsi"/>
          <w:snapToGrid w:val="0"/>
          <w:sz w:val="24"/>
          <w:szCs w:val="20"/>
          <w:lang w:eastAsia="cs-CZ"/>
        </w:rPr>
        <w:t>3</w:t>
      </w:r>
      <w:r w:rsidRPr="003369C7">
        <w:rPr>
          <w:rFonts w:asciiTheme="minorHAnsi" w:eastAsia="Times New Roman" w:hAnsiTheme="minorHAnsi" w:cstheme="minorHAnsi"/>
          <w:snapToGrid w:val="0"/>
          <w:sz w:val="24"/>
          <w:szCs w:val="20"/>
          <w:lang w:eastAsia="cs-CZ"/>
        </w:rPr>
        <w:t xml:space="preserve"> semináře pro zaměstnavatele </w:t>
      </w:r>
      <w:r>
        <w:rPr>
          <w:rFonts w:asciiTheme="minorHAnsi" w:eastAsia="Times New Roman" w:hAnsiTheme="minorHAnsi" w:cstheme="minorHAnsi"/>
          <w:snapToGrid w:val="0"/>
          <w:sz w:val="24"/>
          <w:szCs w:val="20"/>
          <w:lang w:eastAsia="cs-CZ"/>
        </w:rPr>
        <w:t>v</w:t>
      </w:r>
      <w:r w:rsidRPr="003369C7">
        <w:rPr>
          <w:rFonts w:asciiTheme="minorHAnsi" w:eastAsia="Times New Roman" w:hAnsiTheme="minorHAnsi" w:cstheme="minorHAnsi"/>
          <w:snapToGrid w:val="0"/>
          <w:sz w:val="24"/>
          <w:szCs w:val="20"/>
          <w:lang w:eastAsia="cs-CZ"/>
        </w:rPr>
        <w:t> MS</w:t>
      </w:r>
      <w:r>
        <w:rPr>
          <w:rFonts w:asciiTheme="minorHAnsi" w:eastAsia="Times New Roman" w:hAnsiTheme="minorHAnsi" w:cstheme="minorHAnsi"/>
          <w:snapToGrid w:val="0"/>
          <w:sz w:val="24"/>
          <w:szCs w:val="20"/>
          <w:lang w:eastAsia="cs-CZ"/>
        </w:rPr>
        <w:t>K</w:t>
      </w:r>
      <w:r w:rsidRPr="003369C7">
        <w:rPr>
          <w:rFonts w:asciiTheme="minorHAnsi" w:eastAsia="Times New Roman" w:hAnsiTheme="minorHAnsi" w:cstheme="minorHAnsi"/>
          <w:snapToGrid w:val="0"/>
          <w:sz w:val="24"/>
          <w:szCs w:val="20"/>
          <w:lang w:eastAsia="cs-CZ"/>
        </w:rPr>
        <w:t>. Účastníci byli informováni o službách sítě EURES (</w:t>
      </w:r>
      <w:r>
        <w:rPr>
          <w:rFonts w:asciiTheme="minorHAnsi" w:eastAsia="Times New Roman" w:hAnsiTheme="minorHAnsi" w:cstheme="minorHAnsi"/>
          <w:snapToGrid w:val="0"/>
          <w:sz w:val="24"/>
          <w:szCs w:val="20"/>
          <w:lang w:eastAsia="cs-CZ"/>
        </w:rPr>
        <w:t xml:space="preserve">o zprostředkování </w:t>
      </w:r>
      <w:r w:rsidRPr="003369C7">
        <w:rPr>
          <w:rFonts w:asciiTheme="minorHAnsi" w:eastAsia="Times New Roman" w:hAnsiTheme="minorHAnsi" w:cstheme="minorHAnsi"/>
          <w:snapToGrid w:val="0"/>
          <w:sz w:val="24"/>
          <w:szCs w:val="20"/>
          <w:lang w:eastAsia="cs-CZ"/>
        </w:rPr>
        <w:t>zkušené a</w:t>
      </w:r>
      <w:r>
        <w:rPr>
          <w:rFonts w:asciiTheme="minorHAnsi" w:eastAsia="Times New Roman" w:hAnsiTheme="minorHAnsi" w:cstheme="minorHAnsi"/>
          <w:snapToGrid w:val="0"/>
          <w:sz w:val="24"/>
          <w:szCs w:val="20"/>
          <w:lang w:eastAsia="cs-CZ"/>
        </w:rPr>
        <w:t> </w:t>
      </w:r>
      <w:r w:rsidRPr="003369C7">
        <w:rPr>
          <w:rFonts w:asciiTheme="minorHAnsi" w:eastAsia="Times New Roman" w:hAnsiTheme="minorHAnsi" w:cstheme="minorHAnsi"/>
          <w:snapToGrid w:val="0"/>
          <w:sz w:val="24"/>
          <w:szCs w:val="20"/>
          <w:lang w:eastAsia="cs-CZ"/>
        </w:rPr>
        <w:t>kvalifikované zahraniční pracovní síly,</w:t>
      </w:r>
      <w:r>
        <w:rPr>
          <w:rFonts w:asciiTheme="minorHAnsi" w:eastAsia="Times New Roman" w:hAnsiTheme="minorHAnsi" w:cstheme="minorHAnsi"/>
          <w:snapToGrid w:val="0"/>
          <w:sz w:val="24"/>
          <w:szCs w:val="20"/>
          <w:lang w:eastAsia="cs-CZ"/>
        </w:rPr>
        <w:t xml:space="preserve"> o možnostech</w:t>
      </w:r>
      <w:r w:rsidRPr="003369C7">
        <w:rPr>
          <w:rFonts w:asciiTheme="minorHAnsi" w:eastAsia="Times New Roman" w:hAnsiTheme="minorHAnsi" w:cstheme="minorHAnsi"/>
          <w:snapToGrid w:val="0"/>
          <w:sz w:val="24"/>
          <w:szCs w:val="20"/>
          <w:lang w:eastAsia="cs-CZ"/>
        </w:rPr>
        <w:t xml:space="preserve"> vyhlášení výběrových řízení</w:t>
      </w:r>
      <w:r>
        <w:rPr>
          <w:rFonts w:asciiTheme="minorHAnsi" w:eastAsia="Times New Roman" w:hAnsiTheme="minorHAnsi" w:cstheme="minorHAnsi"/>
          <w:snapToGrid w:val="0"/>
          <w:sz w:val="24"/>
          <w:szCs w:val="20"/>
          <w:lang w:eastAsia="cs-CZ"/>
        </w:rPr>
        <w:t xml:space="preserve"> nebo zorganizování</w:t>
      </w:r>
      <w:r w:rsidRPr="003369C7">
        <w:rPr>
          <w:rFonts w:asciiTheme="minorHAnsi" w:eastAsia="Times New Roman" w:hAnsiTheme="minorHAnsi" w:cstheme="minorHAnsi"/>
          <w:snapToGrid w:val="0"/>
          <w:sz w:val="24"/>
          <w:szCs w:val="20"/>
          <w:lang w:eastAsia="cs-CZ"/>
        </w:rPr>
        <w:t xml:space="preserve"> náborových akcí), o službách ÚP ČR pro zaměstnavatele, o novinkách aktivní politiky zaměstnanosti, o změnách v zákoníku práce a</w:t>
      </w:r>
      <w:r>
        <w:rPr>
          <w:rFonts w:asciiTheme="minorHAnsi" w:eastAsia="Times New Roman" w:hAnsiTheme="minorHAnsi" w:cstheme="minorHAnsi"/>
          <w:snapToGrid w:val="0"/>
          <w:sz w:val="24"/>
          <w:szCs w:val="20"/>
          <w:lang w:eastAsia="cs-CZ"/>
        </w:rPr>
        <w:t> </w:t>
      </w:r>
      <w:r w:rsidRPr="003369C7">
        <w:rPr>
          <w:rFonts w:asciiTheme="minorHAnsi" w:eastAsia="Times New Roman" w:hAnsiTheme="minorHAnsi" w:cstheme="minorHAnsi"/>
          <w:snapToGrid w:val="0"/>
          <w:sz w:val="24"/>
          <w:szCs w:val="20"/>
          <w:lang w:eastAsia="cs-CZ"/>
        </w:rPr>
        <w:t>o</w:t>
      </w:r>
      <w:r>
        <w:rPr>
          <w:rFonts w:asciiTheme="minorHAnsi" w:eastAsia="Times New Roman" w:hAnsiTheme="minorHAnsi" w:cstheme="minorHAnsi"/>
          <w:snapToGrid w:val="0"/>
          <w:sz w:val="24"/>
          <w:szCs w:val="20"/>
          <w:lang w:eastAsia="cs-CZ"/>
        </w:rPr>
        <w:t> </w:t>
      </w:r>
      <w:r w:rsidRPr="003369C7">
        <w:rPr>
          <w:rFonts w:asciiTheme="minorHAnsi" w:eastAsia="Times New Roman" w:hAnsiTheme="minorHAnsi" w:cstheme="minorHAnsi"/>
          <w:snapToGrid w:val="0"/>
          <w:sz w:val="24"/>
          <w:szCs w:val="20"/>
          <w:lang w:eastAsia="cs-CZ"/>
        </w:rPr>
        <w:t>pravidlech vysílání zaměstnanců do států EU. Celkem se</w:t>
      </w:r>
      <w:r>
        <w:rPr>
          <w:rFonts w:asciiTheme="minorHAnsi" w:eastAsia="Times New Roman" w:hAnsiTheme="minorHAnsi" w:cstheme="minorHAnsi"/>
          <w:snapToGrid w:val="0"/>
          <w:sz w:val="24"/>
          <w:szCs w:val="20"/>
          <w:lang w:eastAsia="cs-CZ"/>
        </w:rPr>
        <w:t xml:space="preserve"> jich</w:t>
      </w:r>
      <w:r w:rsidRPr="003369C7">
        <w:rPr>
          <w:rFonts w:asciiTheme="minorHAnsi" w:eastAsia="Times New Roman" w:hAnsiTheme="minorHAnsi" w:cstheme="minorHAnsi"/>
          <w:snapToGrid w:val="0"/>
          <w:sz w:val="24"/>
          <w:szCs w:val="20"/>
          <w:lang w:eastAsia="cs-CZ"/>
        </w:rPr>
        <w:t xml:space="preserve"> zúčastnilo 159 zaměstnavatelů. </w:t>
      </w:r>
    </w:p>
    <w:p w:rsidR="007C5FBA" w:rsidRPr="003369C7" w:rsidRDefault="007C5FBA" w:rsidP="007C5FBA">
      <w:pPr>
        <w:pStyle w:val="Prosttext"/>
        <w:ind w:firstLine="708"/>
        <w:jc w:val="both"/>
        <w:rPr>
          <w:rFonts w:asciiTheme="minorHAnsi" w:eastAsia="Times New Roman" w:hAnsiTheme="minorHAnsi" w:cstheme="minorHAnsi"/>
          <w:snapToGrid w:val="0"/>
          <w:sz w:val="24"/>
          <w:szCs w:val="20"/>
          <w:lang w:eastAsia="cs-CZ"/>
        </w:rPr>
      </w:pPr>
      <w:r w:rsidRPr="003369C7">
        <w:rPr>
          <w:rFonts w:asciiTheme="minorHAnsi" w:eastAsia="Times New Roman" w:hAnsiTheme="minorHAnsi" w:cstheme="minorHAnsi"/>
          <w:snapToGrid w:val="0"/>
          <w:sz w:val="24"/>
          <w:szCs w:val="20"/>
          <w:lang w:eastAsia="cs-CZ"/>
        </w:rPr>
        <w:t xml:space="preserve">V dubnu 2014 se konal již </w:t>
      </w:r>
      <w:r>
        <w:rPr>
          <w:rFonts w:asciiTheme="minorHAnsi" w:eastAsia="Times New Roman" w:hAnsiTheme="minorHAnsi" w:cstheme="minorHAnsi"/>
          <w:snapToGrid w:val="0"/>
          <w:sz w:val="24"/>
          <w:szCs w:val="20"/>
          <w:lang w:eastAsia="cs-CZ"/>
        </w:rPr>
        <w:t>„</w:t>
      </w:r>
      <w:r w:rsidRPr="003369C7">
        <w:rPr>
          <w:rFonts w:asciiTheme="minorHAnsi" w:eastAsia="Times New Roman" w:hAnsiTheme="minorHAnsi" w:cstheme="minorHAnsi"/>
          <w:snapToGrid w:val="0"/>
          <w:sz w:val="24"/>
          <w:szCs w:val="20"/>
          <w:lang w:eastAsia="cs-CZ"/>
        </w:rPr>
        <w:t xml:space="preserve">III. </w:t>
      </w:r>
      <w:r>
        <w:rPr>
          <w:rFonts w:asciiTheme="minorHAnsi" w:eastAsia="Times New Roman" w:hAnsiTheme="minorHAnsi" w:cstheme="minorHAnsi"/>
          <w:snapToGrid w:val="0"/>
          <w:sz w:val="24"/>
          <w:szCs w:val="20"/>
          <w:lang w:eastAsia="cs-CZ"/>
        </w:rPr>
        <w:t>Mezinárodní</w:t>
      </w:r>
      <w:r w:rsidRPr="003369C7">
        <w:rPr>
          <w:rFonts w:asciiTheme="minorHAnsi" w:eastAsia="Times New Roman" w:hAnsiTheme="minorHAnsi" w:cstheme="minorHAnsi"/>
          <w:snapToGrid w:val="0"/>
          <w:sz w:val="24"/>
          <w:szCs w:val="20"/>
          <w:lang w:eastAsia="cs-CZ"/>
        </w:rPr>
        <w:t xml:space="preserve"> veletrh</w:t>
      </w:r>
      <w:r>
        <w:rPr>
          <w:rFonts w:asciiTheme="minorHAnsi" w:eastAsia="Times New Roman" w:hAnsiTheme="minorHAnsi" w:cstheme="minorHAnsi"/>
          <w:snapToGrid w:val="0"/>
          <w:sz w:val="24"/>
          <w:szCs w:val="20"/>
          <w:lang w:eastAsia="cs-CZ"/>
        </w:rPr>
        <w:t xml:space="preserve"> pracovních</w:t>
      </w:r>
      <w:r w:rsidRPr="003369C7">
        <w:rPr>
          <w:rFonts w:asciiTheme="minorHAnsi" w:eastAsia="Times New Roman" w:hAnsiTheme="minorHAnsi" w:cstheme="minorHAnsi"/>
          <w:snapToGrid w:val="0"/>
          <w:sz w:val="24"/>
          <w:szCs w:val="20"/>
          <w:lang w:eastAsia="cs-CZ"/>
        </w:rPr>
        <w:t xml:space="preserve"> příležitostí</w:t>
      </w:r>
      <w:r>
        <w:rPr>
          <w:rFonts w:asciiTheme="minorHAnsi" w:eastAsia="Times New Roman" w:hAnsiTheme="minorHAnsi" w:cstheme="minorHAnsi"/>
          <w:snapToGrid w:val="0"/>
          <w:sz w:val="24"/>
          <w:szCs w:val="20"/>
          <w:lang w:eastAsia="cs-CZ"/>
        </w:rPr>
        <w:t>“</w:t>
      </w:r>
      <w:r w:rsidRPr="003369C7">
        <w:rPr>
          <w:rFonts w:asciiTheme="minorHAnsi" w:eastAsia="Times New Roman" w:hAnsiTheme="minorHAnsi" w:cstheme="minorHAnsi"/>
          <w:snapToGrid w:val="0"/>
          <w:sz w:val="24"/>
          <w:szCs w:val="20"/>
          <w:lang w:eastAsia="cs-CZ"/>
        </w:rPr>
        <w:t>, který organizovala síť EURES ve spolupráci s Krajskou pobočkou ÚP ČR v Ostravě. Veletrhu se zúčastnilo celkem 18 přímých zaměstnavatelů z EU a z ČR. EURES poradci z 12 států (Německo, Nizozemsko, Dánsko, Irsko, Norsko, Švédsko, Španělsko, Francie, Slovinsko, Slovensko, Chorvatsko a Polsko) zastupovali své národní zaměstnavatele a přivezli s sebou širokou nabídku pracovních míst. Návštěvnost veletrhu pře</w:t>
      </w:r>
      <w:r>
        <w:rPr>
          <w:rFonts w:asciiTheme="minorHAnsi" w:eastAsia="Times New Roman" w:hAnsiTheme="minorHAnsi" w:cstheme="minorHAnsi"/>
          <w:snapToGrid w:val="0"/>
          <w:sz w:val="24"/>
          <w:szCs w:val="20"/>
          <w:lang w:eastAsia="cs-CZ"/>
        </w:rPr>
        <w:t>kročila přes</w:t>
      </w:r>
      <w:r w:rsidRPr="003369C7">
        <w:rPr>
          <w:rFonts w:asciiTheme="minorHAnsi" w:eastAsia="Times New Roman" w:hAnsiTheme="minorHAnsi" w:cstheme="minorHAnsi"/>
          <w:snapToGrid w:val="0"/>
          <w:sz w:val="24"/>
          <w:szCs w:val="20"/>
          <w:lang w:eastAsia="cs-CZ"/>
        </w:rPr>
        <w:t xml:space="preserve"> 1</w:t>
      </w:r>
      <w:r>
        <w:rPr>
          <w:rFonts w:asciiTheme="minorHAnsi" w:eastAsia="Times New Roman" w:hAnsiTheme="minorHAnsi" w:cstheme="minorHAnsi"/>
          <w:snapToGrid w:val="0"/>
          <w:sz w:val="24"/>
          <w:szCs w:val="20"/>
          <w:lang w:eastAsia="cs-CZ"/>
        </w:rPr>
        <w:t> </w:t>
      </w:r>
      <w:r w:rsidRPr="003369C7">
        <w:rPr>
          <w:rFonts w:asciiTheme="minorHAnsi" w:eastAsia="Times New Roman" w:hAnsiTheme="minorHAnsi" w:cstheme="minorHAnsi"/>
          <w:snapToGrid w:val="0"/>
          <w:sz w:val="24"/>
          <w:szCs w:val="20"/>
          <w:lang w:eastAsia="cs-CZ"/>
        </w:rPr>
        <w:t xml:space="preserve">200 osob. </w:t>
      </w:r>
    </w:p>
    <w:p w:rsidR="007C5FBA" w:rsidRPr="003369C7" w:rsidRDefault="007C5FBA" w:rsidP="007C5FBA">
      <w:pPr>
        <w:ind w:firstLine="708"/>
        <w:jc w:val="both"/>
        <w:rPr>
          <w:rFonts w:asciiTheme="minorHAnsi" w:hAnsiTheme="minorHAnsi" w:cstheme="minorHAnsi"/>
          <w:snapToGrid w:val="0"/>
          <w:sz w:val="24"/>
        </w:rPr>
      </w:pPr>
      <w:r w:rsidRPr="003369C7">
        <w:rPr>
          <w:rFonts w:asciiTheme="minorHAnsi" w:hAnsiTheme="minorHAnsi" w:cstheme="minorHAnsi"/>
          <w:snapToGrid w:val="0"/>
          <w:sz w:val="24"/>
        </w:rPr>
        <w:t>V průběhu roku 2014 se EURES poradci prezentovali na burzách práce a vzdělávání třetích stran. V MS</w:t>
      </w:r>
      <w:r>
        <w:rPr>
          <w:rFonts w:asciiTheme="minorHAnsi" w:hAnsiTheme="minorHAnsi" w:cstheme="minorHAnsi"/>
          <w:snapToGrid w:val="0"/>
          <w:sz w:val="24"/>
        </w:rPr>
        <w:t>K</w:t>
      </w:r>
      <w:r w:rsidRPr="003369C7">
        <w:rPr>
          <w:rFonts w:asciiTheme="minorHAnsi" w:hAnsiTheme="minorHAnsi" w:cstheme="minorHAnsi"/>
          <w:snapToGrid w:val="0"/>
          <w:sz w:val="24"/>
        </w:rPr>
        <w:t xml:space="preserve"> to byla </w:t>
      </w:r>
      <w:r>
        <w:rPr>
          <w:rFonts w:asciiTheme="minorHAnsi" w:hAnsiTheme="minorHAnsi" w:cstheme="minorHAnsi"/>
          <w:snapToGrid w:val="0"/>
          <w:sz w:val="24"/>
        </w:rPr>
        <w:t>„</w:t>
      </w:r>
      <w:r w:rsidRPr="003369C7">
        <w:rPr>
          <w:rFonts w:asciiTheme="minorHAnsi" w:hAnsiTheme="minorHAnsi" w:cstheme="minorHAnsi"/>
          <w:snapToGrid w:val="0"/>
          <w:sz w:val="24"/>
        </w:rPr>
        <w:t>Kariéra Plus</w:t>
      </w:r>
      <w:r>
        <w:rPr>
          <w:rFonts w:asciiTheme="minorHAnsi" w:hAnsiTheme="minorHAnsi" w:cstheme="minorHAnsi"/>
          <w:snapToGrid w:val="0"/>
          <w:sz w:val="24"/>
        </w:rPr>
        <w:t>“</w:t>
      </w:r>
      <w:r w:rsidRPr="003369C7">
        <w:rPr>
          <w:rFonts w:asciiTheme="minorHAnsi" w:hAnsiTheme="minorHAnsi" w:cstheme="minorHAnsi"/>
          <w:snapToGrid w:val="0"/>
          <w:sz w:val="24"/>
        </w:rPr>
        <w:t xml:space="preserve"> Vysoké školy báňské </w:t>
      </w:r>
      <w:r>
        <w:rPr>
          <w:rFonts w:asciiTheme="minorHAnsi" w:hAnsiTheme="minorHAnsi" w:cstheme="minorHAnsi"/>
          <w:snapToGrid w:val="0"/>
          <w:sz w:val="24"/>
        </w:rPr>
        <w:t>-</w:t>
      </w:r>
      <w:r w:rsidRPr="003369C7">
        <w:rPr>
          <w:rFonts w:asciiTheme="minorHAnsi" w:hAnsiTheme="minorHAnsi" w:cstheme="minorHAnsi"/>
          <w:snapToGrid w:val="0"/>
          <w:sz w:val="24"/>
        </w:rPr>
        <w:t xml:space="preserve"> Technické univerzity v Ostravě, </w:t>
      </w:r>
      <w:r>
        <w:rPr>
          <w:rFonts w:asciiTheme="minorHAnsi" w:hAnsiTheme="minorHAnsi" w:cstheme="minorHAnsi"/>
          <w:snapToGrid w:val="0"/>
          <w:sz w:val="24"/>
        </w:rPr>
        <w:t>„</w:t>
      </w:r>
      <w:r w:rsidRPr="003369C7">
        <w:rPr>
          <w:rFonts w:asciiTheme="minorHAnsi" w:hAnsiTheme="minorHAnsi" w:cstheme="minorHAnsi"/>
          <w:snapToGrid w:val="0"/>
          <w:sz w:val="24"/>
        </w:rPr>
        <w:t>Burza práce a rekvalifikací</w:t>
      </w:r>
      <w:r>
        <w:rPr>
          <w:rFonts w:asciiTheme="minorHAnsi" w:hAnsiTheme="minorHAnsi" w:cstheme="minorHAnsi"/>
          <w:snapToGrid w:val="0"/>
          <w:sz w:val="24"/>
        </w:rPr>
        <w:t>“</w:t>
      </w:r>
      <w:r w:rsidRPr="003369C7">
        <w:rPr>
          <w:rFonts w:asciiTheme="minorHAnsi" w:hAnsiTheme="minorHAnsi" w:cstheme="minorHAnsi"/>
          <w:snapToGrid w:val="0"/>
          <w:sz w:val="24"/>
        </w:rPr>
        <w:t xml:space="preserve"> </w:t>
      </w:r>
      <w:r>
        <w:rPr>
          <w:rFonts w:asciiTheme="minorHAnsi" w:hAnsiTheme="minorHAnsi" w:cstheme="minorHAnsi"/>
          <w:snapToGrid w:val="0"/>
          <w:sz w:val="24"/>
        </w:rPr>
        <w:t xml:space="preserve">společnosti </w:t>
      </w:r>
      <w:r w:rsidRPr="003369C7">
        <w:rPr>
          <w:rFonts w:asciiTheme="minorHAnsi" w:hAnsiTheme="minorHAnsi" w:cstheme="minorHAnsi"/>
          <w:snapToGrid w:val="0"/>
          <w:sz w:val="24"/>
        </w:rPr>
        <w:t>D</w:t>
      </w:r>
      <w:r>
        <w:rPr>
          <w:rFonts w:asciiTheme="minorHAnsi" w:hAnsiTheme="minorHAnsi" w:cstheme="minorHAnsi"/>
          <w:snapToGrid w:val="0"/>
          <w:sz w:val="24"/>
        </w:rPr>
        <w:t>TO CZ</w:t>
      </w:r>
      <w:r w:rsidRPr="003369C7">
        <w:rPr>
          <w:rFonts w:asciiTheme="minorHAnsi" w:hAnsiTheme="minorHAnsi" w:cstheme="minorHAnsi"/>
          <w:snapToGrid w:val="0"/>
          <w:sz w:val="24"/>
        </w:rPr>
        <w:t xml:space="preserve"> a </w:t>
      </w:r>
      <w:r>
        <w:rPr>
          <w:rFonts w:asciiTheme="minorHAnsi" w:hAnsiTheme="minorHAnsi" w:cstheme="minorHAnsi"/>
          <w:snapToGrid w:val="0"/>
          <w:sz w:val="24"/>
        </w:rPr>
        <w:t>„</w:t>
      </w:r>
      <w:r w:rsidRPr="003369C7">
        <w:rPr>
          <w:rFonts w:asciiTheme="minorHAnsi" w:hAnsiTheme="minorHAnsi" w:cstheme="minorHAnsi"/>
          <w:snapToGrid w:val="0"/>
          <w:sz w:val="24"/>
        </w:rPr>
        <w:t>Učeň, středoškolák, vysokoškolák/Pro Job</w:t>
      </w:r>
      <w:r>
        <w:rPr>
          <w:rFonts w:asciiTheme="minorHAnsi" w:hAnsiTheme="minorHAnsi" w:cstheme="minorHAnsi"/>
          <w:snapToGrid w:val="0"/>
          <w:sz w:val="24"/>
        </w:rPr>
        <w:t>“</w:t>
      </w:r>
      <w:r w:rsidRPr="003369C7">
        <w:rPr>
          <w:rFonts w:asciiTheme="minorHAnsi" w:hAnsiTheme="minorHAnsi" w:cstheme="minorHAnsi"/>
          <w:snapToGrid w:val="0"/>
          <w:sz w:val="24"/>
        </w:rPr>
        <w:t xml:space="preserve"> </w:t>
      </w:r>
      <w:r>
        <w:rPr>
          <w:rFonts w:asciiTheme="minorHAnsi" w:hAnsiTheme="minorHAnsi" w:cstheme="minorHAnsi"/>
          <w:snapToGrid w:val="0"/>
          <w:sz w:val="24"/>
        </w:rPr>
        <w:t xml:space="preserve">společnosti </w:t>
      </w:r>
      <w:r w:rsidRPr="003369C7">
        <w:rPr>
          <w:rFonts w:asciiTheme="minorHAnsi" w:hAnsiTheme="minorHAnsi" w:cstheme="minorHAnsi"/>
          <w:snapToGrid w:val="0"/>
          <w:sz w:val="24"/>
        </w:rPr>
        <w:t>Ostr</w:t>
      </w:r>
      <w:r>
        <w:rPr>
          <w:rFonts w:asciiTheme="minorHAnsi" w:hAnsiTheme="minorHAnsi" w:cstheme="minorHAnsi"/>
          <w:snapToGrid w:val="0"/>
          <w:sz w:val="24"/>
        </w:rPr>
        <w:t>avské výstavy.</w:t>
      </w:r>
    </w:p>
    <w:p w:rsidR="007C5FBA" w:rsidRPr="003369C7" w:rsidRDefault="007C5FBA" w:rsidP="007C5FBA">
      <w:pPr>
        <w:ind w:firstLine="708"/>
        <w:jc w:val="both"/>
        <w:rPr>
          <w:rFonts w:asciiTheme="minorHAnsi" w:hAnsiTheme="minorHAnsi" w:cstheme="minorHAnsi"/>
          <w:snapToGrid w:val="0"/>
          <w:sz w:val="24"/>
        </w:rPr>
      </w:pPr>
      <w:r>
        <w:rPr>
          <w:rFonts w:asciiTheme="minorHAnsi" w:hAnsiTheme="minorHAnsi" w:cstheme="minorHAnsi"/>
          <w:snapToGrid w:val="0"/>
          <w:sz w:val="24"/>
        </w:rPr>
        <w:t xml:space="preserve">V listopadu </w:t>
      </w:r>
      <w:r w:rsidRPr="003369C7">
        <w:rPr>
          <w:rFonts w:asciiTheme="minorHAnsi" w:hAnsiTheme="minorHAnsi" w:cstheme="minorHAnsi"/>
          <w:snapToGrid w:val="0"/>
          <w:sz w:val="24"/>
        </w:rPr>
        <w:t xml:space="preserve">2014 se konal seminář </w:t>
      </w:r>
      <w:r>
        <w:rPr>
          <w:rFonts w:asciiTheme="minorHAnsi" w:hAnsiTheme="minorHAnsi" w:cstheme="minorHAnsi"/>
          <w:snapToGrid w:val="0"/>
          <w:sz w:val="24"/>
        </w:rPr>
        <w:t>„</w:t>
      </w:r>
      <w:r w:rsidRPr="003369C7">
        <w:rPr>
          <w:rFonts w:asciiTheme="minorHAnsi" w:hAnsiTheme="minorHAnsi" w:cstheme="minorHAnsi"/>
          <w:snapToGrid w:val="0"/>
          <w:sz w:val="24"/>
        </w:rPr>
        <w:t>Životní a pracovní podmínky v</w:t>
      </w:r>
      <w:r>
        <w:rPr>
          <w:rFonts w:asciiTheme="minorHAnsi" w:hAnsiTheme="minorHAnsi" w:cstheme="minorHAnsi"/>
          <w:snapToGrid w:val="0"/>
          <w:sz w:val="24"/>
        </w:rPr>
        <w:t> </w:t>
      </w:r>
      <w:r w:rsidRPr="003369C7">
        <w:rPr>
          <w:rFonts w:asciiTheme="minorHAnsi" w:hAnsiTheme="minorHAnsi" w:cstheme="minorHAnsi"/>
          <w:snapToGrid w:val="0"/>
          <w:sz w:val="24"/>
        </w:rPr>
        <w:t>Německu</w:t>
      </w:r>
      <w:r>
        <w:rPr>
          <w:rFonts w:asciiTheme="minorHAnsi" w:hAnsiTheme="minorHAnsi" w:cstheme="minorHAnsi"/>
          <w:snapToGrid w:val="0"/>
          <w:sz w:val="24"/>
        </w:rPr>
        <w:t>“</w:t>
      </w:r>
      <w:r w:rsidRPr="003369C7">
        <w:rPr>
          <w:rFonts w:asciiTheme="minorHAnsi" w:hAnsiTheme="minorHAnsi" w:cstheme="minorHAnsi"/>
          <w:snapToGrid w:val="0"/>
          <w:sz w:val="24"/>
        </w:rPr>
        <w:t xml:space="preserve">, který byl spojen s náborem do pohostinství. Celkem se </w:t>
      </w:r>
      <w:r>
        <w:rPr>
          <w:rFonts w:asciiTheme="minorHAnsi" w:hAnsiTheme="minorHAnsi" w:cstheme="minorHAnsi"/>
          <w:snapToGrid w:val="0"/>
          <w:sz w:val="24"/>
        </w:rPr>
        <w:t xml:space="preserve">jej </w:t>
      </w:r>
      <w:r w:rsidRPr="003369C7">
        <w:rPr>
          <w:rFonts w:asciiTheme="minorHAnsi" w:hAnsiTheme="minorHAnsi" w:cstheme="minorHAnsi"/>
          <w:snapToGrid w:val="0"/>
          <w:sz w:val="24"/>
        </w:rPr>
        <w:t>zúčastnilo 43 osob, z</w:t>
      </w:r>
      <w:r>
        <w:rPr>
          <w:rFonts w:asciiTheme="minorHAnsi" w:hAnsiTheme="minorHAnsi" w:cstheme="minorHAnsi"/>
          <w:snapToGrid w:val="0"/>
          <w:sz w:val="24"/>
        </w:rPr>
        <w:t xml:space="preserve"> nichž pak </w:t>
      </w:r>
      <w:r w:rsidRPr="003369C7">
        <w:rPr>
          <w:rFonts w:asciiTheme="minorHAnsi" w:hAnsiTheme="minorHAnsi" w:cstheme="minorHAnsi"/>
          <w:snapToGrid w:val="0"/>
          <w:sz w:val="24"/>
        </w:rPr>
        <w:t xml:space="preserve">celá polovina využila možnosti individuálního pohovoru s pracovníky náborového centra německého úřadu práce. </w:t>
      </w:r>
    </w:p>
    <w:p w:rsidR="007C5FBA" w:rsidRPr="003369C7" w:rsidRDefault="007C5FBA" w:rsidP="007C5FBA">
      <w:pPr>
        <w:ind w:firstLine="708"/>
        <w:jc w:val="both"/>
        <w:rPr>
          <w:rFonts w:asciiTheme="minorHAnsi" w:hAnsiTheme="minorHAnsi" w:cstheme="minorHAnsi"/>
          <w:snapToGrid w:val="0"/>
          <w:sz w:val="24"/>
        </w:rPr>
      </w:pPr>
      <w:r>
        <w:rPr>
          <w:rFonts w:asciiTheme="minorHAnsi" w:hAnsiTheme="minorHAnsi" w:cstheme="minorHAnsi"/>
          <w:snapToGrid w:val="0"/>
          <w:sz w:val="24"/>
        </w:rPr>
        <w:t xml:space="preserve">V našem </w:t>
      </w:r>
      <w:r w:rsidRPr="003369C7">
        <w:rPr>
          <w:rFonts w:asciiTheme="minorHAnsi" w:hAnsiTheme="minorHAnsi" w:cstheme="minorHAnsi"/>
          <w:snapToGrid w:val="0"/>
          <w:sz w:val="24"/>
        </w:rPr>
        <w:t>kraji se E</w:t>
      </w:r>
      <w:r>
        <w:rPr>
          <w:rFonts w:asciiTheme="minorHAnsi" w:hAnsiTheme="minorHAnsi" w:cstheme="minorHAnsi"/>
          <w:snapToGrid w:val="0"/>
          <w:sz w:val="24"/>
        </w:rPr>
        <w:t>URES</w:t>
      </w:r>
      <w:r w:rsidRPr="003369C7">
        <w:rPr>
          <w:rFonts w:asciiTheme="minorHAnsi" w:hAnsiTheme="minorHAnsi" w:cstheme="minorHAnsi"/>
          <w:snapToGrid w:val="0"/>
          <w:sz w:val="24"/>
        </w:rPr>
        <w:t xml:space="preserve"> stal partnerem projektu </w:t>
      </w:r>
      <w:r w:rsidRPr="00E172AE">
        <w:rPr>
          <w:rFonts w:asciiTheme="minorHAnsi" w:hAnsiTheme="minorHAnsi" w:cstheme="minorHAnsi"/>
          <w:snapToGrid w:val="0"/>
          <w:sz w:val="24"/>
        </w:rPr>
        <w:t>„</w:t>
      </w:r>
      <w:r w:rsidRPr="00E172AE">
        <w:rPr>
          <w:rFonts w:asciiTheme="minorHAnsi" w:hAnsiTheme="minorHAnsi" w:cstheme="minorHAnsi"/>
          <w:snapToGrid w:val="0"/>
          <w:color w:val="000000" w:themeColor="text1"/>
          <w:sz w:val="24"/>
        </w:rPr>
        <w:t>Společně pro úspěch vašeho podnikání“</w:t>
      </w:r>
      <w:r w:rsidRPr="00E172AE">
        <w:rPr>
          <w:rFonts w:asciiTheme="minorHAnsi" w:hAnsiTheme="minorHAnsi" w:cstheme="minorHAnsi"/>
          <w:snapToGrid w:val="0"/>
          <w:sz w:val="24"/>
        </w:rPr>
        <w:t>,</w:t>
      </w:r>
      <w:r w:rsidRPr="003369C7">
        <w:rPr>
          <w:rFonts w:asciiTheme="minorHAnsi" w:hAnsiTheme="minorHAnsi" w:cstheme="minorHAnsi"/>
          <w:snapToGrid w:val="0"/>
          <w:sz w:val="24"/>
        </w:rPr>
        <w:t xml:space="preserve"> který měla v gesci evropská síť Enterprise Europe Network s pobočkou při Centru pro regionální rozvoj v Praze. Více než 30 organizací a institucí se spojilo, aby v roce 2014 společně a</w:t>
      </w:r>
      <w:r>
        <w:rPr>
          <w:rFonts w:asciiTheme="minorHAnsi" w:hAnsiTheme="minorHAnsi" w:cstheme="minorHAnsi"/>
          <w:snapToGrid w:val="0"/>
          <w:sz w:val="24"/>
        </w:rPr>
        <w:t> </w:t>
      </w:r>
      <w:r w:rsidRPr="003369C7">
        <w:rPr>
          <w:rFonts w:asciiTheme="minorHAnsi" w:hAnsiTheme="minorHAnsi" w:cstheme="minorHAnsi"/>
          <w:snapToGrid w:val="0"/>
          <w:sz w:val="24"/>
        </w:rPr>
        <w:t>koordinovaně nabízelo své služby, akce i produkty, určené zejména malým a</w:t>
      </w:r>
      <w:r>
        <w:rPr>
          <w:rFonts w:asciiTheme="minorHAnsi" w:hAnsiTheme="minorHAnsi" w:cstheme="minorHAnsi"/>
          <w:snapToGrid w:val="0"/>
          <w:sz w:val="24"/>
        </w:rPr>
        <w:t> </w:t>
      </w:r>
      <w:r w:rsidRPr="003369C7">
        <w:rPr>
          <w:rFonts w:asciiTheme="minorHAnsi" w:hAnsiTheme="minorHAnsi" w:cstheme="minorHAnsi"/>
          <w:snapToGrid w:val="0"/>
          <w:sz w:val="24"/>
        </w:rPr>
        <w:t>středním podnikům.</w:t>
      </w:r>
    </w:p>
    <w:p w:rsidR="007C5FBA" w:rsidRPr="003369C7" w:rsidRDefault="007C5FBA" w:rsidP="007C5FBA">
      <w:pPr>
        <w:ind w:firstLine="708"/>
        <w:jc w:val="both"/>
        <w:rPr>
          <w:rFonts w:asciiTheme="minorHAnsi" w:hAnsiTheme="minorHAnsi" w:cstheme="minorHAnsi"/>
          <w:snapToGrid w:val="0"/>
          <w:sz w:val="24"/>
        </w:rPr>
      </w:pPr>
      <w:r>
        <w:rPr>
          <w:rFonts w:asciiTheme="minorHAnsi" w:hAnsiTheme="minorHAnsi" w:cstheme="minorHAnsi"/>
          <w:snapToGrid w:val="0"/>
          <w:sz w:val="24"/>
        </w:rPr>
        <w:t xml:space="preserve">Navíc během uplynulého </w:t>
      </w:r>
      <w:r w:rsidRPr="003369C7">
        <w:rPr>
          <w:rFonts w:asciiTheme="minorHAnsi" w:hAnsiTheme="minorHAnsi" w:cstheme="minorHAnsi"/>
          <w:snapToGrid w:val="0"/>
          <w:sz w:val="24"/>
        </w:rPr>
        <w:t>roku poskytli EURES poradci v M</w:t>
      </w:r>
      <w:r>
        <w:rPr>
          <w:rFonts w:asciiTheme="minorHAnsi" w:hAnsiTheme="minorHAnsi" w:cstheme="minorHAnsi"/>
          <w:snapToGrid w:val="0"/>
          <w:sz w:val="24"/>
        </w:rPr>
        <w:t>SK</w:t>
      </w:r>
      <w:r w:rsidRPr="003369C7">
        <w:rPr>
          <w:rFonts w:asciiTheme="minorHAnsi" w:hAnsiTheme="minorHAnsi" w:cstheme="minorHAnsi"/>
          <w:snapToGrid w:val="0"/>
          <w:sz w:val="24"/>
        </w:rPr>
        <w:t xml:space="preserve"> </w:t>
      </w:r>
      <w:r>
        <w:rPr>
          <w:rFonts w:asciiTheme="minorHAnsi" w:hAnsiTheme="minorHAnsi" w:cstheme="minorHAnsi"/>
          <w:snapToGrid w:val="0"/>
          <w:sz w:val="24"/>
        </w:rPr>
        <w:t xml:space="preserve">přímo na kontaktních pracovištích </w:t>
      </w:r>
      <w:r w:rsidRPr="003369C7">
        <w:rPr>
          <w:rFonts w:asciiTheme="minorHAnsi" w:hAnsiTheme="minorHAnsi" w:cstheme="minorHAnsi"/>
          <w:snapToGrid w:val="0"/>
          <w:sz w:val="24"/>
        </w:rPr>
        <w:t>specializované poradenské služby celkem 2</w:t>
      </w:r>
      <w:r>
        <w:rPr>
          <w:rFonts w:asciiTheme="minorHAnsi" w:hAnsiTheme="minorHAnsi" w:cstheme="minorHAnsi"/>
          <w:snapToGrid w:val="0"/>
          <w:sz w:val="24"/>
        </w:rPr>
        <w:t> </w:t>
      </w:r>
      <w:r w:rsidRPr="003369C7">
        <w:rPr>
          <w:rFonts w:asciiTheme="minorHAnsi" w:hAnsiTheme="minorHAnsi" w:cstheme="minorHAnsi"/>
          <w:snapToGrid w:val="0"/>
          <w:sz w:val="24"/>
        </w:rPr>
        <w:t>721 uchazečům</w:t>
      </w:r>
      <w:r>
        <w:rPr>
          <w:rFonts w:asciiTheme="minorHAnsi" w:hAnsiTheme="minorHAnsi" w:cstheme="minorHAnsi"/>
          <w:snapToGrid w:val="0"/>
          <w:sz w:val="24"/>
        </w:rPr>
        <w:t xml:space="preserve"> o zaměstnání</w:t>
      </w:r>
      <w:r w:rsidRPr="003369C7">
        <w:rPr>
          <w:rFonts w:asciiTheme="minorHAnsi" w:hAnsiTheme="minorHAnsi" w:cstheme="minorHAnsi"/>
          <w:snapToGrid w:val="0"/>
          <w:sz w:val="24"/>
        </w:rPr>
        <w:t xml:space="preserve"> a</w:t>
      </w:r>
      <w:r>
        <w:rPr>
          <w:rFonts w:asciiTheme="minorHAnsi" w:hAnsiTheme="minorHAnsi" w:cstheme="minorHAnsi"/>
          <w:snapToGrid w:val="0"/>
          <w:sz w:val="24"/>
        </w:rPr>
        <w:t> </w:t>
      </w:r>
      <w:r w:rsidRPr="003369C7">
        <w:rPr>
          <w:rFonts w:asciiTheme="minorHAnsi" w:hAnsiTheme="minorHAnsi" w:cstheme="minorHAnsi"/>
          <w:snapToGrid w:val="0"/>
          <w:sz w:val="24"/>
        </w:rPr>
        <w:t>501 zaměstnavatelům. Ti se nejčastěji zajímali o detailní informace týkající se sociálního zabezpečení, daní, volných pracovních míst a sezónního zaměstnání ve státech EU. Rovněž jako v</w:t>
      </w:r>
      <w:r>
        <w:rPr>
          <w:rFonts w:asciiTheme="minorHAnsi" w:hAnsiTheme="minorHAnsi" w:cstheme="minorHAnsi"/>
          <w:snapToGrid w:val="0"/>
          <w:sz w:val="24"/>
        </w:rPr>
        <w:t> uplynulých letech</w:t>
      </w:r>
      <w:r w:rsidRPr="003369C7">
        <w:rPr>
          <w:rFonts w:asciiTheme="minorHAnsi" w:hAnsiTheme="minorHAnsi" w:cstheme="minorHAnsi"/>
          <w:snapToGrid w:val="0"/>
          <w:sz w:val="24"/>
        </w:rPr>
        <w:t xml:space="preserve"> převa</w:t>
      </w:r>
      <w:r>
        <w:rPr>
          <w:rFonts w:asciiTheme="minorHAnsi" w:hAnsiTheme="minorHAnsi" w:cstheme="minorHAnsi"/>
          <w:snapToGrid w:val="0"/>
          <w:sz w:val="24"/>
        </w:rPr>
        <w:t>žova</w:t>
      </w:r>
      <w:r w:rsidRPr="003369C7">
        <w:rPr>
          <w:rFonts w:asciiTheme="minorHAnsi" w:hAnsiTheme="minorHAnsi" w:cstheme="minorHAnsi"/>
          <w:snapToGrid w:val="0"/>
          <w:sz w:val="24"/>
        </w:rPr>
        <w:t>l vyšší zájem o práci v Německu, Rakousku, Velké Británii, Nizozemsku a v severských státech.</w:t>
      </w:r>
    </w:p>
    <w:p w:rsidR="007C5FBA" w:rsidRPr="00ED1B18" w:rsidRDefault="007C5FBA" w:rsidP="007C5FBA">
      <w:pPr>
        <w:ind w:firstLine="709"/>
        <w:jc w:val="both"/>
        <w:rPr>
          <w:rFonts w:asciiTheme="minorHAnsi" w:hAnsiTheme="minorHAnsi" w:cstheme="minorHAnsi"/>
          <w:snapToGrid w:val="0"/>
          <w:sz w:val="24"/>
        </w:rPr>
      </w:pPr>
      <w:r w:rsidRPr="003369C7">
        <w:rPr>
          <w:rFonts w:asciiTheme="minorHAnsi" w:hAnsiTheme="minorHAnsi" w:cstheme="minorHAnsi"/>
          <w:snapToGrid w:val="0"/>
          <w:sz w:val="24"/>
        </w:rPr>
        <w:t xml:space="preserve">Zároveň s aktivitami EURES probíhá od dubna 2008 i spolupráce mezi přeshraničními oblastmi ČR, Polska a Slovenska na společném projektu </w:t>
      </w:r>
      <w:r>
        <w:rPr>
          <w:rFonts w:asciiTheme="minorHAnsi" w:hAnsiTheme="minorHAnsi" w:cstheme="minorHAnsi"/>
          <w:snapToGrid w:val="0"/>
          <w:sz w:val="24"/>
        </w:rPr>
        <w:t>„</w:t>
      </w:r>
      <w:r w:rsidRPr="003369C7">
        <w:rPr>
          <w:rFonts w:asciiTheme="minorHAnsi" w:hAnsiTheme="minorHAnsi" w:cstheme="minorHAnsi"/>
          <w:snapToGrid w:val="0"/>
          <w:sz w:val="24"/>
        </w:rPr>
        <w:t>EURES-T Beskydy</w:t>
      </w:r>
      <w:r>
        <w:rPr>
          <w:rFonts w:asciiTheme="minorHAnsi" w:hAnsiTheme="minorHAnsi" w:cstheme="minorHAnsi"/>
          <w:snapToGrid w:val="0"/>
          <w:sz w:val="24"/>
        </w:rPr>
        <w:t>“</w:t>
      </w:r>
      <w:r w:rsidRPr="003369C7">
        <w:rPr>
          <w:rFonts w:asciiTheme="minorHAnsi" w:hAnsiTheme="minorHAnsi" w:cstheme="minorHAnsi"/>
          <w:snapToGrid w:val="0"/>
          <w:sz w:val="24"/>
        </w:rPr>
        <w:t xml:space="preserve">. Hlavním záměrem tohoto projektu je poskytnout aktuální informace související s přeshraničním zaměstnáváním (např. </w:t>
      </w:r>
      <w:r>
        <w:rPr>
          <w:rFonts w:asciiTheme="minorHAnsi" w:hAnsiTheme="minorHAnsi" w:cstheme="minorHAnsi"/>
          <w:snapToGrid w:val="0"/>
          <w:sz w:val="24"/>
        </w:rPr>
        <w:t xml:space="preserve">o </w:t>
      </w:r>
      <w:r w:rsidRPr="003369C7">
        <w:rPr>
          <w:rFonts w:asciiTheme="minorHAnsi" w:hAnsiTheme="minorHAnsi" w:cstheme="minorHAnsi"/>
          <w:snapToGrid w:val="0"/>
          <w:sz w:val="24"/>
        </w:rPr>
        <w:t>koordinac</w:t>
      </w:r>
      <w:r>
        <w:rPr>
          <w:rFonts w:asciiTheme="minorHAnsi" w:hAnsiTheme="minorHAnsi" w:cstheme="minorHAnsi"/>
          <w:snapToGrid w:val="0"/>
          <w:sz w:val="24"/>
        </w:rPr>
        <w:t>i</w:t>
      </w:r>
      <w:r w:rsidRPr="003369C7">
        <w:rPr>
          <w:rFonts w:asciiTheme="minorHAnsi" w:hAnsiTheme="minorHAnsi" w:cstheme="minorHAnsi"/>
          <w:snapToGrid w:val="0"/>
          <w:sz w:val="24"/>
        </w:rPr>
        <w:t xml:space="preserve"> sociálního zabezpečení a zdravotního pojištění při pendlerství u</w:t>
      </w:r>
      <w:r>
        <w:rPr>
          <w:rFonts w:asciiTheme="minorHAnsi" w:hAnsiTheme="minorHAnsi" w:cstheme="minorHAnsi"/>
          <w:snapToGrid w:val="0"/>
          <w:sz w:val="24"/>
        </w:rPr>
        <w:t> </w:t>
      </w:r>
      <w:r w:rsidRPr="003369C7">
        <w:rPr>
          <w:rFonts w:asciiTheme="minorHAnsi" w:hAnsiTheme="minorHAnsi" w:cstheme="minorHAnsi"/>
          <w:snapToGrid w:val="0"/>
          <w:sz w:val="24"/>
        </w:rPr>
        <w:t xml:space="preserve">příhraničních pracovníků, </w:t>
      </w:r>
      <w:r>
        <w:rPr>
          <w:rFonts w:asciiTheme="minorHAnsi" w:hAnsiTheme="minorHAnsi" w:cstheme="minorHAnsi"/>
          <w:snapToGrid w:val="0"/>
          <w:sz w:val="24"/>
        </w:rPr>
        <w:t xml:space="preserve">o </w:t>
      </w:r>
      <w:r w:rsidRPr="003369C7">
        <w:rPr>
          <w:rFonts w:asciiTheme="minorHAnsi" w:hAnsiTheme="minorHAnsi" w:cstheme="minorHAnsi"/>
          <w:snapToGrid w:val="0"/>
          <w:sz w:val="24"/>
        </w:rPr>
        <w:t>výš</w:t>
      </w:r>
      <w:r>
        <w:rPr>
          <w:rFonts w:asciiTheme="minorHAnsi" w:hAnsiTheme="minorHAnsi" w:cstheme="minorHAnsi"/>
          <w:snapToGrid w:val="0"/>
          <w:sz w:val="24"/>
        </w:rPr>
        <w:t>i</w:t>
      </w:r>
      <w:r w:rsidRPr="003369C7">
        <w:rPr>
          <w:rFonts w:asciiTheme="minorHAnsi" w:hAnsiTheme="minorHAnsi" w:cstheme="minorHAnsi"/>
          <w:snapToGrid w:val="0"/>
          <w:sz w:val="24"/>
        </w:rPr>
        <w:t xml:space="preserve"> minimální mzdy, </w:t>
      </w:r>
      <w:r>
        <w:rPr>
          <w:rFonts w:asciiTheme="minorHAnsi" w:hAnsiTheme="minorHAnsi" w:cstheme="minorHAnsi"/>
          <w:snapToGrid w:val="0"/>
          <w:sz w:val="24"/>
        </w:rPr>
        <w:t xml:space="preserve">o </w:t>
      </w:r>
      <w:r w:rsidRPr="003369C7">
        <w:rPr>
          <w:rFonts w:asciiTheme="minorHAnsi" w:hAnsiTheme="minorHAnsi" w:cstheme="minorHAnsi"/>
          <w:snapToGrid w:val="0"/>
          <w:sz w:val="24"/>
        </w:rPr>
        <w:t>pracovní</w:t>
      </w:r>
      <w:r>
        <w:rPr>
          <w:rFonts w:asciiTheme="minorHAnsi" w:hAnsiTheme="minorHAnsi" w:cstheme="minorHAnsi"/>
          <w:snapToGrid w:val="0"/>
          <w:sz w:val="24"/>
        </w:rPr>
        <w:t>m</w:t>
      </w:r>
      <w:r w:rsidRPr="003369C7">
        <w:rPr>
          <w:rFonts w:asciiTheme="minorHAnsi" w:hAnsiTheme="minorHAnsi" w:cstheme="minorHAnsi"/>
          <w:snapToGrid w:val="0"/>
          <w:sz w:val="24"/>
        </w:rPr>
        <w:t xml:space="preserve"> práv</w:t>
      </w:r>
      <w:r>
        <w:rPr>
          <w:rFonts w:asciiTheme="minorHAnsi" w:hAnsiTheme="minorHAnsi" w:cstheme="minorHAnsi"/>
          <w:snapToGrid w:val="0"/>
          <w:sz w:val="24"/>
        </w:rPr>
        <w:t>u</w:t>
      </w:r>
      <w:r w:rsidRPr="003369C7">
        <w:rPr>
          <w:rFonts w:asciiTheme="minorHAnsi" w:hAnsiTheme="minorHAnsi" w:cstheme="minorHAnsi"/>
          <w:snapToGrid w:val="0"/>
          <w:sz w:val="24"/>
        </w:rPr>
        <w:t xml:space="preserve"> atd.). </w:t>
      </w:r>
      <w:r>
        <w:rPr>
          <w:rFonts w:asciiTheme="minorHAnsi" w:hAnsiTheme="minorHAnsi" w:cstheme="minorHAnsi"/>
          <w:snapToGrid w:val="0"/>
          <w:sz w:val="24"/>
        </w:rPr>
        <w:t>Tyto i</w:t>
      </w:r>
      <w:r w:rsidRPr="003369C7">
        <w:rPr>
          <w:rFonts w:asciiTheme="minorHAnsi" w:hAnsiTheme="minorHAnsi" w:cstheme="minorHAnsi"/>
          <w:snapToGrid w:val="0"/>
          <w:sz w:val="24"/>
        </w:rPr>
        <w:t>nformace jsou určeny uchazečům o</w:t>
      </w:r>
      <w:r>
        <w:rPr>
          <w:rFonts w:asciiTheme="minorHAnsi" w:hAnsiTheme="minorHAnsi" w:cstheme="minorHAnsi"/>
          <w:snapToGrid w:val="0"/>
          <w:sz w:val="24"/>
        </w:rPr>
        <w:t> </w:t>
      </w:r>
      <w:r w:rsidRPr="003369C7">
        <w:rPr>
          <w:rFonts w:asciiTheme="minorHAnsi" w:hAnsiTheme="minorHAnsi" w:cstheme="minorHAnsi"/>
          <w:snapToGrid w:val="0"/>
          <w:sz w:val="24"/>
        </w:rPr>
        <w:t>zaměstnání, zaměstnavatelům nebo začínajícím podnikatelům</w:t>
      </w:r>
      <w:r>
        <w:rPr>
          <w:rFonts w:asciiTheme="minorHAnsi" w:hAnsiTheme="minorHAnsi" w:cstheme="minorHAnsi"/>
          <w:snapToGrid w:val="0"/>
          <w:sz w:val="24"/>
        </w:rPr>
        <w:t xml:space="preserve">. </w:t>
      </w:r>
      <w:r w:rsidRPr="003369C7">
        <w:rPr>
          <w:rFonts w:asciiTheme="minorHAnsi" w:hAnsiTheme="minorHAnsi" w:cstheme="minorHAnsi"/>
          <w:snapToGrid w:val="0"/>
          <w:sz w:val="24"/>
        </w:rPr>
        <w:t xml:space="preserve">Partnerství </w:t>
      </w:r>
      <w:r>
        <w:rPr>
          <w:rFonts w:asciiTheme="minorHAnsi" w:hAnsiTheme="minorHAnsi" w:cstheme="minorHAnsi"/>
          <w:snapToGrid w:val="0"/>
          <w:sz w:val="24"/>
        </w:rPr>
        <w:t>„</w:t>
      </w:r>
      <w:r w:rsidRPr="003369C7">
        <w:rPr>
          <w:rFonts w:asciiTheme="minorHAnsi" w:hAnsiTheme="minorHAnsi" w:cstheme="minorHAnsi"/>
          <w:snapToGrid w:val="0"/>
          <w:sz w:val="24"/>
        </w:rPr>
        <w:t>EURES-T Beskydy</w:t>
      </w:r>
      <w:r>
        <w:rPr>
          <w:rFonts w:asciiTheme="minorHAnsi" w:hAnsiTheme="minorHAnsi" w:cstheme="minorHAnsi"/>
          <w:snapToGrid w:val="0"/>
          <w:sz w:val="24"/>
        </w:rPr>
        <w:t>“</w:t>
      </w:r>
      <w:r w:rsidRPr="003369C7">
        <w:rPr>
          <w:rFonts w:asciiTheme="minorHAnsi" w:hAnsiTheme="minorHAnsi" w:cstheme="minorHAnsi"/>
          <w:snapToGrid w:val="0"/>
          <w:sz w:val="24"/>
        </w:rPr>
        <w:t xml:space="preserve"> v průběhu roku 2014 realizovalo aktivity na podporu přeshraniční mobility, které byly zaměřené především na poradenství a poskytování informací o</w:t>
      </w:r>
      <w:r>
        <w:rPr>
          <w:rFonts w:asciiTheme="minorHAnsi" w:hAnsiTheme="minorHAnsi" w:cstheme="minorHAnsi"/>
          <w:snapToGrid w:val="0"/>
          <w:sz w:val="24"/>
        </w:rPr>
        <w:t xml:space="preserve"> životních a </w:t>
      </w:r>
      <w:r w:rsidRPr="003369C7">
        <w:rPr>
          <w:rFonts w:asciiTheme="minorHAnsi" w:hAnsiTheme="minorHAnsi" w:cstheme="minorHAnsi"/>
          <w:snapToGrid w:val="0"/>
          <w:sz w:val="24"/>
        </w:rPr>
        <w:t>pracovních podmínkách, na distribuci volných pracovních míst</w:t>
      </w:r>
      <w:r>
        <w:rPr>
          <w:rFonts w:asciiTheme="minorHAnsi" w:hAnsiTheme="minorHAnsi" w:cstheme="minorHAnsi"/>
          <w:snapToGrid w:val="0"/>
          <w:sz w:val="24"/>
        </w:rPr>
        <w:t xml:space="preserve"> a </w:t>
      </w:r>
      <w:r w:rsidRPr="003369C7">
        <w:rPr>
          <w:rFonts w:asciiTheme="minorHAnsi" w:hAnsiTheme="minorHAnsi" w:cstheme="minorHAnsi"/>
          <w:snapToGrid w:val="0"/>
          <w:sz w:val="24"/>
        </w:rPr>
        <w:t>žádostí o</w:t>
      </w:r>
      <w:r>
        <w:rPr>
          <w:rFonts w:asciiTheme="minorHAnsi" w:hAnsiTheme="minorHAnsi" w:cstheme="minorHAnsi"/>
          <w:snapToGrid w:val="0"/>
          <w:sz w:val="24"/>
        </w:rPr>
        <w:t> </w:t>
      </w:r>
      <w:r w:rsidRPr="003369C7">
        <w:rPr>
          <w:rFonts w:asciiTheme="minorHAnsi" w:hAnsiTheme="minorHAnsi" w:cstheme="minorHAnsi"/>
          <w:snapToGrid w:val="0"/>
          <w:sz w:val="24"/>
        </w:rPr>
        <w:t xml:space="preserve">zaměstnání, </w:t>
      </w:r>
      <w:r>
        <w:rPr>
          <w:rFonts w:asciiTheme="minorHAnsi" w:hAnsiTheme="minorHAnsi" w:cstheme="minorHAnsi"/>
          <w:snapToGrid w:val="0"/>
          <w:sz w:val="24"/>
        </w:rPr>
        <w:t xml:space="preserve">na </w:t>
      </w:r>
      <w:r w:rsidRPr="003369C7">
        <w:rPr>
          <w:rFonts w:asciiTheme="minorHAnsi" w:hAnsiTheme="minorHAnsi" w:cstheme="minorHAnsi"/>
          <w:snapToGrid w:val="0"/>
          <w:sz w:val="24"/>
        </w:rPr>
        <w:t xml:space="preserve">poradenství pro OSVČ v přeshraničním regionu a na poskytování informací o možnostech profesního vzdělávání v regionu partnerství. Během roku 2014 bylo zorganizováno </w:t>
      </w:r>
      <w:r>
        <w:rPr>
          <w:rFonts w:asciiTheme="minorHAnsi" w:hAnsiTheme="minorHAnsi" w:cstheme="minorHAnsi"/>
          <w:snapToGrid w:val="0"/>
          <w:sz w:val="24"/>
        </w:rPr>
        <w:t>6</w:t>
      </w:r>
      <w:r w:rsidRPr="003369C7">
        <w:rPr>
          <w:rFonts w:asciiTheme="minorHAnsi" w:hAnsiTheme="minorHAnsi" w:cstheme="minorHAnsi"/>
          <w:snapToGrid w:val="0"/>
          <w:sz w:val="24"/>
        </w:rPr>
        <w:t xml:space="preserve"> přeshraničních pracovně vzdělávacích veletrhů.</w:t>
      </w:r>
    </w:p>
    <w:p w:rsidR="00B164DA" w:rsidRDefault="00B164DA" w:rsidP="00626926">
      <w:pPr>
        <w:rPr>
          <w:rFonts w:asciiTheme="minorHAnsi" w:hAnsiTheme="minorHAnsi" w:cstheme="minorHAnsi"/>
          <w:sz w:val="24"/>
          <w:szCs w:val="24"/>
        </w:rPr>
      </w:pPr>
    </w:p>
    <w:p w:rsidR="007C5FBA" w:rsidRDefault="007C5FBA" w:rsidP="00626926">
      <w:pPr>
        <w:rPr>
          <w:rFonts w:asciiTheme="minorHAnsi" w:hAnsiTheme="minorHAnsi" w:cstheme="minorHAnsi"/>
          <w:sz w:val="24"/>
          <w:szCs w:val="24"/>
        </w:rPr>
      </w:pPr>
    </w:p>
    <w:p w:rsidR="00DC5CF9" w:rsidRDefault="007C5FBA" w:rsidP="00C70E74">
      <w:pPr>
        <w:jc w:val="both"/>
        <w:rPr>
          <w:rFonts w:asciiTheme="minorHAnsi" w:hAnsiTheme="minorHAnsi" w:cstheme="minorHAnsi"/>
          <w:sz w:val="24"/>
          <w:szCs w:val="24"/>
        </w:rPr>
      </w:pPr>
      <w:r>
        <w:rPr>
          <w:rFonts w:asciiTheme="minorHAnsi" w:hAnsiTheme="minorHAnsi" w:cstheme="minorHAnsi"/>
          <w:sz w:val="24"/>
          <w:szCs w:val="24"/>
        </w:rPr>
        <w:br w:type="page"/>
      </w:r>
    </w:p>
    <w:p w:rsidR="00DC5CF9" w:rsidRPr="007C76CA" w:rsidRDefault="00DC5CF9" w:rsidP="00DC5CF9">
      <w:pPr>
        <w:jc w:val="both"/>
        <w:rPr>
          <w:rFonts w:asciiTheme="minorHAnsi" w:hAnsiTheme="minorHAnsi" w:cstheme="minorHAnsi"/>
          <w:b/>
          <w:sz w:val="24"/>
          <w:szCs w:val="24"/>
        </w:rPr>
      </w:pPr>
      <w:r w:rsidRPr="007C76CA">
        <w:rPr>
          <w:rFonts w:asciiTheme="minorHAnsi" w:hAnsiTheme="minorHAnsi" w:cstheme="minorHAnsi"/>
          <w:b/>
          <w:sz w:val="28"/>
          <w:szCs w:val="28"/>
        </w:rPr>
        <w:t xml:space="preserve">V.  AKTIVNÍ  POLITIKA  ZAMĚSTNANOSTI </w:t>
      </w:r>
    </w:p>
    <w:p w:rsidR="00DC5CF9" w:rsidRPr="00B326D8" w:rsidRDefault="00DC5CF9" w:rsidP="00DC5CF9">
      <w:pPr>
        <w:rPr>
          <w:rFonts w:asciiTheme="minorHAnsi" w:hAnsiTheme="minorHAnsi" w:cstheme="minorHAnsi"/>
          <w:bCs/>
          <w:sz w:val="24"/>
          <w:szCs w:val="24"/>
        </w:rPr>
      </w:pPr>
    </w:p>
    <w:p w:rsidR="00DC5CF9" w:rsidRPr="007C76CA" w:rsidRDefault="00DC5CF9" w:rsidP="00DC5CF9">
      <w:pPr>
        <w:pStyle w:val="Zkladntextodsazen"/>
        <w:rPr>
          <w:rFonts w:asciiTheme="minorHAnsi" w:hAnsiTheme="minorHAnsi" w:cstheme="minorHAnsi"/>
        </w:rPr>
      </w:pPr>
      <w:r w:rsidRPr="007C76CA">
        <w:rPr>
          <w:rFonts w:asciiTheme="minorHAnsi" w:hAnsiTheme="minorHAnsi" w:cstheme="minorHAnsi"/>
        </w:rPr>
        <w:t>Nástroje a opatření APZ mají v činnosti KrP v Ostravě při zabezpečování státní politiky zaměstnanosti velice významné a nenahraditelné místo. Jejich nejdůležitějším úkolem je specifickými programy regulovat trh práce s cílem finančně podporovat stálá pracovní místa pro uchazeče o zaměstnání, kterým se při zprostředkování zaměstnání věnuje zvýšená péče, včetně zabezpečování změn profesního zaměření nezaměstnaných, ale i zaměstnanců firem v souladu se současnými i očekávanými požadavky a potřebami zaměstnavatelů.</w:t>
      </w:r>
    </w:p>
    <w:p w:rsidR="00DC5CF9" w:rsidRPr="007C76CA" w:rsidRDefault="00DC5CF9" w:rsidP="00DC5CF9">
      <w:pPr>
        <w:ind w:firstLine="360"/>
        <w:rPr>
          <w:rFonts w:asciiTheme="minorHAnsi" w:hAnsiTheme="minorHAnsi" w:cstheme="minorHAnsi"/>
          <w:sz w:val="24"/>
          <w:szCs w:val="24"/>
        </w:rPr>
      </w:pPr>
      <w:r w:rsidRPr="007C76CA">
        <w:rPr>
          <w:rFonts w:asciiTheme="minorHAnsi" w:hAnsiTheme="minorHAnsi" w:cstheme="minorHAnsi"/>
          <w:sz w:val="24"/>
          <w:szCs w:val="24"/>
        </w:rPr>
        <w:t>Mezi nástroje nebo opatření APZ patří zejména:</w:t>
      </w:r>
    </w:p>
    <w:p w:rsidR="00DC5CF9" w:rsidRPr="007C76CA" w:rsidRDefault="00DC5CF9" w:rsidP="00DC5CF9">
      <w:pPr>
        <w:pStyle w:val="odsazen"/>
        <w:numPr>
          <w:ilvl w:val="0"/>
          <w:numId w:val="9"/>
        </w:numPr>
        <w:rPr>
          <w:rFonts w:asciiTheme="minorHAnsi" w:hAnsiTheme="minorHAnsi" w:cstheme="minorHAnsi"/>
        </w:rPr>
      </w:pPr>
      <w:r w:rsidRPr="007C76CA">
        <w:rPr>
          <w:rFonts w:asciiTheme="minorHAnsi" w:hAnsiTheme="minorHAnsi" w:cstheme="minorHAnsi"/>
        </w:rPr>
        <w:t>zřizování SÚPM uchazeči o zaměstnání a CHPM osobami se zdravotním postižením pro výkon SVČ a zřizování SÚPM zaměstnavateli pro rizikové skupiny UoZ,</w:t>
      </w:r>
    </w:p>
    <w:p w:rsidR="00DC5CF9" w:rsidRPr="007C76CA" w:rsidRDefault="00DC5CF9" w:rsidP="00DC5CF9">
      <w:pPr>
        <w:pStyle w:val="odsazen"/>
        <w:numPr>
          <w:ilvl w:val="0"/>
          <w:numId w:val="9"/>
        </w:numPr>
        <w:rPr>
          <w:rFonts w:asciiTheme="minorHAnsi" w:hAnsiTheme="minorHAnsi" w:cstheme="minorHAnsi"/>
        </w:rPr>
      </w:pPr>
      <w:r w:rsidRPr="007C76CA">
        <w:rPr>
          <w:rFonts w:asciiTheme="minorHAnsi" w:hAnsiTheme="minorHAnsi" w:cstheme="minorHAnsi"/>
        </w:rPr>
        <w:t>poskytování finančních příspěvků na úhradu m</w:t>
      </w:r>
      <w:r>
        <w:rPr>
          <w:rFonts w:asciiTheme="minorHAnsi" w:hAnsiTheme="minorHAnsi" w:cstheme="minorHAnsi"/>
        </w:rPr>
        <w:t>e</w:t>
      </w:r>
      <w:r w:rsidRPr="007C76CA">
        <w:rPr>
          <w:rFonts w:asciiTheme="minorHAnsi" w:hAnsiTheme="minorHAnsi" w:cstheme="minorHAnsi"/>
        </w:rPr>
        <w:t>zd</w:t>
      </w:r>
      <w:r>
        <w:rPr>
          <w:rFonts w:asciiTheme="minorHAnsi" w:hAnsiTheme="minorHAnsi" w:cstheme="minorHAnsi"/>
        </w:rPr>
        <w:t xml:space="preserve"> nebo platů na zaměstnance,</w:t>
      </w:r>
      <w:r w:rsidRPr="007C76CA">
        <w:rPr>
          <w:rFonts w:asciiTheme="minorHAnsi" w:hAnsiTheme="minorHAnsi" w:cstheme="minorHAnsi"/>
        </w:rPr>
        <w:t xml:space="preserve"> včetně pojistného na sociální zabezpečení, příspěvku na státní politiku zaměstnanosti a pojistného na veřejné zdravotní pojištění</w:t>
      </w:r>
      <w:r>
        <w:rPr>
          <w:rFonts w:asciiTheme="minorHAnsi" w:hAnsiTheme="minorHAnsi" w:cstheme="minorHAnsi"/>
        </w:rPr>
        <w:t xml:space="preserve"> odvedené za zaměstnance</w:t>
      </w:r>
      <w:r w:rsidRPr="007C76CA">
        <w:rPr>
          <w:rFonts w:asciiTheme="minorHAnsi" w:hAnsiTheme="minorHAnsi" w:cstheme="minorHAnsi"/>
        </w:rPr>
        <w:t>, při vytváření pracovních příležitostí v rámci VPP a SÚPM vyhrazených,</w:t>
      </w:r>
    </w:p>
    <w:p w:rsidR="00DC5CF9" w:rsidRPr="007C76CA" w:rsidRDefault="00DC5CF9" w:rsidP="00DC5CF9">
      <w:pPr>
        <w:pStyle w:val="odsazen"/>
        <w:numPr>
          <w:ilvl w:val="0"/>
          <w:numId w:val="9"/>
        </w:numPr>
        <w:rPr>
          <w:rFonts w:asciiTheme="minorHAnsi" w:hAnsiTheme="minorHAnsi" w:cstheme="minorHAnsi"/>
        </w:rPr>
      </w:pPr>
      <w:r w:rsidRPr="007C76CA">
        <w:rPr>
          <w:rFonts w:asciiTheme="minorHAnsi" w:hAnsiTheme="minorHAnsi" w:cstheme="minorHAnsi"/>
        </w:rPr>
        <w:t>zřizování CHPM zaměstnavateli pro OZP a poskytování finančních příspěvků na částečnou úhradu jejich provozních nákladů,</w:t>
      </w:r>
    </w:p>
    <w:p w:rsidR="00DC5CF9" w:rsidRPr="007C76CA" w:rsidRDefault="00DC5CF9" w:rsidP="00DC5CF9">
      <w:pPr>
        <w:pStyle w:val="Zkladntext"/>
        <w:numPr>
          <w:ilvl w:val="0"/>
          <w:numId w:val="9"/>
        </w:numPr>
        <w:tabs>
          <w:tab w:val="num" w:pos="1344"/>
        </w:tabs>
        <w:spacing w:after="0"/>
        <w:jc w:val="both"/>
        <w:rPr>
          <w:rFonts w:asciiTheme="minorHAnsi" w:hAnsiTheme="minorHAnsi" w:cstheme="minorHAnsi"/>
        </w:rPr>
      </w:pPr>
      <w:r w:rsidRPr="007C76CA">
        <w:rPr>
          <w:rFonts w:asciiTheme="minorHAnsi" w:hAnsiTheme="minorHAnsi" w:cstheme="minorHAnsi"/>
          <w:sz w:val="24"/>
          <w:szCs w:val="24"/>
        </w:rPr>
        <w:t>poskytování překlenovacích příspěvků, příspěvků na zapracování a příspěvků při přechodu na nový podnikatelský program</w:t>
      </w:r>
      <w:r w:rsidRPr="007C76CA">
        <w:rPr>
          <w:rFonts w:asciiTheme="minorHAnsi" w:hAnsiTheme="minorHAnsi" w:cstheme="minorHAnsi"/>
        </w:rPr>
        <w:t>,</w:t>
      </w:r>
    </w:p>
    <w:p w:rsidR="00DC5CF9" w:rsidRPr="007C76CA" w:rsidRDefault="00DC5CF9" w:rsidP="00DC5CF9">
      <w:pPr>
        <w:pStyle w:val="odsazen"/>
        <w:numPr>
          <w:ilvl w:val="0"/>
          <w:numId w:val="9"/>
        </w:numPr>
        <w:rPr>
          <w:rFonts w:asciiTheme="minorHAnsi" w:hAnsiTheme="minorHAnsi" w:cstheme="minorHAnsi"/>
        </w:rPr>
      </w:pPr>
      <w:r w:rsidRPr="007C76CA">
        <w:rPr>
          <w:rFonts w:asciiTheme="minorHAnsi" w:hAnsiTheme="minorHAnsi" w:cstheme="minorHAnsi"/>
        </w:rPr>
        <w:t>zabezpečování a úhrada vhodných rekvalifikací (vč. zvolených) a odborného poradenství za účelem zjišťování osobnostních a kvalifikačních předpokladů fyzických osob pro volbu povolání, pro zprostředkování vhodného zaměstnání, pro volbu přípravy k práci OZP a při výběru vhodných nástrojů APZ, a to vše v závislosti na vývoji trhu práce,</w:t>
      </w:r>
    </w:p>
    <w:p w:rsidR="00DC5CF9" w:rsidRPr="007C76CA" w:rsidRDefault="00DC5CF9" w:rsidP="00DC5CF9">
      <w:pPr>
        <w:pStyle w:val="odsazen"/>
        <w:numPr>
          <w:ilvl w:val="0"/>
          <w:numId w:val="9"/>
        </w:numPr>
        <w:rPr>
          <w:rFonts w:asciiTheme="minorHAnsi" w:hAnsiTheme="minorHAnsi" w:cstheme="minorHAnsi"/>
        </w:rPr>
      </w:pPr>
      <w:r w:rsidRPr="007C76CA">
        <w:rPr>
          <w:rFonts w:asciiTheme="minorHAnsi" w:hAnsiTheme="minorHAnsi" w:cstheme="minorHAnsi"/>
        </w:rPr>
        <w:t>investiční pobídky, cílené programy k řešení zaměstnanosti a ostatní programy podpory zaměstnanosti (realizace NIP a RIP ESF-OP LZZ).</w:t>
      </w:r>
    </w:p>
    <w:p w:rsidR="00DC5CF9" w:rsidRDefault="00DC5CF9" w:rsidP="00DC5CF9">
      <w:pPr>
        <w:pStyle w:val="odsazen"/>
        <w:numPr>
          <w:ilvl w:val="0"/>
          <w:numId w:val="0"/>
        </w:numPr>
        <w:ind w:left="360"/>
        <w:rPr>
          <w:rFonts w:asciiTheme="minorHAnsi" w:hAnsiTheme="minorHAnsi" w:cstheme="minorHAnsi"/>
          <w:szCs w:val="24"/>
        </w:rPr>
      </w:pPr>
    </w:p>
    <w:p w:rsidR="00DC5CF9" w:rsidRPr="007C76CA" w:rsidRDefault="00DC5CF9" w:rsidP="00DC5CF9">
      <w:pPr>
        <w:pStyle w:val="odsazen"/>
        <w:numPr>
          <w:ilvl w:val="0"/>
          <w:numId w:val="0"/>
        </w:numPr>
        <w:ind w:left="360"/>
        <w:rPr>
          <w:rFonts w:asciiTheme="minorHAnsi" w:hAnsiTheme="minorHAnsi" w:cstheme="minorHAnsi"/>
          <w:szCs w:val="24"/>
        </w:rPr>
      </w:pPr>
    </w:p>
    <w:p w:rsidR="00DC5CF9" w:rsidRPr="007C76CA" w:rsidRDefault="00DC5CF9" w:rsidP="00DC5CF9">
      <w:pPr>
        <w:pStyle w:val="Nadpis6"/>
        <w:rPr>
          <w:rFonts w:asciiTheme="minorHAnsi" w:hAnsiTheme="minorHAnsi" w:cstheme="minorHAnsi"/>
        </w:rPr>
      </w:pPr>
      <w:r w:rsidRPr="007C76CA">
        <w:rPr>
          <w:rFonts w:asciiTheme="minorHAnsi" w:hAnsiTheme="minorHAnsi" w:cstheme="minorHAnsi"/>
        </w:rPr>
        <w:t>1. Vynaložené finanční prostředky na aktivní politiku zaměstnanosti</w:t>
      </w:r>
    </w:p>
    <w:p w:rsidR="00DC5CF9" w:rsidRPr="00B326D8" w:rsidRDefault="00DC5CF9" w:rsidP="00DC5CF9">
      <w:pPr>
        <w:pStyle w:val="dka"/>
        <w:jc w:val="both"/>
        <w:rPr>
          <w:rFonts w:asciiTheme="minorHAnsi" w:hAnsiTheme="minorHAnsi" w:cstheme="minorHAnsi"/>
          <w:color w:val="auto"/>
          <w:szCs w:val="24"/>
        </w:rPr>
      </w:pPr>
    </w:p>
    <w:p w:rsidR="00DC5CF9" w:rsidRPr="00FC2582" w:rsidRDefault="00DC5CF9" w:rsidP="00DC5CF9">
      <w:pPr>
        <w:ind w:firstLine="708"/>
        <w:jc w:val="both"/>
        <w:rPr>
          <w:rFonts w:asciiTheme="minorHAnsi" w:hAnsiTheme="minorHAnsi" w:cstheme="minorHAnsi"/>
          <w:sz w:val="24"/>
          <w:szCs w:val="24"/>
        </w:rPr>
      </w:pPr>
      <w:r w:rsidRPr="0042765A">
        <w:rPr>
          <w:rFonts w:asciiTheme="minorHAnsi" w:hAnsiTheme="minorHAnsi" w:cstheme="minorHAnsi"/>
          <w:sz w:val="24"/>
          <w:szCs w:val="24"/>
        </w:rPr>
        <w:t>Na aktivní politiku zaměstnanosti („národní“ i ESF</w:t>
      </w:r>
      <w:r>
        <w:rPr>
          <w:rFonts w:asciiTheme="minorHAnsi" w:hAnsiTheme="minorHAnsi" w:cstheme="minorHAnsi"/>
          <w:sz w:val="24"/>
          <w:szCs w:val="24"/>
        </w:rPr>
        <w:t>-</w:t>
      </w:r>
      <w:r w:rsidRPr="0042765A">
        <w:rPr>
          <w:rFonts w:asciiTheme="minorHAnsi" w:hAnsiTheme="minorHAnsi" w:cstheme="minorHAnsi"/>
          <w:sz w:val="24"/>
          <w:szCs w:val="24"/>
        </w:rPr>
        <w:t>OP LZZ) bylo během roku 2014 v Moravskoslezském kraji vyplaceno dohromady</w:t>
      </w:r>
      <w:r>
        <w:rPr>
          <w:rFonts w:asciiTheme="minorHAnsi" w:hAnsiTheme="minorHAnsi" w:cstheme="minorHAnsi"/>
          <w:sz w:val="24"/>
          <w:szCs w:val="24"/>
        </w:rPr>
        <w:t xml:space="preserve"> téměř</w:t>
      </w:r>
      <w:r w:rsidRPr="0042765A">
        <w:rPr>
          <w:rFonts w:asciiTheme="minorHAnsi" w:hAnsiTheme="minorHAnsi" w:cstheme="minorHAnsi"/>
          <w:sz w:val="24"/>
          <w:szCs w:val="24"/>
        </w:rPr>
        <w:t xml:space="preserve"> </w:t>
      </w:r>
      <w:r>
        <w:rPr>
          <w:rFonts w:asciiTheme="minorHAnsi" w:hAnsiTheme="minorHAnsi" w:cstheme="minorHAnsi"/>
          <w:sz w:val="24"/>
          <w:szCs w:val="24"/>
        </w:rPr>
        <w:t>826</w:t>
      </w:r>
      <w:r w:rsidRPr="0042765A">
        <w:rPr>
          <w:rFonts w:asciiTheme="minorHAnsi" w:hAnsiTheme="minorHAnsi" w:cstheme="minorHAnsi"/>
          <w:sz w:val="24"/>
          <w:szCs w:val="24"/>
        </w:rPr>
        <w:t xml:space="preserve"> mil. Kč, což bylo meziročně o 1</w:t>
      </w:r>
      <w:r>
        <w:rPr>
          <w:rFonts w:asciiTheme="minorHAnsi" w:hAnsiTheme="minorHAnsi" w:cstheme="minorHAnsi"/>
          <w:sz w:val="24"/>
          <w:szCs w:val="24"/>
        </w:rPr>
        <w:t>91</w:t>
      </w:r>
      <w:r w:rsidRPr="0042765A">
        <w:rPr>
          <w:rFonts w:asciiTheme="minorHAnsi" w:hAnsiTheme="minorHAnsi" w:cstheme="minorHAnsi"/>
          <w:sz w:val="24"/>
          <w:szCs w:val="24"/>
        </w:rPr>
        <w:t>,</w:t>
      </w:r>
      <w:r>
        <w:rPr>
          <w:rFonts w:asciiTheme="minorHAnsi" w:hAnsiTheme="minorHAnsi" w:cstheme="minorHAnsi"/>
          <w:sz w:val="24"/>
          <w:szCs w:val="24"/>
        </w:rPr>
        <w:t>9</w:t>
      </w:r>
      <w:r w:rsidRPr="0042765A">
        <w:rPr>
          <w:rFonts w:asciiTheme="minorHAnsi" w:hAnsiTheme="minorHAnsi" w:cstheme="minorHAnsi"/>
          <w:sz w:val="24"/>
          <w:szCs w:val="24"/>
        </w:rPr>
        <w:t xml:space="preserve"> mil. </w:t>
      </w:r>
      <w:r w:rsidRPr="00C275E7">
        <w:rPr>
          <w:rFonts w:asciiTheme="minorHAnsi" w:hAnsiTheme="minorHAnsi" w:cstheme="minorHAnsi"/>
          <w:sz w:val="24"/>
          <w:szCs w:val="24"/>
        </w:rPr>
        <w:t xml:space="preserve">Kč, tj. o </w:t>
      </w:r>
      <w:r>
        <w:rPr>
          <w:rFonts w:asciiTheme="minorHAnsi" w:hAnsiTheme="minorHAnsi" w:cstheme="minorHAnsi"/>
          <w:sz w:val="24"/>
          <w:szCs w:val="24"/>
        </w:rPr>
        <w:t>30</w:t>
      </w:r>
      <w:r w:rsidRPr="00C275E7">
        <w:rPr>
          <w:rFonts w:asciiTheme="minorHAnsi" w:hAnsiTheme="minorHAnsi" w:cstheme="minorHAnsi"/>
          <w:sz w:val="24"/>
          <w:szCs w:val="24"/>
        </w:rPr>
        <w:t>,</w:t>
      </w:r>
      <w:r>
        <w:rPr>
          <w:rFonts w:asciiTheme="minorHAnsi" w:hAnsiTheme="minorHAnsi" w:cstheme="minorHAnsi"/>
          <w:sz w:val="24"/>
          <w:szCs w:val="24"/>
        </w:rPr>
        <w:t>3</w:t>
      </w:r>
      <w:r w:rsidRPr="00C275E7">
        <w:rPr>
          <w:rFonts w:asciiTheme="minorHAnsi" w:hAnsiTheme="minorHAnsi" w:cstheme="minorHAnsi"/>
          <w:sz w:val="24"/>
          <w:szCs w:val="24"/>
        </w:rPr>
        <w:t xml:space="preserve"> % více. Z této úhrnné částky vynaložila KrP v Ostravě 103,</w:t>
      </w:r>
      <w:r>
        <w:rPr>
          <w:rFonts w:asciiTheme="minorHAnsi" w:hAnsiTheme="minorHAnsi" w:cstheme="minorHAnsi"/>
          <w:sz w:val="24"/>
          <w:szCs w:val="24"/>
        </w:rPr>
        <w:t>3</w:t>
      </w:r>
      <w:r w:rsidRPr="00C275E7">
        <w:rPr>
          <w:rFonts w:asciiTheme="minorHAnsi" w:hAnsiTheme="minorHAnsi" w:cstheme="minorHAnsi"/>
          <w:sz w:val="24"/>
          <w:szCs w:val="24"/>
        </w:rPr>
        <w:t xml:space="preserve"> mil. Kč na „národní“ APZ, což bylo 32,0 % jejího schváleného ročního rozpočtu</w:t>
      </w:r>
      <w:r>
        <w:rPr>
          <w:rFonts w:asciiTheme="minorHAnsi" w:hAnsiTheme="minorHAnsi" w:cstheme="minorHAnsi"/>
          <w:sz w:val="24"/>
          <w:szCs w:val="24"/>
        </w:rPr>
        <w:t xml:space="preserve"> a 722,6 mil. Kč (tj. 76,4 % upraveného ročního rozpočtu) na národní i regionální individuální projekty financované z prostředků ESF-OP LZZ</w:t>
      </w:r>
      <w:r w:rsidRPr="00C275E7">
        <w:rPr>
          <w:rFonts w:asciiTheme="minorHAnsi" w:hAnsiTheme="minorHAnsi" w:cstheme="minorHAnsi"/>
          <w:sz w:val="24"/>
          <w:szCs w:val="24"/>
        </w:rPr>
        <w:t>.</w:t>
      </w:r>
      <w:r>
        <w:rPr>
          <w:rFonts w:asciiTheme="minorHAnsi" w:hAnsiTheme="minorHAnsi" w:cstheme="minorHAnsi"/>
          <w:sz w:val="24"/>
          <w:szCs w:val="24"/>
        </w:rPr>
        <w:t xml:space="preserve"> </w:t>
      </w:r>
    </w:p>
    <w:p w:rsidR="00DC5CF9" w:rsidRPr="00FF3867" w:rsidRDefault="00DC5CF9" w:rsidP="00DC5CF9">
      <w:pPr>
        <w:ind w:firstLine="708"/>
        <w:jc w:val="both"/>
        <w:rPr>
          <w:rFonts w:asciiTheme="minorHAnsi" w:hAnsiTheme="minorHAnsi" w:cstheme="minorHAnsi"/>
          <w:sz w:val="24"/>
          <w:szCs w:val="24"/>
        </w:rPr>
      </w:pPr>
      <w:r>
        <w:rPr>
          <w:rFonts w:asciiTheme="minorHAnsi" w:hAnsiTheme="minorHAnsi" w:cstheme="minorHAnsi"/>
          <w:sz w:val="24"/>
          <w:szCs w:val="24"/>
        </w:rPr>
        <w:t>Na v</w:t>
      </w:r>
      <w:r w:rsidRPr="00FF3867">
        <w:rPr>
          <w:rFonts w:asciiTheme="minorHAnsi" w:hAnsiTheme="minorHAnsi" w:cstheme="minorHAnsi"/>
          <w:sz w:val="24"/>
          <w:szCs w:val="24"/>
        </w:rPr>
        <w:t>yšší meziroční čerpání souhrnného</w:t>
      </w:r>
      <w:r>
        <w:rPr>
          <w:rFonts w:asciiTheme="minorHAnsi" w:hAnsiTheme="minorHAnsi" w:cstheme="minorHAnsi"/>
          <w:sz w:val="24"/>
          <w:szCs w:val="24"/>
        </w:rPr>
        <w:t xml:space="preserve"> rozpočtu (</w:t>
      </w:r>
      <w:r w:rsidRPr="00FF3867">
        <w:rPr>
          <w:rFonts w:asciiTheme="minorHAnsi" w:hAnsiTheme="minorHAnsi" w:cstheme="minorHAnsi"/>
          <w:sz w:val="24"/>
          <w:szCs w:val="24"/>
        </w:rPr>
        <w:t>„národní APZ“</w:t>
      </w:r>
      <w:r>
        <w:rPr>
          <w:rFonts w:asciiTheme="minorHAnsi" w:hAnsiTheme="minorHAnsi" w:cstheme="minorHAnsi"/>
          <w:sz w:val="24"/>
          <w:szCs w:val="24"/>
        </w:rPr>
        <w:t xml:space="preserve"> + E</w:t>
      </w:r>
      <w:r w:rsidRPr="00FF3867">
        <w:rPr>
          <w:rFonts w:asciiTheme="minorHAnsi" w:hAnsiTheme="minorHAnsi" w:cstheme="minorHAnsi"/>
          <w:sz w:val="24"/>
          <w:szCs w:val="24"/>
        </w:rPr>
        <w:t>SF-OP LZZ</w:t>
      </w:r>
      <w:r>
        <w:rPr>
          <w:rFonts w:asciiTheme="minorHAnsi" w:hAnsiTheme="minorHAnsi" w:cstheme="minorHAnsi"/>
          <w:sz w:val="24"/>
          <w:szCs w:val="24"/>
        </w:rPr>
        <w:t>)</w:t>
      </w:r>
      <w:r w:rsidRPr="00FF3867">
        <w:rPr>
          <w:rFonts w:asciiTheme="minorHAnsi" w:hAnsiTheme="minorHAnsi" w:cstheme="minorHAnsi"/>
          <w:sz w:val="24"/>
          <w:szCs w:val="24"/>
        </w:rPr>
        <w:t xml:space="preserve"> </w:t>
      </w:r>
      <w:r>
        <w:rPr>
          <w:rFonts w:asciiTheme="minorHAnsi" w:hAnsiTheme="minorHAnsi" w:cstheme="minorHAnsi"/>
          <w:sz w:val="24"/>
          <w:szCs w:val="24"/>
        </w:rPr>
        <w:t>měla vliv</w:t>
      </w:r>
      <w:r w:rsidRPr="00FF3867">
        <w:rPr>
          <w:rFonts w:asciiTheme="minorHAnsi" w:hAnsiTheme="minorHAnsi" w:cstheme="minorHAnsi"/>
          <w:sz w:val="24"/>
          <w:szCs w:val="24"/>
        </w:rPr>
        <w:t xml:space="preserve"> </w:t>
      </w:r>
      <w:r>
        <w:rPr>
          <w:rFonts w:asciiTheme="minorHAnsi" w:hAnsiTheme="minorHAnsi" w:cstheme="minorHAnsi"/>
          <w:sz w:val="24"/>
          <w:szCs w:val="24"/>
        </w:rPr>
        <w:t xml:space="preserve">především velmi </w:t>
      </w:r>
      <w:r w:rsidRPr="00FF3867">
        <w:rPr>
          <w:rFonts w:asciiTheme="minorHAnsi" w:hAnsiTheme="minorHAnsi" w:cstheme="minorHAnsi"/>
          <w:b/>
          <w:sz w:val="24"/>
          <w:szCs w:val="24"/>
        </w:rPr>
        <w:t xml:space="preserve">úspěšná realizace projektu NIP Vzdělávejte se pro růst! - pracovní příležitosti </w:t>
      </w:r>
      <w:r w:rsidRPr="00FF3867">
        <w:rPr>
          <w:rFonts w:asciiTheme="minorHAnsi" w:hAnsiTheme="minorHAnsi" w:cstheme="minorHAnsi"/>
          <w:sz w:val="24"/>
          <w:szCs w:val="24"/>
        </w:rPr>
        <w:t xml:space="preserve">(01.01.2012 - 31.10.2015) zaměřeného na podporu tvorby pracovních míst v rámci VPP a SÚPM vyhrazených, tj. </w:t>
      </w:r>
      <w:r>
        <w:rPr>
          <w:rFonts w:asciiTheme="minorHAnsi" w:hAnsiTheme="minorHAnsi" w:cstheme="minorHAnsi"/>
          <w:sz w:val="24"/>
          <w:szCs w:val="24"/>
        </w:rPr>
        <w:t xml:space="preserve">finanční příspěvky </w:t>
      </w:r>
      <w:r w:rsidRPr="00FF3867">
        <w:rPr>
          <w:rFonts w:asciiTheme="minorHAnsi" w:hAnsiTheme="minorHAnsi" w:cstheme="minorHAnsi"/>
          <w:sz w:val="24"/>
          <w:szCs w:val="24"/>
        </w:rPr>
        <w:t>na mzd</w:t>
      </w:r>
      <w:r>
        <w:rPr>
          <w:rFonts w:asciiTheme="minorHAnsi" w:hAnsiTheme="minorHAnsi" w:cstheme="minorHAnsi"/>
          <w:sz w:val="24"/>
          <w:szCs w:val="24"/>
        </w:rPr>
        <w:t>y vč. pojištění.</w:t>
      </w: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Default="00DC5CF9" w:rsidP="00DC5CF9">
      <w:pPr>
        <w:pStyle w:val="dka"/>
        <w:jc w:val="both"/>
        <w:rPr>
          <w:rFonts w:asciiTheme="minorHAnsi" w:hAnsiTheme="minorHAnsi" w:cstheme="minorHAnsi"/>
          <w:b/>
          <w:color w:val="auto"/>
        </w:rPr>
      </w:pPr>
    </w:p>
    <w:p w:rsidR="00DC5CF9" w:rsidRPr="007C76CA" w:rsidRDefault="00DC5CF9" w:rsidP="00DC5CF9">
      <w:pPr>
        <w:pStyle w:val="dka"/>
        <w:jc w:val="both"/>
        <w:rPr>
          <w:rFonts w:asciiTheme="minorHAnsi" w:hAnsiTheme="minorHAnsi" w:cstheme="minorHAnsi"/>
          <w:color w:val="auto"/>
        </w:rPr>
      </w:pPr>
      <w:r w:rsidRPr="007C76CA">
        <w:rPr>
          <w:rFonts w:asciiTheme="minorHAnsi" w:hAnsiTheme="minorHAnsi" w:cstheme="minorHAnsi"/>
          <w:b/>
          <w:color w:val="auto"/>
        </w:rPr>
        <w:t>Tabulka V/1</w:t>
      </w:r>
      <w:r w:rsidRPr="007C76CA">
        <w:rPr>
          <w:rFonts w:asciiTheme="minorHAnsi" w:hAnsiTheme="minorHAnsi" w:cstheme="minorHAnsi"/>
          <w:color w:val="auto"/>
        </w:rPr>
        <w:t xml:space="preserve"> - Struktura výdajů na APZ podle jednotlivých nástrojů a opatření včetně závazků z minulého období (v tis. Kč)</w:t>
      </w:r>
    </w:p>
    <w:tbl>
      <w:tblPr>
        <w:tblW w:w="94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5429"/>
        <w:gridCol w:w="998"/>
        <w:gridCol w:w="998"/>
        <w:gridCol w:w="1165"/>
        <w:gridCol w:w="820"/>
      </w:tblGrid>
      <w:tr w:rsidR="00DC5CF9" w:rsidRPr="007C76CA" w:rsidTr="00DC5CF9">
        <w:trPr>
          <w:cantSplit/>
          <w:trHeight w:val="348"/>
        </w:trPr>
        <w:tc>
          <w:tcPr>
            <w:tcW w:w="5429" w:type="dxa"/>
            <w:vMerge w:val="restart"/>
            <w:tcBorders>
              <w:top w:val="single" w:sz="12" w:space="0" w:color="auto"/>
              <w:bottom w:val="single" w:sz="12" w:space="0" w:color="auto"/>
              <w:right w:val="nil"/>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nástroj APZ</w:t>
            </w:r>
          </w:p>
        </w:tc>
        <w:tc>
          <w:tcPr>
            <w:tcW w:w="998" w:type="dxa"/>
            <w:vMerge w:val="restart"/>
            <w:tcBorders>
              <w:top w:val="single" w:sz="12" w:space="0" w:color="auto"/>
              <w:left w:val="single" w:sz="12" w:space="0" w:color="auto"/>
              <w:bottom w:val="single" w:sz="12"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2013</w:t>
            </w:r>
          </w:p>
        </w:tc>
        <w:tc>
          <w:tcPr>
            <w:tcW w:w="998" w:type="dxa"/>
            <w:vMerge w:val="restart"/>
            <w:tcBorders>
              <w:top w:val="single" w:sz="12" w:space="0" w:color="auto"/>
              <w:bottom w:val="single" w:sz="12" w:space="0" w:color="auto"/>
              <w:right w:val="single" w:sz="12"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2014</w:t>
            </w:r>
          </w:p>
        </w:tc>
        <w:tc>
          <w:tcPr>
            <w:tcW w:w="1985" w:type="dxa"/>
            <w:gridSpan w:val="2"/>
            <w:tcBorders>
              <w:top w:val="single" w:sz="12" w:space="0" w:color="auto"/>
              <w:left w:val="single" w:sz="12" w:space="0" w:color="auto"/>
              <w:bottom w:val="single" w:sz="4" w:space="0" w:color="auto"/>
              <w:right w:val="single" w:sz="12"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rozdíl a index 2014/2013</w:t>
            </w:r>
          </w:p>
        </w:tc>
      </w:tr>
      <w:tr w:rsidR="00DC5CF9" w:rsidRPr="007C76CA" w:rsidTr="00DC5CF9">
        <w:trPr>
          <w:cantSplit/>
        </w:trPr>
        <w:tc>
          <w:tcPr>
            <w:tcW w:w="5429" w:type="dxa"/>
            <w:vMerge/>
            <w:tcBorders>
              <w:bottom w:val="single" w:sz="12"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p>
        </w:tc>
        <w:tc>
          <w:tcPr>
            <w:tcW w:w="998" w:type="dxa"/>
            <w:vMerge/>
            <w:tcBorders>
              <w:left w:val="single" w:sz="12" w:space="0" w:color="auto"/>
              <w:bottom w:val="single" w:sz="12"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p>
        </w:tc>
        <w:tc>
          <w:tcPr>
            <w:tcW w:w="998" w:type="dxa"/>
            <w:vMerge/>
            <w:tcBorders>
              <w:bottom w:val="single" w:sz="12" w:space="0" w:color="auto"/>
              <w:right w:val="single" w:sz="12"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p>
        </w:tc>
        <w:tc>
          <w:tcPr>
            <w:tcW w:w="1165" w:type="dxa"/>
            <w:tcBorders>
              <w:top w:val="single" w:sz="4" w:space="0" w:color="auto"/>
              <w:left w:val="single" w:sz="12" w:space="0" w:color="auto"/>
              <w:bottom w:val="single" w:sz="4" w:space="0" w:color="auto"/>
              <w:right w:val="single" w:sz="8"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absolutně</w:t>
            </w:r>
          </w:p>
        </w:tc>
        <w:tc>
          <w:tcPr>
            <w:tcW w:w="820" w:type="dxa"/>
            <w:tcBorders>
              <w:top w:val="single" w:sz="4" w:space="0" w:color="auto"/>
              <w:left w:val="single" w:sz="8" w:space="0" w:color="auto"/>
              <w:bottom w:val="single" w:sz="4" w:space="0" w:color="auto"/>
            </w:tcBorders>
            <w:vAlign w:val="center"/>
          </w:tcPr>
          <w:p w:rsidR="00DC5CF9" w:rsidRPr="007C76CA" w:rsidRDefault="00DC5CF9" w:rsidP="00DC5CF9">
            <w:pPr>
              <w:pStyle w:val="Texttabulky"/>
              <w:ind w:left="-211" w:firstLine="211"/>
              <w:jc w:val="center"/>
              <w:rPr>
                <w:rFonts w:asciiTheme="minorHAnsi" w:hAnsiTheme="minorHAnsi" w:cstheme="minorHAnsi"/>
                <w:color w:val="auto"/>
              </w:rPr>
            </w:pPr>
            <w:r w:rsidRPr="007C76CA">
              <w:rPr>
                <w:rFonts w:asciiTheme="minorHAnsi" w:hAnsiTheme="minorHAnsi" w:cstheme="minorHAnsi"/>
                <w:color w:val="auto"/>
              </w:rPr>
              <w:t>%</w:t>
            </w:r>
          </w:p>
        </w:tc>
      </w:tr>
      <w:tr w:rsidR="00DC5CF9" w:rsidRPr="007C76CA" w:rsidTr="00DC5CF9">
        <w:trPr>
          <w:trHeight w:val="227"/>
        </w:trPr>
        <w:tc>
          <w:tcPr>
            <w:tcW w:w="5429" w:type="dxa"/>
            <w:tcBorders>
              <w:top w:val="single" w:sz="12"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r w:rsidRPr="007C76CA">
              <w:rPr>
                <w:rFonts w:asciiTheme="minorHAnsi" w:hAnsiTheme="minorHAnsi" w:cstheme="minorHAnsi"/>
                <w:bCs/>
                <w:color w:val="auto"/>
              </w:rPr>
              <w:t xml:space="preserve"> SÚPM - SVČ zřízená uchazeči o zaměstnání</w:t>
            </w:r>
          </w:p>
        </w:tc>
        <w:tc>
          <w:tcPr>
            <w:tcW w:w="998" w:type="dxa"/>
            <w:tcBorders>
              <w:top w:val="single" w:sz="12"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27 837</w:t>
            </w:r>
          </w:p>
        </w:tc>
        <w:tc>
          <w:tcPr>
            <w:tcW w:w="998" w:type="dxa"/>
            <w:tcBorders>
              <w:top w:val="single" w:sz="12"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26 634</w:t>
            </w:r>
          </w:p>
        </w:tc>
        <w:tc>
          <w:tcPr>
            <w:tcW w:w="1165" w:type="dxa"/>
            <w:tcBorders>
              <w:top w:val="single" w:sz="12" w:space="0" w:color="auto"/>
              <w:left w:val="single" w:sz="12" w:space="0" w:color="auto"/>
              <w:bottom w:val="single" w:sz="4" w:space="0" w:color="auto"/>
              <w:right w:val="single" w:sz="8"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-1 203</w:t>
            </w:r>
          </w:p>
        </w:tc>
        <w:tc>
          <w:tcPr>
            <w:tcW w:w="820" w:type="dxa"/>
            <w:tcBorders>
              <w:top w:val="single" w:sz="12" w:space="0" w:color="auto"/>
              <w:left w:val="single" w:sz="8" w:space="0" w:color="auto"/>
              <w:bottom w:val="single" w:sz="4"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95,7</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Znaka"/>
              <w:ind w:left="-211" w:firstLine="211"/>
              <w:rPr>
                <w:rFonts w:asciiTheme="minorHAnsi" w:hAnsiTheme="minorHAnsi" w:cstheme="minorHAnsi"/>
                <w:bCs/>
                <w:color w:val="auto"/>
              </w:rPr>
            </w:pPr>
            <w:r w:rsidRPr="007C76CA">
              <w:rPr>
                <w:rFonts w:asciiTheme="minorHAnsi" w:hAnsiTheme="minorHAnsi" w:cstheme="minorHAnsi"/>
                <w:bCs/>
                <w:color w:val="auto"/>
              </w:rPr>
              <w:t xml:space="preserve"> SÚPM zřízená a vyhrazená zaměstnavateli</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64 813</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27 588</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-37 225</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42,6</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Znaka"/>
              <w:ind w:left="-211" w:firstLine="211"/>
              <w:rPr>
                <w:rFonts w:asciiTheme="minorHAnsi" w:hAnsiTheme="minorHAnsi" w:cstheme="minorHAnsi"/>
                <w:bCs/>
                <w:color w:val="auto"/>
              </w:rPr>
            </w:pPr>
            <w:r w:rsidRPr="007C76CA">
              <w:rPr>
                <w:rFonts w:asciiTheme="minorHAnsi" w:hAnsiTheme="minorHAnsi" w:cstheme="minorHAnsi"/>
                <w:bCs/>
                <w:color w:val="auto"/>
              </w:rPr>
              <w:t xml:space="preserve"> SÚPM - ESF-OP LZZ (NIP)</w:t>
            </w:r>
          </w:p>
        </w:tc>
        <w:tc>
          <w:tcPr>
            <w:tcW w:w="998" w:type="dxa"/>
            <w:tcBorders>
              <w:top w:val="single" w:sz="4" w:space="0" w:color="auto"/>
              <w:left w:val="single" w:sz="12" w:space="0" w:color="auto"/>
              <w:bottom w:val="single" w:sz="4" w:space="0" w:color="auto"/>
            </w:tcBorders>
            <w:shd w:val="clear" w:color="auto" w:fill="auto"/>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131 736</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322 028</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+190 292</w:t>
            </w:r>
          </w:p>
        </w:tc>
        <w:tc>
          <w:tcPr>
            <w:tcW w:w="820" w:type="dxa"/>
            <w:tcBorders>
              <w:top w:val="single" w:sz="4" w:space="0" w:color="auto"/>
              <w:left w:val="single" w:sz="8" w:space="0" w:color="auto"/>
              <w:bottom w:val="single" w:sz="4" w:space="0" w:color="auto"/>
            </w:tcBorders>
            <w:shd w:val="clear" w:color="auto" w:fill="auto"/>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244,4</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Znaka"/>
              <w:ind w:left="-211" w:firstLine="211"/>
              <w:rPr>
                <w:rFonts w:asciiTheme="minorHAnsi" w:hAnsiTheme="minorHAnsi" w:cstheme="minorHAnsi"/>
                <w:bCs/>
                <w:color w:val="auto"/>
              </w:rPr>
            </w:pPr>
            <w:r w:rsidRPr="007C76CA">
              <w:rPr>
                <w:rFonts w:asciiTheme="minorHAnsi" w:hAnsiTheme="minorHAnsi" w:cstheme="minorHAnsi"/>
                <w:bCs/>
                <w:color w:val="auto"/>
              </w:rPr>
              <w:t xml:space="preserve"> VPP</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6 105</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10 365</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+4 260</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169,8</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r w:rsidRPr="007C76CA">
              <w:rPr>
                <w:rFonts w:asciiTheme="minorHAnsi" w:hAnsiTheme="minorHAnsi" w:cstheme="minorHAnsi"/>
                <w:bCs/>
                <w:color w:val="auto"/>
              </w:rPr>
              <w:t xml:space="preserve"> VPP - ESF-OP LZZ (NIP)</w:t>
            </w:r>
          </w:p>
        </w:tc>
        <w:tc>
          <w:tcPr>
            <w:tcW w:w="998" w:type="dxa"/>
            <w:tcBorders>
              <w:top w:val="single" w:sz="4" w:space="0" w:color="auto"/>
              <w:left w:val="single" w:sz="12" w:space="0" w:color="auto"/>
              <w:bottom w:val="single" w:sz="4" w:space="0" w:color="auto"/>
            </w:tcBorders>
            <w:shd w:val="clear" w:color="auto" w:fill="auto"/>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248 489</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308 813</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+60 324</w:t>
            </w:r>
          </w:p>
        </w:tc>
        <w:tc>
          <w:tcPr>
            <w:tcW w:w="820" w:type="dxa"/>
            <w:tcBorders>
              <w:top w:val="single" w:sz="4" w:space="0" w:color="auto"/>
              <w:left w:val="single" w:sz="8" w:space="0" w:color="auto"/>
              <w:bottom w:val="single" w:sz="4" w:space="0" w:color="auto"/>
            </w:tcBorders>
            <w:shd w:val="clear" w:color="auto" w:fill="auto"/>
            <w:vAlign w:val="bottom"/>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124,3</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color w:val="auto"/>
              </w:rPr>
            </w:pPr>
            <w:r w:rsidRPr="007C76CA">
              <w:rPr>
                <w:rFonts w:asciiTheme="minorHAnsi" w:hAnsiTheme="minorHAnsi" w:cstheme="minorHAnsi"/>
                <w:color w:val="auto"/>
              </w:rPr>
              <w:t xml:space="preserve"> rekvalifikace</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30 697</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13 235</w:t>
            </w:r>
          </w:p>
        </w:tc>
        <w:tc>
          <w:tcPr>
            <w:tcW w:w="1165" w:type="dxa"/>
            <w:tcBorders>
              <w:top w:val="single" w:sz="4" w:space="0" w:color="auto"/>
              <w:left w:val="single" w:sz="12" w:space="0" w:color="auto"/>
              <w:bottom w:val="single" w:sz="4" w:space="0" w:color="auto"/>
              <w:right w:val="single" w:sz="8" w:space="0" w:color="auto"/>
            </w:tcBorders>
            <w:vAlign w:val="center"/>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-17 462</w:t>
            </w:r>
          </w:p>
        </w:tc>
        <w:tc>
          <w:tcPr>
            <w:tcW w:w="820" w:type="dxa"/>
            <w:tcBorders>
              <w:top w:val="single" w:sz="4" w:space="0" w:color="auto"/>
              <w:left w:val="single" w:sz="8" w:space="0" w:color="auto"/>
              <w:bottom w:val="single" w:sz="4" w:space="0" w:color="auto"/>
            </w:tcBorders>
            <w:vAlign w:val="center"/>
          </w:tcPr>
          <w:p w:rsidR="00DC5CF9" w:rsidRPr="007C76CA" w:rsidRDefault="00DC5CF9" w:rsidP="00DC5CF9">
            <w:pPr>
              <w:pStyle w:val="dka"/>
              <w:ind w:left="-211" w:firstLine="211"/>
              <w:jc w:val="center"/>
              <w:rPr>
                <w:rFonts w:asciiTheme="minorHAnsi" w:hAnsiTheme="minorHAnsi" w:cstheme="minorHAnsi"/>
                <w:color w:val="auto"/>
              </w:rPr>
            </w:pPr>
            <w:r>
              <w:rPr>
                <w:rFonts w:asciiTheme="minorHAnsi" w:hAnsiTheme="minorHAnsi" w:cstheme="minorHAnsi"/>
                <w:color w:val="auto"/>
              </w:rPr>
              <w:t>43,1</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color w:val="auto"/>
              </w:rPr>
            </w:pPr>
            <w:r>
              <w:rPr>
                <w:rFonts w:asciiTheme="minorHAnsi" w:hAnsiTheme="minorHAnsi" w:cstheme="minorHAnsi"/>
                <w:color w:val="auto"/>
              </w:rPr>
              <w:t xml:space="preserve"> poradenství a pracovní rehabilitace</w:t>
            </w:r>
          </w:p>
        </w:tc>
        <w:tc>
          <w:tcPr>
            <w:tcW w:w="998" w:type="dxa"/>
            <w:tcBorders>
              <w:top w:val="single" w:sz="4" w:space="0" w:color="auto"/>
              <w:left w:val="single" w:sz="12" w:space="0" w:color="auto"/>
              <w:bottom w:val="single" w:sz="4" w:space="0" w:color="auto"/>
            </w:tcBorders>
            <w:shd w:val="clear" w:color="auto" w:fill="FFFFFF"/>
            <w:vAlign w:val="center"/>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1 887</w:t>
            </w:r>
          </w:p>
        </w:tc>
        <w:tc>
          <w:tcPr>
            <w:tcW w:w="998" w:type="dxa"/>
            <w:tcBorders>
              <w:top w:val="single" w:sz="4" w:space="0" w:color="auto"/>
              <w:bottom w:val="single" w:sz="4" w:space="0" w:color="auto"/>
              <w:right w:val="nil"/>
            </w:tcBorders>
            <w:vAlign w:val="center"/>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1 524</w:t>
            </w:r>
          </w:p>
        </w:tc>
        <w:tc>
          <w:tcPr>
            <w:tcW w:w="1165" w:type="dxa"/>
            <w:tcBorders>
              <w:top w:val="single" w:sz="4" w:space="0" w:color="auto"/>
              <w:left w:val="single" w:sz="12" w:space="0" w:color="auto"/>
              <w:bottom w:val="single" w:sz="4" w:space="0" w:color="auto"/>
              <w:right w:val="single" w:sz="8" w:space="0" w:color="auto"/>
            </w:tcBorders>
            <w:vAlign w:val="center"/>
          </w:tcPr>
          <w:p w:rsidR="00DC5CF9" w:rsidRPr="007C76CA" w:rsidRDefault="00DC5CF9" w:rsidP="00DC5CF9">
            <w:pPr>
              <w:ind w:left="-211" w:firstLine="211"/>
              <w:jc w:val="center"/>
              <w:rPr>
                <w:rFonts w:asciiTheme="minorHAnsi" w:hAnsiTheme="minorHAnsi" w:cstheme="minorHAnsi"/>
                <w:sz w:val="24"/>
                <w:szCs w:val="24"/>
              </w:rPr>
            </w:pPr>
            <w:r>
              <w:rPr>
                <w:rFonts w:asciiTheme="minorHAnsi" w:hAnsiTheme="minorHAnsi" w:cstheme="minorHAnsi"/>
                <w:sz w:val="24"/>
                <w:szCs w:val="24"/>
              </w:rPr>
              <w:t>-363</w:t>
            </w:r>
          </w:p>
        </w:tc>
        <w:tc>
          <w:tcPr>
            <w:tcW w:w="820" w:type="dxa"/>
            <w:tcBorders>
              <w:top w:val="single" w:sz="4" w:space="0" w:color="auto"/>
              <w:left w:val="single" w:sz="8" w:space="0" w:color="auto"/>
              <w:bottom w:val="single" w:sz="4" w:space="0" w:color="auto"/>
            </w:tcBorders>
            <w:vAlign w:val="center"/>
          </w:tcPr>
          <w:p w:rsidR="00DC5CF9" w:rsidRPr="007C76CA" w:rsidRDefault="00DC5CF9" w:rsidP="00DC5CF9">
            <w:pPr>
              <w:ind w:left="-211" w:firstLine="211"/>
              <w:jc w:val="center"/>
              <w:rPr>
                <w:rFonts w:asciiTheme="minorHAnsi" w:hAnsiTheme="minorHAnsi" w:cstheme="minorHAnsi"/>
                <w:sz w:val="24"/>
                <w:szCs w:val="24"/>
              </w:rPr>
            </w:pPr>
            <w:r>
              <w:rPr>
                <w:rFonts w:asciiTheme="minorHAnsi" w:hAnsiTheme="minorHAnsi" w:cstheme="minorHAnsi"/>
                <w:sz w:val="24"/>
                <w:szCs w:val="24"/>
              </w:rPr>
              <w:t>80,8</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r w:rsidRPr="007C76CA">
              <w:rPr>
                <w:rFonts w:asciiTheme="minorHAnsi" w:hAnsiTheme="minorHAnsi" w:cstheme="minorHAnsi"/>
                <w:color w:val="auto"/>
              </w:rPr>
              <w:t xml:space="preserve"> </w:t>
            </w:r>
            <w:r>
              <w:rPr>
                <w:rFonts w:asciiTheme="minorHAnsi" w:hAnsiTheme="minorHAnsi" w:cstheme="minorHAnsi"/>
                <w:color w:val="auto"/>
              </w:rPr>
              <w:t>r</w:t>
            </w:r>
            <w:r w:rsidRPr="007C76CA">
              <w:rPr>
                <w:rFonts w:asciiTheme="minorHAnsi" w:hAnsiTheme="minorHAnsi" w:cstheme="minorHAnsi"/>
                <w:color w:val="auto"/>
              </w:rPr>
              <w:t>ekvalifikace</w:t>
            </w:r>
            <w:r>
              <w:rPr>
                <w:rFonts w:asciiTheme="minorHAnsi" w:hAnsiTheme="minorHAnsi" w:cstheme="minorHAnsi"/>
                <w:color w:val="auto"/>
              </w:rPr>
              <w:t xml:space="preserve"> a</w:t>
            </w:r>
            <w:r w:rsidRPr="007C76CA">
              <w:rPr>
                <w:rFonts w:asciiTheme="minorHAnsi" w:hAnsiTheme="minorHAnsi" w:cstheme="minorHAnsi"/>
                <w:color w:val="auto"/>
              </w:rPr>
              <w:t xml:space="preserve"> </w:t>
            </w:r>
            <w:r w:rsidRPr="007C76CA">
              <w:rPr>
                <w:rFonts w:asciiTheme="minorHAnsi" w:hAnsiTheme="minorHAnsi" w:cstheme="minorHAnsi"/>
                <w:bCs/>
                <w:color w:val="auto"/>
              </w:rPr>
              <w:t xml:space="preserve">poradenství </w:t>
            </w:r>
          </w:p>
          <w:p w:rsidR="00DC5CF9" w:rsidRPr="007C76CA" w:rsidRDefault="00DC5CF9" w:rsidP="00DC5CF9">
            <w:pPr>
              <w:pStyle w:val="Texttabulky"/>
              <w:ind w:left="-211" w:firstLine="211"/>
              <w:rPr>
                <w:rFonts w:asciiTheme="minorHAnsi" w:hAnsiTheme="minorHAnsi" w:cstheme="minorHAnsi"/>
                <w:color w:val="auto"/>
              </w:rPr>
            </w:pPr>
            <w:r w:rsidRPr="007C76CA">
              <w:rPr>
                <w:rFonts w:asciiTheme="minorHAnsi" w:hAnsiTheme="minorHAnsi" w:cstheme="minorHAnsi"/>
                <w:bCs/>
                <w:color w:val="auto"/>
              </w:rPr>
              <w:t xml:space="preserve"> </w:t>
            </w:r>
            <w:r>
              <w:rPr>
                <w:rFonts w:asciiTheme="minorHAnsi" w:hAnsiTheme="minorHAnsi" w:cstheme="minorHAnsi"/>
                <w:bCs/>
                <w:color w:val="auto"/>
              </w:rPr>
              <w:t>NIP -</w:t>
            </w:r>
            <w:r w:rsidRPr="007C76CA">
              <w:rPr>
                <w:rFonts w:asciiTheme="minorHAnsi" w:hAnsiTheme="minorHAnsi" w:cstheme="minorHAnsi"/>
                <w:bCs/>
                <w:color w:val="auto"/>
              </w:rPr>
              <w:t xml:space="preserve"> ESF-OP LZZ</w:t>
            </w:r>
            <w:r>
              <w:rPr>
                <w:rFonts w:asciiTheme="minorHAnsi" w:hAnsiTheme="minorHAnsi" w:cstheme="minorHAnsi"/>
                <w:bCs/>
                <w:color w:val="auto"/>
              </w:rPr>
              <w:t xml:space="preserve"> (VSPR!-rekv. + VDTP)</w:t>
            </w:r>
          </w:p>
        </w:tc>
        <w:tc>
          <w:tcPr>
            <w:tcW w:w="998" w:type="dxa"/>
            <w:tcBorders>
              <w:top w:val="single" w:sz="4" w:space="0" w:color="auto"/>
              <w:left w:val="single" w:sz="12" w:space="0" w:color="auto"/>
              <w:bottom w:val="single" w:sz="4" w:space="0" w:color="auto"/>
            </w:tcBorders>
            <w:shd w:val="clear" w:color="auto" w:fill="FFFFFF"/>
            <w:vAlign w:val="center"/>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49 776</w:t>
            </w:r>
          </w:p>
        </w:tc>
        <w:tc>
          <w:tcPr>
            <w:tcW w:w="998" w:type="dxa"/>
            <w:tcBorders>
              <w:top w:val="single" w:sz="4" w:space="0" w:color="auto"/>
              <w:bottom w:val="single" w:sz="4" w:space="0" w:color="auto"/>
              <w:right w:val="nil"/>
            </w:tcBorders>
            <w:vAlign w:val="center"/>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39 214</w:t>
            </w:r>
          </w:p>
        </w:tc>
        <w:tc>
          <w:tcPr>
            <w:tcW w:w="1165" w:type="dxa"/>
            <w:tcBorders>
              <w:top w:val="single" w:sz="4" w:space="0" w:color="auto"/>
              <w:left w:val="single" w:sz="12" w:space="0" w:color="auto"/>
              <w:bottom w:val="single" w:sz="4" w:space="0" w:color="auto"/>
              <w:right w:val="single" w:sz="8" w:space="0" w:color="auto"/>
            </w:tcBorders>
            <w:vAlign w:val="center"/>
          </w:tcPr>
          <w:p w:rsidR="00DC5CF9" w:rsidRPr="007C76CA" w:rsidRDefault="00DC5CF9" w:rsidP="00DC5CF9">
            <w:pPr>
              <w:ind w:left="-211" w:firstLine="211"/>
              <w:jc w:val="center"/>
              <w:rPr>
                <w:rFonts w:asciiTheme="minorHAnsi" w:hAnsiTheme="minorHAnsi" w:cstheme="minorHAnsi"/>
                <w:sz w:val="24"/>
                <w:szCs w:val="24"/>
              </w:rPr>
            </w:pPr>
            <w:r>
              <w:rPr>
                <w:rFonts w:asciiTheme="minorHAnsi" w:hAnsiTheme="minorHAnsi" w:cstheme="minorHAnsi"/>
                <w:sz w:val="24"/>
                <w:szCs w:val="24"/>
              </w:rPr>
              <w:t>-10 562</w:t>
            </w:r>
          </w:p>
        </w:tc>
        <w:tc>
          <w:tcPr>
            <w:tcW w:w="820" w:type="dxa"/>
            <w:tcBorders>
              <w:top w:val="single" w:sz="4" w:space="0" w:color="auto"/>
              <w:left w:val="single" w:sz="8" w:space="0" w:color="auto"/>
              <w:bottom w:val="single" w:sz="4" w:space="0" w:color="auto"/>
            </w:tcBorders>
            <w:vAlign w:val="center"/>
          </w:tcPr>
          <w:p w:rsidR="00DC5CF9" w:rsidRPr="007C76CA" w:rsidRDefault="00DC5CF9" w:rsidP="00DC5CF9">
            <w:pPr>
              <w:ind w:left="-211" w:firstLine="211"/>
              <w:jc w:val="center"/>
              <w:rPr>
                <w:rFonts w:asciiTheme="minorHAnsi" w:hAnsiTheme="minorHAnsi" w:cstheme="minorHAnsi"/>
                <w:sz w:val="24"/>
                <w:szCs w:val="24"/>
              </w:rPr>
            </w:pPr>
            <w:r>
              <w:rPr>
                <w:rFonts w:asciiTheme="minorHAnsi" w:hAnsiTheme="minorHAnsi" w:cstheme="minorHAnsi"/>
                <w:sz w:val="24"/>
                <w:szCs w:val="24"/>
              </w:rPr>
              <w:t>78,8</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040044" w:rsidRDefault="00DC5CF9" w:rsidP="00DC5CF9">
            <w:pPr>
              <w:pStyle w:val="Texttabulky"/>
              <w:ind w:left="-211" w:firstLine="211"/>
              <w:rPr>
                <w:rFonts w:asciiTheme="minorHAnsi" w:hAnsiTheme="minorHAnsi" w:cstheme="minorHAnsi"/>
                <w:color w:val="auto"/>
              </w:rPr>
            </w:pPr>
            <w:r w:rsidRPr="007C76CA">
              <w:rPr>
                <w:rFonts w:asciiTheme="minorHAnsi" w:hAnsiTheme="minorHAnsi" w:cstheme="minorHAnsi"/>
                <w:bCs/>
                <w:color w:val="auto"/>
              </w:rPr>
              <w:t xml:space="preserve"> CHPM-SVČ osob se ZP</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430</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0</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-430</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0,0</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color w:val="auto"/>
              </w:rPr>
            </w:pPr>
            <w:r w:rsidRPr="007C76CA">
              <w:rPr>
                <w:rFonts w:asciiTheme="minorHAnsi" w:hAnsiTheme="minorHAnsi" w:cstheme="minorHAnsi"/>
                <w:color w:val="auto"/>
              </w:rPr>
              <w:t xml:space="preserve"> CHPM </w:t>
            </w:r>
            <w:r>
              <w:rPr>
                <w:rFonts w:asciiTheme="minorHAnsi" w:hAnsiTheme="minorHAnsi" w:cstheme="minorHAnsi"/>
                <w:color w:val="auto"/>
              </w:rPr>
              <w:t>zříz</w:t>
            </w:r>
            <w:r w:rsidRPr="007C76CA">
              <w:rPr>
                <w:rFonts w:asciiTheme="minorHAnsi" w:hAnsiTheme="minorHAnsi" w:cstheme="minorHAnsi"/>
                <w:color w:val="auto"/>
              </w:rPr>
              <w:t>ená zaměstnavateli</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7 973</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22 402</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+14 429</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281,0</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r w:rsidRPr="007C76CA">
              <w:rPr>
                <w:rFonts w:asciiTheme="minorHAnsi" w:hAnsiTheme="minorHAnsi" w:cstheme="minorHAnsi"/>
                <w:color w:val="auto"/>
              </w:rPr>
              <w:t xml:space="preserve"> p</w:t>
            </w:r>
            <w:r w:rsidRPr="007C76CA">
              <w:rPr>
                <w:rFonts w:asciiTheme="minorHAnsi" w:hAnsiTheme="minorHAnsi" w:cstheme="minorHAnsi"/>
                <w:bCs/>
                <w:color w:val="auto"/>
              </w:rPr>
              <w:t>řísp. na provoz CHPD, CHPM a CHPM-SVČ</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91</w:t>
            </w:r>
          </w:p>
        </w:tc>
        <w:tc>
          <w:tcPr>
            <w:tcW w:w="998" w:type="dxa"/>
            <w:tcBorders>
              <w:top w:val="single" w:sz="4" w:space="0" w:color="auto"/>
              <w:bottom w:val="single" w:sz="4" w:space="0" w:color="auto"/>
              <w:right w:val="nil"/>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146</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+55</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160,4</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rPr>
            </w:pPr>
            <w:r w:rsidRPr="007C76CA">
              <w:rPr>
                <w:rFonts w:asciiTheme="minorHAnsi" w:hAnsiTheme="minorHAnsi" w:cstheme="minorHAnsi"/>
                <w:bCs/>
                <w:color w:val="auto"/>
                <w:szCs w:val="24"/>
              </w:rPr>
              <w:t xml:space="preserve"> překlenovací příspěvek</w:t>
            </w:r>
          </w:p>
        </w:tc>
        <w:tc>
          <w:tcPr>
            <w:tcW w:w="998" w:type="dxa"/>
            <w:tcBorders>
              <w:top w:val="single" w:sz="4" w:space="0" w:color="auto"/>
              <w:left w:val="single" w:sz="12" w:space="0" w:color="auto"/>
              <w:bottom w:val="single" w:sz="4" w:space="0" w:color="auto"/>
            </w:tcBorders>
            <w:shd w:val="clear" w:color="auto" w:fill="auto"/>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1 457</w:t>
            </w:r>
          </w:p>
        </w:tc>
        <w:tc>
          <w:tcPr>
            <w:tcW w:w="998" w:type="dxa"/>
            <w:tcBorders>
              <w:top w:val="single" w:sz="4" w:space="0" w:color="auto"/>
              <w:bottom w:val="single" w:sz="4" w:space="0" w:color="auto"/>
              <w:right w:val="nil"/>
            </w:tcBorders>
            <w:shd w:val="clear" w:color="auto" w:fill="FFFFFF" w:themeFill="background1"/>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1 462</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+5</w:t>
            </w:r>
          </w:p>
        </w:tc>
        <w:tc>
          <w:tcPr>
            <w:tcW w:w="820" w:type="dxa"/>
            <w:tcBorders>
              <w:top w:val="single" w:sz="4" w:space="0" w:color="auto"/>
              <w:left w:val="single" w:sz="8"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Pr>
                <w:rFonts w:asciiTheme="minorHAnsi" w:hAnsiTheme="minorHAnsi" w:cstheme="minorHAnsi"/>
                <w:sz w:val="24"/>
                <w:szCs w:val="24"/>
              </w:rPr>
              <w:t>100,3</w:t>
            </w:r>
          </w:p>
        </w:tc>
      </w:tr>
      <w:tr w:rsidR="00DC5CF9" w:rsidRPr="007C76CA" w:rsidTr="00DC5CF9">
        <w:trPr>
          <w:trHeight w:val="227"/>
        </w:trPr>
        <w:tc>
          <w:tcPr>
            <w:tcW w:w="5429" w:type="dxa"/>
            <w:tcBorders>
              <w:top w:val="single" w:sz="4" w:space="0" w:color="auto"/>
              <w:bottom w:val="single" w:sz="4" w:space="0" w:color="auto"/>
              <w:right w:val="nil"/>
            </w:tcBorders>
            <w:vAlign w:val="center"/>
          </w:tcPr>
          <w:p w:rsidR="00DC5CF9" w:rsidRPr="007C76CA" w:rsidRDefault="00DC5CF9" w:rsidP="00DC5CF9">
            <w:pPr>
              <w:pStyle w:val="Texttabulky"/>
              <w:ind w:left="-211" w:firstLine="211"/>
              <w:rPr>
                <w:rFonts w:asciiTheme="minorHAnsi" w:hAnsiTheme="minorHAnsi" w:cstheme="minorHAnsi"/>
                <w:bCs/>
                <w:color w:val="auto"/>
                <w:szCs w:val="24"/>
              </w:rPr>
            </w:pPr>
            <w:r w:rsidRPr="007C76CA">
              <w:rPr>
                <w:rFonts w:asciiTheme="minorHAnsi" w:hAnsiTheme="minorHAnsi" w:cstheme="minorHAnsi"/>
                <w:bCs/>
                <w:color w:val="auto"/>
                <w:szCs w:val="24"/>
              </w:rPr>
              <w:t xml:space="preserve"> ESF-OP LZZ (RIP)</w:t>
            </w:r>
          </w:p>
        </w:tc>
        <w:tc>
          <w:tcPr>
            <w:tcW w:w="998" w:type="dxa"/>
            <w:tcBorders>
              <w:top w:val="single" w:sz="4" w:space="0" w:color="auto"/>
              <w:left w:val="single" w:sz="12" w:space="0" w:color="auto"/>
              <w:bottom w:val="single" w:sz="4" w:space="0" w:color="auto"/>
            </w:tcBorders>
            <w:vAlign w:val="bottom"/>
          </w:tcPr>
          <w:p w:rsidR="00DC5CF9" w:rsidRPr="007C76CA" w:rsidRDefault="00DC5CF9" w:rsidP="00DC5CF9">
            <w:pPr>
              <w:jc w:val="center"/>
              <w:rPr>
                <w:rFonts w:asciiTheme="minorHAnsi" w:hAnsiTheme="minorHAnsi" w:cstheme="minorHAnsi"/>
                <w:sz w:val="24"/>
                <w:szCs w:val="24"/>
              </w:rPr>
            </w:pPr>
            <w:r w:rsidRPr="007C76CA">
              <w:rPr>
                <w:rFonts w:asciiTheme="minorHAnsi" w:hAnsiTheme="minorHAnsi" w:cstheme="minorHAnsi"/>
                <w:sz w:val="24"/>
                <w:szCs w:val="24"/>
              </w:rPr>
              <w:t>62 809</w:t>
            </w:r>
          </w:p>
        </w:tc>
        <w:tc>
          <w:tcPr>
            <w:tcW w:w="998" w:type="dxa"/>
            <w:tcBorders>
              <w:top w:val="single" w:sz="4" w:space="0" w:color="auto"/>
              <w:bottom w:val="single" w:sz="4" w:space="0" w:color="auto"/>
              <w:right w:val="nil"/>
            </w:tcBorders>
            <w:vAlign w:val="bottom"/>
          </w:tcPr>
          <w:p w:rsidR="00DC5CF9" w:rsidRPr="00FC2582" w:rsidRDefault="00DC5CF9" w:rsidP="00DC5CF9">
            <w:pPr>
              <w:jc w:val="center"/>
              <w:rPr>
                <w:rFonts w:asciiTheme="minorHAnsi" w:hAnsiTheme="minorHAnsi" w:cstheme="minorHAnsi"/>
                <w:sz w:val="24"/>
                <w:szCs w:val="24"/>
              </w:rPr>
            </w:pPr>
            <w:r w:rsidRPr="00FC2582">
              <w:rPr>
                <w:rFonts w:asciiTheme="minorHAnsi" w:hAnsiTheme="minorHAnsi" w:cstheme="minorHAnsi"/>
                <w:sz w:val="24"/>
                <w:szCs w:val="24"/>
              </w:rPr>
              <w:t>52 574</w:t>
            </w:r>
          </w:p>
        </w:tc>
        <w:tc>
          <w:tcPr>
            <w:tcW w:w="1165" w:type="dxa"/>
            <w:tcBorders>
              <w:top w:val="single" w:sz="4" w:space="0" w:color="auto"/>
              <w:left w:val="single" w:sz="12" w:space="0" w:color="auto"/>
              <w:bottom w:val="single" w:sz="4" w:space="0" w:color="auto"/>
              <w:right w:val="single" w:sz="8" w:space="0" w:color="auto"/>
            </w:tcBorders>
            <w:vAlign w:val="bottom"/>
          </w:tcPr>
          <w:p w:rsidR="00DC5CF9" w:rsidRPr="00FC2582" w:rsidRDefault="00DC5CF9" w:rsidP="00DC5CF9">
            <w:pPr>
              <w:jc w:val="center"/>
              <w:rPr>
                <w:rFonts w:asciiTheme="minorHAnsi" w:hAnsiTheme="minorHAnsi" w:cstheme="minorHAnsi"/>
                <w:sz w:val="24"/>
                <w:szCs w:val="24"/>
              </w:rPr>
            </w:pPr>
            <w:r w:rsidRPr="00FC2582">
              <w:rPr>
                <w:rFonts w:asciiTheme="minorHAnsi" w:hAnsiTheme="minorHAnsi" w:cstheme="minorHAnsi"/>
                <w:sz w:val="24"/>
                <w:szCs w:val="24"/>
              </w:rPr>
              <w:t>-10 235</w:t>
            </w:r>
          </w:p>
        </w:tc>
        <w:tc>
          <w:tcPr>
            <w:tcW w:w="820" w:type="dxa"/>
            <w:tcBorders>
              <w:top w:val="single" w:sz="4" w:space="0" w:color="auto"/>
              <w:left w:val="single" w:sz="8" w:space="0" w:color="auto"/>
              <w:bottom w:val="single" w:sz="4" w:space="0" w:color="auto"/>
            </w:tcBorders>
            <w:vAlign w:val="bottom"/>
          </w:tcPr>
          <w:p w:rsidR="00DC5CF9" w:rsidRPr="00FC2582" w:rsidRDefault="00DC5CF9" w:rsidP="00DC5CF9">
            <w:pPr>
              <w:jc w:val="center"/>
              <w:rPr>
                <w:rFonts w:asciiTheme="minorHAnsi" w:hAnsiTheme="minorHAnsi" w:cstheme="minorHAnsi"/>
                <w:sz w:val="24"/>
                <w:szCs w:val="24"/>
              </w:rPr>
            </w:pPr>
            <w:r w:rsidRPr="00FC2582">
              <w:rPr>
                <w:rFonts w:asciiTheme="minorHAnsi" w:hAnsiTheme="minorHAnsi" w:cstheme="minorHAnsi"/>
                <w:sz w:val="24"/>
                <w:szCs w:val="24"/>
              </w:rPr>
              <w:t>83,7</w:t>
            </w:r>
          </w:p>
        </w:tc>
      </w:tr>
      <w:tr w:rsidR="00DC5CF9" w:rsidRPr="007C76CA" w:rsidTr="00DC5CF9">
        <w:trPr>
          <w:trHeight w:val="227"/>
        </w:trPr>
        <w:tc>
          <w:tcPr>
            <w:tcW w:w="5429" w:type="dxa"/>
            <w:tcBorders>
              <w:top w:val="single" w:sz="12" w:space="0" w:color="auto"/>
              <w:bottom w:val="single" w:sz="12" w:space="0" w:color="auto"/>
              <w:right w:val="nil"/>
            </w:tcBorders>
            <w:vAlign w:val="center"/>
          </w:tcPr>
          <w:p w:rsidR="00DC5CF9" w:rsidRPr="007C76CA" w:rsidRDefault="00DC5CF9" w:rsidP="00DC5CF9">
            <w:pPr>
              <w:pStyle w:val="Texttabulky"/>
              <w:ind w:left="-211" w:firstLine="211"/>
              <w:rPr>
                <w:rFonts w:asciiTheme="minorHAnsi" w:hAnsiTheme="minorHAnsi" w:cstheme="minorHAnsi"/>
                <w:b/>
                <w:color w:val="auto"/>
              </w:rPr>
            </w:pPr>
            <w:r w:rsidRPr="007C76CA">
              <w:rPr>
                <w:rFonts w:asciiTheme="minorHAnsi" w:hAnsiTheme="minorHAnsi" w:cstheme="minorHAnsi"/>
                <w:b/>
                <w:color w:val="auto"/>
              </w:rPr>
              <w:t xml:space="preserve"> </w:t>
            </w:r>
            <w:r w:rsidRPr="007C76CA">
              <w:rPr>
                <w:rFonts w:asciiTheme="minorHAnsi" w:hAnsiTheme="minorHAnsi" w:cstheme="minorHAnsi"/>
                <w:b/>
                <w:bCs/>
                <w:color w:val="auto"/>
              </w:rPr>
              <w:t xml:space="preserve">celkem APZ </w:t>
            </w:r>
          </w:p>
        </w:tc>
        <w:tc>
          <w:tcPr>
            <w:tcW w:w="998" w:type="dxa"/>
            <w:tcBorders>
              <w:top w:val="single" w:sz="12" w:space="0" w:color="auto"/>
              <w:left w:val="single" w:sz="12" w:space="0" w:color="auto"/>
              <w:bottom w:val="single" w:sz="12" w:space="0" w:color="auto"/>
            </w:tcBorders>
            <w:vAlign w:val="bottom"/>
          </w:tcPr>
          <w:p w:rsidR="00DC5CF9" w:rsidRPr="007C76CA" w:rsidRDefault="00DC5CF9" w:rsidP="00DC5CF9">
            <w:pPr>
              <w:jc w:val="center"/>
              <w:rPr>
                <w:rFonts w:asciiTheme="minorHAnsi" w:hAnsiTheme="minorHAnsi" w:cstheme="minorHAnsi"/>
                <w:b/>
                <w:sz w:val="24"/>
                <w:szCs w:val="24"/>
              </w:rPr>
            </w:pPr>
            <w:r w:rsidRPr="007C76CA">
              <w:rPr>
                <w:rFonts w:asciiTheme="minorHAnsi" w:hAnsiTheme="minorHAnsi" w:cstheme="minorHAnsi"/>
                <w:b/>
                <w:sz w:val="24"/>
                <w:szCs w:val="24"/>
              </w:rPr>
              <w:t>634 100</w:t>
            </w:r>
          </w:p>
        </w:tc>
        <w:tc>
          <w:tcPr>
            <w:tcW w:w="998" w:type="dxa"/>
            <w:tcBorders>
              <w:top w:val="single" w:sz="12" w:space="0" w:color="auto"/>
              <w:bottom w:val="single" w:sz="12" w:space="0" w:color="auto"/>
              <w:right w:val="nil"/>
            </w:tcBorders>
            <w:vAlign w:val="bottom"/>
          </w:tcPr>
          <w:p w:rsidR="00DC5CF9" w:rsidRPr="00FC2582" w:rsidRDefault="00DC5CF9" w:rsidP="00DC5CF9">
            <w:pPr>
              <w:jc w:val="center"/>
              <w:rPr>
                <w:rFonts w:asciiTheme="minorHAnsi" w:hAnsiTheme="minorHAnsi" w:cstheme="minorHAnsi"/>
                <w:b/>
                <w:sz w:val="24"/>
                <w:szCs w:val="24"/>
              </w:rPr>
            </w:pPr>
            <w:r>
              <w:rPr>
                <w:rFonts w:asciiTheme="minorHAnsi" w:hAnsiTheme="minorHAnsi" w:cstheme="minorHAnsi"/>
                <w:b/>
                <w:sz w:val="24"/>
                <w:szCs w:val="24"/>
              </w:rPr>
              <w:t>825</w:t>
            </w:r>
            <w:r w:rsidRPr="00FC2582">
              <w:rPr>
                <w:rFonts w:asciiTheme="minorHAnsi" w:hAnsiTheme="minorHAnsi" w:cstheme="minorHAnsi"/>
                <w:b/>
                <w:sz w:val="24"/>
                <w:szCs w:val="24"/>
              </w:rPr>
              <w:t xml:space="preserve"> </w:t>
            </w:r>
            <w:r>
              <w:rPr>
                <w:rFonts w:asciiTheme="minorHAnsi" w:hAnsiTheme="minorHAnsi" w:cstheme="minorHAnsi"/>
                <w:b/>
                <w:sz w:val="24"/>
                <w:szCs w:val="24"/>
              </w:rPr>
              <w:t>98</w:t>
            </w:r>
            <w:r w:rsidRPr="00FC2582">
              <w:rPr>
                <w:rFonts w:asciiTheme="minorHAnsi" w:hAnsiTheme="minorHAnsi" w:cstheme="minorHAnsi"/>
                <w:b/>
                <w:sz w:val="24"/>
                <w:szCs w:val="24"/>
              </w:rPr>
              <w:t>5</w:t>
            </w:r>
          </w:p>
        </w:tc>
        <w:tc>
          <w:tcPr>
            <w:tcW w:w="1165" w:type="dxa"/>
            <w:tcBorders>
              <w:top w:val="single" w:sz="12" w:space="0" w:color="auto"/>
              <w:left w:val="single" w:sz="12" w:space="0" w:color="auto"/>
              <w:bottom w:val="single" w:sz="12" w:space="0" w:color="auto"/>
              <w:right w:val="single" w:sz="8" w:space="0" w:color="auto"/>
            </w:tcBorders>
            <w:shd w:val="clear" w:color="auto" w:fill="auto"/>
            <w:vAlign w:val="bottom"/>
          </w:tcPr>
          <w:p w:rsidR="00DC5CF9" w:rsidRPr="00FC2582" w:rsidRDefault="00DC5CF9" w:rsidP="00DC5CF9">
            <w:pPr>
              <w:jc w:val="center"/>
              <w:rPr>
                <w:rFonts w:asciiTheme="minorHAnsi" w:hAnsiTheme="minorHAnsi" w:cstheme="minorHAnsi"/>
                <w:b/>
                <w:sz w:val="24"/>
                <w:szCs w:val="24"/>
              </w:rPr>
            </w:pPr>
            <w:r w:rsidRPr="00FC2582">
              <w:rPr>
                <w:rFonts w:asciiTheme="minorHAnsi" w:hAnsiTheme="minorHAnsi" w:cstheme="minorHAnsi"/>
                <w:b/>
                <w:sz w:val="24"/>
                <w:szCs w:val="24"/>
              </w:rPr>
              <w:t>+1</w:t>
            </w:r>
            <w:r>
              <w:rPr>
                <w:rFonts w:asciiTheme="minorHAnsi" w:hAnsiTheme="minorHAnsi" w:cstheme="minorHAnsi"/>
                <w:b/>
                <w:sz w:val="24"/>
                <w:szCs w:val="24"/>
              </w:rPr>
              <w:t>91</w:t>
            </w:r>
            <w:r w:rsidRPr="00FC2582">
              <w:rPr>
                <w:rFonts w:asciiTheme="minorHAnsi" w:hAnsiTheme="minorHAnsi" w:cstheme="minorHAnsi"/>
                <w:b/>
                <w:sz w:val="24"/>
                <w:szCs w:val="24"/>
              </w:rPr>
              <w:t xml:space="preserve"> </w:t>
            </w:r>
            <w:r>
              <w:rPr>
                <w:rFonts w:asciiTheme="minorHAnsi" w:hAnsiTheme="minorHAnsi" w:cstheme="minorHAnsi"/>
                <w:b/>
                <w:sz w:val="24"/>
                <w:szCs w:val="24"/>
              </w:rPr>
              <w:t>885</w:t>
            </w:r>
          </w:p>
        </w:tc>
        <w:tc>
          <w:tcPr>
            <w:tcW w:w="820" w:type="dxa"/>
            <w:tcBorders>
              <w:top w:val="single" w:sz="12" w:space="0" w:color="auto"/>
              <w:left w:val="single" w:sz="8" w:space="0" w:color="auto"/>
              <w:bottom w:val="single" w:sz="12" w:space="0" w:color="auto"/>
            </w:tcBorders>
            <w:shd w:val="clear" w:color="auto" w:fill="auto"/>
            <w:vAlign w:val="bottom"/>
          </w:tcPr>
          <w:p w:rsidR="00DC5CF9" w:rsidRPr="00FC2582" w:rsidRDefault="00DC5CF9" w:rsidP="00DC5CF9">
            <w:pPr>
              <w:jc w:val="center"/>
              <w:rPr>
                <w:rFonts w:asciiTheme="minorHAnsi" w:hAnsiTheme="minorHAnsi" w:cstheme="minorHAnsi"/>
                <w:b/>
                <w:sz w:val="24"/>
                <w:szCs w:val="24"/>
              </w:rPr>
            </w:pPr>
            <w:r w:rsidRPr="00FC2582">
              <w:rPr>
                <w:rFonts w:asciiTheme="minorHAnsi" w:hAnsiTheme="minorHAnsi" w:cstheme="minorHAnsi"/>
                <w:b/>
                <w:sz w:val="24"/>
                <w:szCs w:val="24"/>
              </w:rPr>
              <w:t>1</w:t>
            </w:r>
            <w:r>
              <w:rPr>
                <w:rFonts w:asciiTheme="minorHAnsi" w:hAnsiTheme="minorHAnsi" w:cstheme="minorHAnsi"/>
                <w:b/>
                <w:sz w:val="24"/>
                <w:szCs w:val="24"/>
              </w:rPr>
              <w:t>30</w:t>
            </w:r>
            <w:r w:rsidRPr="00FC2582">
              <w:rPr>
                <w:rFonts w:asciiTheme="minorHAnsi" w:hAnsiTheme="minorHAnsi" w:cstheme="minorHAnsi"/>
                <w:b/>
                <w:sz w:val="24"/>
                <w:szCs w:val="24"/>
              </w:rPr>
              <w:t>,</w:t>
            </w:r>
            <w:r>
              <w:rPr>
                <w:rFonts w:asciiTheme="minorHAnsi" w:hAnsiTheme="minorHAnsi" w:cstheme="minorHAnsi"/>
                <w:b/>
                <w:sz w:val="24"/>
                <w:szCs w:val="24"/>
              </w:rPr>
              <w:t>3</w:t>
            </w:r>
          </w:p>
        </w:tc>
      </w:tr>
    </w:tbl>
    <w:p w:rsidR="00DC5CF9" w:rsidRPr="007C76CA" w:rsidRDefault="00DC5CF9" w:rsidP="00DC5CF9">
      <w:pPr>
        <w:ind w:firstLine="708"/>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Default="00DC5CF9" w:rsidP="00DC5CF9">
      <w:pPr>
        <w:ind w:left="142" w:hanging="142"/>
        <w:jc w:val="both"/>
        <w:rPr>
          <w:rFonts w:asciiTheme="minorHAnsi" w:hAnsiTheme="minorHAnsi" w:cstheme="minorHAnsi"/>
          <w:sz w:val="24"/>
          <w:szCs w:val="24"/>
        </w:rPr>
      </w:pPr>
    </w:p>
    <w:p w:rsidR="00DC5CF9" w:rsidRDefault="00DC5CF9" w:rsidP="00DC5CF9">
      <w:pPr>
        <w:ind w:left="142" w:hanging="142"/>
        <w:jc w:val="both"/>
        <w:rPr>
          <w:rFonts w:asciiTheme="minorHAnsi" w:hAnsiTheme="minorHAnsi" w:cstheme="minorHAnsi"/>
          <w:sz w:val="24"/>
          <w:szCs w:val="24"/>
        </w:rPr>
      </w:pPr>
    </w:p>
    <w:p w:rsidR="00DC5CF9" w:rsidRDefault="00DC5CF9" w:rsidP="00DC5CF9">
      <w:pPr>
        <w:ind w:left="142" w:hanging="142"/>
        <w:jc w:val="both"/>
        <w:rPr>
          <w:rFonts w:asciiTheme="minorHAnsi" w:hAnsiTheme="minorHAnsi" w:cstheme="minorHAnsi"/>
          <w:sz w:val="24"/>
          <w:szCs w:val="24"/>
        </w:rPr>
      </w:pPr>
    </w:p>
    <w:p w:rsidR="00DC5CF9" w:rsidRDefault="00DC5CF9" w:rsidP="00DC5CF9">
      <w:pPr>
        <w:jc w:val="both"/>
        <w:rPr>
          <w:rFonts w:asciiTheme="minorHAnsi" w:hAnsiTheme="minorHAnsi" w:cstheme="minorHAnsi"/>
          <w:sz w:val="24"/>
          <w:szCs w:val="24"/>
        </w:rPr>
      </w:pPr>
    </w:p>
    <w:p w:rsidR="00DC5CF9" w:rsidRPr="007C76CA" w:rsidRDefault="00DC5CF9" w:rsidP="00DC5CF9">
      <w:pPr>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Pr="007C76CA" w:rsidRDefault="00DC5CF9" w:rsidP="00DC5CF9">
      <w:pPr>
        <w:ind w:left="142" w:hanging="142"/>
        <w:jc w:val="both"/>
        <w:rPr>
          <w:rFonts w:asciiTheme="minorHAnsi" w:hAnsiTheme="minorHAnsi" w:cstheme="minorHAnsi"/>
          <w:sz w:val="24"/>
          <w:szCs w:val="24"/>
        </w:rPr>
      </w:pPr>
    </w:p>
    <w:p w:rsidR="00DC5CF9" w:rsidRDefault="00DC5CF9" w:rsidP="00DC5CF9">
      <w:pPr>
        <w:pStyle w:val="Zkladntext"/>
        <w:spacing w:after="0"/>
        <w:jc w:val="both"/>
        <w:rPr>
          <w:rFonts w:asciiTheme="minorHAnsi" w:hAnsiTheme="minorHAnsi" w:cstheme="minorHAnsi"/>
          <w:b/>
          <w:sz w:val="24"/>
          <w:szCs w:val="24"/>
        </w:rPr>
      </w:pPr>
    </w:p>
    <w:p w:rsidR="00DC5CF9" w:rsidRDefault="00DC5CF9" w:rsidP="00DC5CF9">
      <w:pPr>
        <w:pStyle w:val="Zkladntext"/>
        <w:spacing w:after="0"/>
        <w:jc w:val="both"/>
        <w:rPr>
          <w:rFonts w:asciiTheme="minorHAnsi" w:hAnsiTheme="minorHAnsi" w:cstheme="minorHAnsi"/>
          <w:b/>
          <w:sz w:val="24"/>
          <w:szCs w:val="24"/>
        </w:rPr>
      </w:pPr>
    </w:p>
    <w:p w:rsidR="00DC5CF9" w:rsidRPr="007C76CA" w:rsidRDefault="00DC5CF9" w:rsidP="00DC5CF9">
      <w:pPr>
        <w:pStyle w:val="Zkladntext"/>
        <w:spacing w:after="0"/>
        <w:jc w:val="both"/>
        <w:rPr>
          <w:rFonts w:asciiTheme="minorHAnsi" w:hAnsiTheme="minorHAnsi" w:cstheme="minorHAnsi"/>
          <w:sz w:val="24"/>
          <w:szCs w:val="24"/>
        </w:rPr>
      </w:pPr>
      <w:r w:rsidRPr="007C76CA">
        <w:rPr>
          <w:rFonts w:asciiTheme="minorHAnsi" w:hAnsiTheme="minorHAnsi" w:cstheme="minorHAnsi"/>
          <w:b/>
          <w:sz w:val="24"/>
          <w:szCs w:val="24"/>
        </w:rPr>
        <w:t>Tabulka V/2</w:t>
      </w:r>
      <w:r w:rsidRPr="007C76CA">
        <w:rPr>
          <w:rFonts w:asciiTheme="minorHAnsi" w:hAnsiTheme="minorHAnsi" w:cstheme="minorHAnsi"/>
          <w:sz w:val="24"/>
          <w:szCs w:val="24"/>
        </w:rPr>
        <w:t xml:space="preserve"> - Počet vytvořených pracovních míst a umístěných uchazečů/zájemců podle jednotlivých nástrojů APZ</w:t>
      </w:r>
    </w:p>
    <w:tbl>
      <w:tblPr>
        <w:tblW w:w="9371"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7"/>
        <w:gridCol w:w="992"/>
        <w:gridCol w:w="992"/>
        <w:gridCol w:w="567"/>
        <w:gridCol w:w="1134"/>
        <w:gridCol w:w="709"/>
      </w:tblGrid>
      <w:tr w:rsidR="00DC5CF9" w:rsidRPr="007C76CA" w:rsidTr="00DC5CF9">
        <w:trPr>
          <w:cantSplit/>
          <w:trHeight w:val="1800"/>
        </w:trPr>
        <w:tc>
          <w:tcPr>
            <w:tcW w:w="4977" w:type="dxa"/>
            <w:tcBorders>
              <w:bottom w:val="single" w:sz="12" w:space="0" w:color="auto"/>
              <w:right w:val="single" w:sz="12" w:space="0" w:color="auto"/>
            </w:tcBorders>
            <w:shd w:val="clear" w:color="auto" w:fill="auto"/>
            <w:vAlign w:val="center"/>
            <w:hideMark/>
          </w:tcPr>
          <w:p w:rsidR="00DC5CF9" w:rsidRPr="007C76CA" w:rsidRDefault="00DC5CF9" w:rsidP="00DC5CF9">
            <w:pPr>
              <w:jc w:val="center"/>
              <w:rPr>
                <w:rFonts w:asciiTheme="minorHAnsi" w:hAnsiTheme="minorHAnsi" w:cstheme="minorHAnsi"/>
                <w:b/>
                <w:color w:val="000000"/>
                <w:sz w:val="24"/>
                <w:szCs w:val="24"/>
              </w:rPr>
            </w:pPr>
            <w:r w:rsidRPr="007C76CA">
              <w:rPr>
                <w:rFonts w:asciiTheme="minorHAnsi" w:hAnsiTheme="minorHAnsi" w:cstheme="minorHAnsi"/>
                <w:b/>
                <w:color w:val="000000"/>
                <w:sz w:val="24"/>
                <w:szCs w:val="24"/>
              </w:rPr>
              <w:t>Nástroj APZ</w:t>
            </w:r>
          </w:p>
        </w:tc>
        <w:tc>
          <w:tcPr>
            <w:tcW w:w="992" w:type="dxa"/>
            <w:tcBorders>
              <w:top w:val="single" w:sz="12" w:space="0" w:color="auto"/>
              <w:left w:val="single" w:sz="12" w:space="0" w:color="auto"/>
              <w:bottom w:val="single" w:sz="12" w:space="0" w:color="auto"/>
            </w:tcBorders>
            <w:shd w:val="clear" w:color="auto" w:fill="auto"/>
            <w:textDirection w:val="btLr"/>
            <w:vAlign w:val="center"/>
            <w:hideMark/>
          </w:tcPr>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Počet vytvořených míst</w:t>
            </w:r>
          </w:p>
        </w:tc>
        <w:tc>
          <w:tcPr>
            <w:tcW w:w="992" w:type="dxa"/>
            <w:tcBorders>
              <w:bottom w:val="single" w:sz="12" w:space="0" w:color="auto"/>
            </w:tcBorders>
            <w:shd w:val="clear" w:color="000000" w:fill="FFFFFF"/>
            <w:textDirection w:val="btLr"/>
            <w:vAlign w:val="center"/>
            <w:hideMark/>
          </w:tcPr>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Počet umístěných/</w:t>
            </w:r>
          </w:p>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zařazených uchazečů/zájemců</w:t>
            </w:r>
          </w:p>
        </w:tc>
        <w:tc>
          <w:tcPr>
            <w:tcW w:w="567" w:type="dxa"/>
            <w:tcBorders>
              <w:bottom w:val="single" w:sz="12" w:space="0" w:color="auto"/>
            </w:tcBorders>
            <w:shd w:val="clear" w:color="000000" w:fill="FFFFFF"/>
            <w:textDirection w:val="btLr"/>
            <w:vAlign w:val="center"/>
            <w:hideMark/>
          </w:tcPr>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Z toho OZP</w:t>
            </w:r>
          </w:p>
        </w:tc>
        <w:tc>
          <w:tcPr>
            <w:tcW w:w="1134" w:type="dxa"/>
            <w:tcBorders>
              <w:bottom w:val="single" w:sz="12" w:space="0" w:color="auto"/>
            </w:tcBorders>
            <w:shd w:val="clear" w:color="000000" w:fill="FFFFFF"/>
            <w:textDirection w:val="btLr"/>
            <w:vAlign w:val="center"/>
            <w:hideMark/>
          </w:tcPr>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Schválený rozpočet</w:t>
            </w:r>
          </w:p>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 xml:space="preserve"> v tis. Kč</w:t>
            </w:r>
          </w:p>
        </w:tc>
        <w:tc>
          <w:tcPr>
            <w:tcW w:w="709" w:type="dxa"/>
            <w:tcBorders>
              <w:bottom w:val="single" w:sz="12" w:space="0" w:color="auto"/>
            </w:tcBorders>
            <w:shd w:val="clear" w:color="000000" w:fill="FFFFFF"/>
            <w:textDirection w:val="btLr"/>
            <w:vAlign w:val="center"/>
            <w:hideMark/>
          </w:tcPr>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Čerpání  rozpočtu</w:t>
            </w:r>
          </w:p>
          <w:p w:rsidR="00DC5CF9" w:rsidRPr="007C76CA" w:rsidRDefault="00DC5CF9" w:rsidP="00DC5CF9">
            <w:pPr>
              <w:jc w:val="center"/>
              <w:rPr>
                <w:rFonts w:asciiTheme="minorHAnsi" w:hAnsiTheme="minorHAnsi" w:cstheme="minorHAnsi"/>
                <w:b/>
                <w:bCs/>
                <w:color w:val="000000"/>
              </w:rPr>
            </w:pPr>
            <w:r w:rsidRPr="007C76CA">
              <w:rPr>
                <w:rFonts w:asciiTheme="minorHAnsi" w:hAnsiTheme="minorHAnsi" w:cstheme="minorHAnsi"/>
                <w:b/>
                <w:bCs/>
                <w:color w:val="000000"/>
              </w:rPr>
              <w:t xml:space="preserve"> v % </w:t>
            </w:r>
          </w:p>
        </w:tc>
      </w:tr>
      <w:tr w:rsidR="00DC5CF9" w:rsidRPr="007C76CA" w:rsidTr="00DC5CF9">
        <w:trPr>
          <w:trHeight w:val="360"/>
        </w:trPr>
        <w:tc>
          <w:tcPr>
            <w:tcW w:w="9371" w:type="dxa"/>
            <w:gridSpan w:val="6"/>
            <w:tcBorders>
              <w:top w:val="single" w:sz="12" w:space="0" w:color="auto"/>
              <w:bottom w:val="single" w:sz="12" w:space="0" w:color="auto"/>
            </w:tcBorders>
            <w:shd w:val="clear" w:color="000000" w:fill="BFBFBF"/>
            <w:vAlign w:val="center"/>
            <w:hideMark/>
          </w:tcPr>
          <w:p w:rsidR="00DC5CF9" w:rsidRPr="007C76CA" w:rsidRDefault="00DC5CF9" w:rsidP="00DC5CF9">
            <w:pPr>
              <w:jc w:val="center"/>
              <w:rPr>
                <w:rFonts w:asciiTheme="minorHAnsi" w:hAnsiTheme="minorHAnsi" w:cstheme="minorHAnsi"/>
                <w:b/>
                <w:bCs/>
                <w:color w:val="000000"/>
                <w:sz w:val="24"/>
                <w:szCs w:val="24"/>
              </w:rPr>
            </w:pPr>
            <w:r w:rsidRPr="007C76CA">
              <w:rPr>
                <w:rFonts w:asciiTheme="minorHAnsi" w:hAnsiTheme="minorHAnsi" w:cstheme="minorHAnsi"/>
                <w:b/>
                <w:bCs/>
                <w:color w:val="000000"/>
                <w:sz w:val="24"/>
                <w:szCs w:val="24"/>
              </w:rPr>
              <w:t>národní APZ</w:t>
            </w:r>
          </w:p>
        </w:tc>
      </w:tr>
      <w:tr w:rsidR="00DC5CF9" w:rsidRPr="007C76CA" w:rsidTr="00DC5CF9">
        <w:trPr>
          <w:trHeight w:val="360"/>
        </w:trPr>
        <w:tc>
          <w:tcPr>
            <w:tcW w:w="4977" w:type="dxa"/>
            <w:tcBorders>
              <w:top w:val="single" w:sz="12" w:space="0" w:color="auto"/>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VPP</w:t>
            </w:r>
          </w:p>
        </w:tc>
        <w:tc>
          <w:tcPr>
            <w:tcW w:w="992" w:type="dxa"/>
            <w:tcBorders>
              <w:top w:val="single" w:sz="12" w:space="0" w:color="auto"/>
              <w:left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226</w:t>
            </w:r>
          </w:p>
        </w:tc>
        <w:tc>
          <w:tcPr>
            <w:tcW w:w="992" w:type="dxa"/>
            <w:tcBorders>
              <w:top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233</w:t>
            </w:r>
          </w:p>
        </w:tc>
        <w:tc>
          <w:tcPr>
            <w:tcW w:w="567" w:type="dxa"/>
            <w:tcBorders>
              <w:top w:val="single" w:sz="12" w:space="0" w:color="auto"/>
            </w:tcBorders>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16</w:t>
            </w:r>
          </w:p>
        </w:tc>
        <w:tc>
          <w:tcPr>
            <w:tcW w:w="1134" w:type="dxa"/>
            <w:tcBorders>
              <w:top w:val="single" w:sz="12" w:space="0" w:color="auto"/>
            </w:tcBorders>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165 414</w:t>
            </w:r>
          </w:p>
        </w:tc>
        <w:tc>
          <w:tcPr>
            <w:tcW w:w="709" w:type="dxa"/>
            <w:tcBorders>
              <w:top w:val="single" w:sz="12" w:space="0" w:color="auto"/>
            </w:tcBorders>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6,3</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SÚPM zřízená zaměstnavatelem</w:t>
            </w:r>
          </w:p>
        </w:tc>
        <w:tc>
          <w:tcPr>
            <w:tcW w:w="992" w:type="dxa"/>
            <w:tcBorders>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48</w:t>
            </w: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49</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11</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9 312</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47,4</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SÚPM vyhrazená zaměstnavatelem</w:t>
            </w:r>
          </w:p>
        </w:tc>
        <w:tc>
          <w:tcPr>
            <w:tcW w:w="992" w:type="dxa"/>
            <w:tcBorders>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581</w:t>
            </w: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583</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29</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43 385</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53,4</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SÚPM - SVČ zřízená UoZ</w:t>
            </w:r>
          </w:p>
        </w:tc>
        <w:tc>
          <w:tcPr>
            <w:tcW w:w="992" w:type="dxa"/>
            <w:tcBorders>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333</w:t>
            </w: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333</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50 601</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52,6</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CHPM zřízená zaměstnavatelem</w:t>
            </w:r>
          </w:p>
        </w:tc>
        <w:tc>
          <w:tcPr>
            <w:tcW w:w="992" w:type="dxa"/>
            <w:tcBorders>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261</w:t>
            </w: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197</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197</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27 833</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80,5</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CHPM - SVČ osob se ZP</w:t>
            </w:r>
          </w:p>
        </w:tc>
        <w:tc>
          <w:tcPr>
            <w:tcW w:w="992" w:type="dxa"/>
            <w:tcBorders>
              <w:left w:val="single" w:sz="12" w:space="0" w:color="auto"/>
            </w:tcBorders>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CHPM, CHPM SVČ - provoz</w:t>
            </w:r>
          </w:p>
        </w:tc>
        <w:tc>
          <w:tcPr>
            <w:tcW w:w="992" w:type="dxa"/>
            <w:tcBorders>
              <w:left w:val="single" w:sz="12" w:space="0" w:color="auto"/>
            </w:tcBorders>
            <w:shd w:val="clear" w:color="auto" w:fill="A6A6A6" w:themeFill="background1" w:themeFillShade="A6"/>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sz w:val="24"/>
                <w:szCs w:val="24"/>
              </w:rPr>
            </w:pPr>
          </w:p>
        </w:tc>
        <w:tc>
          <w:tcPr>
            <w:tcW w:w="567"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sz w:val="24"/>
                <w:szCs w:val="24"/>
              </w:rPr>
            </w:pP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182</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80,5</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příspěvek na zapracování</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color w:val="000000"/>
                <w:sz w:val="24"/>
                <w:szCs w:val="24"/>
              </w:rPr>
            </w:pPr>
          </w:p>
        </w:tc>
        <w:tc>
          <w:tcPr>
            <w:tcW w:w="567"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color w:val="000000"/>
                <w:sz w:val="24"/>
                <w:szCs w:val="24"/>
              </w:rPr>
            </w:pP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překlenovací příspěvek</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sz w:val="24"/>
                <w:szCs w:val="24"/>
              </w:rPr>
            </w:pPr>
          </w:p>
        </w:tc>
        <w:tc>
          <w:tcPr>
            <w:tcW w:w="567" w:type="dxa"/>
            <w:shd w:val="clear" w:color="auto" w:fill="A6A6A6" w:themeFill="background1" w:themeFillShade="A6"/>
            <w:vAlign w:val="center"/>
          </w:tcPr>
          <w:p w:rsidR="00DC5CF9" w:rsidRPr="007C76CA" w:rsidRDefault="00DC5CF9" w:rsidP="00DC5CF9">
            <w:pPr>
              <w:jc w:val="center"/>
              <w:rPr>
                <w:rFonts w:asciiTheme="minorHAnsi" w:hAnsiTheme="minorHAnsi" w:cstheme="minorHAnsi"/>
                <w:sz w:val="24"/>
                <w:szCs w:val="24"/>
              </w:rPr>
            </w:pP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5 964</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24,5</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 xml:space="preserve">rekvalifikace </w:t>
            </w:r>
            <w:r>
              <w:rPr>
                <w:rFonts w:asciiTheme="minorHAnsi" w:hAnsiTheme="minorHAnsi" w:cstheme="minorHAnsi"/>
                <w:color w:val="000000"/>
                <w:sz w:val="24"/>
                <w:szCs w:val="24"/>
              </w:rPr>
              <w:t>(bez</w:t>
            </w:r>
            <w:r w:rsidRPr="007C76CA">
              <w:rPr>
                <w:rFonts w:asciiTheme="minorHAnsi" w:hAnsiTheme="minorHAnsi" w:cstheme="minorHAnsi"/>
                <w:color w:val="000000"/>
                <w:sz w:val="24"/>
                <w:szCs w:val="24"/>
              </w:rPr>
              <w:t xml:space="preserve"> zvolen</w:t>
            </w:r>
            <w:r>
              <w:rPr>
                <w:rFonts w:asciiTheme="minorHAnsi" w:hAnsiTheme="minorHAnsi" w:cstheme="minorHAnsi"/>
                <w:color w:val="000000"/>
                <w:sz w:val="24"/>
                <w:szCs w:val="24"/>
              </w:rPr>
              <w:t>ých)</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000000" w:fill="FFFFFF"/>
            <w:vAlign w:val="center"/>
          </w:tcPr>
          <w:p w:rsidR="00DC5CF9" w:rsidRPr="00EF471D" w:rsidRDefault="00DC5CF9" w:rsidP="00DC5CF9">
            <w:pPr>
              <w:jc w:val="center"/>
              <w:rPr>
                <w:rFonts w:asciiTheme="minorHAnsi" w:hAnsiTheme="minorHAnsi" w:cstheme="minorHAnsi"/>
                <w:bCs/>
                <w:sz w:val="24"/>
                <w:szCs w:val="24"/>
              </w:rPr>
            </w:pPr>
            <w:r>
              <w:rPr>
                <w:rFonts w:asciiTheme="minorHAnsi" w:hAnsiTheme="minorHAnsi" w:cstheme="minorHAnsi"/>
                <w:bCs/>
                <w:sz w:val="24"/>
                <w:szCs w:val="24"/>
              </w:rPr>
              <w:t>328</w:t>
            </w:r>
          </w:p>
        </w:tc>
        <w:tc>
          <w:tcPr>
            <w:tcW w:w="567" w:type="dxa"/>
            <w:shd w:val="clear" w:color="000000" w:fill="FFFFFF"/>
            <w:vAlign w:val="center"/>
          </w:tcPr>
          <w:p w:rsidR="00DC5CF9" w:rsidRPr="007C76CA" w:rsidRDefault="00DC5CF9" w:rsidP="00DC5CF9">
            <w:pPr>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2 283</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79,7</w:t>
            </w:r>
          </w:p>
        </w:tc>
      </w:tr>
      <w:tr w:rsidR="00DC5CF9" w:rsidRPr="007C76CA" w:rsidTr="00DC5CF9">
        <w:trPr>
          <w:trHeight w:val="360"/>
        </w:trPr>
        <w:tc>
          <w:tcPr>
            <w:tcW w:w="4977" w:type="dxa"/>
            <w:tcBorders>
              <w:right w:val="single" w:sz="12" w:space="0" w:color="auto"/>
            </w:tcBorders>
            <w:shd w:val="clear" w:color="auto" w:fill="auto"/>
            <w:vAlign w:val="center"/>
          </w:tcPr>
          <w:p w:rsidR="00DC5CF9" w:rsidRPr="007C76CA" w:rsidRDefault="00DC5CF9" w:rsidP="00DC5CF9">
            <w:pPr>
              <w:jc w:val="both"/>
              <w:rPr>
                <w:rFonts w:asciiTheme="minorHAnsi" w:hAnsiTheme="minorHAnsi" w:cstheme="minorHAnsi"/>
                <w:color w:val="000000"/>
                <w:sz w:val="24"/>
                <w:szCs w:val="24"/>
              </w:rPr>
            </w:pPr>
            <w:r>
              <w:rPr>
                <w:rFonts w:asciiTheme="minorHAnsi" w:hAnsiTheme="minorHAnsi" w:cstheme="minorHAnsi"/>
                <w:color w:val="000000"/>
                <w:sz w:val="24"/>
                <w:szCs w:val="24"/>
              </w:rPr>
              <w:t>zvolené rekvalifikace</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000000" w:fill="FFFFFF"/>
            <w:vAlign w:val="center"/>
          </w:tcPr>
          <w:p w:rsidR="00DC5CF9" w:rsidRPr="007C76CA" w:rsidRDefault="00DC5CF9" w:rsidP="00DC5CF9">
            <w:pPr>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1 227</w:t>
            </w:r>
          </w:p>
        </w:tc>
        <w:tc>
          <w:tcPr>
            <w:tcW w:w="567" w:type="dxa"/>
            <w:shd w:val="clear" w:color="000000" w:fill="FFFFFF"/>
            <w:vAlign w:val="center"/>
          </w:tcPr>
          <w:p w:rsidR="00DC5CF9" w:rsidRPr="007C76CA" w:rsidRDefault="00DC5CF9" w:rsidP="00DC5CF9">
            <w:pPr>
              <w:jc w:val="center"/>
              <w:rPr>
                <w:rFonts w:asciiTheme="minorHAnsi" w:hAnsiTheme="minorHAnsi" w:cstheme="minorHAnsi"/>
                <w:bCs/>
                <w:color w:val="000000"/>
                <w:sz w:val="24"/>
                <w:szCs w:val="24"/>
              </w:rPr>
            </w:pPr>
            <w:r>
              <w:rPr>
                <w:rFonts w:asciiTheme="minorHAnsi" w:hAnsiTheme="minorHAnsi" w:cstheme="minorHAnsi"/>
                <w:bCs/>
                <w:color w:val="000000"/>
                <w:sz w:val="24"/>
                <w:szCs w:val="24"/>
              </w:rPr>
              <w:t>29</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14 327</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79,7</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poradenské činnosti</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276</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2 075</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24,5</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jc w:val="both"/>
              <w:rPr>
                <w:rFonts w:asciiTheme="minorHAnsi" w:hAnsiTheme="minorHAnsi" w:cstheme="minorHAnsi"/>
                <w:color w:val="000000"/>
                <w:sz w:val="24"/>
                <w:szCs w:val="24"/>
              </w:rPr>
            </w:pPr>
            <w:r w:rsidRPr="007C76CA">
              <w:rPr>
                <w:rFonts w:asciiTheme="minorHAnsi" w:hAnsiTheme="minorHAnsi" w:cstheme="minorHAnsi"/>
                <w:color w:val="000000"/>
                <w:sz w:val="24"/>
                <w:szCs w:val="24"/>
              </w:rPr>
              <w:t>pracovní rehabilitace</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sz w:val="24"/>
                <w:szCs w:val="24"/>
              </w:rPr>
            </w:pPr>
          </w:p>
        </w:tc>
        <w:tc>
          <w:tcPr>
            <w:tcW w:w="992"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57</w:t>
            </w:r>
          </w:p>
        </w:tc>
        <w:tc>
          <w:tcPr>
            <w:tcW w:w="567"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57</w:t>
            </w:r>
          </w:p>
        </w:tc>
        <w:tc>
          <w:tcPr>
            <w:tcW w:w="1134"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1 262</w:t>
            </w:r>
          </w:p>
        </w:tc>
        <w:tc>
          <w:tcPr>
            <w:tcW w:w="709" w:type="dxa"/>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80,5</w:t>
            </w:r>
          </w:p>
        </w:tc>
      </w:tr>
      <w:tr w:rsidR="00DC5CF9" w:rsidRPr="007C76CA" w:rsidTr="00DC5CF9">
        <w:trPr>
          <w:trHeight w:val="360"/>
        </w:trPr>
        <w:tc>
          <w:tcPr>
            <w:tcW w:w="4977" w:type="dxa"/>
            <w:tcBorders>
              <w:top w:val="single" w:sz="12" w:space="0" w:color="auto"/>
              <w:bottom w:val="single" w:sz="12" w:space="0" w:color="auto"/>
              <w:right w:val="single" w:sz="12" w:space="0" w:color="auto"/>
            </w:tcBorders>
            <w:shd w:val="clear" w:color="000000" w:fill="FFC000"/>
            <w:vAlign w:val="center"/>
            <w:hideMark/>
          </w:tcPr>
          <w:p w:rsidR="00DC5CF9" w:rsidRPr="00C87174" w:rsidRDefault="00DC5CF9" w:rsidP="00DC5CF9">
            <w:pPr>
              <w:jc w:val="both"/>
              <w:rPr>
                <w:rFonts w:asciiTheme="minorHAnsi" w:hAnsiTheme="minorHAnsi" w:cstheme="minorHAnsi"/>
                <w:bCs/>
                <w:i/>
                <w:iCs/>
                <w:color w:val="000000"/>
                <w:sz w:val="24"/>
                <w:szCs w:val="24"/>
              </w:rPr>
            </w:pPr>
            <w:r w:rsidRPr="00C87174">
              <w:rPr>
                <w:rFonts w:asciiTheme="minorHAnsi" w:hAnsiTheme="minorHAnsi" w:cstheme="minorHAnsi"/>
                <w:bCs/>
                <w:i/>
                <w:iCs/>
                <w:color w:val="000000"/>
                <w:sz w:val="24"/>
                <w:szCs w:val="24"/>
              </w:rPr>
              <w:t>celkem národní APZ</w:t>
            </w:r>
          </w:p>
        </w:tc>
        <w:tc>
          <w:tcPr>
            <w:tcW w:w="992" w:type="dxa"/>
            <w:tcBorders>
              <w:top w:val="single" w:sz="12" w:space="0" w:color="auto"/>
              <w:left w:val="single" w:sz="12" w:space="0" w:color="auto"/>
              <w:bottom w:val="single" w:sz="12" w:space="0" w:color="auto"/>
            </w:tcBorders>
            <w:shd w:val="clear" w:color="000000" w:fill="FFC000"/>
            <w:noWrap/>
            <w:vAlign w:val="center"/>
          </w:tcPr>
          <w:p w:rsidR="00DC5CF9" w:rsidRPr="00AA3CCE" w:rsidRDefault="00DC5CF9" w:rsidP="00DC5CF9">
            <w:pPr>
              <w:jc w:val="center"/>
              <w:rPr>
                <w:rFonts w:asciiTheme="minorHAnsi" w:hAnsiTheme="minorHAnsi" w:cstheme="minorHAnsi"/>
                <w:bCs/>
                <w:i/>
                <w:color w:val="000000"/>
                <w:sz w:val="24"/>
                <w:szCs w:val="24"/>
              </w:rPr>
            </w:pPr>
            <w:r w:rsidRPr="00AA3CCE">
              <w:rPr>
                <w:rFonts w:asciiTheme="minorHAnsi" w:hAnsiTheme="minorHAnsi" w:cstheme="minorHAnsi"/>
                <w:bCs/>
                <w:i/>
                <w:color w:val="000000"/>
                <w:sz w:val="24"/>
                <w:szCs w:val="24"/>
              </w:rPr>
              <w:t>1 449</w:t>
            </w:r>
          </w:p>
        </w:tc>
        <w:tc>
          <w:tcPr>
            <w:tcW w:w="992" w:type="dxa"/>
            <w:tcBorders>
              <w:top w:val="single" w:sz="12" w:space="0" w:color="auto"/>
              <w:bottom w:val="single" w:sz="12" w:space="0" w:color="auto"/>
            </w:tcBorders>
            <w:shd w:val="clear" w:color="000000" w:fill="FFC000"/>
            <w:vAlign w:val="center"/>
          </w:tcPr>
          <w:p w:rsidR="00DC5CF9" w:rsidRPr="00AA3CCE" w:rsidRDefault="00DC5CF9" w:rsidP="00DC5CF9">
            <w:pPr>
              <w:jc w:val="center"/>
              <w:rPr>
                <w:rFonts w:asciiTheme="minorHAnsi" w:hAnsiTheme="minorHAnsi" w:cstheme="minorHAnsi"/>
                <w:bCs/>
                <w:i/>
                <w:color w:val="000000"/>
                <w:sz w:val="24"/>
                <w:szCs w:val="24"/>
              </w:rPr>
            </w:pPr>
            <w:r w:rsidRPr="00AA3CCE">
              <w:rPr>
                <w:rFonts w:asciiTheme="minorHAnsi" w:hAnsiTheme="minorHAnsi" w:cstheme="minorHAnsi"/>
                <w:bCs/>
                <w:i/>
                <w:color w:val="000000"/>
                <w:sz w:val="24"/>
                <w:szCs w:val="24"/>
              </w:rPr>
              <w:t>3 283</w:t>
            </w:r>
          </w:p>
        </w:tc>
        <w:tc>
          <w:tcPr>
            <w:tcW w:w="567" w:type="dxa"/>
            <w:tcBorders>
              <w:top w:val="single" w:sz="12" w:space="0" w:color="auto"/>
              <w:bottom w:val="single" w:sz="12" w:space="0" w:color="auto"/>
            </w:tcBorders>
            <w:shd w:val="clear" w:color="000000" w:fill="FFC000"/>
            <w:vAlign w:val="center"/>
          </w:tcPr>
          <w:p w:rsidR="00DC5CF9" w:rsidRPr="00AA3CCE" w:rsidRDefault="00DC5CF9" w:rsidP="00DC5CF9">
            <w:pPr>
              <w:jc w:val="center"/>
              <w:rPr>
                <w:rFonts w:asciiTheme="minorHAnsi" w:hAnsiTheme="minorHAnsi" w:cstheme="minorHAnsi"/>
                <w:bCs/>
                <w:i/>
                <w:color w:val="000000"/>
                <w:sz w:val="24"/>
                <w:szCs w:val="24"/>
              </w:rPr>
            </w:pPr>
            <w:r w:rsidRPr="00AA3CCE">
              <w:rPr>
                <w:rFonts w:asciiTheme="minorHAnsi" w:hAnsiTheme="minorHAnsi" w:cstheme="minorHAnsi"/>
                <w:bCs/>
                <w:i/>
                <w:color w:val="000000"/>
                <w:sz w:val="24"/>
                <w:szCs w:val="24"/>
              </w:rPr>
              <w:t>347</w:t>
            </w:r>
          </w:p>
        </w:tc>
        <w:tc>
          <w:tcPr>
            <w:tcW w:w="1134" w:type="dxa"/>
            <w:tcBorders>
              <w:top w:val="single" w:sz="12" w:space="0" w:color="auto"/>
              <w:bottom w:val="single" w:sz="12" w:space="0" w:color="auto"/>
            </w:tcBorders>
            <w:shd w:val="clear" w:color="000000" w:fill="FFC000"/>
            <w:vAlign w:val="center"/>
          </w:tcPr>
          <w:p w:rsidR="00DC5CF9" w:rsidRPr="00AA3CCE" w:rsidRDefault="00DC5CF9" w:rsidP="00DC5CF9">
            <w:pPr>
              <w:jc w:val="center"/>
              <w:rPr>
                <w:rFonts w:asciiTheme="minorHAnsi" w:hAnsiTheme="minorHAnsi" w:cstheme="minorHAnsi"/>
                <w:i/>
                <w:color w:val="000000"/>
                <w:sz w:val="24"/>
                <w:szCs w:val="24"/>
              </w:rPr>
            </w:pPr>
            <w:r w:rsidRPr="00AA3CCE">
              <w:rPr>
                <w:rFonts w:asciiTheme="minorHAnsi" w:hAnsiTheme="minorHAnsi" w:cstheme="minorHAnsi"/>
                <w:i/>
                <w:color w:val="000000"/>
                <w:sz w:val="24"/>
                <w:szCs w:val="24"/>
              </w:rPr>
              <w:t>322 638</w:t>
            </w:r>
          </w:p>
        </w:tc>
        <w:tc>
          <w:tcPr>
            <w:tcW w:w="709" w:type="dxa"/>
            <w:tcBorders>
              <w:top w:val="single" w:sz="12" w:space="0" w:color="auto"/>
              <w:bottom w:val="single" w:sz="12" w:space="0" w:color="auto"/>
            </w:tcBorders>
            <w:shd w:val="clear" w:color="000000" w:fill="FFC000"/>
            <w:vAlign w:val="center"/>
          </w:tcPr>
          <w:p w:rsidR="00DC5CF9" w:rsidRPr="00AA3CCE" w:rsidRDefault="00DC5CF9" w:rsidP="00DC5CF9">
            <w:pPr>
              <w:jc w:val="center"/>
              <w:rPr>
                <w:rFonts w:asciiTheme="minorHAnsi" w:hAnsiTheme="minorHAnsi" w:cstheme="minorHAnsi"/>
                <w:i/>
                <w:color w:val="000000"/>
                <w:sz w:val="24"/>
                <w:szCs w:val="24"/>
              </w:rPr>
            </w:pPr>
            <w:r w:rsidRPr="00AA3CCE">
              <w:rPr>
                <w:rFonts w:asciiTheme="minorHAnsi" w:hAnsiTheme="minorHAnsi" w:cstheme="minorHAnsi"/>
                <w:i/>
                <w:color w:val="000000"/>
                <w:sz w:val="24"/>
                <w:szCs w:val="24"/>
              </w:rPr>
              <w:t>32,0</w:t>
            </w:r>
          </w:p>
        </w:tc>
      </w:tr>
      <w:tr w:rsidR="00DC5CF9" w:rsidRPr="007C76CA" w:rsidTr="00DC5CF9">
        <w:trPr>
          <w:trHeight w:val="360"/>
        </w:trPr>
        <w:tc>
          <w:tcPr>
            <w:tcW w:w="9371" w:type="dxa"/>
            <w:gridSpan w:val="6"/>
            <w:tcBorders>
              <w:top w:val="single" w:sz="12" w:space="0" w:color="auto"/>
              <w:bottom w:val="single" w:sz="12" w:space="0" w:color="auto"/>
            </w:tcBorders>
            <w:shd w:val="clear" w:color="000000" w:fill="BFBFBF"/>
            <w:vAlign w:val="center"/>
            <w:hideMark/>
          </w:tcPr>
          <w:p w:rsidR="00DC5CF9" w:rsidRPr="007C76CA" w:rsidRDefault="00DC5CF9" w:rsidP="00DC5CF9">
            <w:pPr>
              <w:jc w:val="center"/>
              <w:rPr>
                <w:rFonts w:asciiTheme="minorHAnsi" w:hAnsiTheme="minorHAnsi" w:cstheme="minorHAnsi"/>
                <w:b/>
                <w:bCs/>
                <w:color w:val="000000"/>
                <w:sz w:val="24"/>
                <w:szCs w:val="24"/>
              </w:rPr>
            </w:pPr>
            <w:r w:rsidRPr="007C76CA">
              <w:rPr>
                <w:rFonts w:asciiTheme="minorHAnsi" w:hAnsiTheme="minorHAnsi" w:cstheme="minorHAnsi"/>
                <w:b/>
                <w:bCs/>
                <w:color w:val="000000"/>
                <w:sz w:val="24"/>
                <w:szCs w:val="24"/>
              </w:rPr>
              <w:t>ESF - OP LZZ</w:t>
            </w:r>
          </w:p>
        </w:tc>
      </w:tr>
      <w:tr w:rsidR="00DC5CF9" w:rsidRPr="007C76CA" w:rsidTr="00DC5CF9">
        <w:trPr>
          <w:trHeight w:val="360"/>
        </w:trPr>
        <w:tc>
          <w:tcPr>
            <w:tcW w:w="4977" w:type="dxa"/>
            <w:tcBorders>
              <w:top w:val="single" w:sz="12" w:space="0" w:color="auto"/>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VPP NIP</w:t>
            </w:r>
          </w:p>
        </w:tc>
        <w:tc>
          <w:tcPr>
            <w:tcW w:w="992" w:type="dxa"/>
            <w:tcBorders>
              <w:top w:val="single" w:sz="12" w:space="0" w:color="auto"/>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2 648</w:t>
            </w:r>
          </w:p>
        </w:tc>
        <w:tc>
          <w:tcPr>
            <w:tcW w:w="992" w:type="dxa"/>
            <w:tcBorders>
              <w:top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2 808</w:t>
            </w:r>
          </w:p>
        </w:tc>
        <w:tc>
          <w:tcPr>
            <w:tcW w:w="567" w:type="dxa"/>
            <w:tcBorders>
              <w:top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171</w:t>
            </w:r>
          </w:p>
        </w:tc>
        <w:tc>
          <w:tcPr>
            <w:tcW w:w="1134" w:type="dxa"/>
            <w:tcBorders>
              <w:top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318 413</w:t>
            </w:r>
          </w:p>
        </w:tc>
        <w:tc>
          <w:tcPr>
            <w:tcW w:w="709" w:type="dxa"/>
            <w:tcBorders>
              <w:top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97,0</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SÚPM NIP</w:t>
            </w:r>
          </w:p>
        </w:tc>
        <w:tc>
          <w:tcPr>
            <w:tcW w:w="992" w:type="dxa"/>
            <w:tcBorders>
              <w:left w:val="single" w:sz="12" w:space="0" w:color="auto"/>
            </w:tcBorders>
            <w:shd w:val="clear" w:color="000000" w:fill="FFFFFF"/>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3 632</w:t>
            </w:r>
          </w:p>
        </w:tc>
        <w:tc>
          <w:tcPr>
            <w:tcW w:w="992" w:type="dxa"/>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3 622</w:t>
            </w:r>
          </w:p>
        </w:tc>
        <w:tc>
          <w:tcPr>
            <w:tcW w:w="567" w:type="dxa"/>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231</w:t>
            </w:r>
          </w:p>
        </w:tc>
        <w:tc>
          <w:tcPr>
            <w:tcW w:w="1134" w:type="dxa"/>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324 637</w:t>
            </w:r>
          </w:p>
        </w:tc>
        <w:tc>
          <w:tcPr>
            <w:tcW w:w="709" w:type="dxa"/>
            <w:shd w:val="clear" w:color="auto" w:fill="auto"/>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99,2</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 xml:space="preserve">rekvalifikace </w:t>
            </w:r>
            <w:r>
              <w:rPr>
                <w:rFonts w:asciiTheme="minorHAnsi" w:hAnsiTheme="minorHAnsi" w:cstheme="minorHAnsi"/>
                <w:color w:val="000000"/>
                <w:sz w:val="24"/>
                <w:szCs w:val="24"/>
              </w:rPr>
              <w:t xml:space="preserve"> NIP (bez zvolených)</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1 611</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134" w:type="dxa"/>
            <w:vMerge w:val="restart"/>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89 034</w:t>
            </w:r>
          </w:p>
        </w:tc>
        <w:tc>
          <w:tcPr>
            <w:tcW w:w="709" w:type="dxa"/>
            <w:vMerge w:val="restart"/>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44,0</w:t>
            </w:r>
          </w:p>
        </w:tc>
      </w:tr>
      <w:tr w:rsidR="00DC5CF9" w:rsidRPr="007C76CA" w:rsidTr="00DC5CF9">
        <w:trPr>
          <w:trHeight w:val="360"/>
        </w:trPr>
        <w:tc>
          <w:tcPr>
            <w:tcW w:w="4977" w:type="dxa"/>
            <w:tcBorders>
              <w:right w:val="single" w:sz="12" w:space="0" w:color="auto"/>
            </w:tcBorders>
            <w:shd w:val="clear" w:color="auto" w:fill="auto"/>
            <w:vAlign w:val="center"/>
          </w:tcPr>
          <w:p w:rsidR="00DC5CF9" w:rsidRPr="007C76CA" w:rsidRDefault="00DC5CF9" w:rsidP="00DC5CF9">
            <w:pPr>
              <w:rPr>
                <w:rFonts w:asciiTheme="minorHAnsi" w:hAnsiTheme="minorHAnsi" w:cstheme="minorHAnsi"/>
                <w:color w:val="000000"/>
                <w:sz w:val="24"/>
                <w:szCs w:val="24"/>
              </w:rPr>
            </w:pPr>
            <w:r>
              <w:rPr>
                <w:rFonts w:asciiTheme="minorHAnsi" w:hAnsiTheme="minorHAnsi" w:cstheme="minorHAnsi"/>
                <w:color w:val="000000"/>
                <w:sz w:val="24"/>
                <w:szCs w:val="24"/>
              </w:rPr>
              <w:t>zvolené rekvalifikace NIP</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2 855</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87</w:t>
            </w:r>
          </w:p>
        </w:tc>
        <w:tc>
          <w:tcPr>
            <w:tcW w:w="1134" w:type="dxa"/>
            <w:vMerge/>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p>
        </w:tc>
        <w:tc>
          <w:tcPr>
            <w:tcW w:w="709" w:type="dxa"/>
            <w:vMerge/>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p>
        </w:tc>
      </w:tr>
      <w:tr w:rsidR="00DC5CF9" w:rsidRPr="007C76CA" w:rsidTr="00DC5CF9">
        <w:trPr>
          <w:trHeight w:val="360"/>
        </w:trPr>
        <w:tc>
          <w:tcPr>
            <w:tcW w:w="4977" w:type="dxa"/>
            <w:tcBorders>
              <w:right w:val="single" w:sz="12" w:space="0" w:color="auto"/>
            </w:tcBorders>
            <w:shd w:val="clear" w:color="auto" w:fill="auto"/>
            <w:vAlign w:val="center"/>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poradenské činnosti NIP</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shd w:val="clear" w:color="auto" w:fill="auto"/>
            <w:noWrap/>
            <w:vAlign w:val="center"/>
          </w:tcPr>
          <w:p w:rsidR="00DC5CF9" w:rsidRPr="007C052F" w:rsidRDefault="00DC5CF9" w:rsidP="00DC5CF9">
            <w:pPr>
              <w:jc w:val="center"/>
              <w:rPr>
                <w:rFonts w:asciiTheme="minorHAnsi" w:hAnsiTheme="minorHAnsi" w:cstheme="minorHAnsi"/>
                <w:sz w:val="24"/>
                <w:szCs w:val="24"/>
              </w:rPr>
            </w:pPr>
            <w:r w:rsidRPr="007C052F">
              <w:rPr>
                <w:rFonts w:asciiTheme="minorHAnsi" w:hAnsiTheme="minorHAnsi" w:cstheme="minorHAnsi"/>
                <w:sz w:val="24"/>
                <w:szCs w:val="24"/>
              </w:rPr>
              <w:t>287</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c>
          <w:tcPr>
            <w:tcW w:w="1134" w:type="dxa"/>
            <w:vMerge/>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p>
        </w:tc>
        <w:tc>
          <w:tcPr>
            <w:tcW w:w="709" w:type="dxa"/>
            <w:vMerge/>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pracovní rehabilitace NIP</w:t>
            </w:r>
          </w:p>
        </w:tc>
        <w:tc>
          <w:tcPr>
            <w:tcW w:w="992" w:type="dxa"/>
            <w:tcBorders>
              <w:left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1134"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709"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r>
      <w:tr w:rsidR="00DC5CF9" w:rsidRPr="007C76CA" w:rsidTr="00DC5CF9">
        <w:trPr>
          <w:trHeight w:val="360"/>
        </w:trPr>
        <w:tc>
          <w:tcPr>
            <w:tcW w:w="4977" w:type="dxa"/>
            <w:tcBorders>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 xml:space="preserve">RIP </w:t>
            </w:r>
            <w:r>
              <w:rPr>
                <w:rFonts w:asciiTheme="minorHAnsi" w:hAnsiTheme="minorHAnsi" w:cstheme="minorHAnsi"/>
                <w:color w:val="000000"/>
                <w:sz w:val="24"/>
                <w:szCs w:val="24"/>
              </w:rPr>
              <w:t>ESF-</w:t>
            </w:r>
            <w:r w:rsidRPr="007C76CA">
              <w:rPr>
                <w:rFonts w:asciiTheme="minorHAnsi" w:hAnsiTheme="minorHAnsi" w:cstheme="minorHAnsi"/>
                <w:color w:val="000000"/>
                <w:sz w:val="24"/>
                <w:szCs w:val="24"/>
              </w:rPr>
              <w:t>OP LZZ</w:t>
            </w:r>
            <w:r>
              <w:rPr>
                <w:rFonts w:asciiTheme="minorHAnsi" w:hAnsiTheme="minorHAnsi" w:cstheme="minorHAnsi"/>
                <w:color w:val="000000"/>
                <w:sz w:val="24"/>
                <w:szCs w:val="24"/>
              </w:rPr>
              <w:t xml:space="preserve"> (bez odbor. praxí</w:t>
            </w:r>
            <w:r w:rsidRPr="007C76CA">
              <w:rPr>
                <w:rFonts w:asciiTheme="minorHAnsi" w:hAnsiTheme="minorHAnsi" w:cstheme="minorHAnsi"/>
                <w:color w:val="000000"/>
                <w:sz w:val="24"/>
                <w:szCs w:val="24"/>
              </w:rPr>
              <w:t>)</w:t>
            </w:r>
          </w:p>
        </w:tc>
        <w:tc>
          <w:tcPr>
            <w:tcW w:w="992" w:type="dxa"/>
            <w:tcBorders>
              <w:left w:val="single" w:sz="12" w:space="0" w:color="auto"/>
            </w:tcBorders>
            <w:shd w:val="clear" w:color="auto" w:fill="auto"/>
            <w:noWrap/>
            <w:vAlign w:val="center"/>
          </w:tcPr>
          <w:p w:rsidR="00DC5CF9" w:rsidRPr="005A1BF1" w:rsidRDefault="00DC5CF9" w:rsidP="00DC5CF9">
            <w:pPr>
              <w:jc w:val="center"/>
              <w:rPr>
                <w:rFonts w:asciiTheme="minorHAnsi" w:hAnsiTheme="minorHAnsi" w:cstheme="minorHAnsi"/>
                <w:sz w:val="24"/>
                <w:szCs w:val="24"/>
              </w:rPr>
            </w:pPr>
            <w:r w:rsidRPr="005A1BF1">
              <w:rPr>
                <w:rFonts w:asciiTheme="minorHAnsi" w:hAnsiTheme="minorHAnsi" w:cstheme="minorHAnsi"/>
                <w:sz w:val="24"/>
                <w:szCs w:val="24"/>
              </w:rPr>
              <w:t>26</w:t>
            </w:r>
          </w:p>
        </w:tc>
        <w:tc>
          <w:tcPr>
            <w:tcW w:w="992" w:type="dxa"/>
            <w:shd w:val="clear" w:color="auto" w:fill="auto"/>
            <w:noWrap/>
            <w:vAlign w:val="center"/>
          </w:tcPr>
          <w:p w:rsidR="00DC5CF9" w:rsidRPr="005A1BF1" w:rsidRDefault="00DC5CF9" w:rsidP="00DC5CF9">
            <w:pPr>
              <w:jc w:val="center"/>
              <w:rPr>
                <w:rFonts w:asciiTheme="minorHAnsi" w:hAnsiTheme="minorHAnsi" w:cstheme="minorHAnsi"/>
                <w:sz w:val="24"/>
                <w:szCs w:val="24"/>
              </w:rPr>
            </w:pPr>
            <w:r w:rsidRPr="005A1BF1">
              <w:rPr>
                <w:rFonts w:asciiTheme="minorHAnsi" w:hAnsiTheme="minorHAnsi" w:cstheme="minorHAnsi"/>
                <w:sz w:val="24"/>
                <w:szCs w:val="24"/>
              </w:rPr>
              <w:t>5</w:t>
            </w:r>
            <w:r>
              <w:rPr>
                <w:rFonts w:asciiTheme="minorHAnsi" w:hAnsiTheme="minorHAnsi" w:cstheme="minorHAnsi"/>
                <w:sz w:val="24"/>
                <w:szCs w:val="24"/>
              </w:rPr>
              <w:t>5</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7</w:t>
            </w:r>
          </w:p>
        </w:tc>
        <w:tc>
          <w:tcPr>
            <w:tcW w:w="1134"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33 995</w:t>
            </w:r>
          </w:p>
        </w:tc>
        <w:tc>
          <w:tcPr>
            <w:tcW w:w="709"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19,3</w:t>
            </w:r>
          </w:p>
        </w:tc>
      </w:tr>
      <w:tr w:rsidR="00DC5CF9" w:rsidRPr="007C76CA" w:rsidTr="00DC5CF9">
        <w:trPr>
          <w:trHeight w:val="360"/>
        </w:trPr>
        <w:tc>
          <w:tcPr>
            <w:tcW w:w="4977" w:type="dxa"/>
            <w:tcBorders>
              <w:right w:val="single" w:sz="12" w:space="0" w:color="auto"/>
            </w:tcBorders>
            <w:shd w:val="clear" w:color="auto" w:fill="auto"/>
            <w:vAlign w:val="center"/>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 xml:space="preserve">RIP </w:t>
            </w:r>
            <w:r>
              <w:rPr>
                <w:rFonts w:asciiTheme="minorHAnsi" w:hAnsiTheme="minorHAnsi" w:cstheme="minorHAnsi"/>
                <w:color w:val="000000"/>
                <w:sz w:val="24"/>
                <w:szCs w:val="24"/>
              </w:rPr>
              <w:t>ESF-</w:t>
            </w:r>
            <w:r w:rsidRPr="007C76CA">
              <w:rPr>
                <w:rFonts w:asciiTheme="minorHAnsi" w:hAnsiTheme="minorHAnsi" w:cstheme="minorHAnsi"/>
                <w:color w:val="000000"/>
                <w:sz w:val="24"/>
                <w:szCs w:val="24"/>
              </w:rPr>
              <w:t>OP LZZ</w:t>
            </w:r>
            <w:r>
              <w:rPr>
                <w:rFonts w:asciiTheme="minorHAnsi" w:hAnsiTheme="minorHAnsi" w:cstheme="minorHAnsi"/>
                <w:color w:val="000000"/>
                <w:sz w:val="24"/>
                <w:szCs w:val="24"/>
              </w:rPr>
              <w:t xml:space="preserve"> - Odbor. praxe pro mladé v MSK</w:t>
            </w:r>
          </w:p>
        </w:tc>
        <w:tc>
          <w:tcPr>
            <w:tcW w:w="992" w:type="dxa"/>
            <w:tcBorders>
              <w:left w:val="single" w:sz="12" w:space="0" w:color="auto"/>
            </w:tcBorders>
            <w:shd w:val="clear" w:color="auto" w:fill="auto"/>
            <w:noWrap/>
            <w:vAlign w:val="center"/>
          </w:tcPr>
          <w:p w:rsidR="00DC5CF9" w:rsidRPr="005A1BF1" w:rsidRDefault="00DC5CF9" w:rsidP="00DC5CF9">
            <w:pPr>
              <w:jc w:val="center"/>
              <w:rPr>
                <w:rFonts w:asciiTheme="minorHAnsi" w:hAnsiTheme="minorHAnsi" w:cstheme="minorHAnsi"/>
                <w:sz w:val="24"/>
                <w:szCs w:val="24"/>
              </w:rPr>
            </w:pPr>
            <w:r w:rsidRPr="005A1BF1">
              <w:rPr>
                <w:rFonts w:asciiTheme="minorHAnsi" w:hAnsiTheme="minorHAnsi" w:cstheme="minorHAnsi"/>
                <w:sz w:val="24"/>
                <w:szCs w:val="24"/>
              </w:rPr>
              <w:t>832</w:t>
            </w:r>
          </w:p>
        </w:tc>
        <w:tc>
          <w:tcPr>
            <w:tcW w:w="992" w:type="dxa"/>
            <w:shd w:val="clear" w:color="auto" w:fill="auto"/>
            <w:noWrap/>
            <w:vAlign w:val="center"/>
          </w:tcPr>
          <w:p w:rsidR="00DC5CF9" w:rsidRPr="005A1BF1" w:rsidRDefault="00DC5CF9" w:rsidP="00DC5CF9">
            <w:pPr>
              <w:jc w:val="center"/>
              <w:rPr>
                <w:rFonts w:asciiTheme="minorHAnsi" w:hAnsiTheme="minorHAnsi" w:cstheme="minorHAnsi"/>
                <w:sz w:val="24"/>
                <w:szCs w:val="24"/>
              </w:rPr>
            </w:pPr>
            <w:r w:rsidRPr="005A1BF1">
              <w:rPr>
                <w:rFonts w:asciiTheme="minorHAnsi" w:hAnsiTheme="minorHAnsi" w:cstheme="minorHAnsi"/>
                <w:sz w:val="24"/>
                <w:szCs w:val="24"/>
              </w:rPr>
              <w:t>832</w:t>
            </w:r>
          </w:p>
        </w:tc>
        <w:tc>
          <w:tcPr>
            <w:tcW w:w="567"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w:t>
            </w:r>
          </w:p>
        </w:tc>
        <w:tc>
          <w:tcPr>
            <w:tcW w:w="1134"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180 318</w:t>
            </w:r>
          </w:p>
        </w:tc>
        <w:tc>
          <w:tcPr>
            <w:tcW w:w="709" w:type="dxa"/>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25,5</w:t>
            </w:r>
          </w:p>
        </w:tc>
      </w:tr>
      <w:tr w:rsidR="00DC5CF9" w:rsidRPr="007C76CA" w:rsidTr="00DC5CF9">
        <w:trPr>
          <w:trHeight w:val="360"/>
        </w:trPr>
        <w:tc>
          <w:tcPr>
            <w:tcW w:w="4977" w:type="dxa"/>
            <w:tcBorders>
              <w:bottom w:val="single" w:sz="12" w:space="0" w:color="auto"/>
              <w:right w:val="single" w:sz="12" w:space="0" w:color="auto"/>
            </w:tcBorders>
            <w:shd w:val="clear" w:color="auto" w:fill="auto"/>
            <w:vAlign w:val="center"/>
            <w:hideMark/>
          </w:tcPr>
          <w:p w:rsidR="00DC5CF9" w:rsidRPr="007C76CA" w:rsidRDefault="00DC5CF9" w:rsidP="00DC5CF9">
            <w:pPr>
              <w:rPr>
                <w:rFonts w:asciiTheme="minorHAnsi" w:hAnsiTheme="minorHAnsi" w:cstheme="minorHAnsi"/>
                <w:color w:val="000000"/>
                <w:sz w:val="24"/>
                <w:szCs w:val="24"/>
              </w:rPr>
            </w:pPr>
            <w:r w:rsidRPr="007C76CA">
              <w:rPr>
                <w:rFonts w:asciiTheme="minorHAnsi" w:hAnsiTheme="minorHAnsi" w:cstheme="minorHAnsi"/>
                <w:color w:val="000000"/>
                <w:sz w:val="24"/>
                <w:szCs w:val="24"/>
              </w:rPr>
              <w:t>grantové projekty ESF</w:t>
            </w:r>
          </w:p>
        </w:tc>
        <w:tc>
          <w:tcPr>
            <w:tcW w:w="992" w:type="dxa"/>
            <w:tcBorders>
              <w:left w:val="single" w:sz="12" w:space="0" w:color="auto"/>
              <w:bottom w:val="single" w:sz="12" w:space="0" w:color="auto"/>
            </w:tcBorders>
            <w:shd w:val="clear" w:color="auto" w:fill="A6A6A6" w:themeFill="background1" w:themeFillShade="A6"/>
            <w:noWrap/>
            <w:vAlign w:val="center"/>
          </w:tcPr>
          <w:p w:rsidR="00DC5CF9" w:rsidRPr="007C76CA" w:rsidRDefault="00DC5CF9" w:rsidP="00DC5CF9">
            <w:pPr>
              <w:jc w:val="center"/>
              <w:rPr>
                <w:rFonts w:asciiTheme="minorHAnsi" w:hAnsiTheme="minorHAnsi" w:cstheme="minorHAnsi"/>
                <w:color w:val="000000"/>
                <w:sz w:val="24"/>
                <w:szCs w:val="24"/>
              </w:rPr>
            </w:pPr>
          </w:p>
        </w:tc>
        <w:tc>
          <w:tcPr>
            <w:tcW w:w="992" w:type="dxa"/>
            <w:tcBorders>
              <w:bottom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582</w:t>
            </w:r>
          </w:p>
        </w:tc>
        <w:tc>
          <w:tcPr>
            <w:tcW w:w="567" w:type="dxa"/>
            <w:tcBorders>
              <w:bottom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23</w:t>
            </w:r>
          </w:p>
        </w:tc>
        <w:tc>
          <w:tcPr>
            <w:tcW w:w="1134" w:type="dxa"/>
            <w:tcBorders>
              <w:bottom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0</w:t>
            </w:r>
          </w:p>
        </w:tc>
        <w:tc>
          <w:tcPr>
            <w:tcW w:w="709" w:type="dxa"/>
            <w:tcBorders>
              <w:bottom w:val="single" w:sz="12" w:space="0" w:color="auto"/>
            </w:tcBorders>
            <w:shd w:val="clear" w:color="auto" w:fill="auto"/>
            <w:noWrap/>
            <w:vAlign w:val="center"/>
          </w:tcPr>
          <w:p w:rsidR="00DC5CF9" w:rsidRPr="007C76CA" w:rsidRDefault="00DC5CF9" w:rsidP="00DC5CF9">
            <w:pPr>
              <w:jc w:val="center"/>
              <w:rPr>
                <w:rFonts w:asciiTheme="minorHAnsi" w:hAnsiTheme="minorHAnsi" w:cstheme="minorHAnsi"/>
                <w:color w:val="000000"/>
                <w:sz w:val="24"/>
                <w:szCs w:val="24"/>
              </w:rPr>
            </w:pPr>
            <w:r>
              <w:rPr>
                <w:rFonts w:asciiTheme="minorHAnsi" w:hAnsiTheme="minorHAnsi" w:cstheme="minorHAnsi"/>
                <w:color w:val="000000"/>
                <w:sz w:val="24"/>
                <w:szCs w:val="24"/>
              </w:rPr>
              <w:t>-</w:t>
            </w:r>
          </w:p>
        </w:tc>
      </w:tr>
      <w:tr w:rsidR="00DC5CF9" w:rsidRPr="007C76CA" w:rsidTr="00DC5CF9">
        <w:trPr>
          <w:trHeight w:val="360"/>
        </w:trPr>
        <w:tc>
          <w:tcPr>
            <w:tcW w:w="4977" w:type="dxa"/>
            <w:tcBorders>
              <w:top w:val="single" w:sz="12" w:space="0" w:color="auto"/>
              <w:bottom w:val="single" w:sz="12" w:space="0" w:color="auto"/>
              <w:right w:val="single" w:sz="12" w:space="0" w:color="auto"/>
            </w:tcBorders>
            <w:shd w:val="clear" w:color="000000" w:fill="FFC000"/>
            <w:vAlign w:val="center"/>
            <w:hideMark/>
          </w:tcPr>
          <w:p w:rsidR="00DC5CF9" w:rsidRPr="00C87174" w:rsidRDefault="00DC5CF9" w:rsidP="00DC5CF9">
            <w:pPr>
              <w:rPr>
                <w:rFonts w:asciiTheme="minorHAnsi" w:hAnsiTheme="minorHAnsi" w:cstheme="minorHAnsi"/>
                <w:i/>
                <w:color w:val="000000"/>
                <w:sz w:val="24"/>
                <w:szCs w:val="24"/>
              </w:rPr>
            </w:pPr>
            <w:r w:rsidRPr="00C87174">
              <w:rPr>
                <w:rFonts w:asciiTheme="minorHAnsi" w:hAnsiTheme="minorHAnsi" w:cstheme="minorHAnsi"/>
                <w:i/>
                <w:color w:val="000000"/>
                <w:sz w:val="24"/>
                <w:szCs w:val="24"/>
              </w:rPr>
              <w:t>celkem ESF-OP LZZ</w:t>
            </w:r>
          </w:p>
        </w:tc>
        <w:tc>
          <w:tcPr>
            <w:tcW w:w="992" w:type="dxa"/>
            <w:tcBorders>
              <w:top w:val="single" w:sz="12" w:space="0" w:color="auto"/>
              <w:left w:val="single" w:sz="12" w:space="0" w:color="auto"/>
              <w:bottom w:val="single" w:sz="12" w:space="0" w:color="auto"/>
            </w:tcBorders>
            <w:shd w:val="clear" w:color="000000" w:fill="FFC000"/>
            <w:noWrap/>
            <w:vAlign w:val="center"/>
          </w:tcPr>
          <w:p w:rsidR="00DC5CF9" w:rsidRPr="00C87174" w:rsidRDefault="00DC5CF9" w:rsidP="00DC5CF9">
            <w:pPr>
              <w:jc w:val="center"/>
              <w:rPr>
                <w:rFonts w:asciiTheme="minorHAnsi" w:hAnsiTheme="minorHAnsi" w:cstheme="minorHAnsi"/>
                <w:i/>
                <w:sz w:val="24"/>
                <w:szCs w:val="24"/>
              </w:rPr>
            </w:pPr>
            <w:r w:rsidRPr="00C87174">
              <w:rPr>
                <w:rFonts w:asciiTheme="minorHAnsi" w:hAnsiTheme="minorHAnsi" w:cstheme="minorHAnsi"/>
                <w:i/>
                <w:sz w:val="24"/>
                <w:szCs w:val="24"/>
              </w:rPr>
              <w:t>7 138</w:t>
            </w:r>
          </w:p>
        </w:tc>
        <w:tc>
          <w:tcPr>
            <w:tcW w:w="992" w:type="dxa"/>
            <w:tcBorders>
              <w:top w:val="single" w:sz="12" w:space="0" w:color="auto"/>
              <w:bottom w:val="single" w:sz="12" w:space="0" w:color="auto"/>
            </w:tcBorders>
            <w:shd w:val="clear" w:color="000000" w:fill="FFC000"/>
            <w:noWrap/>
            <w:vAlign w:val="center"/>
          </w:tcPr>
          <w:p w:rsidR="00DC5CF9" w:rsidRPr="00C87174" w:rsidRDefault="00DC5CF9" w:rsidP="00DC5CF9">
            <w:pPr>
              <w:jc w:val="center"/>
              <w:rPr>
                <w:rFonts w:asciiTheme="minorHAnsi" w:hAnsiTheme="minorHAnsi" w:cstheme="minorHAnsi"/>
                <w:i/>
                <w:sz w:val="24"/>
                <w:szCs w:val="24"/>
              </w:rPr>
            </w:pPr>
            <w:r w:rsidRPr="00C87174">
              <w:rPr>
                <w:rFonts w:asciiTheme="minorHAnsi" w:hAnsiTheme="minorHAnsi" w:cstheme="minorHAnsi"/>
                <w:i/>
                <w:sz w:val="24"/>
                <w:szCs w:val="24"/>
              </w:rPr>
              <w:t>12 652</w:t>
            </w:r>
          </w:p>
        </w:tc>
        <w:tc>
          <w:tcPr>
            <w:tcW w:w="567" w:type="dxa"/>
            <w:tcBorders>
              <w:top w:val="single" w:sz="12" w:space="0" w:color="auto"/>
              <w:bottom w:val="single" w:sz="12" w:space="0" w:color="auto"/>
            </w:tcBorders>
            <w:shd w:val="clear" w:color="000000" w:fill="FFC000"/>
            <w:noWrap/>
            <w:vAlign w:val="center"/>
          </w:tcPr>
          <w:p w:rsidR="00DC5CF9" w:rsidRPr="00C87174" w:rsidRDefault="00DC5CF9" w:rsidP="00DC5CF9">
            <w:pPr>
              <w:jc w:val="center"/>
              <w:rPr>
                <w:rFonts w:asciiTheme="minorHAnsi" w:hAnsiTheme="minorHAnsi" w:cstheme="minorHAnsi"/>
                <w:i/>
                <w:color w:val="000000"/>
                <w:sz w:val="24"/>
                <w:szCs w:val="24"/>
              </w:rPr>
            </w:pPr>
            <w:r w:rsidRPr="00C87174">
              <w:rPr>
                <w:rFonts w:asciiTheme="minorHAnsi" w:hAnsiTheme="minorHAnsi" w:cstheme="minorHAnsi"/>
                <w:i/>
                <w:color w:val="000000"/>
                <w:sz w:val="24"/>
                <w:szCs w:val="24"/>
              </w:rPr>
              <w:t>557</w:t>
            </w:r>
          </w:p>
        </w:tc>
        <w:tc>
          <w:tcPr>
            <w:tcW w:w="1134" w:type="dxa"/>
            <w:tcBorders>
              <w:top w:val="single" w:sz="12" w:space="0" w:color="auto"/>
              <w:bottom w:val="single" w:sz="12" w:space="0" w:color="auto"/>
            </w:tcBorders>
            <w:shd w:val="clear" w:color="000000" w:fill="FFC000"/>
            <w:noWrap/>
            <w:vAlign w:val="center"/>
          </w:tcPr>
          <w:p w:rsidR="00DC5CF9" w:rsidRPr="00C87174" w:rsidRDefault="00DC5CF9" w:rsidP="00DC5CF9">
            <w:pPr>
              <w:jc w:val="center"/>
              <w:rPr>
                <w:rFonts w:asciiTheme="minorHAnsi" w:hAnsiTheme="minorHAnsi" w:cstheme="minorHAnsi"/>
                <w:i/>
                <w:color w:val="000000"/>
                <w:sz w:val="24"/>
                <w:szCs w:val="24"/>
              </w:rPr>
            </w:pPr>
            <w:r w:rsidRPr="00C87174">
              <w:rPr>
                <w:rFonts w:asciiTheme="minorHAnsi" w:hAnsiTheme="minorHAnsi" w:cstheme="minorHAnsi"/>
                <w:i/>
                <w:color w:val="000000"/>
                <w:sz w:val="24"/>
                <w:szCs w:val="24"/>
              </w:rPr>
              <w:t>946 398</w:t>
            </w:r>
          </w:p>
        </w:tc>
        <w:tc>
          <w:tcPr>
            <w:tcW w:w="709" w:type="dxa"/>
            <w:tcBorders>
              <w:top w:val="single" w:sz="12" w:space="0" w:color="auto"/>
              <w:bottom w:val="single" w:sz="12" w:space="0" w:color="auto"/>
            </w:tcBorders>
            <w:shd w:val="clear" w:color="000000" w:fill="FFC000"/>
            <w:noWrap/>
            <w:vAlign w:val="center"/>
          </w:tcPr>
          <w:p w:rsidR="00DC5CF9" w:rsidRPr="00C87174" w:rsidRDefault="00DC5CF9" w:rsidP="00DC5CF9">
            <w:pPr>
              <w:jc w:val="center"/>
              <w:rPr>
                <w:rFonts w:asciiTheme="minorHAnsi" w:hAnsiTheme="minorHAnsi" w:cstheme="minorHAnsi"/>
                <w:i/>
                <w:color w:val="000000"/>
                <w:sz w:val="24"/>
                <w:szCs w:val="24"/>
              </w:rPr>
            </w:pPr>
            <w:r w:rsidRPr="00C87174">
              <w:rPr>
                <w:rFonts w:asciiTheme="minorHAnsi" w:hAnsiTheme="minorHAnsi" w:cstheme="minorHAnsi"/>
                <w:i/>
                <w:color w:val="000000"/>
                <w:sz w:val="24"/>
                <w:szCs w:val="24"/>
              </w:rPr>
              <w:t>76,4</w:t>
            </w:r>
          </w:p>
        </w:tc>
      </w:tr>
      <w:tr w:rsidR="00DC5CF9" w:rsidRPr="007C76CA" w:rsidTr="00DC5CF9">
        <w:trPr>
          <w:trHeight w:val="360"/>
        </w:trPr>
        <w:tc>
          <w:tcPr>
            <w:tcW w:w="4977" w:type="dxa"/>
            <w:tcBorders>
              <w:top w:val="single" w:sz="12" w:space="0" w:color="auto"/>
              <w:right w:val="single" w:sz="12" w:space="0" w:color="auto"/>
            </w:tcBorders>
            <w:shd w:val="clear" w:color="000000" w:fill="FF0000"/>
            <w:vAlign w:val="center"/>
            <w:hideMark/>
          </w:tcPr>
          <w:p w:rsidR="00DC5CF9" w:rsidRPr="00C87174" w:rsidRDefault="00DC5CF9" w:rsidP="00DC5CF9">
            <w:pPr>
              <w:rPr>
                <w:rFonts w:asciiTheme="minorHAnsi" w:hAnsiTheme="minorHAnsi" w:cstheme="minorHAnsi"/>
                <w:b/>
                <w:color w:val="000000"/>
                <w:sz w:val="24"/>
                <w:szCs w:val="24"/>
              </w:rPr>
            </w:pPr>
            <w:r w:rsidRPr="00C87174">
              <w:rPr>
                <w:rFonts w:asciiTheme="minorHAnsi" w:hAnsiTheme="minorHAnsi" w:cstheme="minorHAnsi"/>
                <w:b/>
                <w:color w:val="000000"/>
                <w:sz w:val="24"/>
                <w:szCs w:val="24"/>
              </w:rPr>
              <w:t>celkem nár. APZ + ESF</w:t>
            </w:r>
          </w:p>
        </w:tc>
        <w:tc>
          <w:tcPr>
            <w:tcW w:w="992" w:type="dxa"/>
            <w:tcBorders>
              <w:top w:val="single" w:sz="12" w:space="0" w:color="auto"/>
              <w:left w:val="single" w:sz="12" w:space="0" w:color="auto"/>
              <w:bottom w:val="single" w:sz="12" w:space="0" w:color="auto"/>
            </w:tcBorders>
            <w:shd w:val="clear" w:color="000000" w:fill="FF0000"/>
            <w:noWrap/>
            <w:vAlign w:val="center"/>
          </w:tcPr>
          <w:p w:rsidR="00DC5CF9" w:rsidRPr="007C052F" w:rsidRDefault="00DC5CF9" w:rsidP="00DC5CF9">
            <w:pPr>
              <w:jc w:val="center"/>
              <w:rPr>
                <w:rFonts w:asciiTheme="minorHAnsi" w:hAnsiTheme="minorHAnsi" w:cstheme="minorHAnsi"/>
                <w:b/>
                <w:sz w:val="24"/>
                <w:szCs w:val="24"/>
              </w:rPr>
            </w:pPr>
            <w:r w:rsidRPr="007C052F">
              <w:rPr>
                <w:rFonts w:asciiTheme="minorHAnsi" w:hAnsiTheme="minorHAnsi" w:cstheme="minorHAnsi"/>
                <w:b/>
                <w:sz w:val="24"/>
                <w:szCs w:val="24"/>
              </w:rPr>
              <w:t>8 58</w:t>
            </w:r>
            <w:r>
              <w:rPr>
                <w:rFonts w:asciiTheme="minorHAnsi" w:hAnsiTheme="minorHAnsi" w:cstheme="minorHAnsi"/>
                <w:b/>
                <w:sz w:val="24"/>
                <w:szCs w:val="24"/>
              </w:rPr>
              <w:t>7</w:t>
            </w:r>
          </w:p>
        </w:tc>
        <w:tc>
          <w:tcPr>
            <w:tcW w:w="992" w:type="dxa"/>
            <w:tcBorders>
              <w:top w:val="single" w:sz="12" w:space="0" w:color="auto"/>
            </w:tcBorders>
            <w:shd w:val="clear" w:color="000000" w:fill="FF0000"/>
            <w:noWrap/>
            <w:vAlign w:val="center"/>
          </w:tcPr>
          <w:p w:rsidR="00DC5CF9" w:rsidRPr="007C76CA" w:rsidRDefault="00DC5CF9" w:rsidP="00DC5CF9">
            <w:pPr>
              <w:jc w:val="center"/>
              <w:rPr>
                <w:rFonts w:asciiTheme="minorHAnsi" w:hAnsiTheme="minorHAnsi" w:cstheme="minorHAnsi"/>
                <w:b/>
                <w:color w:val="000000"/>
                <w:sz w:val="24"/>
                <w:szCs w:val="24"/>
              </w:rPr>
            </w:pPr>
            <w:r>
              <w:rPr>
                <w:rFonts w:asciiTheme="minorHAnsi" w:hAnsiTheme="minorHAnsi" w:cstheme="minorHAnsi"/>
                <w:b/>
                <w:color w:val="000000"/>
                <w:sz w:val="24"/>
                <w:szCs w:val="24"/>
              </w:rPr>
              <w:t>15 935</w:t>
            </w:r>
          </w:p>
        </w:tc>
        <w:tc>
          <w:tcPr>
            <w:tcW w:w="567" w:type="dxa"/>
            <w:tcBorders>
              <w:top w:val="single" w:sz="12" w:space="0" w:color="auto"/>
            </w:tcBorders>
            <w:shd w:val="clear" w:color="000000" w:fill="FF0000"/>
            <w:noWrap/>
            <w:vAlign w:val="center"/>
          </w:tcPr>
          <w:p w:rsidR="00DC5CF9" w:rsidRPr="007C76CA" w:rsidRDefault="00DC5CF9" w:rsidP="00DC5CF9">
            <w:pPr>
              <w:jc w:val="center"/>
              <w:rPr>
                <w:rFonts w:asciiTheme="minorHAnsi" w:hAnsiTheme="minorHAnsi" w:cstheme="minorHAnsi"/>
                <w:b/>
                <w:color w:val="000000"/>
                <w:sz w:val="24"/>
                <w:szCs w:val="24"/>
              </w:rPr>
            </w:pPr>
            <w:r>
              <w:rPr>
                <w:rFonts w:asciiTheme="minorHAnsi" w:hAnsiTheme="minorHAnsi" w:cstheme="minorHAnsi"/>
                <w:b/>
                <w:color w:val="000000"/>
                <w:sz w:val="24"/>
                <w:szCs w:val="24"/>
              </w:rPr>
              <w:t>904</w:t>
            </w:r>
          </w:p>
        </w:tc>
        <w:tc>
          <w:tcPr>
            <w:tcW w:w="1134" w:type="dxa"/>
            <w:tcBorders>
              <w:top w:val="single" w:sz="12" w:space="0" w:color="auto"/>
            </w:tcBorders>
            <w:shd w:val="clear" w:color="000000" w:fill="FF0000"/>
            <w:noWrap/>
            <w:vAlign w:val="center"/>
          </w:tcPr>
          <w:p w:rsidR="00DC5CF9" w:rsidRPr="007C76CA" w:rsidRDefault="00DC5CF9" w:rsidP="00DC5CF9">
            <w:pPr>
              <w:jc w:val="center"/>
              <w:rPr>
                <w:rFonts w:asciiTheme="minorHAnsi" w:hAnsiTheme="minorHAnsi" w:cstheme="minorHAnsi"/>
                <w:b/>
                <w:color w:val="000000"/>
                <w:sz w:val="24"/>
                <w:szCs w:val="24"/>
              </w:rPr>
            </w:pPr>
            <w:r>
              <w:rPr>
                <w:rFonts w:asciiTheme="minorHAnsi" w:hAnsiTheme="minorHAnsi" w:cstheme="minorHAnsi"/>
                <w:b/>
                <w:color w:val="000000"/>
                <w:sz w:val="24"/>
                <w:szCs w:val="24"/>
              </w:rPr>
              <w:t>1 269 036</w:t>
            </w:r>
          </w:p>
        </w:tc>
        <w:tc>
          <w:tcPr>
            <w:tcW w:w="709" w:type="dxa"/>
            <w:tcBorders>
              <w:top w:val="single" w:sz="12" w:space="0" w:color="auto"/>
            </w:tcBorders>
            <w:shd w:val="clear" w:color="000000" w:fill="FF0000"/>
            <w:noWrap/>
            <w:vAlign w:val="center"/>
          </w:tcPr>
          <w:p w:rsidR="00DC5CF9" w:rsidRPr="007C76CA" w:rsidRDefault="00DC5CF9" w:rsidP="00DC5CF9">
            <w:pPr>
              <w:jc w:val="center"/>
              <w:rPr>
                <w:rFonts w:asciiTheme="minorHAnsi" w:hAnsiTheme="minorHAnsi" w:cstheme="minorHAnsi"/>
                <w:b/>
                <w:color w:val="000000"/>
                <w:sz w:val="24"/>
                <w:szCs w:val="24"/>
              </w:rPr>
            </w:pPr>
            <w:r>
              <w:rPr>
                <w:rFonts w:asciiTheme="minorHAnsi" w:hAnsiTheme="minorHAnsi" w:cstheme="minorHAnsi"/>
                <w:b/>
                <w:color w:val="000000"/>
                <w:sz w:val="24"/>
                <w:szCs w:val="24"/>
              </w:rPr>
              <w:t>65,1</w:t>
            </w:r>
          </w:p>
        </w:tc>
      </w:tr>
    </w:tbl>
    <w:p w:rsidR="00DC5CF9" w:rsidRDefault="00DC5CF9" w:rsidP="00DC5CF9">
      <w:pPr>
        <w:jc w:val="center"/>
        <w:rPr>
          <w:rFonts w:asciiTheme="minorHAnsi" w:hAnsiTheme="minorHAnsi" w:cstheme="minorHAnsi"/>
          <w:color w:val="000000"/>
          <w:sz w:val="24"/>
          <w:szCs w:val="24"/>
        </w:rPr>
      </w:pPr>
    </w:p>
    <w:p w:rsidR="00DC5CF9" w:rsidRDefault="00DC5CF9" w:rsidP="00DC5CF9">
      <w:pPr>
        <w:jc w:val="center"/>
        <w:rPr>
          <w:rFonts w:asciiTheme="minorHAnsi" w:hAnsiTheme="minorHAnsi" w:cstheme="minorHAnsi"/>
          <w:color w:val="000000"/>
          <w:sz w:val="24"/>
          <w:szCs w:val="24"/>
        </w:rPr>
      </w:pPr>
    </w:p>
    <w:p w:rsidR="00DC5CF9" w:rsidRDefault="00DC5CF9" w:rsidP="00DC5CF9">
      <w:pPr>
        <w:jc w:val="center"/>
        <w:rPr>
          <w:rFonts w:asciiTheme="minorHAnsi" w:hAnsiTheme="minorHAnsi" w:cstheme="minorHAnsi"/>
          <w:color w:val="000000"/>
          <w:sz w:val="24"/>
          <w:szCs w:val="24"/>
        </w:rPr>
      </w:pPr>
    </w:p>
    <w:p w:rsidR="00DC5CF9" w:rsidRDefault="00DC5CF9" w:rsidP="00DC5CF9">
      <w:pPr>
        <w:jc w:val="center"/>
        <w:rPr>
          <w:rFonts w:asciiTheme="minorHAnsi" w:hAnsiTheme="minorHAnsi" w:cstheme="minorHAnsi"/>
          <w:color w:val="000000"/>
          <w:sz w:val="24"/>
          <w:szCs w:val="24"/>
        </w:rPr>
      </w:pPr>
    </w:p>
    <w:p w:rsidR="00DC5CF9" w:rsidRPr="007C76CA" w:rsidRDefault="00DC5CF9" w:rsidP="00DC5CF9">
      <w:pPr>
        <w:pStyle w:val="Nadpis6"/>
        <w:rPr>
          <w:rFonts w:asciiTheme="minorHAnsi" w:hAnsiTheme="minorHAnsi" w:cstheme="minorHAnsi"/>
        </w:rPr>
      </w:pPr>
      <w:r w:rsidRPr="007C76CA">
        <w:rPr>
          <w:rFonts w:asciiTheme="minorHAnsi" w:hAnsiTheme="minorHAnsi" w:cstheme="minorHAnsi"/>
        </w:rPr>
        <w:t>2. Tvorba pracovních míst s finanční pomocí úřadu práce a poskytnuté příspěvky</w:t>
      </w:r>
    </w:p>
    <w:p w:rsidR="00DC5CF9" w:rsidRPr="007C76CA" w:rsidRDefault="00DC5CF9" w:rsidP="00DC5CF9">
      <w:pPr>
        <w:jc w:val="both"/>
        <w:rPr>
          <w:rFonts w:asciiTheme="minorHAnsi" w:hAnsiTheme="minorHAnsi" w:cstheme="minorHAnsi"/>
          <w:sz w:val="24"/>
        </w:rPr>
      </w:pPr>
    </w:p>
    <w:p w:rsidR="00DC5CF9" w:rsidRPr="00971DFC" w:rsidRDefault="00DC5CF9" w:rsidP="00DC5CF9">
      <w:pPr>
        <w:pStyle w:val="Zkladntextodsazen"/>
        <w:rPr>
          <w:rFonts w:asciiTheme="minorHAnsi" w:hAnsiTheme="minorHAnsi" w:cstheme="minorHAnsi"/>
        </w:rPr>
      </w:pPr>
      <w:r w:rsidRPr="00FF3867">
        <w:rPr>
          <w:rFonts w:asciiTheme="minorHAnsi" w:hAnsiTheme="minorHAnsi" w:cstheme="minorHAnsi"/>
        </w:rPr>
        <w:t xml:space="preserve">V roce 2014 vytvořili zaměstnavatelé a uchazeči o zaměstnání s finanční pomocí KrP v Ostravě </w:t>
      </w:r>
      <w:r w:rsidRPr="00FC2582">
        <w:rPr>
          <w:rFonts w:asciiTheme="minorHAnsi" w:hAnsiTheme="minorHAnsi" w:cstheme="minorHAnsi"/>
        </w:rPr>
        <w:t xml:space="preserve">celkem 8 587 pracovních míst, což bylo v meziročním porovnání o 2 575, tj. o 42,8 </w:t>
      </w:r>
      <w:r w:rsidRPr="00971DFC">
        <w:rPr>
          <w:rFonts w:asciiTheme="minorHAnsi" w:hAnsiTheme="minorHAnsi" w:cstheme="minorHAnsi"/>
        </w:rPr>
        <w:t>% více. Z uvedeného úhrnného počtu bylo 1 449 míst financováno z „národní“ APZ a 7 138 z prostředků ESF-OP LZZ.</w:t>
      </w:r>
    </w:p>
    <w:p w:rsidR="00DC5CF9" w:rsidRPr="005F362C" w:rsidRDefault="00DC5CF9" w:rsidP="00DC5CF9">
      <w:pPr>
        <w:ind w:firstLine="708"/>
        <w:jc w:val="both"/>
        <w:rPr>
          <w:rFonts w:asciiTheme="minorHAnsi" w:hAnsiTheme="minorHAnsi" w:cstheme="minorHAnsi"/>
          <w:sz w:val="24"/>
          <w:szCs w:val="24"/>
        </w:rPr>
      </w:pPr>
      <w:r w:rsidRPr="00971DFC">
        <w:rPr>
          <w:rFonts w:asciiTheme="minorHAnsi" w:hAnsiTheme="minorHAnsi" w:cstheme="minorHAnsi"/>
          <w:sz w:val="24"/>
          <w:szCs w:val="24"/>
        </w:rPr>
        <w:t>Vzhledem k tomu, že bylo preferováno financování APZ z prostředků NIP Vzdělávejte se pro růst! - pracovní příležitosti, došlo u většiny nástrojů placených z rozpočtu „národní“ APZ k meziročnímu poklesu počtu pracovních míst, a to nejvýrazněji u nástroje SÚPM vyhrazených</w:t>
      </w:r>
      <w:r w:rsidRPr="00D001DF">
        <w:rPr>
          <w:rFonts w:asciiTheme="minorHAnsi" w:hAnsiTheme="minorHAnsi" w:cstheme="minorHAnsi"/>
          <w:sz w:val="24"/>
          <w:szCs w:val="24"/>
        </w:rPr>
        <w:t xml:space="preserve"> zaměstnavateli (-173, tj. -22,9 %). Naopak nárůst jsme, podle našeho očekávání, vykázali převážně u míst podpořených z NIP Vzdělávejte se pro růst! - pracovní příležitosti, a to u SÚPM </w:t>
      </w:r>
      <w:r w:rsidRPr="005F362C">
        <w:rPr>
          <w:rFonts w:asciiTheme="minorHAnsi" w:hAnsiTheme="minorHAnsi" w:cstheme="minorHAnsi"/>
          <w:sz w:val="24"/>
          <w:szCs w:val="24"/>
        </w:rPr>
        <w:t>vyhrazených (+1 236, tj. +51,6 %) a u VPP (+419, tj. +18,8 %).</w:t>
      </w:r>
    </w:p>
    <w:p w:rsidR="00DC5CF9" w:rsidRPr="005F362C" w:rsidRDefault="00DC5CF9" w:rsidP="00DC5CF9">
      <w:pPr>
        <w:ind w:firstLine="708"/>
        <w:jc w:val="both"/>
        <w:rPr>
          <w:rFonts w:asciiTheme="minorHAnsi" w:hAnsiTheme="minorHAnsi" w:cstheme="minorHAnsi"/>
          <w:sz w:val="24"/>
          <w:szCs w:val="24"/>
        </w:rPr>
      </w:pPr>
      <w:r w:rsidRPr="005F362C">
        <w:rPr>
          <w:rFonts w:asciiTheme="minorHAnsi" w:hAnsiTheme="minorHAnsi" w:cstheme="minorHAnsi"/>
          <w:sz w:val="24"/>
          <w:szCs w:val="24"/>
        </w:rPr>
        <w:t>Příčinou zvýšené celkové tvorby pracovních míst v porovnání s rokem 2013 bylo:</w:t>
      </w:r>
    </w:p>
    <w:p w:rsidR="00DC5CF9" w:rsidRPr="005F362C" w:rsidRDefault="00DC5CF9" w:rsidP="00DC5CF9">
      <w:pPr>
        <w:pStyle w:val="Odstavecseseznamem"/>
        <w:numPr>
          <w:ilvl w:val="0"/>
          <w:numId w:val="9"/>
        </w:numPr>
        <w:tabs>
          <w:tab w:val="clear" w:pos="360"/>
        </w:tabs>
        <w:jc w:val="both"/>
        <w:rPr>
          <w:rFonts w:asciiTheme="minorHAnsi" w:hAnsiTheme="minorHAnsi" w:cstheme="minorHAnsi"/>
          <w:sz w:val="24"/>
          <w:szCs w:val="24"/>
        </w:rPr>
      </w:pPr>
      <w:r w:rsidRPr="005F362C">
        <w:rPr>
          <w:rFonts w:asciiTheme="minorHAnsi" w:hAnsiTheme="minorHAnsi" w:cstheme="minorHAnsi"/>
          <w:sz w:val="24"/>
          <w:szCs w:val="24"/>
        </w:rPr>
        <w:t>přednostní využívání, v největší možné šíři, NIP Vzdělávejte se pro růst! - pracovní příležitosti, který byl prodloužen až do prosince 2015</w:t>
      </w:r>
      <w:r>
        <w:rPr>
          <w:rFonts w:asciiTheme="minorHAnsi" w:hAnsiTheme="minorHAnsi" w:cstheme="minorHAnsi"/>
          <w:sz w:val="24"/>
          <w:szCs w:val="24"/>
        </w:rPr>
        <w:t>, přičemž aktivity musí být ukončeny do 31.10.2015,</w:t>
      </w:r>
    </w:p>
    <w:p w:rsidR="00DC5CF9" w:rsidRPr="005F362C" w:rsidRDefault="00DC5CF9" w:rsidP="00DC5CF9">
      <w:pPr>
        <w:pStyle w:val="Odstavecseseznamem"/>
        <w:numPr>
          <w:ilvl w:val="0"/>
          <w:numId w:val="9"/>
        </w:numPr>
        <w:tabs>
          <w:tab w:val="clear" w:pos="360"/>
        </w:tabs>
        <w:jc w:val="both"/>
        <w:rPr>
          <w:rFonts w:asciiTheme="minorHAnsi" w:hAnsiTheme="minorHAnsi" w:cstheme="minorHAnsi"/>
          <w:sz w:val="24"/>
          <w:szCs w:val="24"/>
        </w:rPr>
      </w:pPr>
      <w:r w:rsidRPr="005F362C">
        <w:rPr>
          <w:rFonts w:asciiTheme="minorHAnsi" w:hAnsiTheme="minorHAnsi" w:cstheme="minorHAnsi"/>
          <w:sz w:val="24"/>
          <w:szCs w:val="24"/>
        </w:rPr>
        <w:t>zvýšený záj</w:t>
      </w:r>
      <w:r>
        <w:rPr>
          <w:rFonts w:asciiTheme="minorHAnsi" w:hAnsiTheme="minorHAnsi" w:cstheme="minorHAnsi"/>
          <w:sz w:val="24"/>
          <w:szCs w:val="24"/>
        </w:rPr>
        <w:t>em</w:t>
      </w:r>
      <w:r w:rsidRPr="005F362C">
        <w:rPr>
          <w:rFonts w:asciiTheme="minorHAnsi" w:hAnsiTheme="minorHAnsi" w:cstheme="minorHAnsi"/>
          <w:sz w:val="24"/>
          <w:szCs w:val="24"/>
        </w:rPr>
        <w:t xml:space="preserve"> zaměstnavatelů o tvorbu míst s příspěvkem ÚP vlivem ne</w:t>
      </w:r>
      <w:r>
        <w:rPr>
          <w:rFonts w:asciiTheme="minorHAnsi" w:hAnsiTheme="minorHAnsi" w:cstheme="minorHAnsi"/>
          <w:sz w:val="24"/>
          <w:szCs w:val="24"/>
        </w:rPr>
        <w:t xml:space="preserve">výrazně zlepšující se </w:t>
      </w:r>
      <w:r w:rsidRPr="005F362C">
        <w:rPr>
          <w:rFonts w:asciiTheme="minorHAnsi" w:hAnsiTheme="minorHAnsi" w:cstheme="minorHAnsi"/>
          <w:sz w:val="24"/>
          <w:szCs w:val="24"/>
        </w:rPr>
        <w:t>ekonomické situace.</w:t>
      </w:r>
    </w:p>
    <w:p w:rsidR="00DC5CF9" w:rsidRPr="007C76CA" w:rsidRDefault="00DC5CF9" w:rsidP="00DC5CF9">
      <w:pPr>
        <w:pStyle w:val="dka"/>
        <w:ind w:right="-2"/>
        <w:jc w:val="both"/>
        <w:rPr>
          <w:rFonts w:asciiTheme="minorHAnsi" w:hAnsiTheme="minorHAnsi" w:cstheme="minorHAnsi"/>
          <w:color w:val="auto"/>
        </w:rPr>
      </w:pPr>
    </w:p>
    <w:p w:rsidR="00DC5CF9" w:rsidRPr="007C76CA" w:rsidRDefault="00DC5CF9" w:rsidP="00DC5CF9">
      <w:pPr>
        <w:pStyle w:val="dka"/>
        <w:ind w:right="-2"/>
        <w:jc w:val="both"/>
        <w:rPr>
          <w:rFonts w:asciiTheme="minorHAnsi" w:hAnsiTheme="minorHAnsi" w:cstheme="minorHAnsi"/>
          <w:color w:val="auto"/>
        </w:rPr>
      </w:pPr>
      <w:r w:rsidRPr="007C76CA">
        <w:rPr>
          <w:rFonts w:asciiTheme="minorHAnsi" w:hAnsiTheme="minorHAnsi" w:cstheme="minorHAnsi"/>
          <w:b/>
          <w:color w:val="auto"/>
        </w:rPr>
        <w:t>Tabulka V/3</w:t>
      </w:r>
      <w:r w:rsidRPr="007C76CA">
        <w:rPr>
          <w:rFonts w:asciiTheme="minorHAnsi" w:hAnsiTheme="minorHAnsi" w:cstheme="minorHAnsi"/>
          <w:color w:val="auto"/>
        </w:rPr>
        <w:t xml:space="preserve"> - Pracovní místa a poskytnuté příspěvky v rámci jednotlivých nástrojů APZ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1134"/>
        <w:gridCol w:w="1134"/>
        <w:gridCol w:w="1276"/>
        <w:gridCol w:w="992"/>
      </w:tblGrid>
      <w:tr w:rsidR="00DC5CF9" w:rsidRPr="007C76CA" w:rsidTr="00DC5CF9">
        <w:trPr>
          <w:cantSplit/>
        </w:trPr>
        <w:tc>
          <w:tcPr>
            <w:tcW w:w="4820" w:type="dxa"/>
            <w:vMerge w:val="restart"/>
            <w:tcBorders>
              <w:top w:val="single" w:sz="12" w:space="0" w:color="auto"/>
              <w:left w:val="single" w:sz="12" w:space="0" w:color="auto"/>
              <w:bottom w:val="nil"/>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nástroj APZ</w:t>
            </w:r>
          </w:p>
        </w:tc>
        <w:tc>
          <w:tcPr>
            <w:tcW w:w="1134" w:type="dxa"/>
            <w:vMerge w:val="restart"/>
            <w:tcBorders>
              <w:top w:val="single" w:sz="12" w:space="0" w:color="auto"/>
              <w:left w:val="nil"/>
              <w:bottom w:val="nil"/>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2013</w:t>
            </w:r>
          </w:p>
        </w:tc>
        <w:tc>
          <w:tcPr>
            <w:tcW w:w="1134" w:type="dxa"/>
            <w:vMerge w:val="restart"/>
            <w:tcBorders>
              <w:top w:val="single" w:sz="12" w:space="0" w:color="auto"/>
              <w:left w:val="nil"/>
              <w:bottom w:val="nil"/>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2014</w:t>
            </w:r>
          </w:p>
        </w:tc>
        <w:tc>
          <w:tcPr>
            <w:tcW w:w="2268" w:type="dxa"/>
            <w:gridSpan w:val="2"/>
            <w:tcBorders>
              <w:top w:val="single" w:sz="12" w:space="0" w:color="auto"/>
              <w:left w:val="nil"/>
              <w:bottom w:val="single" w:sz="4"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rPr>
              <w:t>rozdíl a index 2014/2013</w:t>
            </w:r>
          </w:p>
        </w:tc>
      </w:tr>
      <w:tr w:rsidR="00DC5CF9" w:rsidRPr="007C76CA" w:rsidTr="00DC5CF9">
        <w:trPr>
          <w:cantSplit/>
        </w:trPr>
        <w:tc>
          <w:tcPr>
            <w:tcW w:w="4820" w:type="dxa"/>
            <w:vMerge/>
            <w:tcBorders>
              <w:top w:val="nil"/>
              <w:left w:val="single" w:sz="12" w:space="0" w:color="auto"/>
              <w:bottom w:val="single" w:sz="12"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p>
        </w:tc>
        <w:tc>
          <w:tcPr>
            <w:tcW w:w="1134" w:type="dxa"/>
            <w:vMerge/>
            <w:tcBorders>
              <w:top w:val="nil"/>
              <w:left w:val="nil"/>
              <w:bottom w:val="single" w:sz="12" w:space="0" w:color="auto"/>
            </w:tcBorders>
          </w:tcPr>
          <w:p w:rsidR="00DC5CF9" w:rsidRPr="007C76CA" w:rsidRDefault="00DC5CF9" w:rsidP="00DC5CF9">
            <w:pPr>
              <w:pStyle w:val="Texttabulky"/>
              <w:jc w:val="center"/>
              <w:rPr>
                <w:rFonts w:asciiTheme="minorHAnsi" w:hAnsiTheme="minorHAnsi" w:cstheme="minorHAnsi"/>
                <w:color w:val="auto"/>
              </w:rPr>
            </w:pPr>
          </w:p>
        </w:tc>
        <w:tc>
          <w:tcPr>
            <w:tcW w:w="1134" w:type="dxa"/>
            <w:vMerge/>
            <w:tcBorders>
              <w:top w:val="nil"/>
              <w:left w:val="nil"/>
              <w:bottom w:val="single" w:sz="12"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p>
        </w:tc>
        <w:tc>
          <w:tcPr>
            <w:tcW w:w="1276" w:type="dxa"/>
            <w:tcBorders>
              <w:top w:val="nil"/>
              <w:left w:val="nil"/>
              <w:bottom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absolutně</w:t>
            </w:r>
          </w:p>
        </w:tc>
        <w:tc>
          <w:tcPr>
            <w:tcW w:w="992" w:type="dxa"/>
            <w:tcBorders>
              <w:top w:val="nil"/>
              <w:bottom w:val="single" w:sz="12"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v %</w:t>
            </w:r>
          </w:p>
        </w:tc>
      </w:tr>
      <w:tr w:rsidR="00DC5CF9" w:rsidRPr="007C76CA" w:rsidTr="00DC5CF9">
        <w:trPr>
          <w:cantSplit/>
        </w:trPr>
        <w:tc>
          <w:tcPr>
            <w:tcW w:w="9356" w:type="dxa"/>
            <w:gridSpan w:val="5"/>
            <w:tcBorders>
              <w:top w:val="single" w:sz="12" w:space="0" w:color="auto"/>
              <w:left w:val="single" w:sz="12" w:space="0" w:color="auto"/>
              <w:bottom w:val="single" w:sz="12" w:space="0" w:color="auto"/>
              <w:right w:val="single" w:sz="12" w:space="0" w:color="auto"/>
            </w:tcBorders>
            <w:shd w:val="pct40" w:color="auto" w:fill="auto"/>
          </w:tcPr>
          <w:p w:rsidR="00DC5CF9" w:rsidRPr="007C76CA" w:rsidRDefault="00DC5CF9" w:rsidP="00DC5CF9">
            <w:pPr>
              <w:pStyle w:val="Texttabulky"/>
              <w:jc w:val="center"/>
              <w:rPr>
                <w:rFonts w:asciiTheme="minorHAnsi" w:hAnsiTheme="minorHAnsi" w:cstheme="minorHAnsi"/>
                <w:b/>
                <w:bCs/>
                <w:i/>
                <w:iCs/>
                <w:color w:val="auto"/>
              </w:rPr>
            </w:pPr>
            <w:r w:rsidRPr="007C76CA">
              <w:rPr>
                <w:rFonts w:asciiTheme="minorHAnsi" w:hAnsiTheme="minorHAnsi" w:cstheme="minorHAnsi"/>
                <w:b/>
                <w:bCs/>
                <w:i/>
                <w:iCs/>
                <w:color w:val="auto"/>
              </w:rPr>
              <w:t>pracovní místa podle nástrojů APZ</w:t>
            </w:r>
          </w:p>
        </w:tc>
      </w:tr>
      <w:tr w:rsidR="00DC5CF9" w:rsidRPr="007C76CA" w:rsidTr="00DC5CF9">
        <w:tc>
          <w:tcPr>
            <w:tcW w:w="4820" w:type="dxa"/>
            <w:tcBorders>
              <w:top w:val="single" w:sz="12" w:space="0" w:color="auto"/>
              <w:left w:val="single" w:sz="12"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 xml:space="preserve">SÚPM - SVČ zřízená uchazeči o zaměstnání </w:t>
            </w:r>
          </w:p>
        </w:tc>
        <w:tc>
          <w:tcPr>
            <w:tcW w:w="1134" w:type="dxa"/>
            <w:tcBorders>
              <w:top w:val="single" w:sz="12" w:space="0" w:color="auto"/>
              <w:left w:val="nil"/>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336</w:t>
            </w:r>
          </w:p>
        </w:tc>
        <w:tc>
          <w:tcPr>
            <w:tcW w:w="1134" w:type="dxa"/>
            <w:tcBorders>
              <w:top w:val="single" w:sz="12" w:space="0" w:color="auto"/>
              <w:left w:val="nil"/>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333</w:t>
            </w:r>
          </w:p>
        </w:tc>
        <w:tc>
          <w:tcPr>
            <w:tcW w:w="1276" w:type="dxa"/>
            <w:tcBorders>
              <w:top w:val="single" w:sz="4" w:space="0" w:color="auto"/>
              <w:left w:val="nil"/>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-3</w:t>
            </w:r>
          </w:p>
        </w:tc>
        <w:tc>
          <w:tcPr>
            <w:tcW w:w="992" w:type="dxa"/>
            <w:tcBorders>
              <w:top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99,1</w:t>
            </w:r>
          </w:p>
        </w:tc>
      </w:tr>
      <w:tr w:rsidR="00DC5CF9" w:rsidRPr="007C76CA" w:rsidTr="00DC5CF9">
        <w:tc>
          <w:tcPr>
            <w:tcW w:w="4820" w:type="dxa"/>
            <w:tcBorders>
              <w:top w:val="nil"/>
              <w:left w:val="single" w:sz="12" w:space="0" w:color="auto"/>
              <w:right w:val="single" w:sz="12" w:space="0" w:color="auto"/>
            </w:tcBorders>
          </w:tcPr>
          <w:p w:rsidR="00DC5CF9" w:rsidRPr="007C76CA" w:rsidRDefault="00DC5CF9" w:rsidP="00DC5CF9">
            <w:pPr>
              <w:pStyle w:val="Texttabulky"/>
              <w:rPr>
                <w:rFonts w:asciiTheme="minorHAnsi" w:hAnsiTheme="minorHAnsi" w:cstheme="minorHAnsi"/>
                <w:color w:val="auto"/>
                <w:vertAlign w:val="superscript"/>
              </w:rPr>
            </w:pPr>
            <w:r w:rsidRPr="007C76CA">
              <w:rPr>
                <w:rFonts w:asciiTheme="minorHAnsi" w:hAnsiTheme="minorHAnsi" w:cstheme="minorHAnsi"/>
                <w:color w:val="auto"/>
              </w:rPr>
              <w:t>SÚPM zřízená zaměstnavateli</w:t>
            </w:r>
          </w:p>
        </w:tc>
        <w:tc>
          <w:tcPr>
            <w:tcW w:w="1134" w:type="dxa"/>
            <w:tcBorders>
              <w:top w:val="single" w:sz="4" w:space="0" w:color="auto"/>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50</w:t>
            </w:r>
          </w:p>
        </w:tc>
        <w:tc>
          <w:tcPr>
            <w:tcW w:w="1134" w:type="dxa"/>
            <w:tcBorders>
              <w:top w:val="nil"/>
              <w:left w:val="nil"/>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48</w:t>
            </w:r>
          </w:p>
        </w:tc>
        <w:tc>
          <w:tcPr>
            <w:tcW w:w="1276" w:type="dxa"/>
            <w:tcBorders>
              <w:top w:val="nil"/>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-2</w:t>
            </w:r>
          </w:p>
        </w:tc>
        <w:tc>
          <w:tcPr>
            <w:tcW w:w="992" w:type="dxa"/>
            <w:tcBorders>
              <w:top w:val="nil"/>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96,0</w:t>
            </w:r>
          </w:p>
        </w:tc>
      </w:tr>
      <w:tr w:rsidR="00DC5CF9" w:rsidRPr="007C76CA" w:rsidTr="00DC5CF9">
        <w:tc>
          <w:tcPr>
            <w:tcW w:w="4820" w:type="dxa"/>
            <w:tcBorders>
              <w:top w:val="nil"/>
              <w:left w:val="single" w:sz="12"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SÚPM vyhrazená zaměstnavateli</w:t>
            </w:r>
          </w:p>
        </w:tc>
        <w:tc>
          <w:tcPr>
            <w:tcW w:w="1134" w:type="dxa"/>
            <w:tcBorders>
              <w:top w:val="single" w:sz="4" w:space="0" w:color="auto"/>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754</w:t>
            </w:r>
          </w:p>
        </w:tc>
        <w:tc>
          <w:tcPr>
            <w:tcW w:w="1134" w:type="dxa"/>
            <w:tcBorders>
              <w:top w:val="nil"/>
              <w:left w:val="nil"/>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581</w:t>
            </w:r>
          </w:p>
        </w:tc>
        <w:tc>
          <w:tcPr>
            <w:tcW w:w="1276" w:type="dxa"/>
            <w:tcBorders>
              <w:top w:val="nil"/>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-173</w:t>
            </w:r>
          </w:p>
        </w:tc>
        <w:tc>
          <w:tcPr>
            <w:tcW w:w="992" w:type="dxa"/>
            <w:tcBorders>
              <w:top w:val="nil"/>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77,1</w:t>
            </w:r>
          </w:p>
        </w:tc>
      </w:tr>
      <w:tr w:rsidR="00DC5CF9" w:rsidRPr="007C76CA" w:rsidTr="00DC5CF9">
        <w:tc>
          <w:tcPr>
            <w:tcW w:w="4820" w:type="dxa"/>
            <w:tcBorders>
              <w:left w:val="single" w:sz="12" w:space="0" w:color="auto"/>
              <w:bottom w:val="single" w:sz="4"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SÚPM - ESF-OP LZZ (NIP)</w:t>
            </w:r>
          </w:p>
        </w:tc>
        <w:tc>
          <w:tcPr>
            <w:tcW w:w="1134" w:type="dxa"/>
            <w:tcBorders>
              <w:left w:val="single" w:sz="12" w:space="0" w:color="auto"/>
              <w:bottom w:val="single" w:sz="4" w:space="0" w:color="auto"/>
              <w:right w:val="single" w:sz="4"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2 396</w:t>
            </w:r>
          </w:p>
        </w:tc>
        <w:tc>
          <w:tcPr>
            <w:tcW w:w="1134" w:type="dxa"/>
            <w:tcBorders>
              <w:left w:val="single" w:sz="4" w:space="0" w:color="auto"/>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3 632</w:t>
            </w:r>
          </w:p>
        </w:tc>
        <w:tc>
          <w:tcPr>
            <w:tcW w:w="1276"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+1 236</w:t>
            </w:r>
          </w:p>
        </w:tc>
        <w:tc>
          <w:tcPr>
            <w:tcW w:w="992" w:type="dxa"/>
            <w:tcBorders>
              <w:bottom w:val="single" w:sz="4" w:space="0" w:color="auto"/>
              <w:right w:val="single" w:sz="12"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151,6</w:t>
            </w:r>
          </w:p>
        </w:tc>
      </w:tr>
      <w:tr w:rsidR="00DC5CF9" w:rsidRPr="007C76CA" w:rsidTr="00DC5CF9">
        <w:tc>
          <w:tcPr>
            <w:tcW w:w="4820" w:type="dxa"/>
            <w:tcBorders>
              <w:left w:val="single" w:sz="12" w:space="0" w:color="auto"/>
              <w:bottom w:val="single" w:sz="4"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VPP</w:t>
            </w:r>
          </w:p>
        </w:tc>
        <w:tc>
          <w:tcPr>
            <w:tcW w:w="1134"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108</w:t>
            </w:r>
          </w:p>
        </w:tc>
        <w:tc>
          <w:tcPr>
            <w:tcW w:w="1134" w:type="dxa"/>
            <w:tcBorders>
              <w:left w:val="nil"/>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226</w:t>
            </w:r>
          </w:p>
        </w:tc>
        <w:tc>
          <w:tcPr>
            <w:tcW w:w="1276"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+118</w:t>
            </w:r>
          </w:p>
        </w:tc>
        <w:tc>
          <w:tcPr>
            <w:tcW w:w="992" w:type="dxa"/>
            <w:tcBorders>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209,3</w:t>
            </w:r>
          </w:p>
        </w:tc>
      </w:tr>
      <w:tr w:rsidR="00DC5CF9" w:rsidRPr="007C76CA" w:rsidTr="00DC5CF9">
        <w:tc>
          <w:tcPr>
            <w:tcW w:w="4820" w:type="dxa"/>
            <w:tcBorders>
              <w:left w:val="single" w:sz="12" w:space="0" w:color="auto"/>
              <w:bottom w:val="single" w:sz="4"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VPP - ESF-OP LZZ (NIP)</w:t>
            </w:r>
          </w:p>
        </w:tc>
        <w:tc>
          <w:tcPr>
            <w:tcW w:w="1134" w:type="dxa"/>
            <w:tcBorders>
              <w:left w:val="single" w:sz="12" w:space="0" w:color="auto"/>
              <w:bottom w:val="single" w:sz="4" w:space="0" w:color="auto"/>
              <w:right w:val="single" w:sz="4"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2 229</w:t>
            </w:r>
          </w:p>
        </w:tc>
        <w:tc>
          <w:tcPr>
            <w:tcW w:w="1134" w:type="dxa"/>
            <w:tcBorders>
              <w:left w:val="single" w:sz="4" w:space="0" w:color="auto"/>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2 648</w:t>
            </w:r>
          </w:p>
        </w:tc>
        <w:tc>
          <w:tcPr>
            <w:tcW w:w="1276"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+419</w:t>
            </w:r>
          </w:p>
        </w:tc>
        <w:tc>
          <w:tcPr>
            <w:tcW w:w="992" w:type="dxa"/>
            <w:tcBorders>
              <w:bottom w:val="single" w:sz="4" w:space="0" w:color="auto"/>
              <w:right w:val="single" w:sz="12"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118,8</w:t>
            </w:r>
          </w:p>
        </w:tc>
      </w:tr>
      <w:tr w:rsidR="00DC5CF9" w:rsidRPr="007C76CA" w:rsidTr="00DC5CF9">
        <w:tc>
          <w:tcPr>
            <w:tcW w:w="4820" w:type="dxa"/>
            <w:tcBorders>
              <w:left w:val="single" w:sz="12" w:space="0" w:color="auto"/>
              <w:bottom w:val="single" w:sz="4" w:space="0" w:color="auto"/>
              <w:right w:val="single" w:sz="12" w:space="0" w:color="auto"/>
            </w:tcBorders>
            <w:vAlign w:val="center"/>
          </w:tcPr>
          <w:p w:rsidR="00DC5CF9" w:rsidRPr="007C76CA" w:rsidRDefault="00DC5CF9" w:rsidP="00DC5CF9">
            <w:pPr>
              <w:pStyle w:val="Texttabulky"/>
              <w:rPr>
                <w:rFonts w:asciiTheme="minorHAnsi" w:hAnsiTheme="minorHAnsi" w:cstheme="minorHAnsi"/>
                <w:bCs/>
                <w:color w:val="auto"/>
              </w:rPr>
            </w:pPr>
            <w:r w:rsidRPr="007C76CA">
              <w:rPr>
                <w:rFonts w:asciiTheme="minorHAnsi" w:hAnsiTheme="minorHAnsi" w:cstheme="minorHAnsi"/>
                <w:bCs/>
                <w:color w:val="auto"/>
              </w:rPr>
              <w:t>CHPM - SVČ osob se ZP</w:t>
            </w:r>
          </w:p>
        </w:tc>
        <w:tc>
          <w:tcPr>
            <w:tcW w:w="1134"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6</w:t>
            </w:r>
          </w:p>
        </w:tc>
        <w:tc>
          <w:tcPr>
            <w:tcW w:w="1134" w:type="dxa"/>
            <w:tcBorders>
              <w:left w:val="nil"/>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0</w:t>
            </w:r>
          </w:p>
        </w:tc>
        <w:tc>
          <w:tcPr>
            <w:tcW w:w="1276" w:type="dxa"/>
            <w:tcBorders>
              <w:left w:val="nil"/>
              <w:bottom w:val="single" w:sz="4"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-6</w:t>
            </w:r>
          </w:p>
        </w:tc>
        <w:tc>
          <w:tcPr>
            <w:tcW w:w="992" w:type="dxa"/>
            <w:tcBorders>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0,0</w:t>
            </w:r>
          </w:p>
        </w:tc>
      </w:tr>
      <w:tr w:rsidR="00DC5CF9" w:rsidRPr="007C76CA" w:rsidTr="00DC5CF9">
        <w:tc>
          <w:tcPr>
            <w:tcW w:w="4820" w:type="dxa"/>
            <w:tcBorders>
              <w:top w:val="single" w:sz="4" w:space="0" w:color="auto"/>
              <w:left w:val="single" w:sz="12" w:space="0" w:color="auto"/>
              <w:bottom w:val="single" w:sz="6" w:space="0" w:color="auto"/>
              <w:right w:val="single" w:sz="12" w:space="0" w:color="auto"/>
            </w:tcBorders>
            <w:vAlign w:val="center"/>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CHPM zřízená zaměstnavateli</w:t>
            </w:r>
          </w:p>
        </w:tc>
        <w:tc>
          <w:tcPr>
            <w:tcW w:w="1134" w:type="dxa"/>
            <w:tcBorders>
              <w:top w:val="single" w:sz="4" w:space="0" w:color="auto"/>
              <w:left w:val="nil"/>
              <w:bottom w:val="single" w:sz="6"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86</w:t>
            </w:r>
          </w:p>
        </w:tc>
        <w:tc>
          <w:tcPr>
            <w:tcW w:w="1134" w:type="dxa"/>
            <w:tcBorders>
              <w:top w:val="single" w:sz="4" w:space="0" w:color="auto"/>
              <w:left w:val="nil"/>
              <w:bottom w:val="single" w:sz="6"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261</w:t>
            </w:r>
          </w:p>
        </w:tc>
        <w:tc>
          <w:tcPr>
            <w:tcW w:w="1276" w:type="dxa"/>
            <w:tcBorders>
              <w:top w:val="single" w:sz="4" w:space="0" w:color="auto"/>
              <w:left w:val="nil"/>
              <w:bottom w:val="single" w:sz="6"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+175</w:t>
            </w:r>
          </w:p>
        </w:tc>
        <w:tc>
          <w:tcPr>
            <w:tcW w:w="992" w:type="dxa"/>
            <w:tcBorders>
              <w:top w:val="single" w:sz="4" w:space="0" w:color="auto"/>
              <w:bottom w:val="single" w:sz="6" w:space="0" w:color="auto"/>
              <w:right w:val="single" w:sz="12" w:space="0" w:color="auto"/>
            </w:tcBorders>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303,5</w:t>
            </w:r>
          </w:p>
        </w:tc>
      </w:tr>
      <w:tr w:rsidR="00DC5CF9" w:rsidRPr="007C76CA" w:rsidTr="00DC5CF9">
        <w:tc>
          <w:tcPr>
            <w:tcW w:w="4820" w:type="dxa"/>
            <w:tcBorders>
              <w:top w:val="single" w:sz="4" w:space="0" w:color="auto"/>
              <w:left w:val="single" w:sz="12" w:space="0" w:color="auto"/>
              <w:bottom w:val="single" w:sz="6" w:space="0" w:color="auto"/>
              <w:right w:val="single" w:sz="12" w:space="0" w:color="auto"/>
            </w:tcBorders>
            <w:vAlign w:val="center"/>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cílené programy RIP ESF-OP LZZ</w:t>
            </w:r>
          </w:p>
        </w:tc>
        <w:tc>
          <w:tcPr>
            <w:tcW w:w="1134" w:type="dxa"/>
            <w:tcBorders>
              <w:top w:val="single" w:sz="4" w:space="0" w:color="auto"/>
              <w:left w:val="nil"/>
              <w:bottom w:val="single" w:sz="6" w:space="0" w:color="auto"/>
            </w:tcBorders>
            <w:vAlign w:val="center"/>
          </w:tcPr>
          <w:p w:rsidR="00DC5CF9" w:rsidRPr="007C76CA" w:rsidRDefault="00DC5CF9" w:rsidP="00DC5CF9">
            <w:pPr>
              <w:jc w:val="center"/>
              <w:rPr>
                <w:rFonts w:asciiTheme="minorHAnsi" w:hAnsiTheme="minorHAnsi" w:cstheme="minorHAnsi"/>
                <w:sz w:val="24"/>
              </w:rPr>
            </w:pPr>
            <w:r w:rsidRPr="007C76CA">
              <w:rPr>
                <w:rFonts w:asciiTheme="minorHAnsi" w:hAnsiTheme="minorHAnsi" w:cstheme="minorHAnsi"/>
                <w:sz w:val="24"/>
              </w:rPr>
              <w:t>47</w:t>
            </w:r>
          </w:p>
        </w:tc>
        <w:tc>
          <w:tcPr>
            <w:tcW w:w="1134" w:type="dxa"/>
            <w:tcBorders>
              <w:top w:val="single" w:sz="4" w:space="0" w:color="auto"/>
              <w:left w:val="nil"/>
              <w:bottom w:val="single" w:sz="6" w:space="0" w:color="auto"/>
              <w:right w:val="single" w:sz="12" w:space="0" w:color="auto"/>
            </w:tcBorders>
            <w:vAlign w:val="center"/>
          </w:tcPr>
          <w:p w:rsidR="00DC5CF9" w:rsidRPr="00FC2582" w:rsidRDefault="00DC5CF9" w:rsidP="00DC5CF9">
            <w:pPr>
              <w:jc w:val="center"/>
              <w:rPr>
                <w:rFonts w:asciiTheme="minorHAnsi" w:hAnsiTheme="minorHAnsi" w:cstheme="minorHAnsi"/>
                <w:sz w:val="24"/>
              </w:rPr>
            </w:pPr>
            <w:r w:rsidRPr="00FC2582">
              <w:rPr>
                <w:rFonts w:asciiTheme="minorHAnsi" w:hAnsiTheme="minorHAnsi" w:cstheme="minorHAnsi"/>
                <w:sz w:val="24"/>
              </w:rPr>
              <w:t>858</w:t>
            </w:r>
          </w:p>
        </w:tc>
        <w:tc>
          <w:tcPr>
            <w:tcW w:w="1276" w:type="dxa"/>
            <w:tcBorders>
              <w:top w:val="single" w:sz="4" w:space="0" w:color="auto"/>
              <w:left w:val="nil"/>
              <w:bottom w:val="single" w:sz="6" w:space="0" w:color="auto"/>
            </w:tcBorders>
            <w:vAlign w:val="center"/>
          </w:tcPr>
          <w:p w:rsidR="00DC5CF9" w:rsidRPr="00FC2582" w:rsidRDefault="00DC5CF9" w:rsidP="00DC5CF9">
            <w:pPr>
              <w:jc w:val="center"/>
              <w:rPr>
                <w:rFonts w:asciiTheme="minorHAnsi" w:hAnsiTheme="minorHAnsi" w:cstheme="minorHAnsi"/>
                <w:sz w:val="24"/>
              </w:rPr>
            </w:pPr>
            <w:r w:rsidRPr="00FC2582">
              <w:rPr>
                <w:rFonts w:asciiTheme="minorHAnsi" w:hAnsiTheme="minorHAnsi" w:cstheme="minorHAnsi"/>
                <w:sz w:val="24"/>
              </w:rPr>
              <w:t>+811</w:t>
            </w:r>
          </w:p>
        </w:tc>
        <w:tc>
          <w:tcPr>
            <w:tcW w:w="992" w:type="dxa"/>
            <w:tcBorders>
              <w:top w:val="single" w:sz="4" w:space="0" w:color="auto"/>
              <w:bottom w:val="single" w:sz="6" w:space="0" w:color="auto"/>
              <w:right w:val="single" w:sz="12" w:space="0" w:color="auto"/>
            </w:tcBorders>
            <w:vAlign w:val="center"/>
          </w:tcPr>
          <w:p w:rsidR="00DC5CF9" w:rsidRPr="00FC2582" w:rsidRDefault="00DC5CF9" w:rsidP="00DC5CF9">
            <w:pPr>
              <w:jc w:val="center"/>
              <w:rPr>
                <w:rFonts w:asciiTheme="minorHAnsi" w:hAnsiTheme="minorHAnsi" w:cstheme="minorHAnsi"/>
                <w:sz w:val="24"/>
              </w:rPr>
            </w:pPr>
            <w:r w:rsidRPr="00FC2582">
              <w:rPr>
                <w:rFonts w:asciiTheme="minorHAnsi" w:hAnsiTheme="minorHAnsi" w:cstheme="minorHAnsi"/>
                <w:sz w:val="24"/>
              </w:rPr>
              <w:t>1 825,5</w:t>
            </w:r>
          </w:p>
        </w:tc>
      </w:tr>
      <w:tr w:rsidR="00DC5CF9" w:rsidRPr="007C76CA" w:rsidTr="00DC5CF9">
        <w:tc>
          <w:tcPr>
            <w:tcW w:w="4820" w:type="dxa"/>
            <w:tcBorders>
              <w:top w:val="single" w:sz="12" w:space="0" w:color="auto"/>
              <w:left w:val="single" w:sz="12" w:space="0" w:color="auto"/>
              <w:bottom w:val="single" w:sz="12" w:space="0" w:color="auto"/>
              <w:right w:val="single" w:sz="12" w:space="0" w:color="auto"/>
            </w:tcBorders>
          </w:tcPr>
          <w:p w:rsidR="00DC5CF9" w:rsidRPr="007C76CA" w:rsidRDefault="00DC5CF9" w:rsidP="00DC5CF9">
            <w:pPr>
              <w:pStyle w:val="Texttabulky"/>
              <w:rPr>
                <w:rFonts w:asciiTheme="minorHAnsi" w:hAnsiTheme="minorHAnsi" w:cstheme="minorHAnsi"/>
                <w:b/>
                <w:color w:val="auto"/>
              </w:rPr>
            </w:pPr>
            <w:r w:rsidRPr="007C76CA">
              <w:rPr>
                <w:rFonts w:asciiTheme="minorHAnsi" w:hAnsiTheme="minorHAnsi" w:cstheme="minorHAnsi"/>
                <w:b/>
                <w:color w:val="auto"/>
              </w:rPr>
              <w:t>pracovní místa APZ celkem</w:t>
            </w:r>
          </w:p>
        </w:tc>
        <w:tc>
          <w:tcPr>
            <w:tcW w:w="1134" w:type="dxa"/>
            <w:tcBorders>
              <w:top w:val="single" w:sz="12" w:space="0" w:color="auto"/>
              <w:left w:val="nil"/>
              <w:bottom w:val="single" w:sz="12" w:space="0" w:color="auto"/>
            </w:tcBorders>
            <w:vAlign w:val="center"/>
          </w:tcPr>
          <w:p w:rsidR="00DC5CF9" w:rsidRPr="007C76CA" w:rsidRDefault="00DC5CF9" w:rsidP="00DC5CF9">
            <w:pPr>
              <w:jc w:val="center"/>
              <w:rPr>
                <w:rFonts w:asciiTheme="minorHAnsi" w:hAnsiTheme="minorHAnsi" w:cstheme="minorHAnsi"/>
                <w:b/>
                <w:sz w:val="24"/>
              </w:rPr>
            </w:pPr>
            <w:r w:rsidRPr="007C76CA">
              <w:rPr>
                <w:rFonts w:asciiTheme="minorHAnsi" w:hAnsiTheme="minorHAnsi" w:cstheme="minorHAnsi"/>
                <w:b/>
                <w:sz w:val="24"/>
              </w:rPr>
              <w:t>6 012</w:t>
            </w:r>
          </w:p>
        </w:tc>
        <w:tc>
          <w:tcPr>
            <w:tcW w:w="1134" w:type="dxa"/>
            <w:tcBorders>
              <w:top w:val="single" w:sz="12" w:space="0" w:color="auto"/>
              <w:left w:val="nil"/>
              <w:bottom w:val="single" w:sz="12" w:space="0" w:color="auto"/>
              <w:right w:val="single" w:sz="12" w:space="0" w:color="auto"/>
            </w:tcBorders>
            <w:vAlign w:val="center"/>
          </w:tcPr>
          <w:p w:rsidR="00DC5CF9" w:rsidRPr="00FC2582" w:rsidRDefault="00DC5CF9" w:rsidP="00DC5CF9">
            <w:pPr>
              <w:jc w:val="center"/>
              <w:rPr>
                <w:rFonts w:asciiTheme="minorHAnsi" w:hAnsiTheme="minorHAnsi" w:cstheme="minorHAnsi"/>
                <w:b/>
                <w:sz w:val="24"/>
              </w:rPr>
            </w:pPr>
            <w:r w:rsidRPr="00FC2582">
              <w:rPr>
                <w:rFonts w:asciiTheme="minorHAnsi" w:hAnsiTheme="minorHAnsi" w:cstheme="minorHAnsi"/>
                <w:b/>
                <w:sz w:val="24"/>
              </w:rPr>
              <w:t>8 587</w:t>
            </w:r>
          </w:p>
        </w:tc>
        <w:tc>
          <w:tcPr>
            <w:tcW w:w="1276" w:type="dxa"/>
            <w:tcBorders>
              <w:top w:val="single" w:sz="12" w:space="0" w:color="auto"/>
              <w:left w:val="nil"/>
              <w:bottom w:val="single" w:sz="12" w:space="0" w:color="auto"/>
            </w:tcBorders>
            <w:vAlign w:val="center"/>
          </w:tcPr>
          <w:p w:rsidR="00DC5CF9" w:rsidRPr="00FC2582" w:rsidRDefault="00DC5CF9" w:rsidP="00DC5CF9">
            <w:pPr>
              <w:jc w:val="center"/>
              <w:rPr>
                <w:rFonts w:asciiTheme="minorHAnsi" w:hAnsiTheme="minorHAnsi" w:cstheme="minorHAnsi"/>
                <w:b/>
                <w:sz w:val="24"/>
              </w:rPr>
            </w:pPr>
            <w:r w:rsidRPr="00FC2582">
              <w:rPr>
                <w:rFonts w:asciiTheme="minorHAnsi" w:hAnsiTheme="minorHAnsi" w:cstheme="minorHAnsi"/>
                <w:b/>
                <w:sz w:val="24"/>
              </w:rPr>
              <w:t>+2 575</w:t>
            </w:r>
          </w:p>
        </w:tc>
        <w:tc>
          <w:tcPr>
            <w:tcW w:w="992" w:type="dxa"/>
            <w:tcBorders>
              <w:top w:val="single" w:sz="12" w:space="0" w:color="auto"/>
              <w:bottom w:val="single" w:sz="12" w:space="0" w:color="auto"/>
              <w:right w:val="single" w:sz="12" w:space="0" w:color="auto"/>
            </w:tcBorders>
            <w:vAlign w:val="center"/>
          </w:tcPr>
          <w:p w:rsidR="00DC5CF9" w:rsidRPr="00FC2582" w:rsidRDefault="00DC5CF9" w:rsidP="00DC5CF9">
            <w:pPr>
              <w:jc w:val="center"/>
              <w:rPr>
                <w:rFonts w:asciiTheme="minorHAnsi" w:hAnsiTheme="minorHAnsi" w:cstheme="minorHAnsi"/>
                <w:b/>
                <w:sz w:val="24"/>
              </w:rPr>
            </w:pPr>
            <w:r w:rsidRPr="00FC2582">
              <w:rPr>
                <w:rFonts w:asciiTheme="minorHAnsi" w:hAnsiTheme="minorHAnsi" w:cstheme="minorHAnsi"/>
                <w:b/>
                <w:sz w:val="24"/>
              </w:rPr>
              <w:t>142,8</w:t>
            </w:r>
          </w:p>
        </w:tc>
      </w:tr>
      <w:tr w:rsidR="00DC5CF9" w:rsidRPr="007C76CA" w:rsidTr="00DC5CF9">
        <w:trPr>
          <w:cantSplit/>
        </w:trPr>
        <w:tc>
          <w:tcPr>
            <w:tcW w:w="9356" w:type="dxa"/>
            <w:gridSpan w:val="5"/>
            <w:tcBorders>
              <w:top w:val="single" w:sz="12" w:space="0" w:color="auto"/>
              <w:left w:val="single" w:sz="12" w:space="0" w:color="auto"/>
              <w:bottom w:val="single" w:sz="12" w:space="0" w:color="auto"/>
              <w:right w:val="single" w:sz="12" w:space="0" w:color="auto"/>
            </w:tcBorders>
            <w:shd w:val="pct40" w:color="auto" w:fill="auto"/>
          </w:tcPr>
          <w:p w:rsidR="00DC5CF9" w:rsidRPr="007C76CA" w:rsidRDefault="00DC5CF9" w:rsidP="00DC5CF9">
            <w:pPr>
              <w:pStyle w:val="Texttabulky"/>
              <w:jc w:val="center"/>
              <w:rPr>
                <w:rFonts w:asciiTheme="minorHAnsi" w:hAnsiTheme="minorHAnsi" w:cstheme="minorHAnsi"/>
                <w:b/>
                <w:bCs/>
                <w:i/>
                <w:iCs/>
                <w:snapToGrid/>
                <w:color w:val="auto"/>
              </w:rPr>
            </w:pPr>
            <w:r w:rsidRPr="007C76CA">
              <w:rPr>
                <w:rFonts w:asciiTheme="minorHAnsi" w:hAnsiTheme="minorHAnsi" w:cstheme="minorHAnsi"/>
                <w:b/>
                <w:bCs/>
                <w:i/>
                <w:iCs/>
                <w:snapToGrid/>
                <w:color w:val="auto"/>
              </w:rPr>
              <w:t>příspěvky poskytnuté osobám/na zaměstnance</w:t>
            </w:r>
          </w:p>
        </w:tc>
      </w:tr>
      <w:tr w:rsidR="00DC5CF9" w:rsidRPr="007C76CA" w:rsidTr="00DC5CF9">
        <w:tc>
          <w:tcPr>
            <w:tcW w:w="4820" w:type="dxa"/>
            <w:tcBorders>
              <w:top w:val="single" w:sz="4" w:space="0" w:color="auto"/>
              <w:left w:val="single" w:sz="12" w:space="0" w:color="auto"/>
              <w:bottom w:val="single" w:sz="4"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překlenovací příspěvek</w:t>
            </w:r>
          </w:p>
        </w:tc>
        <w:tc>
          <w:tcPr>
            <w:tcW w:w="1134" w:type="dxa"/>
            <w:tcBorders>
              <w:top w:val="single" w:sz="4" w:space="0" w:color="auto"/>
              <w:left w:val="nil"/>
              <w:bottom w:val="single" w:sz="4" w:space="0" w:color="auto"/>
            </w:tcBorders>
            <w:shd w:val="clear" w:color="auto" w:fill="auto"/>
            <w:vAlign w:val="center"/>
          </w:tcPr>
          <w:p w:rsidR="00DC5CF9" w:rsidRPr="007C76CA" w:rsidRDefault="00DC5CF9" w:rsidP="00DC5CF9">
            <w:pPr>
              <w:jc w:val="center"/>
              <w:rPr>
                <w:rFonts w:asciiTheme="minorHAnsi" w:hAnsiTheme="minorHAnsi" w:cstheme="minorHAnsi"/>
                <w:bCs/>
                <w:sz w:val="24"/>
              </w:rPr>
            </w:pPr>
            <w:r w:rsidRPr="007C76CA">
              <w:rPr>
                <w:rFonts w:asciiTheme="minorHAnsi" w:hAnsiTheme="minorHAnsi" w:cstheme="minorHAnsi"/>
                <w:bCs/>
                <w:sz w:val="24"/>
              </w:rPr>
              <w:t>80</w:t>
            </w:r>
          </w:p>
        </w:tc>
        <w:tc>
          <w:tcPr>
            <w:tcW w:w="1134" w:type="dxa"/>
            <w:tcBorders>
              <w:top w:val="single" w:sz="4" w:space="0" w:color="auto"/>
              <w:left w:val="nil"/>
              <w:bottom w:val="single" w:sz="4" w:space="0" w:color="auto"/>
              <w:right w:val="single" w:sz="12" w:space="0" w:color="auto"/>
            </w:tcBorders>
            <w:vAlign w:val="center"/>
          </w:tcPr>
          <w:p w:rsidR="00DC5CF9" w:rsidRPr="007C76CA" w:rsidRDefault="00DC5CF9" w:rsidP="00DC5CF9">
            <w:pPr>
              <w:jc w:val="center"/>
              <w:rPr>
                <w:rFonts w:asciiTheme="minorHAnsi" w:hAnsiTheme="minorHAnsi" w:cstheme="minorHAnsi"/>
                <w:bCs/>
                <w:sz w:val="24"/>
              </w:rPr>
            </w:pPr>
            <w:r>
              <w:rPr>
                <w:rFonts w:asciiTheme="minorHAnsi" w:hAnsiTheme="minorHAnsi" w:cstheme="minorHAnsi"/>
                <w:bCs/>
                <w:sz w:val="24"/>
              </w:rPr>
              <w:t>87</w:t>
            </w:r>
          </w:p>
        </w:tc>
        <w:tc>
          <w:tcPr>
            <w:tcW w:w="1276" w:type="dxa"/>
            <w:tcBorders>
              <w:top w:val="single" w:sz="4" w:space="0" w:color="auto"/>
              <w:left w:val="nil"/>
              <w:bottom w:val="single" w:sz="4"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+7</w:t>
            </w:r>
          </w:p>
        </w:tc>
        <w:tc>
          <w:tcPr>
            <w:tcW w:w="992" w:type="dxa"/>
            <w:tcBorders>
              <w:top w:val="single" w:sz="4" w:space="0" w:color="auto"/>
              <w:bottom w:val="single" w:sz="4" w:space="0" w:color="auto"/>
              <w:right w:val="single" w:sz="12"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108,8</w:t>
            </w:r>
          </w:p>
        </w:tc>
      </w:tr>
      <w:tr w:rsidR="00DC5CF9" w:rsidRPr="007C76CA" w:rsidTr="00DC5CF9">
        <w:tc>
          <w:tcPr>
            <w:tcW w:w="4820" w:type="dxa"/>
            <w:tcBorders>
              <w:top w:val="single" w:sz="4" w:space="0" w:color="auto"/>
              <w:left w:val="single" w:sz="12" w:space="0" w:color="auto"/>
              <w:bottom w:val="single" w:sz="12" w:space="0" w:color="auto"/>
              <w:right w:val="single" w:sz="12" w:space="0" w:color="auto"/>
            </w:tcBorders>
          </w:tcPr>
          <w:p w:rsidR="00DC5CF9" w:rsidRPr="007C76CA" w:rsidRDefault="00DC5CF9" w:rsidP="00DC5CF9">
            <w:pPr>
              <w:pStyle w:val="Texttabulky"/>
              <w:rPr>
                <w:rFonts w:asciiTheme="minorHAnsi" w:hAnsiTheme="minorHAnsi" w:cstheme="minorHAnsi"/>
                <w:color w:val="auto"/>
              </w:rPr>
            </w:pPr>
            <w:r w:rsidRPr="007C76CA">
              <w:rPr>
                <w:rFonts w:asciiTheme="minorHAnsi" w:hAnsiTheme="minorHAnsi" w:cstheme="minorHAnsi"/>
                <w:color w:val="auto"/>
              </w:rPr>
              <w:t>příspěvek na provoz</w:t>
            </w:r>
            <w:r w:rsidRPr="007C76CA">
              <w:rPr>
                <w:rFonts w:asciiTheme="minorHAnsi" w:hAnsiTheme="minorHAnsi" w:cstheme="minorHAnsi"/>
                <w:bCs/>
                <w:color w:val="auto"/>
              </w:rPr>
              <w:t xml:space="preserve"> CHPM a CHPM-SVČ              (</w:t>
            </w:r>
            <w:r w:rsidRPr="007C76CA">
              <w:rPr>
                <w:rFonts w:asciiTheme="minorHAnsi" w:hAnsiTheme="minorHAnsi" w:cstheme="minorHAnsi"/>
                <w:color w:val="auto"/>
                <w:szCs w:val="24"/>
              </w:rPr>
              <w:t>průměrný roční přepočtený počet)</w:t>
            </w:r>
          </w:p>
        </w:tc>
        <w:tc>
          <w:tcPr>
            <w:tcW w:w="1134" w:type="dxa"/>
            <w:tcBorders>
              <w:top w:val="single" w:sz="4" w:space="0" w:color="auto"/>
              <w:left w:val="single" w:sz="12" w:space="0" w:color="auto"/>
              <w:bottom w:val="single" w:sz="12" w:space="0" w:color="auto"/>
              <w:right w:val="single" w:sz="4" w:space="0" w:color="auto"/>
            </w:tcBorders>
            <w:shd w:val="clear" w:color="auto" w:fill="auto"/>
            <w:vAlign w:val="center"/>
          </w:tcPr>
          <w:p w:rsidR="00DC5CF9" w:rsidRPr="007C76CA" w:rsidRDefault="00DC5CF9" w:rsidP="00DC5CF9">
            <w:pPr>
              <w:jc w:val="center"/>
              <w:rPr>
                <w:rFonts w:asciiTheme="minorHAnsi" w:hAnsiTheme="minorHAnsi" w:cstheme="minorHAnsi"/>
                <w:bCs/>
                <w:sz w:val="24"/>
              </w:rPr>
            </w:pPr>
            <w:r w:rsidRPr="007C76CA">
              <w:rPr>
                <w:rFonts w:asciiTheme="minorHAnsi" w:hAnsiTheme="minorHAnsi" w:cstheme="minorHAnsi"/>
                <w:bCs/>
                <w:sz w:val="24"/>
              </w:rPr>
              <w:t>5</w:t>
            </w:r>
          </w:p>
        </w:tc>
        <w:tc>
          <w:tcPr>
            <w:tcW w:w="1134" w:type="dxa"/>
            <w:tcBorders>
              <w:top w:val="single" w:sz="4" w:space="0" w:color="auto"/>
              <w:left w:val="single" w:sz="4" w:space="0" w:color="auto"/>
              <w:bottom w:val="single" w:sz="12" w:space="0" w:color="auto"/>
              <w:right w:val="single" w:sz="12" w:space="0" w:color="auto"/>
            </w:tcBorders>
            <w:vAlign w:val="center"/>
          </w:tcPr>
          <w:p w:rsidR="00DC5CF9" w:rsidRPr="007C76CA" w:rsidRDefault="00DC5CF9" w:rsidP="00DC5CF9">
            <w:pPr>
              <w:jc w:val="center"/>
              <w:rPr>
                <w:rFonts w:asciiTheme="minorHAnsi" w:hAnsiTheme="minorHAnsi" w:cstheme="minorHAnsi"/>
                <w:bCs/>
                <w:sz w:val="24"/>
              </w:rPr>
            </w:pPr>
            <w:r>
              <w:rPr>
                <w:rFonts w:asciiTheme="minorHAnsi" w:hAnsiTheme="minorHAnsi" w:cstheme="minorHAnsi"/>
                <w:bCs/>
                <w:sz w:val="24"/>
              </w:rPr>
              <w:t>6</w:t>
            </w:r>
          </w:p>
        </w:tc>
        <w:tc>
          <w:tcPr>
            <w:tcW w:w="1276" w:type="dxa"/>
            <w:tcBorders>
              <w:top w:val="single" w:sz="4" w:space="0" w:color="auto"/>
              <w:left w:val="nil"/>
              <w:bottom w:val="single" w:sz="12"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w:t>
            </w:r>
          </w:p>
        </w:tc>
        <w:tc>
          <w:tcPr>
            <w:tcW w:w="992" w:type="dxa"/>
            <w:tcBorders>
              <w:top w:val="single" w:sz="4" w:space="0" w:color="auto"/>
              <w:bottom w:val="single" w:sz="12" w:space="0" w:color="auto"/>
              <w:right w:val="single" w:sz="12" w:space="0" w:color="auto"/>
            </w:tcBorders>
            <w:shd w:val="clear" w:color="auto" w:fill="auto"/>
            <w:vAlign w:val="center"/>
          </w:tcPr>
          <w:p w:rsidR="00DC5CF9" w:rsidRPr="007C76CA" w:rsidRDefault="00DC5CF9" w:rsidP="00DC5CF9">
            <w:pPr>
              <w:jc w:val="center"/>
              <w:rPr>
                <w:rFonts w:asciiTheme="minorHAnsi" w:hAnsiTheme="minorHAnsi" w:cstheme="minorHAnsi"/>
                <w:sz w:val="24"/>
              </w:rPr>
            </w:pPr>
            <w:r>
              <w:rPr>
                <w:rFonts w:asciiTheme="minorHAnsi" w:hAnsiTheme="minorHAnsi" w:cstheme="minorHAnsi"/>
                <w:sz w:val="24"/>
              </w:rPr>
              <w:t>120,0</w:t>
            </w:r>
          </w:p>
        </w:tc>
      </w:tr>
      <w:tr w:rsidR="00DC5CF9" w:rsidRPr="007C76CA" w:rsidTr="00DC5CF9">
        <w:tc>
          <w:tcPr>
            <w:tcW w:w="4820" w:type="dxa"/>
            <w:tcBorders>
              <w:top w:val="single" w:sz="12" w:space="0" w:color="auto"/>
              <w:left w:val="single" w:sz="12" w:space="0" w:color="auto"/>
              <w:bottom w:val="single" w:sz="12" w:space="0" w:color="auto"/>
              <w:right w:val="single" w:sz="12" w:space="0" w:color="auto"/>
            </w:tcBorders>
          </w:tcPr>
          <w:p w:rsidR="00DC5CF9" w:rsidRPr="007C76CA" w:rsidRDefault="00DC5CF9" w:rsidP="00DC5CF9">
            <w:pPr>
              <w:pStyle w:val="Texttabulky"/>
              <w:rPr>
                <w:rFonts w:asciiTheme="minorHAnsi" w:hAnsiTheme="minorHAnsi" w:cstheme="minorHAnsi"/>
                <w:b/>
                <w:color w:val="auto"/>
              </w:rPr>
            </w:pPr>
            <w:r w:rsidRPr="007C76CA">
              <w:rPr>
                <w:rFonts w:asciiTheme="minorHAnsi" w:hAnsiTheme="minorHAnsi" w:cstheme="minorHAnsi"/>
                <w:b/>
                <w:color w:val="auto"/>
              </w:rPr>
              <w:t>příspěvky celkem</w:t>
            </w:r>
          </w:p>
        </w:tc>
        <w:tc>
          <w:tcPr>
            <w:tcW w:w="1134" w:type="dxa"/>
            <w:tcBorders>
              <w:top w:val="single" w:sz="12" w:space="0" w:color="auto"/>
              <w:left w:val="nil"/>
              <w:bottom w:val="single" w:sz="12" w:space="0" w:color="auto"/>
            </w:tcBorders>
            <w:vAlign w:val="center"/>
          </w:tcPr>
          <w:p w:rsidR="00DC5CF9" w:rsidRPr="007C76CA" w:rsidRDefault="00DC5CF9" w:rsidP="00DC5CF9">
            <w:pPr>
              <w:jc w:val="center"/>
              <w:rPr>
                <w:rFonts w:asciiTheme="minorHAnsi" w:hAnsiTheme="minorHAnsi" w:cstheme="minorHAnsi"/>
                <w:b/>
                <w:sz w:val="24"/>
              </w:rPr>
            </w:pPr>
            <w:r w:rsidRPr="007C76CA">
              <w:rPr>
                <w:rFonts w:asciiTheme="minorHAnsi" w:hAnsiTheme="minorHAnsi" w:cstheme="minorHAnsi"/>
                <w:b/>
                <w:sz w:val="24"/>
              </w:rPr>
              <w:t>85</w:t>
            </w:r>
          </w:p>
        </w:tc>
        <w:tc>
          <w:tcPr>
            <w:tcW w:w="1134" w:type="dxa"/>
            <w:tcBorders>
              <w:top w:val="single" w:sz="12" w:space="0" w:color="auto"/>
              <w:left w:val="nil"/>
              <w:bottom w:val="single" w:sz="12" w:space="0" w:color="auto"/>
              <w:right w:val="single" w:sz="12" w:space="0" w:color="auto"/>
            </w:tcBorders>
            <w:vAlign w:val="center"/>
          </w:tcPr>
          <w:p w:rsidR="00DC5CF9" w:rsidRPr="007C76CA" w:rsidRDefault="00DC5CF9" w:rsidP="00DC5CF9">
            <w:pPr>
              <w:jc w:val="center"/>
              <w:rPr>
                <w:rFonts w:asciiTheme="minorHAnsi" w:hAnsiTheme="minorHAnsi" w:cstheme="minorHAnsi"/>
                <w:b/>
                <w:sz w:val="24"/>
              </w:rPr>
            </w:pPr>
            <w:r>
              <w:rPr>
                <w:rFonts w:asciiTheme="minorHAnsi" w:hAnsiTheme="minorHAnsi" w:cstheme="minorHAnsi"/>
                <w:b/>
                <w:sz w:val="24"/>
              </w:rPr>
              <w:t>93</w:t>
            </w:r>
          </w:p>
        </w:tc>
        <w:tc>
          <w:tcPr>
            <w:tcW w:w="1276" w:type="dxa"/>
            <w:tcBorders>
              <w:top w:val="single" w:sz="12" w:space="0" w:color="auto"/>
              <w:left w:val="nil"/>
              <w:bottom w:val="single" w:sz="12" w:space="0" w:color="auto"/>
            </w:tcBorders>
            <w:shd w:val="clear" w:color="auto" w:fill="auto"/>
            <w:vAlign w:val="center"/>
          </w:tcPr>
          <w:p w:rsidR="00DC5CF9" w:rsidRPr="007C76CA" w:rsidRDefault="00DC5CF9" w:rsidP="00DC5CF9">
            <w:pPr>
              <w:jc w:val="center"/>
              <w:rPr>
                <w:rFonts w:asciiTheme="minorHAnsi" w:hAnsiTheme="minorHAnsi" w:cstheme="minorHAnsi"/>
                <w:b/>
                <w:bCs/>
                <w:sz w:val="24"/>
              </w:rPr>
            </w:pPr>
            <w:r>
              <w:rPr>
                <w:rFonts w:asciiTheme="minorHAnsi" w:hAnsiTheme="minorHAnsi" w:cstheme="minorHAnsi"/>
                <w:b/>
                <w:bCs/>
                <w:sz w:val="24"/>
              </w:rPr>
              <w:t>+8</w:t>
            </w:r>
          </w:p>
        </w:tc>
        <w:tc>
          <w:tcPr>
            <w:tcW w:w="992" w:type="dxa"/>
            <w:tcBorders>
              <w:top w:val="single" w:sz="12" w:space="0" w:color="auto"/>
              <w:bottom w:val="single" w:sz="12" w:space="0" w:color="auto"/>
              <w:right w:val="single" w:sz="12" w:space="0" w:color="auto"/>
            </w:tcBorders>
            <w:shd w:val="clear" w:color="auto" w:fill="auto"/>
            <w:vAlign w:val="center"/>
          </w:tcPr>
          <w:p w:rsidR="00DC5CF9" w:rsidRPr="007C76CA" w:rsidRDefault="00DC5CF9" w:rsidP="00DC5CF9">
            <w:pPr>
              <w:jc w:val="center"/>
              <w:rPr>
                <w:rFonts w:asciiTheme="minorHAnsi" w:hAnsiTheme="minorHAnsi" w:cstheme="minorHAnsi"/>
                <w:b/>
                <w:bCs/>
                <w:sz w:val="24"/>
              </w:rPr>
            </w:pPr>
            <w:r>
              <w:rPr>
                <w:rFonts w:asciiTheme="minorHAnsi" w:hAnsiTheme="minorHAnsi" w:cstheme="minorHAnsi"/>
                <w:b/>
                <w:bCs/>
                <w:sz w:val="24"/>
              </w:rPr>
              <w:t>109,4</w:t>
            </w:r>
          </w:p>
        </w:tc>
      </w:tr>
    </w:tbl>
    <w:p w:rsidR="00DC5CF9" w:rsidRPr="007C76CA" w:rsidRDefault="00DC5CF9" w:rsidP="00DC5CF9">
      <w:pPr>
        <w:ind w:firstLine="708"/>
        <w:jc w:val="both"/>
        <w:rPr>
          <w:rFonts w:asciiTheme="minorHAnsi" w:hAnsiTheme="minorHAnsi" w:cstheme="minorHAnsi"/>
          <w:sz w:val="24"/>
          <w:szCs w:val="24"/>
        </w:rPr>
      </w:pPr>
    </w:p>
    <w:p w:rsidR="00DC5CF9" w:rsidRDefault="00DC5CF9" w:rsidP="00DC5CF9">
      <w:pPr>
        <w:pStyle w:val="Zkladntextodsazen"/>
        <w:rPr>
          <w:rFonts w:asciiTheme="minorHAnsi" w:hAnsiTheme="minorHAnsi" w:cstheme="minorHAnsi"/>
        </w:rPr>
      </w:pPr>
      <w:r w:rsidRPr="005F362C">
        <w:rPr>
          <w:rFonts w:asciiTheme="minorHAnsi" w:hAnsiTheme="minorHAnsi" w:cstheme="minorHAnsi"/>
        </w:rPr>
        <w:t>Zaměstnavatelé v MSK zřídili a vyhradili ve sledovaném ročním období s finanční podporou z prostředků „národní“ APZ celkem 629  SÚPM (meziročně o 175, tj. o 21,8 % méně) s </w:t>
      </w:r>
      <w:r w:rsidRPr="00915CF0">
        <w:rPr>
          <w:rFonts w:asciiTheme="minorHAnsi" w:hAnsiTheme="minorHAnsi" w:cstheme="minorHAnsi"/>
        </w:rPr>
        <w:t>velice rozdílnou profesní strukturou. Největší zájem byl o administrativní pracovníky, dále pak o prodavače v</w:t>
      </w:r>
      <w:r>
        <w:rPr>
          <w:rFonts w:asciiTheme="minorHAnsi" w:hAnsiTheme="minorHAnsi" w:cstheme="minorHAnsi"/>
        </w:rPr>
        <w:t xml:space="preserve"> </w:t>
      </w:r>
      <w:r w:rsidRPr="00915CF0">
        <w:rPr>
          <w:rFonts w:asciiTheme="minorHAnsi" w:hAnsiTheme="minorHAnsi" w:cstheme="minorHAnsi"/>
        </w:rPr>
        <w:t>prodejnách, operátory telefonních panelů a pomocné dělníky ve výrobě. Z celkového počtu 629 SÚPM jich bylo 48 nově zřízených zaměstnavateli (o 2 méně ve srovnání s rokem 2013), a to především v profesích pomocní manipulační pracovníci (kromě výroby) a obsluha stacionárních strojů a zařízení.</w:t>
      </w:r>
    </w:p>
    <w:p w:rsidR="00DC5CF9" w:rsidRPr="00F006C8" w:rsidRDefault="00DC5CF9" w:rsidP="00DC5CF9">
      <w:pPr>
        <w:pStyle w:val="Zkladntextodsazen"/>
        <w:rPr>
          <w:rFonts w:asciiTheme="minorHAnsi" w:hAnsiTheme="minorHAnsi" w:cstheme="minorHAnsi"/>
        </w:rPr>
      </w:pPr>
      <w:r w:rsidRPr="00F006C8">
        <w:rPr>
          <w:rFonts w:asciiTheme="minorHAnsi" w:hAnsiTheme="minorHAnsi" w:cstheme="minorHAnsi"/>
        </w:rPr>
        <w:t xml:space="preserve">V rámci NIP </w:t>
      </w:r>
      <w:r w:rsidRPr="00F006C8">
        <w:rPr>
          <w:rFonts w:asciiTheme="minorHAnsi" w:hAnsiTheme="minorHAnsi" w:cstheme="minorHAnsi"/>
          <w:szCs w:val="24"/>
        </w:rPr>
        <w:t xml:space="preserve">Vzdělávejte se pro růst! - pracovní příležitosti </w:t>
      </w:r>
      <w:r w:rsidRPr="00F006C8">
        <w:rPr>
          <w:rFonts w:asciiTheme="minorHAnsi" w:hAnsiTheme="minorHAnsi" w:cstheme="minorHAnsi"/>
        </w:rPr>
        <w:t>vyhradili zaměstnavatelé v našem kraji 3 632 SÚPM, v meziročním porovnání to bylo o 1 236, tj. o 51,6 % více, a to zejména na pozicích všeobecn</w:t>
      </w:r>
      <w:r>
        <w:rPr>
          <w:rFonts w:asciiTheme="minorHAnsi" w:hAnsiTheme="minorHAnsi" w:cstheme="minorHAnsi"/>
        </w:rPr>
        <w:t>í</w:t>
      </w:r>
      <w:r w:rsidRPr="00F006C8">
        <w:rPr>
          <w:rFonts w:asciiTheme="minorHAnsi" w:hAnsiTheme="minorHAnsi" w:cstheme="minorHAnsi"/>
        </w:rPr>
        <w:t xml:space="preserve"> administrativní pracovní</w:t>
      </w:r>
      <w:r>
        <w:rPr>
          <w:rFonts w:asciiTheme="minorHAnsi" w:hAnsiTheme="minorHAnsi" w:cstheme="minorHAnsi"/>
        </w:rPr>
        <w:t>ci</w:t>
      </w:r>
      <w:r w:rsidRPr="00F006C8">
        <w:rPr>
          <w:rFonts w:asciiTheme="minorHAnsi" w:hAnsiTheme="minorHAnsi" w:cstheme="minorHAnsi"/>
        </w:rPr>
        <w:t>, prodavači v prodejnách, dále pak jako odborní pracovníci v administrativě a správě organizace</w:t>
      </w:r>
      <w:r>
        <w:rPr>
          <w:rFonts w:asciiTheme="minorHAnsi" w:hAnsiTheme="minorHAnsi" w:cstheme="minorHAnsi"/>
        </w:rPr>
        <w:t>, číšníci a servírky, ale i pomocní pracovníci ve výrobě</w:t>
      </w:r>
      <w:r w:rsidRPr="00F006C8">
        <w:rPr>
          <w:rFonts w:asciiTheme="minorHAnsi" w:hAnsiTheme="minorHAnsi" w:cstheme="minorHAnsi"/>
        </w:rPr>
        <w:t>.</w:t>
      </w:r>
      <w:r>
        <w:rPr>
          <w:rFonts w:asciiTheme="minorHAnsi" w:hAnsiTheme="minorHAnsi" w:cstheme="minorHAnsi"/>
        </w:rPr>
        <w:t xml:space="preserve"> </w:t>
      </w:r>
    </w:p>
    <w:p w:rsidR="00DC5CF9" w:rsidRDefault="00DC5CF9" w:rsidP="00DC5CF9">
      <w:pPr>
        <w:pStyle w:val="Zkladntextodsazen"/>
        <w:rPr>
          <w:rFonts w:asciiTheme="minorHAnsi" w:hAnsiTheme="minorHAnsi" w:cstheme="minorHAnsi"/>
        </w:rPr>
      </w:pPr>
      <w:r w:rsidRPr="000E7BB2">
        <w:rPr>
          <w:rFonts w:asciiTheme="minorHAnsi" w:hAnsiTheme="minorHAnsi" w:cstheme="minorHAnsi"/>
        </w:rPr>
        <w:t xml:space="preserve">Měsíční příspěvek na mzdy vč. </w:t>
      </w:r>
      <w:r>
        <w:rPr>
          <w:rFonts w:asciiTheme="minorHAnsi" w:hAnsiTheme="minorHAnsi" w:cstheme="minorHAnsi"/>
        </w:rPr>
        <w:t>pojištění</w:t>
      </w:r>
      <w:r w:rsidRPr="000E7BB2">
        <w:rPr>
          <w:rFonts w:asciiTheme="minorHAnsi" w:hAnsiTheme="minorHAnsi" w:cstheme="minorHAnsi"/>
        </w:rPr>
        <w:t xml:space="preserve"> byl u vyhrazených SÚPM </w:t>
      </w:r>
      <w:r>
        <w:rPr>
          <w:rFonts w:asciiTheme="minorHAnsi" w:hAnsiTheme="minorHAnsi" w:cstheme="minorHAnsi"/>
        </w:rPr>
        <w:t>podpořený</w:t>
      </w:r>
      <w:r w:rsidRPr="000E7BB2">
        <w:rPr>
          <w:rFonts w:asciiTheme="minorHAnsi" w:hAnsiTheme="minorHAnsi" w:cstheme="minorHAnsi"/>
        </w:rPr>
        <w:t>ch z „národní“ APZ</w:t>
      </w:r>
      <w:r>
        <w:rPr>
          <w:rFonts w:asciiTheme="minorHAnsi" w:hAnsiTheme="minorHAnsi" w:cstheme="minorHAnsi"/>
        </w:rPr>
        <w:t xml:space="preserve"> i z NIP</w:t>
      </w:r>
      <w:r w:rsidRPr="000E7BB2">
        <w:rPr>
          <w:rFonts w:asciiTheme="minorHAnsi" w:hAnsiTheme="minorHAnsi" w:cstheme="minorHAnsi"/>
        </w:rPr>
        <w:t xml:space="preserve"> stanoven </w:t>
      </w:r>
      <w:r>
        <w:rPr>
          <w:rFonts w:asciiTheme="minorHAnsi" w:hAnsiTheme="minorHAnsi" w:cstheme="minorHAnsi"/>
        </w:rPr>
        <w:t xml:space="preserve">ve výši </w:t>
      </w:r>
      <w:r w:rsidRPr="000E7BB2">
        <w:rPr>
          <w:rFonts w:asciiTheme="minorHAnsi" w:hAnsiTheme="minorHAnsi" w:cstheme="minorHAnsi"/>
        </w:rPr>
        <w:t>max</w:t>
      </w:r>
      <w:r>
        <w:rPr>
          <w:rFonts w:asciiTheme="minorHAnsi" w:hAnsiTheme="minorHAnsi" w:cstheme="minorHAnsi"/>
        </w:rPr>
        <w:t>imálně</w:t>
      </w:r>
      <w:r w:rsidRPr="000E7BB2">
        <w:rPr>
          <w:rFonts w:asciiTheme="minorHAnsi" w:hAnsiTheme="minorHAnsi" w:cstheme="minorHAnsi"/>
        </w:rPr>
        <w:t xml:space="preserve"> </w:t>
      </w:r>
      <w:r>
        <w:rPr>
          <w:rFonts w:asciiTheme="minorHAnsi" w:hAnsiTheme="minorHAnsi" w:cstheme="minorHAnsi"/>
        </w:rPr>
        <w:t>13</w:t>
      </w:r>
      <w:r w:rsidRPr="000E7BB2">
        <w:rPr>
          <w:rFonts w:asciiTheme="minorHAnsi" w:hAnsiTheme="minorHAnsi" w:cstheme="minorHAnsi"/>
        </w:rPr>
        <w:t> tis.</w:t>
      </w:r>
      <w:r>
        <w:rPr>
          <w:rFonts w:asciiTheme="minorHAnsi" w:hAnsiTheme="minorHAnsi" w:cstheme="minorHAnsi"/>
        </w:rPr>
        <w:t xml:space="preserve"> Kč</w:t>
      </w:r>
      <w:r w:rsidRPr="000E7BB2">
        <w:rPr>
          <w:rFonts w:asciiTheme="minorHAnsi" w:hAnsiTheme="minorHAnsi" w:cstheme="minorHAnsi"/>
        </w:rPr>
        <w:t xml:space="preserve"> a doba jeho poskytování nejdéle na </w:t>
      </w:r>
      <w:r>
        <w:rPr>
          <w:rFonts w:asciiTheme="minorHAnsi" w:hAnsiTheme="minorHAnsi" w:cstheme="minorHAnsi"/>
        </w:rPr>
        <w:t>6</w:t>
      </w:r>
      <w:r w:rsidRPr="000E7BB2">
        <w:rPr>
          <w:rFonts w:asciiTheme="minorHAnsi" w:hAnsiTheme="minorHAnsi" w:cstheme="minorHAnsi"/>
        </w:rPr>
        <w:t xml:space="preserve"> měsíců po celý rok 2014. </w:t>
      </w:r>
    </w:p>
    <w:p w:rsidR="00DC5CF9" w:rsidRDefault="00DC5CF9" w:rsidP="00DC5CF9">
      <w:pPr>
        <w:pStyle w:val="Zkladntextodsazen"/>
        <w:rPr>
          <w:rFonts w:asciiTheme="minorHAnsi" w:hAnsiTheme="minorHAnsi" w:cstheme="minorHAnsi"/>
        </w:rPr>
      </w:pPr>
      <w:r w:rsidRPr="003B2D02">
        <w:rPr>
          <w:rFonts w:asciiTheme="minorHAnsi" w:hAnsiTheme="minorHAnsi" w:cstheme="minorHAnsi"/>
        </w:rPr>
        <w:t xml:space="preserve">Finanční příspěvek na zřízení SÚPM zaměstnavateli (stejně jako u SÚPM-SVČ, CHPM zřízených zaměstnavateli a CHPM-SVČ) činil po celý rok 2014 max. 100 tis. Kč na 1 místo. </w:t>
      </w:r>
    </w:p>
    <w:p w:rsidR="00DC5CF9" w:rsidRPr="00C107F0" w:rsidRDefault="00DC5CF9" w:rsidP="00DC5CF9">
      <w:pPr>
        <w:pStyle w:val="Zkladntextodsazen"/>
        <w:rPr>
          <w:rFonts w:asciiTheme="minorHAnsi" w:hAnsiTheme="minorHAnsi" w:cstheme="minorHAnsi"/>
        </w:rPr>
      </w:pPr>
      <w:r w:rsidRPr="00C107F0">
        <w:rPr>
          <w:rFonts w:asciiTheme="minorHAnsi" w:hAnsiTheme="minorHAnsi" w:cstheme="minorHAnsi"/>
        </w:rPr>
        <w:t xml:space="preserve">Na základě Normativní instrukce MPSV č. 9/2013 - Zabezpečování odborné praxe osob do 30 let věku v organizačních složkách státu a příspěvkových organizacích a dále podle vnitřní Směrnice GŘ č. 23/2014 - Zabezpečování odborné praxe uchazečů o zaměstnání do 30 let na Úřadu práce ČR v letech 2014 </w:t>
      </w:r>
      <w:r>
        <w:rPr>
          <w:rFonts w:asciiTheme="minorHAnsi" w:hAnsiTheme="minorHAnsi" w:cstheme="minorHAnsi"/>
        </w:rPr>
        <w:t>-</w:t>
      </w:r>
      <w:r w:rsidRPr="00C107F0">
        <w:rPr>
          <w:rFonts w:asciiTheme="minorHAnsi" w:hAnsiTheme="minorHAnsi" w:cstheme="minorHAnsi"/>
        </w:rPr>
        <w:t xml:space="preserve"> 2016 jsme v uplynulém roce v MSK v rámci nástroje SÚPM vyhrazeného poskytovali příspěvky na podporu uchazečů o zaměstnání do 25 let věku, kteří </w:t>
      </w:r>
      <w:r>
        <w:rPr>
          <w:rFonts w:asciiTheme="minorHAnsi" w:hAnsiTheme="minorHAnsi" w:cstheme="minorHAnsi"/>
        </w:rPr>
        <w:t>byli</w:t>
      </w:r>
      <w:r w:rsidRPr="00C107F0">
        <w:rPr>
          <w:rFonts w:asciiTheme="minorHAnsi" w:hAnsiTheme="minorHAnsi" w:cstheme="minorHAnsi"/>
        </w:rPr>
        <w:t xml:space="preserve"> absolventy střední nebo vyšší školy a zároveň jejich pracovní</w:t>
      </w:r>
      <w:r>
        <w:rPr>
          <w:rFonts w:asciiTheme="minorHAnsi" w:hAnsiTheme="minorHAnsi" w:cstheme="minorHAnsi"/>
        </w:rPr>
        <w:t xml:space="preserve"> poměr byl </w:t>
      </w:r>
      <w:r w:rsidRPr="00C107F0">
        <w:rPr>
          <w:rFonts w:asciiTheme="minorHAnsi" w:hAnsiTheme="minorHAnsi" w:cstheme="minorHAnsi"/>
        </w:rPr>
        <w:t xml:space="preserve">kratší než 2 roky a pro absolventy VŠ po dobu 2 let po úspěšném ukončení studia, nejdéle však do 30 let věku. </w:t>
      </w:r>
      <w:r>
        <w:rPr>
          <w:rFonts w:asciiTheme="minorHAnsi" w:hAnsiTheme="minorHAnsi" w:cstheme="minorHAnsi"/>
        </w:rPr>
        <w:t>V</w:t>
      </w:r>
      <w:r w:rsidRPr="00C107F0">
        <w:rPr>
          <w:rFonts w:asciiTheme="minorHAnsi" w:hAnsiTheme="minorHAnsi" w:cstheme="minorHAnsi"/>
        </w:rPr>
        <w:t xml:space="preserve"> roce 2014 jsme </w:t>
      </w:r>
      <w:r>
        <w:rPr>
          <w:rFonts w:asciiTheme="minorHAnsi" w:hAnsiTheme="minorHAnsi" w:cstheme="minorHAnsi"/>
        </w:rPr>
        <w:t>n</w:t>
      </w:r>
      <w:r w:rsidRPr="00C107F0">
        <w:rPr>
          <w:rFonts w:asciiTheme="minorHAnsi" w:hAnsiTheme="minorHAnsi" w:cstheme="minorHAnsi"/>
        </w:rPr>
        <w:t>apříklad prostřednictvím agentury práce ManpowerGroup s.</w:t>
      </w:r>
      <w:r>
        <w:rPr>
          <w:rFonts w:asciiTheme="minorHAnsi" w:hAnsiTheme="minorHAnsi" w:cstheme="minorHAnsi"/>
        </w:rPr>
        <w:t xml:space="preserve"> </w:t>
      </w:r>
      <w:r w:rsidRPr="00C107F0">
        <w:rPr>
          <w:rFonts w:asciiTheme="minorHAnsi" w:hAnsiTheme="minorHAnsi" w:cstheme="minorHAnsi"/>
        </w:rPr>
        <w:t>r. o. v rámci KrP v Ostravě vyhradili 80 míst</w:t>
      </w:r>
      <w:r>
        <w:rPr>
          <w:rFonts w:asciiTheme="minorHAnsi" w:hAnsiTheme="minorHAnsi" w:cstheme="minorHAnsi"/>
        </w:rPr>
        <w:t xml:space="preserve">, a to </w:t>
      </w:r>
      <w:r w:rsidRPr="00C107F0">
        <w:rPr>
          <w:rFonts w:asciiTheme="minorHAnsi" w:hAnsiTheme="minorHAnsi" w:cstheme="minorHAnsi"/>
        </w:rPr>
        <w:t>převážně na oddělení</w:t>
      </w:r>
      <w:r>
        <w:rPr>
          <w:rFonts w:asciiTheme="minorHAnsi" w:hAnsiTheme="minorHAnsi" w:cstheme="minorHAnsi"/>
        </w:rPr>
        <w:t>ch</w:t>
      </w:r>
      <w:r w:rsidRPr="00C107F0">
        <w:rPr>
          <w:rFonts w:asciiTheme="minorHAnsi" w:hAnsiTheme="minorHAnsi" w:cstheme="minorHAnsi"/>
        </w:rPr>
        <w:t xml:space="preserve"> nepojistných sociálních dávek, </w:t>
      </w:r>
      <w:r>
        <w:rPr>
          <w:rFonts w:asciiTheme="minorHAnsi" w:hAnsiTheme="minorHAnsi" w:cstheme="minorHAnsi"/>
        </w:rPr>
        <w:t xml:space="preserve">zaměstnanosti a </w:t>
      </w:r>
      <w:r w:rsidRPr="00C107F0">
        <w:rPr>
          <w:rFonts w:asciiTheme="minorHAnsi" w:hAnsiTheme="minorHAnsi" w:cstheme="minorHAnsi"/>
        </w:rPr>
        <w:t>zprostředkování</w:t>
      </w:r>
      <w:r>
        <w:rPr>
          <w:rFonts w:asciiTheme="minorHAnsi" w:hAnsiTheme="minorHAnsi" w:cstheme="minorHAnsi"/>
        </w:rPr>
        <w:t>.</w:t>
      </w:r>
      <w:r w:rsidRPr="00C107F0">
        <w:rPr>
          <w:rFonts w:asciiTheme="minorHAnsi" w:hAnsiTheme="minorHAnsi" w:cstheme="minorHAnsi"/>
        </w:rPr>
        <w:t xml:space="preserve"> Měsíční příspěvek na mzdy vč</w:t>
      </w:r>
      <w:r>
        <w:rPr>
          <w:rFonts w:asciiTheme="minorHAnsi" w:hAnsiTheme="minorHAnsi" w:cstheme="minorHAnsi"/>
        </w:rPr>
        <w:t>.</w:t>
      </w:r>
      <w:r w:rsidRPr="00C107F0">
        <w:rPr>
          <w:rFonts w:asciiTheme="minorHAnsi" w:hAnsiTheme="minorHAnsi" w:cstheme="minorHAnsi"/>
        </w:rPr>
        <w:t xml:space="preserve"> pojištění </w:t>
      </w:r>
      <w:r>
        <w:rPr>
          <w:rFonts w:asciiTheme="minorHAnsi" w:hAnsiTheme="minorHAnsi" w:cstheme="minorHAnsi"/>
        </w:rPr>
        <w:t xml:space="preserve">na 1místo </w:t>
      </w:r>
      <w:r w:rsidRPr="00C107F0">
        <w:rPr>
          <w:rFonts w:asciiTheme="minorHAnsi" w:hAnsiTheme="minorHAnsi" w:cstheme="minorHAnsi"/>
        </w:rPr>
        <w:t>činil max. 24 tis. Kč a v rámci jedné dohody jich mohlo být poskytnuto maximálně 12.</w:t>
      </w:r>
    </w:p>
    <w:p w:rsidR="00DC5CF9" w:rsidRPr="00C107F0" w:rsidRDefault="00DC5CF9" w:rsidP="00DC5CF9">
      <w:pPr>
        <w:pStyle w:val="Zkladntextodsazen"/>
        <w:rPr>
          <w:rFonts w:asciiTheme="minorHAnsi" w:hAnsiTheme="minorHAnsi" w:cstheme="minorHAnsi"/>
        </w:rPr>
      </w:pPr>
      <w:r w:rsidRPr="00C107F0">
        <w:rPr>
          <w:rFonts w:asciiTheme="minorHAnsi" w:hAnsiTheme="minorHAnsi" w:cstheme="minorHAnsi"/>
        </w:rPr>
        <w:t xml:space="preserve">Dále jsme </w:t>
      </w:r>
      <w:r>
        <w:rPr>
          <w:rFonts w:asciiTheme="minorHAnsi" w:hAnsiTheme="minorHAnsi" w:cstheme="minorHAnsi"/>
        </w:rPr>
        <w:t>na základě</w:t>
      </w:r>
      <w:r w:rsidRPr="00C107F0">
        <w:rPr>
          <w:rFonts w:asciiTheme="minorHAnsi" w:hAnsiTheme="minorHAnsi" w:cstheme="minorHAnsi"/>
        </w:rPr>
        <w:t xml:space="preserve"> výše uvedené NI MPSV prostřednictvím agentur práce pomohli v MSK podpořit místa i v jiných organizačních složkách státu, např. u Krajského soudu v Ostravě, u</w:t>
      </w:r>
      <w:r>
        <w:rPr>
          <w:rFonts w:asciiTheme="minorHAnsi" w:hAnsiTheme="minorHAnsi" w:cstheme="minorHAnsi"/>
        </w:rPr>
        <w:t> </w:t>
      </w:r>
      <w:r w:rsidRPr="00C107F0">
        <w:rPr>
          <w:rFonts w:asciiTheme="minorHAnsi" w:hAnsiTheme="minorHAnsi" w:cstheme="minorHAnsi"/>
        </w:rPr>
        <w:t>Probační a mediační služby, u Územních pracovišť Finančního úřadu apod.</w:t>
      </w:r>
    </w:p>
    <w:p w:rsidR="00DC5CF9" w:rsidRPr="0007151A" w:rsidRDefault="00DC5CF9" w:rsidP="00DC5CF9">
      <w:pPr>
        <w:pStyle w:val="Zkladntextodsazen"/>
        <w:rPr>
          <w:rFonts w:asciiTheme="minorHAnsi" w:hAnsiTheme="minorHAnsi" w:cstheme="minorHAnsi"/>
        </w:rPr>
      </w:pPr>
      <w:r w:rsidRPr="00F006C8">
        <w:rPr>
          <w:rFonts w:asciiTheme="minorHAnsi" w:hAnsiTheme="minorHAnsi" w:cstheme="minorHAnsi"/>
        </w:rPr>
        <w:t xml:space="preserve">V roce 2014 v MSK zahájilo výkon SVČ celkem 333 uchazečů o zaměstnání, což bylo </w:t>
      </w:r>
      <w:r w:rsidRPr="0007151A">
        <w:rPr>
          <w:rFonts w:asciiTheme="minorHAnsi" w:hAnsiTheme="minorHAnsi" w:cstheme="minorHAnsi"/>
        </w:rPr>
        <w:t xml:space="preserve">oproti roku 2013 o 3, tj. o 0,9 % méně. </w:t>
      </w:r>
      <w:r>
        <w:rPr>
          <w:rFonts w:asciiTheme="minorHAnsi" w:hAnsiTheme="minorHAnsi" w:cstheme="minorHAnsi"/>
        </w:rPr>
        <w:t>Uchazeči n</w:t>
      </w:r>
      <w:r w:rsidRPr="0007151A">
        <w:rPr>
          <w:rFonts w:asciiTheme="minorHAnsi" w:hAnsiTheme="minorHAnsi" w:cstheme="minorHAnsi"/>
        </w:rPr>
        <w:t>ejčastěji zahajovali podnikání v oblasti zprostředkování obchodu a ve velkoobchodu a v maloobchodu, ve stavebních pracích a</w:t>
      </w:r>
      <w:r>
        <w:rPr>
          <w:rFonts w:asciiTheme="minorHAnsi" w:hAnsiTheme="minorHAnsi" w:cstheme="minorHAnsi"/>
        </w:rPr>
        <w:t> </w:t>
      </w:r>
      <w:r w:rsidRPr="0007151A">
        <w:rPr>
          <w:rFonts w:asciiTheme="minorHAnsi" w:hAnsiTheme="minorHAnsi" w:cstheme="minorHAnsi"/>
        </w:rPr>
        <w:t>zednictví a službách jako jsou masérské práce, kosmetika, kadeřnictví a pedikúra a manikúra.</w:t>
      </w:r>
    </w:p>
    <w:p w:rsidR="00DC5CF9" w:rsidRPr="0007151A" w:rsidRDefault="00DC5CF9" w:rsidP="00DC5CF9">
      <w:pPr>
        <w:pStyle w:val="Zkladntextodsazen"/>
        <w:rPr>
          <w:rFonts w:asciiTheme="minorHAnsi" w:hAnsiTheme="minorHAnsi" w:cstheme="minorHAnsi"/>
        </w:rPr>
      </w:pPr>
      <w:r w:rsidRPr="0007151A">
        <w:rPr>
          <w:rFonts w:asciiTheme="minorHAnsi" w:hAnsiTheme="minorHAnsi" w:cstheme="minorHAnsi"/>
        </w:rPr>
        <w:t>Překlenovací příspěvek na úhradu nájemného a služeb s ním spojených byl v hodnoceném období v našem kraji poskytnut 87 osobám, které s příspěvkem ÚP zahájily podnikatelskou činnost. V porovnání s rokem 2013 to bylo o 7 (+42,8 %) příspěvků více.</w:t>
      </w:r>
    </w:p>
    <w:p w:rsidR="00DC5CF9" w:rsidRPr="006C6943" w:rsidRDefault="00DC5CF9" w:rsidP="00DC5CF9">
      <w:pPr>
        <w:ind w:firstLine="708"/>
        <w:jc w:val="both"/>
        <w:rPr>
          <w:rFonts w:asciiTheme="minorHAnsi" w:hAnsiTheme="minorHAnsi" w:cstheme="minorHAnsi"/>
          <w:bCs/>
          <w:sz w:val="24"/>
          <w:szCs w:val="24"/>
        </w:rPr>
      </w:pPr>
      <w:r w:rsidRPr="006C6943">
        <w:rPr>
          <w:rFonts w:asciiTheme="minorHAnsi" w:hAnsiTheme="minorHAnsi" w:cstheme="minorHAnsi"/>
          <w:bCs/>
          <w:sz w:val="24"/>
          <w:szCs w:val="24"/>
        </w:rPr>
        <w:t>V roce 2014 vzniklo s finanční podporou KrP v Ostravě celkem 226 VPP z „národní“ APZ</w:t>
      </w:r>
      <w:r>
        <w:rPr>
          <w:rFonts w:asciiTheme="minorHAnsi" w:hAnsiTheme="minorHAnsi" w:cstheme="minorHAnsi"/>
          <w:bCs/>
          <w:sz w:val="24"/>
          <w:szCs w:val="24"/>
        </w:rPr>
        <w:t xml:space="preserve">, což </w:t>
      </w:r>
      <w:r w:rsidRPr="006C6943">
        <w:rPr>
          <w:rFonts w:asciiTheme="minorHAnsi" w:hAnsiTheme="minorHAnsi" w:cstheme="minorHAnsi"/>
          <w:bCs/>
          <w:sz w:val="24"/>
          <w:szCs w:val="24"/>
        </w:rPr>
        <w:t xml:space="preserve">bylo meziročně o 118 (+109,3 %) míst více. Z NIP </w:t>
      </w:r>
      <w:r w:rsidRPr="006C6943">
        <w:rPr>
          <w:rFonts w:asciiTheme="minorHAnsi" w:hAnsiTheme="minorHAnsi" w:cstheme="minorHAnsi"/>
          <w:sz w:val="24"/>
          <w:szCs w:val="24"/>
        </w:rPr>
        <w:t xml:space="preserve">Vzdělávejte se pro růst! - pracovní příležitosti </w:t>
      </w:r>
      <w:r w:rsidRPr="006C6943">
        <w:rPr>
          <w:rFonts w:asciiTheme="minorHAnsi" w:hAnsiTheme="minorHAnsi" w:cstheme="minorHAnsi"/>
          <w:bCs/>
          <w:sz w:val="24"/>
          <w:szCs w:val="24"/>
        </w:rPr>
        <w:t>bylo v MSK během uplynulého roku vytvořeno 2 648 VPP (meziročně +419, tj.</w:t>
      </w:r>
      <w:r>
        <w:rPr>
          <w:rFonts w:asciiTheme="minorHAnsi" w:hAnsiTheme="minorHAnsi" w:cstheme="minorHAnsi"/>
          <w:bCs/>
          <w:sz w:val="24"/>
          <w:szCs w:val="24"/>
        </w:rPr>
        <w:t> </w:t>
      </w:r>
      <w:r w:rsidRPr="006C6943">
        <w:rPr>
          <w:rFonts w:asciiTheme="minorHAnsi" w:hAnsiTheme="minorHAnsi" w:cstheme="minorHAnsi"/>
          <w:bCs/>
          <w:sz w:val="24"/>
          <w:szCs w:val="24"/>
        </w:rPr>
        <w:t>+18,8</w:t>
      </w:r>
      <w:r>
        <w:rPr>
          <w:rFonts w:asciiTheme="minorHAnsi" w:hAnsiTheme="minorHAnsi" w:cstheme="minorHAnsi"/>
          <w:bCs/>
          <w:sz w:val="24"/>
          <w:szCs w:val="24"/>
        </w:rPr>
        <w:t> </w:t>
      </w:r>
      <w:r w:rsidRPr="006C6943">
        <w:rPr>
          <w:rFonts w:asciiTheme="minorHAnsi" w:hAnsiTheme="minorHAnsi" w:cstheme="minorHAnsi"/>
          <w:bCs/>
          <w:sz w:val="24"/>
          <w:szCs w:val="24"/>
        </w:rPr>
        <w:t xml:space="preserve">%). Místa vznikala, stejně jako u VPP financovaných z „národní APZ“, především v profesích uklízeč veřejných prostranství. U NIP pak další nejvíce obsazovanou pozicí byli pomocní pracovníci, pečovatelé, ošetřovatelé a osobní asistenti. Výše příspěvku na mzdy vč. </w:t>
      </w:r>
      <w:r>
        <w:rPr>
          <w:rFonts w:asciiTheme="minorHAnsi" w:hAnsiTheme="minorHAnsi" w:cstheme="minorHAnsi"/>
          <w:bCs/>
          <w:sz w:val="24"/>
          <w:szCs w:val="24"/>
        </w:rPr>
        <w:t>pojištění</w:t>
      </w:r>
      <w:r w:rsidRPr="006C6943">
        <w:rPr>
          <w:rFonts w:asciiTheme="minorHAnsi" w:hAnsiTheme="minorHAnsi" w:cstheme="minorHAnsi"/>
          <w:bCs/>
          <w:sz w:val="24"/>
          <w:szCs w:val="24"/>
        </w:rPr>
        <w:t xml:space="preserve"> byla u VPP „národní“ APZ i NIP max. 13 tis. Kč měsíčně, přičemž doba jeho poskytování činila max. 6 měsíců po celý rok 2014.</w:t>
      </w:r>
    </w:p>
    <w:p w:rsidR="00DC5CF9" w:rsidRDefault="00DC5CF9" w:rsidP="00DC5CF9">
      <w:pPr>
        <w:pStyle w:val="Zkladntextodsazen"/>
        <w:rPr>
          <w:rFonts w:asciiTheme="minorHAnsi" w:hAnsiTheme="minorHAnsi" w:cstheme="minorHAnsi"/>
        </w:rPr>
      </w:pPr>
      <w:r w:rsidRPr="006C6943">
        <w:rPr>
          <w:rFonts w:asciiTheme="minorHAnsi" w:hAnsiTheme="minorHAnsi" w:cstheme="minorHAnsi"/>
        </w:rPr>
        <w:t xml:space="preserve">V uplynulém roce napomohla KrP v Ostravě zaměstnavatelům k vytvoření celkem 261 nových CHPM (oproti </w:t>
      </w:r>
      <w:r w:rsidRPr="00E72AA9">
        <w:rPr>
          <w:rFonts w:asciiTheme="minorHAnsi" w:hAnsiTheme="minorHAnsi" w:cstheme="minorHAnsi"/>
        </w:rPr>
        <w:t>roku 2013 o 175, tj. o 203,5 % více) pro osoby se zdravotním postižením především v profes</w:t>
      </w:r>
      <w:r>
        <w:rPr>
          <w:rFonts w:asciiTheme="minorHAnsi" w:hAnsiTheme="minorHAnsi" w:cstheme="minorHAnsi"/>
        </w:rPr>
        <w:t>ích</w:t>
      </w:r>
      <w:r w:rsidRPr="00E72AA9">
        <w:rPr>
          <w:rFonts w:asciiTheme="minorHAnsi" w:hAnsiTheme="minorHAnsi" w:cstheme="minorHAnsi"/>
        </w:rPr>
        <w:t xml:space="preserve"> montážní dělník výrobků, dále pak skladník a pracovník ostrahy. </w:t>
      </w:r>
      <w:r>
        <w:rPr>
          <w:rFonts w:asciiTheme="minorHAnsi" w:hAnsiTheme="minorHAnsi" w:cstheme="minorHAnsi"/>
        </w:rPr>
        <w:t>Ž</w:t>
      </w:r>
      <w:r w:rsidRPr="00E72AA9">
        <w:rPr>
          <w:rFonts w:asciiTheme="minorHAnsi" w:hAnsiTheme="minorHAnsi" w:cstheme="minorHAnsi"/>
        </w:rPr>
        <w:t>ádná osob</w:t>
      </w:r>
      <w:r>
        <w:rPr>
          <w:rFonts w:asciiTheme="minorHAnsi" w:hAnsiTheme="minorHAnsi" w:cstheme="minorHAnsi"/>
        </w:rPr>
        <w:t>a</w:t>
      </w:r>
      <w:r w:rsidRPr="00E72AA9">
        <w:rPr>
          <w:rFonts w:asciiTheme="minorHAnsi" w:hAnsiTheme="minorHAnsi" w:cstheme="minorHAnsi"/>
        </w:rPr>
        <w:t xml:space="preserve"> se zdravotním postižením nezahájila </w:t>
      </w:r>
      <w:r>
        <w:rPr>
          <w:rFonts w:asciiTheme="minorHAnsi" w:hAnsiTheme="minorHAnsi" w:cstheme="minorHAnsi"/>
        </w:rPr>
        <w:t>v</w:t>
      </w:r>
      <w:r w:rsidRPr="00E72AA9">
        <w:rPr>
          <w:rFonts w:asciiTheme="minorHAnsi" w:hAnsiTheme="minorHAnsi" w:cstheme="minorHAnsi"/>
        </w:rPr>
        <w:t xml:space="preserve"> roce 2014 </w:t>
      </w:r>
      <w:r>
        <w:rPr>
          <w:rFonts w:asciiTheme="minorHAnsi" w:hAnsiTheme="minorHAnsi" w:cstheme="minorHAnsi"/>
        </w:rPr>
        <w:t xml:space="preserve">výkon </w:t>
      </w:r>
      <w:r w:rsidRPr="00E72AA9">
        <w:rPr>
          <w:rFonts w:asciiTheme="minorHAnsi" w:hAnsiTheme="minorHAnsi" w:cstheme="minorHAnsi"/>
        </w:rPr>
        <w:t>SVČ.</w:t>
      </w:r>
    </w:p>
    <w:p w:rsidR="00DC5CF9" w:rsidRDefault="00DC5CF9" w:rsidP="00DC5CF9">
      <w:pPr>
        <w:ind w:firstLine="709"/>
        <w:jc w:val="both"/>
        <w:rPr>
          <w:rFonts w:asciiTheme="minorHAnsi" w:hAnsiTheme="minorHAnsi" w:cstheme="minorHAnsi"/>
          <w:sz w:val="24"/>
          <w:szCs w:val="24"/>
        </w:rPr>
      </w:pPr>
      <w:r w:rsidRPr="00960DFB">
        <w:rPr>
          <w:rFonts w:asciiTheme="minorHAnsi" w:hAnsiTheme="minorHAnsi" w:cstheme="minorHAnsi"/>
          <w:sz w:val="24"/>
          <w:szCs w:val="24"/>
        </w:rPr>
        <w:t xml:space="preserve">V našem kraji bylo v roce 2014 vymezeno celkem 466 CHPM na období 3 let </w:t>
      </w:r>
      <w:r>
        <w:rPr>
          <w:rFonts w:asciiTheme="minorHAnsi" w:hAnsiTheme="minorHAnsi" w:cstheme="minorHAnsi"/>
          <w:sz w:val="24"/>
          <w:szCs w:val="24"/>
        </w:rPr>
        <w:br/>
      </w:r>
      <w:r w:rsidRPr="00960DFB">
        <w:rPr>
          <w:rFonts w:asciiTheme="minorHAnsi" w:hAnsiTheme="minorHAnsi" w:cstheme="minorHAnsi"/>
          <w:sz w:val="24"/>
          <w:szCs w:val="24"/>
        </w:rPr>
        <w:t>(meziročně -845, tj. -64,5 %). Poskytnuto bylo pouze 6 příspěvků na provoz CHPM, přesto to bylo oproti roku 2013 o 1 (+20,0 %) více.</w:t>
      </w:r>
    </w:p>
    <w:p w:rsidR="00DC5CF9" w:rsidRPr="00960DFB" w:rsidRDefault="00DC5CF9" w:rsidP="00DC5CF9">
      <w:pPr>
        <w:ind w:firstLine="709"/>
        <w:jc w:val="both"/>
        <w:rPr>
          <w:rFonts w:asciiTheme="minorHAnsi" w:hAnsiTheme="minorHAnsi" w:cstheme="minorHAnsi"/>
          <w:sz w:val="24"/>
          <w:szCs w:val="24"/>
        </w:rPr>
      </w:pPr>
    </w:p>
    <w:p w:rsidR="00DC5CF9" w:rsidRPr="007C76CA" w:rsidRDefault="00DC5CF9" w:rsidP="00DC5CF9">
      <w:pPr>
        <w:pStyle w:val="Nadpis6"/>
        <w:rPr>
          <w:rFonts w:asciiTheme="minorHAnsi" w:hAnsiTheme="minorHAnsi" w:cstheme="minorHAnsi"/>
        </w:rPr>
      </w:pPr>
      <w:r w:rsidRPr="007C76CA">
        <w:rPr>
          <w:rFonts w:asciiTheme="minorHAnsi" w:hAnsiTheme="minorHAnsi" w:cstheme="minorHAnsi"/>
        </w:rPr>
        <w:t>3. Rekvalifikace</w:t>
      </w:r>
    </w:p>
    <w:p w:rsidR="00DC5CF9" w:rsidRPr="007C76CA" w:rsidRDefault="00DC5CF9" w:rsidP="00DC5CF9">
      <w:pPr>
        <w:rPr>
          <w:rFonts w:asciiTheme="minorHAnsi" w:hAnsiTheme="minorHAnsi" w:cstheme="minorHAnsi"/>
          <w:sz w:val="24"/>
          <w:szCs w:val="24"/>
        </w:rPr>
      </w:pPr>
    </w:p>
    <w:p w:rsidR="00DC5CF9" w:rsidRPr="00960DFB" w:rsidRDefault="00DC5CF9" w:rsidP="00DC5CF9">
      <w:pPr>
        <w:pStyle w:val="Zkladntextodsazen"/>
        <w:rPr>
          <w:rFonts w:asciiTheme="minorHAnsi" w:hAnsiTheme="minorHAnsi" w:cstheme="minorHAnsi"/>
        </w:rPr>
      </w:pPr>
      <w:r w:rsidRPr="00960DFB">
        <w:rPr>
          <w:rFonts w:asciiTheme="minorHAnsi" w:hAnsiTheme="minorHAnsi" w:cstheme="minorHAnsi"/>
        </w:rPr>
        <w:t xml:space="preserve">Rekvalifikační činnosti je na KrP v Ostravě věnována neustále </w:t>
      </w:r>
      <w:r>
        <w:rPr>
          <w:rFonts w:asciiTheme="minorHAnsi" w:hAnsiTheme="minorHAnsi" w:cstheme="minorHAnsi"/>
        </w:rPr>
        <w:t>mimořádná</w:t>
      </w:r>
      <w:r w:rsidRPr="00960DFB">
        <w:rPr>
          <w:rFonts w:asciiTheme="minorHAnsi" w:hAnsiTheme="minorHAnsi" w:cstheme="minorHAnsi"/>
        </w:rPr>
        <w:t xml:space="preserve"> pozornost, neboť větší přizpůsobivost účastníků rekvalifikačních kurzů stále se měnícím podmínkám na trhu práce je jejich hlavním pozitivním přínosem. Účastníkům rekvalifikačních kurzů se s jakoukoli nově cíleně získanou kvalifikací, znalostí či dovedností následně výrazně rozšiřují možnosti dalšího </w:t>
      </w:r>
      <w:r>
        <w:rPr>
          <w:rFonts w:asciiTheme="minorHAnsi" w:hAnsiTheme="minorHAnsi" w:cstheme="minorHAnsi"/>
        </w:rPr>
        <w:t xml:space="preserve">vhodného </w:t>
      </w:r>
      <w:r w:rsidRPr="00960DFB">
        <w:rPr>
          <w:rFonts w:asciiTheme="minorHAnsi" w:hAnsiTheme="minorHAnsi" w:cstheme="minorHAnsi"/>
        </w:rPr>
        <w:t>pracovního uplatnění. Rekvalifikační kurzy navíc nezaměstnané osoby aktivizují, probouzejí u nich zájem o práci a obnovují pracovní návyky, které jsou potřebné ke zvládnutí nových trendů v pracovním procesu. U mladistvých a absolventů škol pomáhají tyto pracovní návyky teprve utvářet.</w:t>
      </w:r>
    </w:p>
    <w:p w:rsidR="00DC5CF9" w:rsidRPr="007C76CA" w:rsidRDefault="00DC5CF9" w:rsidP="00DC5CF9">
      <w:pPr>
        <w:pStyle w:val="Zkladntextodsazen"/>
        <w:rPr>
          <w:rFonts w:asciiTheme="minorHAnsi" w:hAnsiTheme="minorHAnsi" w:cstheme="minorHAnsi"/>
        </w:rPr>
      </w:pPr>
    </w:p>
    <w:p w:rsidR="00DC5CF9" w:rsidRPr="007C76CA" w:rsidRDefault="00DC5CF9" w:rsidP="00DC5CF9">
      <w:pPr>
        <w:pStyle w:val="dka"/>
        <w:jc w:val="both"/>
        <w:rPr>
          <w:rFonts w:asciiTheme="minorHAnsi" w:hAnsiTheme="minorHAnsi" w:cstheme="minorHAnsi"/>
          <w:color w:val="auto"/>
        </w:rPr>
      </w:pPr>
      <w:r w:rsidRPr="007C76CA">
        <w:rPr>
          <w:rFonts w:asciiTheme="minorHAnsi" w:hAnsiTheme="minorHAnsi" w:cstheme="minorHAnsi"/>
          <w:b/>
          <w:color w:val="auto"/>
        </w:rPr>
        <w:t>Tabulka V/4</w:t>
      </w:r>
      <w:r w:rsidRPr="007C76CA">
        <w:rPr>
          <w:rFonts w:asciiTheme="minorHAnsi" w:hAnsiTheme="minorHAnsi" w:cstheme="minorHAnsi"/>
          <w:color w:val="auto"/>
        </w:rPr>
        <w:t xml:space="preserve"> - Rekvalifikace uchazečů (zájemců) o zaměstnání, zvolené rekvalifikace a rekvalifikace zaměstnanců</w:t>
      </w:r>
    </w:p>
    <w:tbl>
      <w:tblPr>
        <w:tblW w:w="9346" w:type="dxa"/>
        <w:jc w:val="center"/>
        <w:tblInd w:w="-1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5383"/>
        <w:gridCol w:w="921"/>
        <w:gridCol w:w="922"/>
        <w:gridCol w:w="1134"/>
        <w:gridCol w:w="974"/>
        <w:gridCol w:w="12"/>
      </w:tblGrid>
      <w:tr w:rsidR="00DC5CF9" w:rsidRPr="007C76CA" w:rsidTr="00DC5CF9">
        <w:trPr>
          <w:gridAfter w:val="1"/>
          <w:wAfter w:w="12" w:type="dxa"/>
          <w:jc w:val="center"/>
        </w:trPr>
        <w:tc>
          <w:tcPr>
            <w:tcW w:w="5383" w:type="dxa"/>
            <w:vMerge w:val="restart"/>
            <w:tcBorders>
              <w:top w:val="single" w:sz="12" w:space="0" w:color="auto"/>
              <w:right w:val="nil"/>
            </w:tcBorders>
            <w:vAlign w:val="center"/>
          </w:tcPr>
          <w:p w:rsidR="00DC5CF9" w:rsidRPr="007C76CA" w:rsidRDefault="00DC5CF9" w:rsidP="00DC5CF9">
            <w:pPr>
              <w:pStyle w:val="Texttabulky"/>
              <w:jc w:val="center"/>
              <w:rPr>
                <w:rFonts w:asciiTheme="minorHAnsi" w:hAnsiTheme="minorHAnsi" w:cstheme="minorHAnsi"/>
                <w:color w:val="auto"/>
              </w:rPr>
            </w:pPr>
            <w:bookmarkStart w:id="2" w:name="OLE_LINK1"/>
            <w:r w:rsidRPr="007C76CA">
              <w:rPr>
                <w:rFonts w:asciiTheme="minorHAnsi" w:hAnsiTheme="minorHAnsi" w:cstheme="minorHAnsi"/>
                <w:color w:val="auto"/>
              </w:rPr>
              <w:t>ukazatel</w:t>
            </w:r>
          </w:p>
        </w:tc>
        <w:tc>
          <w:tcPr>
            <w:tcW w:w="921" w:type="dxa"/>
            <w:vMerge w:val="restart"/>
            <w:tcBorders>
              <w:top w:val="single" w:sz="12" w:space="0" w:color="auto"/>
              <w:lef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2013</w:t>
            </w:r>
          </w:p>
        </w:tc>
        <w:tc>
          <w:tcPr>
            <w:tcW w:w="922" w:type="dxa"/>
            <w:vMerge w:val="restart"/>
            <w:tcBorders>
              <w:top w:val="single" w:sz="12"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2014</w:t>
            </w:r>
          </w:p>
        </w:tc>
        <w:tc>
          <w:tcPr>
            <w:tcW w:w="2108" w:type="dxa"/>
            <w:gridSpan w:val="2"/>
            <w:tcBorders>
              <w:top w:val="single" w:sz="12" w:space="0" w:color="auto"/>
              <w:left w:val="nil"/>
              <w:bottom w:val="single" w:sz="4"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index v %</w:t>
            </w:r>
          </w:p>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2014/2013</w:t>
            </w:r>
          </w:p>
        </w:tc>
      </w:tr>
      <w:tr w:rsidR="00DC5CF9" w:rsidRPr="007C76CA" w:rsidTr="00DC5CF9">
        <w:trPr>
          <w:gridAfter w:val="1"/>
          <w:wAfter w:w="12" w:type="dxa"/>
          <w:jc w:val="center"/>
        </w:trPr>
        <w:tc>
          <w:tcPr>
            <w:tcW w:w="5383" w:type="dxa"/>
            <w:vMerge/>
            <w:tcBorders>
              <w:bottom w:val="single" w:sz="12" w:space="0" w:color="auto"/>
              <w:right w:val="nil"/>
            </w:tcBorders>
            <w:vAlign w:val="center"/>
          </w:tcPr>
          <w:p w:rsidR="00DC5CF9" w:rsidRPr="007C76CA" w:rsidRDefault="00DC5CF9" w:rsidP="00DC5CF9">
            <w:pPr>
              <w:pStyle w:val="Texttabulky"/>
              <w:jc w:val="center"/>
              <w:rPr>
                <w:rFonts w:asciiTheme="minorHAnsi" w:hAnsiTheme="minorHAnsi" w:cstheme="minorHAnsi"/>
                <w:color w:val="auto"/>
              </w:rPr>
            </w:pPr>
          </w:p>
        </w:tc>
        <w:tc>
          <w:tcPr>
            <w:tcW w:w="921" w:type="dxa"/>
            <w:vMerge/>
            <w:tcBorders>
              <w:left w:val="single" w:sz="12" w:space="0" w:color="auto"/>
              <w:bottom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p>
        </w:tc>
        <w:tc>
          <w:tcPr>
            <w:tcW w:w="922" w:type="dxa"/>
            <w:vMerge/>
            <w:tcBorders>
              <w:bottom w:val="single" w:sz="12"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p>
        </w:tc>
        <w:tc>
          <w:tcPr>
            <w:tcW w:w="1134" w:type="dxa"/>
            <w:tcBorders>
              <w:top w:val="single" w:sz="4" w:space="0" w:color="auto"/>
              <w:left w:val="single" w:sz="12" w:space="0" w:color="auto"/>
              <w:bottom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absolutně</w:t>
            </w:r>
          </w:p>
        </w:tc>
        <w:tc>
          <w:tcPr>
            <w:tcW w:w="974" w:type="dxa"/>
            <w:tcBorders>
              <w:top w:val="single" w:sz="4" w:space="0" w:color="auto"/>
              <w:left w:val="nil"/>
              <w:bottom w:val="single" w:sz="12" w:space="0" w:color="auto"/>
              <w:right w:val="single" w:sz="12" w:space="0" w:color="auto"/>
            </w:tcBorders>
            <w:vAlign w:val="center"/>
          </w:tcPr>
          <w:p w:rsidR="00DC5CF9" w:rsidRPr="007C76CA" w:rsidRDefault="00DC5CF9" w:rsidP="00DC5CF9">
            <w:pPr>
              <w:pStyle w:val="Texttabulky"/>
              <w:jc w:val="center"/>
              <w:rPr>
                <w:rFonts w:asciiTheme="minorHAnsi" w:hAnsiTheme="minorHAnsi" w:cstheme="minorHAnsi"/>
                <w:color w:val="auto"/>
              </w:rPr>
            </w:pPr>
            <w:r w:rsidRPr="007C76CA">
              <w:rPr>
                <w:rFonts w:asciiTheme="minorHAnsi" w:hAnsiTheme="minorHAnsi" w:cstheme="minorHAnsi"/>
                <w:color w:val="auto"/>
              </w:rPr>
              <w:t>v %</w:t>
            </w:r>
          </w:p>
        </w:tc>
      </w:tr>
      <w:tr w:rsidR="00DC5CF9" w:rsidRPr="007C76CA" w:rsidTr="00DC5CF9">
        <w:trPr>
          <w:cantSplit/>
          <w:trHeight w:val="374"/>
          <w:jc w:val="center"/>
        </w:trPr>
        <w:tc>
          <w:tcPr>
            <w:tcW w:w="9346" w:type="dxa"/>
            <w:gridSpan w:val="6"/>
            <w:tcBorders>
              <w:top w:val="single" w:sz="12" w:space="0" w:color="auto"/>
              <w:bottom w:val="single" w:sz="12" w:space="0" w:color="auto"/>
            </w:tcBorders>
            <w:shd w:val="clear" w:color="auto" w:fill="B3B3B3"/>
          </w:tcPr>
          <w:p w:rsidR="00DC5CF9" w:rsidRPr="007C76CA" w:rsidRDefault="00DC5CF9" w:rsidP="00DC5CF9">
            <w:pPr>
              <w:pStyle w:val="Texttabulky"/>
              <w:spacing w:before="20" w:after="20"/>
              <w:jc w:val="center"/>
              <w:rPr>
                <w:rFonts w:asciiTheme="minorHAnsi" w:hAnsiTheme="minorHAnsi" w:cstheme="minorHAnsi"/>
                <w:b/>
                <w:i/>
                <w:color w:val="auto"/>
              </w:rPr>
            </w:pPr>
            <w:r w:rsidRPr="007C76CA">
              <w:rPr>
                <w:rFonts w:asciiTheme="minorHAnsi" w:hAnsiTheme="minorHAnsi" w:cstheme="minorHAnsi"/>
                <w:b/>
                <w:i/>
                <w:color w:val="auto"/>
              </w:rPr>
              <w:t>rekvalifikace uchazečů (zájemců) o zaměstnání</w:t>
            </w:r>
          </w:p>
        </w:tc>
      </w:tr>
      <w:tr w:rsidR="00DC5CF9" w:rsidRPr="007C76CA" w:rsidTr="00DC5CF9">
        <w:trPr>
          <w:gridAfter w:val="1"/>
          <w:wAfter w:w="12" w:type="dxa"/>
          <w:trHeight w:val="50"/>
          <w:jc w:val="center"/>
        </w:trPr>
        <w:tc>
          <w:tcPr>
            <w:tcW w:w="5383" w:type="dxa"/>
            <w:tcBorders>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 xml:space="preserve">zahájené rekvalifikační kurzy - národní APZ </w:t>
            </w:r>
          </w:p>
        </w:tc>
        <w:tc>
          <w:tcPr>
            <w:tcW w:w="921" w:type="dxa"/>
            <w:tcBorders>
              <w:top w:val="single" w:sz="6" w:space="0" w:color="auto"/>
              <w:left w:val="single" w:sz="12" w:space="0" w:color="auto"/>
              <w:bottom w:val="single" w:sz="6" w:space="0" w:color="auto"/>
              <w:right w:val="single" w:sz="6" w:space="0" w:color="auto"/>
            </w:tcBorders>
            <w:shd w:val="clear" w:color="auto" w:fill="FFFFFF"/>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178</w:t>
            </w:r>
          </w:p>
        </w:tc>
        <w:tc>
          <w:tcPr>
            <w:tcW w:w="922" w:type="dxa"/>
            <w:tcBorders>
              <w:top w:val="single" w:sz="6" w:space="0" w:color="auto"/>
              <w:left w:val="single" w:sz="6" w:space="0" w:color="auto"/>
              <w:bottom w:val="single" w:sz="6" w:space="0" w:color="auto"/>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86</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-92</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48,3</w:t>
            </w:r>
          </w:p>
        </w:tc>
      </w:tr>
      <w:tr w:rsidR="00DC5CF9" w:rsidRPr="007C76CA" w:rsidTr="00DC5CF9">
        <w:trPr>
          <w:gridAfter w:val="1"/>
          <w:wAfter w:w="12" w:type="dxa"/>
          <w:trHeight w:val="50"/>
          <w:jc w:val="center"/>
        </w:trPr>
        <w:tc>
          <w:tcPr>
            <w:tcW w:w="5383" w:type="dxa"/>
            <w:tcBorders>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 xml:space="preserve">zahájené rekvalifikační kurzy - NIP ESF-OP LZZ </w:t>
            </w:r>
          </w:p>
        </w:tc>
        <w:tc>
          <w:tcPr>
            <w:tcW w:w="921" w:type="dxa"/>
            <w:tcBorders>
              <w:top w:val="single" w:sz="6" w:space="0" w:color="auto"/>
              <w:left w:val="single" w:sz="12" w:space="0" w:color="auto"/>
              <w:bottom w:val="single" w:sz="6" w:space="0" w:color="auto"/>
              <w:right w:val="single" w:sz="6" w:space="0" w:color="auto"/>
            </w:tcBorders>
            <w:shd w:val="clear" w:color="auto" w:fill="FFFFFF"/>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349</w:t>
            </w:r>
          </w:p>
        </w:tc>
        <w:tc>
          <w:tcPr>
            <w:tcW w:w="922" w:type="dxa"/>
            <w:tcBorders>
              <w:top w:val="single" w:sz="6" w:space="0" w:color="auto"/>
              <w:left w:val="single" w:sz="6" w:space="0" w:color="auto"/>
              <w:bottom w:val="single" w:sz="6" w:space="0" w:color="auto"/>
              <w:right w:val="single" w:sz="12" w:space="0" w:color="auto"/>
            </w:tcBorders>
          </w:tcPr>
          <w:p w:rsidR="00DC5CF9" w:rsidRPr="0071456F" w:rsidRDefault="00DC5CF9" w:rsidP="00DC5CF9">
            <w:pPr>
              <w:pStyle w:val="Texttabulky"/>
              <w:spacing w:before="20" w:after="20"/>
              <w:ind w:right="57"/>
              <w:jc w:val="center"/>
              <w:rPr>
                <w:rFonts w:asciiTheme="minorHAnsi" w:hAnsiTheme="minorHAnsi" w:cstheme="minorHAnsi"/>
                <w:color w:val="auto"/>
              </w:rPr>
            </w:pPr>
            <w:r w:rsidRPr="0071456F">
              <w:rPr>
                <w:rFonts w:asciiTheme="minorHAnsi" w:hAnsiTheme="minorHAnsi" w:cstheme="minorHAnsi"/>
                <w:color w:val="auto"/>
              </w:rPr>
              <w:t>226</w:t>
            </w:r>
          </w:p>
        </w:tc>
        <w:tc>
          <w:tcPr>
            <w:tcW w:w="1134" w:type="dxa"/>
            <w:tcBorders>
              <w:left w:val="nil"/>
            </w:tcBorders>
            <w:shd w:val="clear" w:color="auto" w:fill="auto"/>
          </w:tcPr>
          <w:p w:rsidR="00DC5CF9" w:rsidRPr="0071456F" w:rsidRDefault="00DC5CF9" w:rsidP="00DC5CF9">
            <w:pPr>
              <w:pStyle w:val="Texttabulky"/>
              <w:spacing w:before="20" w:after="20"/>
              <w:ind w:right="57"/>
              <w:jc w:val="center"/>
              <w:rPr>
                <w:rFonts w:asciiTheme="minorHAnsi" w:hAnsiTheme="minorHAnsi" w:cstheme="minorHAnsi"/>
                <w:color w:val="auto"/>
              </w:rPr>
            </w:pPr>
            <w:r w:rsidRPr="0071456F">
              <w:rPr>
                <w:rFonts w:asciiTheme="minorHAnsi" w:hAnsiTheme="minorHAnsi" w:cstheme="minorHAnsi"/>
                <w:color w:val="auto"/>
              </w:rPr>
              <w:t>-123</w:t>
            </w:r>
          </w:p>
        </w:tc>
        <w:tc>
          <w:tcPr>
            <w:tcW w:w="974" w:type="dxa"/>
            <w:tcBorders>
              <w:left w:val="nil"/>
            </w:tcBorders>
          </w:tcPr>
          <w:p w:rsidR="00DC5CF9" w:rsidRPr="0071456F" w:rsidRDefault="00DC5CF9" w:rsidP="00DC5CF9">
            <w:pPr>
              <w:pStyle w:val="Texttabulky"/>
              <w:spacing w:before="20" w:after="20"/>
              <w:ind w:right="57"/>
              <w:jc w:val="center"/>
              <w:rPr>
                <w:rFonts w:asciiTheme="minorHAnsi" w:hAnsiTheme="minorHAnsi" w:cstheme="minorHAnsi"/>
                <w:color w:val="auto"/>
              </w:rPr>
            </w:pPr>
            <w:r w:rsidRPr="0071456F">
              <w:rPr>
                <w:rFonts w:asciiTheme="minorHAnsi" w:hAnsiTheme="minorHAnsi" w:cstheme="minorHAnsi"/>
                <w:color w:val="auto"/>
              </w:rPr>
              <w:t>64,8</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UoZ (zájemci) zařazení do RK (APZ+ESF-OP LZZ)</w:t>
            </w:r>
          </w:p>
        </w:tc>
        <w:tc>
          <w:tcPr>
            <w:tcW w:w="921" w:type="dxa"/>
            <w:tcBorders>
              <w:top w:val="single" w:sz="6" w:space="0" w:color="auto"/>
              <w:left w:val="single" w:sz="12" w:space="0" w:color="auto"/>
              <w:bottom w:val="nil"/>
              <w:right w:val="single" w:sz="6"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3 314</w:t>
            </w:r>
          </w:p>
        </w:tc>
        <w:tc>
          <w:tcPr>
            <w:tcW w:w="922" w:type="dxa"/>
            <w:tcBorders>
              <w:top w:val="single" w:sz="6" w:space="0" w:color="auto"/>
              <w:left w:val="single" w:sz="6" w:space="0" w:color="auto"/>
              <w:bottom w:val="nil"/>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2 549</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-765</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76,9</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z toho: - zájemci o zaměstnání (národní APZ+ESF)</w:t>
            </w:r>
          </w:p>
        </w:tc>
        <w:tc>
          <w:tcPr>
            <w:tcW w:w="921" w:type="dxa"/>
            <w:tcBorders>
              <w:top w:val="single" w:sz="6" w:space="0" w:color="auto"/>
              <w:left w:val="single" w:sz="12" w:space="0" w:color="auto"/>
              <w:bottom w:val="nil"/>
              <w:right w:val="single" w:sz="6"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14</w:t>
            </w:r>
          </w:p>
        </w:tc>
        <w:tc>
          <w:tcPr>
            <w:tcW w:w="922" w:type="dxa"/>
            <w:tcBorders>
              <w:top w:val="single" w:sz="6" w:space="0" w:color="auto"/>
              <w:left w:val="single" w:sz="6" w:space="0" w:color="auto"/>
              <w:bottom w:val="nil"/>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32</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+18</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228,6</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ind w:left="849" w:hanging="142"/>
              <w:rPr>
                <w:rFonts w:asciiTheme="minorHAnsi" w:hAnsiTheme="minorHAnsi" w:cstheme="minorHAnsi"/>
                <w:sz w:val="24"/>
              </w:rPr>
            </w:pPr>
            <w:r w:rsidRPr="007C76CA">
              <w:rPr>
                <w:rFonts w:asciiTheme="minorHAnsi" w:hAnsiTheme="minorHAnsi" w:cstheme="minorHAnsi"/>
                <w:sz w:val="24"/>
              </w:rPr>
              <w:t xml:space="preserve"> - UoZ v rámci NIP ESF-OP LZZ</w:t>
            </w:r>
          </w:p>
        </w:tc>
        <w:tc>
          <w:tcPr>
            <w:tcW w:w="921" w:type="dxa"/>
            <w:tcBorders>
              <w:top w:val="single" w:sz="6" w:space="0" w:color="auto"/>
              <w:left w:val="single" w:sz="12" w:space="0" w:color="auto"/>
              <w:bottom w:val="nil"/>
              <w:right w:val="single" w:sz="6" w:space="0" w:color="auto"/>
            </w:tcBorders>
            <w:shd w:val="clear" w:color="auto" w:fill="FFFFFF"/>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1 069</w:t>
            </w:r>
          </w:p>
        </w:tc>
        <w:tc>
          <w:tcPr>
            <w:tcW w:w="922" w:type="dxa"/>
            <w:tcBorders>
              <w:top w:val="single" w:sz="6" w:space="0" w:color="auto"/>
              <w:left w:val="single" w:sz="6" w:space="0" w:color="auto"/>
              <w:bottom w:val="nil"/>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1 611</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+542</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150,7</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ind w:left="849" w:hanging="142"/>
              <w:rPr>
                <w:rFonts w:asciiTheme="minorHAnsi" w:hAnsiTheme="minorHAnsi" w:cstheme="minorHAnsi"/>
                <w:sz w:val="24"/>
              </w:rPr>
            </w:pPr>
            <w:r w:rsidRPr="007C76CA">
              <w:rPr>
                <w:rFonts w:asciiTheme="minorHAnsi" w:hAnsiTheme="minorHAnsi" w:cstheme="minorHAnsi"/>
                <w:sz w:val="24"/>
              </w:rPr>
              <w:t xml:space="preserve"> - UoZ v rámci RIP ESF-OP LZZ</w:t>
            </w:r>
          </w:p>
        </w:tc>
        <w:tc>
          <w:tcPr>
            <w:tcW w:w="921" w:type="dxa"/>
            <w:tcBorders>
              <w:top w:val="single" w:sz="6" w:space="0" w:color="auto"/>
              <w:left w:val="single" w:sz="12" w:space="0" w:color="auto"/>
              <w:bottom w:val="nil"/>
              <w:right w:val="single" w:sz="6" w:space="0" w:color="auto"/>
            </w:tcBorders>
            <w:shd w:val="clear" w:color="auto" w:fill="FFFFFF"/>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96</w:t>
            </w:r>
          </w:p>
        </w:tc>
        <w:tc>
          <w:tcPr>
            <w:tcW w:w="922" w:type="dxa"/>
            <w:tcBorders>
              <w:top w:val="single" w:sz="6" w:space="0" w:color="auto"/>
              <w:left w:val="single" w:sz="6" w:space="0" w:color="auto"/>
              <w:bottom w:val="nil"/>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28</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-68</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29,2</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ind w:left="849" w:hanging="142"/>
              <w:rPr>
                <w:rFonts w:asciiTheme="minorHAnsi" w:hAnsiTheme="minorHAnsi" w:cstheme="minorHAnsi"/>
                <w:sz w:val="24"/>
              </w:rPr>
            </w:pPr>
            <w:r w:rsidRPr="007C76CA">
              <w:rPr>
                <w:rFonts w:asciiTheme="minorHAnsi" w:hAnsiTheme="minorHAnsi" w:cstheme="minorHAnsi"/>
                <w:sz w:val="24"/>
              </w:rPr>
              <w:t xml:space="preserve"> - UoZ v rámci GP ESF-OP LZZ</w:t>
            </w:r>
          </w:p>
        </w:tc>
        <w:tc>
          <w:tcPr>
            <w:tcW w:w="921" w:type="dxa"/>
            <w:tcBorders>
              <w:top w:val="single" w:sz="6" w:space="0" w:color="auto"/>
              <w:left w:val="single" w:sz="12" w:space="0" w:color="auto"/>
              <w:bottom w:val="nil"/>
              <w:right w:val="single" w:sz="6" w:space="0" w:color="auto"/>
            </w:tcBorders>
            <w:shd w:val="clear" w:color="auto" w:fill="FFFFFF"/>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1 086</w:t>
            </w:r>
          </w:p>
        </w:tc>
        <w:tc>
          <w:tcPr>
            <w:tcW w:w="922" w:type="dxa"/>
            <w:tcBorders>
              <w:top w:val="single" w:sz="6" w:space="0" w:color="auto"/>
              <w:left w:val="single" w:sz="6" w:space="0" w:color="auto"/>
              <w:bottom w:val="nil"/>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582</w:t>
            </w:r>
          </w:p>
        </w:tc>
        <w:tc>
          <w:tcPr>
            <w:tcW w:w="1134" w:type="dxa"/>
            <w:tcBorders>
              <w:left w:val="nil"/>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-504</w:t>
            </w:r>
          </w:p>
        </w:tc>
        <w:tc>
          <w:tcPr>
            <w:tcW w:w="974" w:type="dxa"/>
            <w:tcBorders>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53,6</w:t>
            </w:r>
          </w:p>
        </w:tc>
      </w:tr>
      <w:tr w:rsidR="00DC5CF9" w:rsidRPr="007C76CA" w:rsidTr="00DC5CF9">
        <w:trPr>
          <w:gridAfter w:val="1"/>
          <w:wAfter w:w="12" w:type="dxa"/>
          <w:jc w:val="center"/>
        </w:trPr>
        <w:tc>
          <w:tcPr>
            <w:tcW w:w="5383" w:type="dxa"/>
            <w:tcBorders>
              <w:right w:val="nil"/>
            </w:tcBorders>
          </w:tcPr>
          <w:p w:rsidR="00DC5CF9" w:rsidRPr="007C76CA" w:rsidRDefault="00DC5CF9" w:rsidP="00DC5CF9">
            <w:pPr>
              <w:rPr>
                <w:rFonts w:asciiTheme="minorHAnsi" w:hAnsiTheme="minorHAnsi" w:cstheme="minorHAnsi"/>
                <w:iCs/>
                <w:vertAlign w:val="superscript"/>
              </w:rPr>
            </w:pPr>
            <w:r w:rsidRPr="007C76CA">
              <w:rPr>
                <w:rFonts w:asciiTheme="minorHAnsi" w:hAnsiTheme="minorHAnsi" w:cstheme="minorHAnsi"/>
                <w:sz w:val="24"/>
              </w:rPr>
              <w:t>osoby, které ukončily rekvalifikaci</w:t>
            </w:r>
            <w:r w:rsidRPr="007C76CA">
              <w:rPr>
                <w:rFonts w:asciiTheme="minorHAnsi" w:hAnsiTheme="minorHAnsi" w:cstheme="minorHAnsi"/>
                <w:i/>
                <w:iCs/>
                <w:vertAlign w:val="superscript"/>
              </w:rPr>
              <w:t>1</w:t>
            </w:r>
            <w:r w:rsidRPr="007C76CA">
              <w:rPr>
                <w:rFonts w:asciiTheme="minorHAnsi" w:hAnsiTheme="minorHAnsi" w:cstheme="minorHAnsi"/>
                <w:iCs/>
                <w:vertAlign w:val="superscript"/>
              </w:rPr>
              <w:t xml:space="preserve">) </w:t>
            </w:r>
          </w:p>
          <w:p w:rsidR="00DC5CF9" w:rsidRPr="007C76CA" w:rsidRDefault="00DC5CF9" w:rsidP="00DC5CF9">
            <w:pPr>
              <w:rPr>
                <w:rFonts w:asciiTheme="minorHAnsi" w:hAnsiTheme="minorHAnsi" w:cstheme="minorHAnsi"/>
                <w:sz w:val="24"/>
              </w:rPr>
            </w:pPr>
            <w:r w:rsidRPr="007C76CA">
              <w:rPr>
                <w:rFonts w:asciiTheme="minorHAnsi" w:hAnsiTheme="minorHAnsi" w:cstheme="minorHAnsi"/>
                <w:iCs/>
                <w:sz w:val="24"/>
                <w:szCs w:val="24"/>
              </w:rPr>
              <w:t>(národní APZ+ESF)</w:t>
            </w:r>
          </w:p>
        </w:tc>
        <w:tc>
          <w:tcPr>
            <w:tcW w:w="921" w:type="dxa"/>
            <w:tcBorders>
              <w:top w:val="single" w:sz="6" w:space="0" w:color="auto"/>
              <w:left w:val="single" w:sz="12" w:space="0" w:color="auto"/>
              <w:bottom w:val="single" w:sz="6" w:space="0" w:color="auto"/>
              <w:right w:val="single" w:sz="6"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3 271</w:t>
            </w:r>
          </w:p>
        </w:tc>
        <w:tc>
          <w:tcPr>
            <w:tcW w:w="922" w:type="dxa"/>
            <w:tcBorders>
              <w:top w:val="single" w:sz="6" w:space="0" w:color="auto"/>
              <w:left w:val="single" w:sz="6" w:space="0" w:color="auto"/>
              <w:bottom w:val="single" w:sz="6"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2 047</w:t>
            </w:r>
          </w:p>
        </w:tc>
        <w:tc>
          <w:tcPr>
            <w:tcW w:w="1134" w:type="dxa"/>
            <w:tcBorders>
              <w:left w:val="nil"/>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-1 224</w:t>
            </w:r>
          </w:p>
        </w:tc>
        <w:tc>
          <w:tcPr>
            <w:tcW w:w="974" w:type="dxa"/>
            <w:tcBorders>
              <w:left w:val="nil"/>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62,6</w:t>
            </w:r>
          </w:p>
        </w:tc>
      </w:tr>
      <w:tr w:rsidR="00DC5CF9" w:rsidRPr="007C76CA" w:rsidTr="00DC5CF9">
        <w:trPr>
          <w:gridAfter w:val="1"/>
          <w:wAfter w:w="12" w:type="dxa"/>
          <w:jc w:val="center"/>
        </w:trPr>
        <w:tc>
          <w:tcPr>
            <w:tcW w:w="5383" w:type="dxa"/>
            <w:tcBorders>
              <w:bottom w:val="single" w:sz="12" w:space="0" w:color="auto"/>
              <w:right w:val="nil"/>
            </w:tcBorders>
          </w:tcPr>
          <w:p w:rsidR="00DC5CF9" w:rsidRPr="007C76CA" w:rsidRDefault="00DC5CF9" w:rsidP="00DC5CF9">
            <w:pPr>
              <w:rPr>
                <w:rFonts w:asciiTheme="minorHAnsi" w:hAnsiTheme="minorHAnsi" w:cstheme="minorHAnsi"/>
                <w:i/>
                <w:sz w:val="24"/>
                <w:szCs w:val="24"/>
              </w:rPr>
            </w:pPr>
            <w:r w:rsidRPr="007C76CA">
              <w:rPr>
                <w:rFonts w:asciiTheme="minorHAnsi" w:hAnsiTheme="minorHAnsi" w:cstheme="minorHAnsi"/>
                <w:sz w:val="24"/>
              </w:rPr>
              <w:t xml:space="preserve">z toho - </w:t>
            </w:r>
            <w:r w:rsidRPr="007C76CA">
              <w:rPr>
                <w:rFonts w:asciiTheme="minorHAnsi" w:hAnsiTheme="minorHAnsi" w:cstheme="minorHAnsi"/>
                <w:sz w:val="24"/>
                <w:szCs w:val="24"/>
              </w:rPr>
              <w:t>úspěšně</w:t>
            </w:r>
            <w:r w:rsidRPr="007C76CA">
              <w:rPr>
                <w:rFonts w:asciiTheme="minorHAnsi" w:hAnsiTheme="minorHAnsi" w:cstheme="minorHAnsi"/>
                <w:i/>
                <w:sz w:val="24"/>
                <w:szCs w:val="24"/>
                <w:vertAlign w:val="superscript"/>
              </w:rPr>
              <w:t>2)</w:t>
            </w:r>
          </w:p>
          <w:p w:rsidR="00DC5CF9" w:rsidRPr="007C76CA" w:rsidRDefault="00DC5CF9" w:rsidP="00DC5CF9">
            <w:pPr>
              <w:rPr>
                <w:rFonts w:asciiTheme="minorHAnsi" w:hAnsiTheme="minorHAnsi" w:cstheme="minorHAnsi"/>
                <w:sz w:val="24"/>
              </w:rPr>
            </w:pPr>
            <w:r w:rsidRPr="007C76CA">
              <w:rPr>
                <w:rFonts w:asciiTheme="minorHAnsi" w:hAnsiTheme="minorHAnsi" w:cstheme="minorHAnsi"/>
                <w:iCs/>
                <w:sz w:val="24"/>
                <w:szCs w:val="24"/>
              </w:rPr>
              <w:t>(národní APZ+ESF)</w:t>
            </w:r>
          </w:p>
        </w:tc>
        <w:tc>
          <w:tcPr>
            <w:tcW w:w="921" w:type="dxa"/>
            <w:tcBorders>
              <w:top w:val="single" w:sz="6" w:space="0" w:color="auto"/>
              <w:left w:val="single" w:sz="12" w:space="0" w:color="auto"/>
              <w:bottom w:val="single" w:sz="12" w:space="0" w:color="auto"/>
              <w:right w:val="single" w:sz="6"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2 894</w:t>
            </w:r>
          </w:p>
        </w:tc>
        <w:tc>
          <w:tcPr>
            <w:tcW w:w="922" w:type="dxa"/>
            <w:tcBorders>
              <w:top w:val="single" w:sz="6" w:space="0" w:color="auto"/>
              <w:left w:val="single" w:sz="6" w:space="0" w:color="auto"/>
              <w:bottom w:val="single" w:sz="12"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1 896</w:t>
            </w:r>
          </w:p>
        </w:tc>
        <w:tc>
          <w:tcPr>
            <w:tcW w:w="1134" w:type="dxa"/>
            <w:tcBorders>
              <w:left w:val="nil"/>
              <w:bottom w:val="single" w:sz="12"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-998</w:t>
            </w:r>
          </w:p>
        </w:tc>
        <w:tc>
          <w:tcPr>
            <w:tcW w:w="974" w:type="dxa"/>
            <w:tcBorders>
              <w:left w:val="nil"/>
              <w:bottom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65,5</w:t>
            </w:r>
          </w:p>
        </w:tc>
      </w:tr>
      <w:tr w:rsidR="00DC5CF9" w:rsidRPr="007C76CA" w:rsidTr="00DC5CF9">
        <w:trPr>
          <w:gridAfter w:val="1"/>
          <w:wAfter w:w="12" w:type="dxa"/>
          <w:jc w:val="center"/>
        </w:trPr>
        <w:tc>
          <w:tcPr>
            <w:tcW w:w="9334" w:type="dxa"/>
            <w:gridSpan w:val="5"/>
            <w:tcBorders>
              <w:top w:val="single" w:sz="12" w:space="0" w:color="auto"/>
              <w:bottom w:val="single" w:sz="12" w:space="0" w:color="auto"/>
            </w:tcBorders>
            <w:shd w:val="clear" w:color="auto" w:fill="A6A6A6"/>
          </w:tcPr>
          <w:p w:rsidR="00DC5CF9" w:rsidRPr="007C76CA" w:rsidRDefault="00DC5CF9" w:rsidP="00DC5CF9">
            <w:pPr>
              <w:pStyle w:val="dka"/>
              <w:spacing w:before="20" w:after="20"/>
              <w:jc w:val="center"/>
              <w:rPr>
                <w:rFonts w:asciiTheme="minorHAnsi" w:hAnsiTheme="minorHAnsi" w:cstheme="minorHAnsi"/>
                <w:b/>
                <w:i/>
                <w:color w:val="auto"/>
              </w:rPr>
            </w:pPr>
            <w:r w:rsidRPr="007C76CA">
              <w:rPr>
                <w:rFonts w:asciiTheme="minorHAnsi" w:hAnsiTheme="minorHAnsi" w:cstheme="minorHAnsi"/>
                <w:b/>
                <w:i/>
                <w:color w:val="auto"/>
              </w:rPr>
              <w:t>zvolené rekvalifikace</w:t>
            </w:r>
          </w:p>
        </w:tc>
      </w:tr>
      <w:tr w:rsidR="00DC5CF9" w:rsidRPr="007C76CA" w:rsidTr="00DC5CF9">
        <w:trPr>
          <w:gridAfter w:val="1"/>
          <w:wAfter w:w="12" w:type="dxa"/>
          <w:jc w:val="center"/>
        </w:trPr>
        <w:tc>
          <w:tcPr>
            <w:tcW w:w="5383" w:type="dxa"/>
            <w:tcBorders>
              <w:top w:val="single" w:sz="12" w:space="0" w:color="auto"/>
              <w:bottom w:val="double" w:sz="4" w:space="0" w:color="auto"/>
              <w:right w:val="nil"/>
            </w:tcBorders>
          </w:tcPr>
          <w:p w:rsidR="00DC5CF9" w:rsidRPr="007C76CA" w:rsidRDefault="00DC5CF9" w:rsidP="00DC5CF9">
            <w:pPr>
              <w:pStyle w:val="Texttabulky"/>
              <w:spacing w:before="20" w:after="20"/>
              <w:rPr>
                <w:rFonts w:asciiTheme="minorHAnsi" w:hAnsiTheme="minorHAnsi" w:cstheme="minorHAnsi"/>
                <w:color w:val="auto"/>
                <w:szCs w:val="24"/>
                <w:vertAlign w:val="superscript"/>
              </w:rPr>
            </w:pPr>
            <w:r w:rsidRPr="007C76CA">
              <w:rPr>
                <w:rFonts w:asciiTheme="minorHAnsi" w:hAnsiTheme="minorHAnsi" w:cstheme="minorHAnsi"/>
                <w:color w:val="auto"/>
                <w:szCs w:val="24"/>
              </w:rPr>
              <w:t xml:space="preserve">podané žádosti o zvolenou rekvalifikaci </w:t>
            </w:r>
          </w:p>
        </w:tc>
        <w:tc>
          <w:tcPr>
            <w:tcW w:w="921" w:type="dxa"/>
            <w:tcBorders>
              <w:top w:val="single" w:sz="12" w:space="0" w:color="auto"/>
              <w:left w:val="single" w:sz="12" w:space="0" w:color="auto"/>
              <w:bottom w:val="double" w:sz="4" w:space="0" w:color="auto"/>
              <w:right w:val="single" w:sz="6"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sidRPr="007C76CA">
              <w:rPr>
                <w:rFonts w:asciiTheme="minorHAnsi" w:hAnsiTheme="minorHAnsi" w:cstheme="minorHAnsi"/>
                <w:color w:val="auto"/>
                <w:szCs w:val="24"/>
              </w:rPr>
              <w:t>4 414</w:t>
            </w:r>
          </w:p>
        </w:tc>
        <w:tc>
          <w:tcPr>
            <w:tcW w:w="922" w:type="dxa"/>
            <w:tcBorders>
              <w:top w:val="single" w:sz="12" w:space="0" w:color="auto"/>
              <w:left w:val="single" w:sz="6" w:space="0" w:color="auto"/>
              <w:bottom w:val="double" w:sz="4" w:space="0" w:color="auto"/>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5 574</w:t>
            </w:r>
          </w:p>
        </w:tc>
        <w:tc>
          <w:tcPr>
            <w:tcW w:w="1134" w:type="dxa"/>
            <w:tcBorders>
              <w:top w:val="single" w:sz="12" w:space="0" w:color="auto"/>
              <w:left w:val="nil"/>
              <w:bottom w:val="double" w:sz="4"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+1 160</w:t>
            </w:r>
          </w:p>
        </w:tc>
        <w:tc>
          <w:tcPr>
            <w:tcW w:w="974" w:type="dxa"/>
            <w:tcBorders>
              <w:top w:val="single" w:sz="12" w:space="0" w:color="auto"/>
              <w:left w:val="nil"/>
              <w:bottom w:val="double" w:sz="4"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126,3</w:t>
            </w:r>
          </w:p>
        </w:tc>
      </w:tr>
      <w:tr w:rsidR="00DC5CF9" w:rsidRPr="007C76CA" w:rsidTr="00DC5CF9">
        <w:trPr>
          <w:gridAfter w:val="1"/>
          <w:wAfter w:w="12" w:type="dxa"/>
          <w:jc w:val="center"/>
        </w:trPr>
        <w:tc>
          <w:tcPr>
            <w:tcW w:w="5383" w:type="dxa"/>
            <w:tcBorders>
              <w:top w:val="double" w:sz="4" w:space="0" w:color="auto"/>
              <w:bottom w:val="single" w:sz="8" w:space="0" w:color="auto"/>
              <w:right w:val="nil"/>
            </w:tcBorders>
          </w:tcPr>
          <w:p w:rsidR="00DC5CF9" w:rsidRPr="007C76CA" w:rsidRDefault="00DC5CF9" w:rsidP="00DC5CF9">
            <w:pPr>
              <w:pStyle w:val="Texttabulky"/>
              <w:spacing w:before="20" w:after="20"/>
              <w:rPr>
                <w:rFonts w:asciiTheme="minorHAnsi" w:hAnsiTheme="minorHAnsi" w:cstheme="minorHAnsi"/>
                <w:color w:val="auto"/>
                <w:szCs w:val="24"/>
                <w:vertAlign w:val="superscript"/>
              </w:rPr>
            </w:pPr>
            <w:r w:rsidRPr="007C76CA">
              <w:rPr>
                <w:rFonts w:asciiTheme="minorHAnsi" w:hAnsiTheme="minorHAnsi" w:cstheme="minorHAnsi"/>
                <w:color w:val="auto"/>
                <w:szCs w:val="24"/>
              </w:rPr>
              <w:t>schválené žádosti o zvol. rekv. - národní APZ</w:t>
            </w:r>
          </w:p>
        </w:tc>
        <w:tc>
          <w:tcPr>
            <w:tcW w:w="921" w:type="dxa"/>
            <w:tcBorders>
              <w:top w:val="double" w:sz="4" w:space="0" w:color="auto"/>
              <w:left w:val="single" w:sz="12" w:space="0" w:color="auto"/>
              <w:bottom w:val="single" w:sz="8" w:space="0" w:color="auto"/>
              <w:right w:val="single" w:sz="6"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sidRPr="007C76CA">
              <w:rPr>
                <w:rFonts w:asciiTheme="minorHAnsi" w:hAnsiTheme="minorHAnsi" w:cstheme="minorHAnsi"/>
                <w:color w:val="auto"/>
                <w:szCs w:val="24"/>
              </w:rPr>
              <w:t>1 735</w:t>
            </w:r>
          </w:p>
        </w:tc>
        <w:tc>
          <w:tcPr>
            <w:tcW w:w="922" w:type="dxa"/>
            <w:tcBorders>
              <w:top w:val="double" w:sz="4" w:space="0" w:color="auto"/>
              <w:left w:val="single" w:sz="6" w:space="0" w:color="auto"/>
              <w:bottom w:val="single" w:sz="8" w:space="0" w:color="auto"/>
              <w:right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1 160</w:t>
            </w:r>
          </w:p>
        </w:tc>
        <w:tc>
          <w:tcPr>
            <w:tcW w:w="1134" w:type="dxa"/>
            <w:tcBorders>
              <w:top w:val="double" w:sz="4" w:space="0" w:color="auto"/>
              <w:left w:val="nil"/>
              <w:bottom w:val="single" w:sz="8"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-575</w:t>
            </w:r>
          </w:p>
        </w:tc>
        <w:tc>
          <w:tcPr>
            <w:tcW w:w="974" w:type="dxa"/>
            <w:tcBorders>
              <w:top w:val="double" w:sz="4" w:space="0" w:color="auto"/>
              <w:left w:val="nil"/>
              <w:bottom w:val="single" w:sz="8" w:space="0" w:color="auto"/>
            </w:tcBorders>
            <w:shd w:val="clear" w:color="auto" w:fill="auto"/>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66,9</w:t>
            </w:r>
          </w:p>
        </w:tc>
      </w:tr>
      <w:tr w:rsidR="00DC5CF9" w:rsidRPr="007C76CA" w:rsidTr="00DC5CF9">
        <w:trPr>
          <w:gridAfter w:val="1"/>
          <w:wAfter w:w="12" w:type="dxa"/>
          <w:jc w:val="center"/>
        </w:trPr>
        <w:tc>
          <w:tcPr>
            <w:tcW w:w="5383" w:type="dxa"/>
            <w:tcBorders>
              <w:top w:val="single" w:sz="8" w:space="0" w:color="auto"/>
              <w:bottom w:val="double" w:sz="4" w:space="0" w:color="auto"/>
              <w:right w:val="nil"/>
            </w:tcBorders>
          </w:tcPr>
          <w:p w:rsidR="00DC5CF9" w:rsidRPr="007C76CA" w:rsidRDefault="00DC5CF9" w:rsidP="00DC5CF9">
            <w:pPr>
              <w:pStyle w:val="Texttabulky"/>
              <w:spacing w:before="20" w:after="20"/>
              <w:rPr>
                <w:rFonts w:asciiTheme="minorHAnsi" w:hAnsiTheme="minorHAnsi" w:cstheme="minorHAnsi"/>
                <w:color w:val="auto"/>
                <w:szCs w:val="24"/>
              </w:rPr>
            </w:pPr>
            <w:r w:rsidRPr="007C76CA">
              <w:rPr>
                <w:rFonts w:asciiTheme="minorHAnsi" w:hAnsiTheme="minorHAnsi" w:cstheme="minorHAnsi"/>
                <w:color w:val="auto"/>
                <w:szCs w:val="24"/>
              </w:rPr>
              <w:t>osoby, které zahájily zvol. rekvalifikaci - národní APZ</w:t>
            </w:r>
          </w:p>
        </w:tc>
        <w:tc>
          <w:tcPr>
            <w:tcW w:w="921" w:type="dxa"/>
            <w:tcBorders>
              <w:top w:val="single" w:sz="8" w:space="0" w:color="auto"/>
              <w:left w:val="single" w:sz="12" w:space="0" w:color="auto"/>
              <w:bottom w:val="double" w:sz="4" w:space="0" w:color="auto"/>
              <w:right w:val="single" w:sz="6"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sidRPr="007C76CA">
              <w:rPr>
                <w:rFonts w:asciiTheme="minorHAnsi" w:hAnsiTheme="minorHAnsi" w:cstheme="minorHAnsi"/>
                <w:color w:val="auto"/>
                <w:szCs w:val="24"/>
              </w:rPr>
              <w:t>1 910</w:t>
            </w:r>
          </w:p>
        </w:tc>
        <w:tc>
          <w:tcPr>
            <w:tcW w:w="922" w:type="dxa"/>
            <w:tcBorders>
              <w:top w:val="single" w:sz="8" w:space="0" w:color="auto"/>
              <w:left w:val="single" w:sz="6" w:space="0" w:color="auto"/>
              <w:bottom w:val="double" w:sz="4"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1 227</w:t>
            </w:r>
          </w:p>
        </w:tc>
        <w:tc>
          <w:tcPr>
            <w:tcW w:w="1134" w:type="dxa"/>
            <w:tcBorders>
              <w:top w:val="single" w:sz="8" w:space="0" w:color="auto"/>
              <w:left w:val="nil"/>
              <w:bottom w:val="double" w:sz="4"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-683</w:t>
            </w:r>
          </w:p>
        </w:tc>
        <w:tc>
          <w:tcPr>
            <w:tcW w:w="974" w:type="dxa"/>
            <w:tcBorders>
              <w:top w:val="single" w:sz="8" w:space="0" w:color="auto"/>
              <w:left w:val="nil"/>
              <w:bottom w:val="double" w:sz="4"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64,2</w:t>
            </w:r>
          </w:p>
        </w:tc>
      </w:tr>
      <w:tr w:rsidR="00DC5CF9" w:rsidRPr="007C76CA" w:rsidTr="00DC5CF9">
        <w:trPr>
          <w:gridAfter w:val="1"/>
          <w:wAfter w:w="12" w:type="dxa"/>
          <w:jc w:val="center"/>
        </w:trPr>
        <w:tc>
          <w:tcPr>
            <w:tcW w:w="5383" w:type="dxa"/>
            <w:tcBorders>
              <w:top w:val="single" w:sz="8" w:space="0" w:color="auto"/>
              <w:bottom w:val="single" w:sz="8" w:space="0" w:color="auto"/>
              <w:right w:val="nil"/>
            </w:tcBorders>
          </w:tcPr>
          <w:p w:rsidR="00DC5CF9" w:rsidRPr="007C76CA" w:rsidRDefault="00DC5CF9" w:rsidP="00DC5CF9">
            <w:pPr>
              <w:pStyle w:val="Texttabulky"/>
              <w:spacing w:before="20" w:after="20"/>
              <w:rPr>
                <w:rFonts w:asciiTheme="minorHAnsi" w:hAnsiTheme="minorHAnsi" w:cstheme="minorHAnsi"/>
                <w:color w:val="auto"/>
                <w:szCs w:val="24"/>
                <w:vertAlign w:val="superscript"/>
              </w:rPr>
            </w:pPr>
            <w:r w:rsidRPr="007C76CA">
              <w:rPr>
                <w:rFonts w:asciiTheme="minorHAnsi" w:hAnsiTheme="minorHAnsi" w:cstheme="minorHAnsi"/>
                <w:color w:val="auto"/>
                <w:szCs w:val="24"/>
              </w:rPr>
              <w:t xml:space="preserve">schválené žádosti o zvol. rekv. </w:t>
            </w:r>
            <w:r w:rsidRPr="007C76CA">
              <w:rPr>
                <w:rFonts w:asciiTheme="minorHAnsi" w:hAnsiTheme="minorHAnsi" w:cstheme="minorHAnsi"/>
                <w:szCs w:val="24"/>
              </w:rPr>
              <w:t>- NIP ESF-OP LZZ</w:t>
            </w:r>
          </w:p>
        </w:tc>
        <w:tc>
          <w:tcPr>
            <w:tcW w:w="921" w:type="dxa"/>
            <w:tcBorders>
              <w:top w:val="single" w:sz="8" w:space="0" w:color="auto"/>
              <w:left w:val="single" w:sz="12" w:space="0" w:color="auto"/>
              <w:bottom w:val="single" w:sz="8" w:space="0" w:color="auto"/>
              <w:right w:val="single" w:sz="6"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sidRPr="007C76CA">
              <w:rPr>
                <w:rFonts w:asciiTheme="minorHAnsi" w:hAnsiTheme="minorHAnsi" w:cstheme="minorHAnsi"/>
                <w:color w:val="auto"/>
                <w:szCs w:val="24"/>
              </w:rPr>
              <w:t>1 970</w:t>
            </w:r>
          </w:p>
        </w:tc>
        <w:tc>
          <w:tcPr>
            <w:tcW w:w="922" w:type="dxa"/>
            <w:tcBorders>
              <w:top w:val="single" w:sz="8" w:space="0" w:color="auto"/>
              <w:left w:val="single" w:sz="6" w:space="0" w:color="auto"/>
              <w:bottom w:val="single" w:sz="8"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3 144</w:t>
            </w:r>
          </w:p>
        </w:tc>
        <w:tc>
          <w:tcPr>
            <w:tcW w:w="1134" w:type="dxa"/>
            <w:tcBorders>
              <w:top w:val="single" w:sz="8" w:space="0" w:color="auto"/>
              <w:left w:val="nil"/>
              <w:bottom w:val="single" w:sz="8"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+1 174</w:t>
            </w:r>
          </w:p>
        </w:tc>
        <w:tc>
          <w:tcPr>
            <w:tcW w:w="974" w:type="dxa"/>
            <w:tcBorders>
              <w:top w:val="single" w:sz="8" w:space="0" w:color="auto"/>
              <w:left w:val="nil"/>
              <w:bottom w:val="single" w:sz="8"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159,6</w:t>
            </w:r>
          </w:p>
        </w:tc>
      </w:tr>
      <w:tr w:rsidR="00DC5CF9" w:rsidRPr="007C76CA" w:rsidTr="00DC5CF9">
        <w:trPr>
          <w:gridAfter w:val="1"/>
          <w:wAfter w:w="12" w:type="dxa"/>
          <w:jc w:val="center"/>
        </w:trPr>
        <w:tc>
          <w:tcPr>
            <w:tcW w:w="5383" w:type="dxa"/>
            <w:tcBorders>
              <w:top w:val="single" w:sz="8" w:space="0" w:color="auto"/>
              <w:bottom w:val="single" w:sz="8" w:space="0" w:color="auto"/>
              <w:right w:val="nil"/>
            </w:tcBorders>
          </w:tcPr>
          <w:p w:rsidR="00DC5CF9" w:rsidRPr="007C76CA" w:rsidRDefault="00DC5CF9" w:rsidP="00DC5CF9">
            <w:pPr>
              <w:pStyle w:val="Texttabulky"/>
              <w:spacing w:before="20" w:after="20"/>
              <w:rPr>
                <w:rFonts w:asciiTheme="minorHAnsi" w:hAnsiTheme="minorHAnsi" w:cstheme="minorHAnsi"/>
                <w:color w:val="auto"/>
                <w:szCs w:val="24"/>
              </w:rPr>
            </w:pPr>
            <w:r w:rsidRPr="007C76CA">
              <w:rPr>
                <w:rFonts w:asciiTheme="minorHAnsi" w:hAnsiTheme="minorHAnsi" w:cstheme="minorHAnsi"/>
                <w:color w:val="auto"/>
                <w:szCs w:val="24"/>
              </w:rPr>
              <w:t xml:space="preserve">osoby, které zahájily zvol. rekval. </w:t>
            </w:r>
            <w:r w:rsidRPr="007C76CA">
              <w:rPr>
                <w:rFonts w:asciiTheme="minorHAnsi" w:hAnsiTheme="minorHAnsi" w:cstheme="minorHAnsi"/>
                <w:szCs w:val="24"/>
              </w:rPr>
              <w:t>- NIP ESF-OP LZZ</w:t>
            </w:r>
          </w:p>
        </w:tc>
        <w:tc>
          <w:tcPr>
            <w:tcW w:w="921" w:type="dxa"/>
            <w:tcBorders>
              <w:top w:val="single" w:sz="8" w:space="0" w:color="auto"/>
              <w:left w:val="single" w:sz="12" w:space="0" w:color="auto"/>
              <w:bottom w:val="single" w:sz="8" w:space="0" w:color="auto"/>
              <w:right w:val="single" w:sz="6"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sidRPr="007C76CA">
              <w:rPr>
                <w:rFonts w:asciiTheme="minorHAnsi" w:hAnsiTheme="minorHAnsi" w:cstheme="minorHAnsi"/>
                <w:color w:val="auto"/>
                <w:szCs w:val="24"/>
              </w:rPr>
              <w:t>1 666</w:t>
            </w:r>
          </w:p>
        </w:tc>
        <w:tc>
          <w:tcPr>
            <w:tcW w:w="922" w:type="dxa"/>
            <w:tcBorders>
              <w:top w:val="single" w:sz="8" w:space="0" w:color="auto"/>
              <w:left w:val="single" w:sz="6" w:space="0" w:color="auto"/>
              <w:bottom w:val="single" w:sz="8"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2 855</w:t>
            </w:r>
          </w:p>
        </w:tc>
        <w:tc>
          <w:tcPr>
            <w:tcW w:w="1134" w:type="dxa"/>
            <w:tcBorders>
              <w:top w:val="single" w:sz="8" w:space="0" w:color="auto"/>
              <w:left w:val="nil"/>
              <w:bottom w:val="single" w:sz="8"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+1 189</w:t>
            </w:r>
          </w:p>
        </w:tc>
        <w:tc>
          <w:tcPr>
            <w:tcW w:w="974" w:type="dxa"/>
            <w:tcBorders>
              <w:top w:val="single" w:sz="8" w:space="0" w:color="auto"/>
              <w:left w:val="nil"/>
              <w:bottom w:val="single" w:sz="8" w:space="0" w:color="auto"/>
            </w:tcBorders>
            <w:shd w:val="clear" w:color="auto" w:fill="FFFFFF" w:themeFill="background1"/>
            <w:vAlign w:val="center"/>
          </w:tcPr>
          <w:p w:rsidR="00DC5CF9" w:rsidRPr="007C76CA" w:rsidRDefault="00DC5CF9" w:rsidP="00DC5CF9">
            <w:pPr>
              <w:pStyle w:val="Texttabulky"/>
              <w:spacing w:before="20" w:after="20"/>
              <w:ind w:right="57"/>
              <w:jc w:val="center"/>
              <w:rPr>
                <w:rFonts w:asciiTheme="minorHAnsi" w:hAnsiTheme="minorHAnsi" w:cstheme="minorHAnsi"/>
                <w:color w:val="auto"/>
                <w:szCs w:val="24"/>
              </w:rPr>
            </w:pPr>
            <w:r>
              <w:rPr>
                <w:rFonts w:asciiTheme="minorHAnsi" w:hAnsiTheme="minorHAnsi" w:cstheme="minorHAnsi"/>
                <w:color w:val="auto"/>
                <w:szCs w:val="24"/>
              </w:rPr>
              <w:t>171,4</w:t>
            </w:r>
          </w:p>
        </w:tc>
      </w:tr>
      <w:tr w:rsidR="00DC5CF9" w:rsidRPr="007C76CA" w:rsidTr="00DC5CF9">
        <w:trPr>
          <w:gridAfter w:val="1"/>
          <w:wAfter w:w="12" w:type="dxa"/>
          <w:cantSplit/>
          <w:jc w:val="center"/>
        </w:trPr>
        <w:tc>
          <w:tcPr>
            <w:tcW w:w="9334" w:type="dxa"/>
            <w:gridSpan w:val="5"/>
            <w:tcBorders>
              <w:top w:val="single" w:sz="12" w:space="0" w:color="auto"/>
              <w:bottom w:val="single" w:sz="12" w:space="0" w:color="auto"/>
            </w:tcBorders>
            <w:shd w:val="clear" w:color="auto" w:fill="A6A6A6"/>
          </w:tcPr>
          <w:p w:rsidR="00DC5CF9" w:rsidRPr="007C76CA" w:rsidRDefault="00DC5CF9" w:rsidP="00DC5CF9">
            <w:pPr>
              <w:pStyle w:val="dka"/>
              <w:spacing w:before="20" w:after="20"/>
              <w:jc w:val="center"/>
              <w:rPr>
                <w:rFonts w:asciiTheme="minorHAnsi" w:hAnsiTheme="minorHAnsi" w:cstheme="minorHAnsi"/>
                <w:b/>
                <w:i/>
                <w:color w:val="auto"/>
              </w:rPr>
            </w:pPr>
            <w:r w:rsidRPr="007C76CA">
              <w:rPr>
                <w:rFonts w:asciiTheme="minorHAnsi" w:hAnsiTheme="minorHAnsi" w:cstheme="minorHAnsi"/>
                <w:b/>
                <w:i/>
                <w:color w:val="auto"/>
              </w:rPr>
              <w:t>rekvalifikace zaměstnanců</w:t>
            </w:r>
          </w:p>
        </w:tc>
      </w:tr>
      <w:tr w:rsidR="00DC5CF9" w:rsidRPr="007C76CA" w:rsidTr="00DC5CF9">
        <w:trPr>
          <w:gridAfter w:val="1"/>
          <w:wAfter w:w="12" w:type="dxa"/>
          <w:trHeight w:val="50"/>
          <w:jc w:val="center"/>
        </w:trPr>
        <w:tc>
          <w:tcPr>
            <w:tcW w:w="5383" w:type="dxa"/>
            <w:tcBorders>
              <w:top w:val="single" w:sz="12" w:space="0" w:color="auto"/>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zaměstnavatelé s rekvalifikovanými zaměstnanci</w:t>
            </w:r>
          </w:p>
        </w:tc>
        <w:tc>
          <w:tcPr>
            <w:tcW w:w="921" w:type="dxa"/>
            <w:tcBorders>
              <w:top w:val="single" w:sz="12" w:space="0" w:color="auto"/>
              <w:left w:val="single" w:sz="12" w:space="0" w:color="auto"/>
              <w:bottom w:val="single" w:sz="6"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3</w:t>
            </w:r>
          </w:p>
        </w:tc>
        <w:tc>
          <w:tcPr>
            <w:tcW w:w="922" w:type="dxa"/>
            <w:tcBorders>
              <w:top w:val="single" w:sz="12" w:space="0" w:color="auto"/>
              <w:bottom w:val="single" w:sz="6"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5</w:t>
            </w:r>
          </w:p>
        </w:tc>
        <w:tc>
          <w:tcPr>
            <w:tcW w:w="1134" w:type="dxa"/>
            <w:tcBorders>
              <w:top w:val="single" w:sz="12" w:space="0" w:color="auto"/>
              <w:left w:val="nil"/>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+2</w:t>
            </w:r>
          </w:p>
        </w:tc>
        <w:tc>
          <w:tcPr>
            <w:tcW w:w="974" w:type="dxa"/>
            <w:tcBorders>
              <w:top w:val="single" w:sz="12" w:space="0" w:color="auto"/>
              <w:left w:val="nil"/>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166,7</w:t>
            </w:r>
          </w:p>
        </w:tc>
      </w:tr>
      <w:tr w:rsidR="00DC5CF9" w:rsidRPr="007C76CA" w:rsidTr="00DC5CF9">
        <w:trPr>
          <w:gridAfter w:val="1"/>
          <w:wAfter w:w="12" w:type="dxa"/>
          <w:jc w:val="center"/>
        </w:trPr>
        <w:tc>
          <w:tcPr>
            <w:tcW w:w="5383" w:type="dxa"/>
            <w:tcBorders>
              <w:top w:val="single" w:sz="6" w:space="0" w:color="auto"/>
              <w:bottom w:val="single" w:sz="12" w:space="0" w:color="auto"/>
              <w:right w:val="nil"/>
            </w:tcBorders>
          </w:tcPr>
          <w:p w:rsidR="00DC5CF9" w:rsidRPr="007C76CA" w:rsidRDefault="00DC5CF9" w:rsidP="00DC5CF9">
            <w:pPr>
              <w:rPr>
                <w:rFonts w:asciiTheme="minorHAnsi" w:hAnsiTheme="minorHAnsi" w:cstheme="minorHAnsi"/>
                <w:sz w:val="24"/>
              </w:rPr>
            </w:pPr>
            <w:r w:rsidRPr="007C76CA">
              <w:rPr>
                <w:rFonts w:asciiTheme="minorHAnsi" w:hAnsiTheme="minorHAnsi" w:cstheme="minorHAnsi"/>
                <w:sz w:val="24"/>
              </w:rPr>
              <w:t>zaměstnanci zařazení do rekvalifikací</w:t>
            </w:r>
          </w:p>
        </w:tc>
        <w:tc>
          <w:tcPr>
            <w:tcW w:w="921" w:type="dxa"/>
            <w:tcBorders>
              <w:top w:val="single" w:sz="6" w:space="0" w:color="auto"/>
              <w:left w:val="single" w:sz="12" w:space="0" w:color="auto"/>
              <w:bottom w:val="single" w:sz="12"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sidRPr="007C76CA">
              <w:rPr>
                <w:rFonts w:asciiTheme="minorHAnsi" w:hAnsiTheme="minorHAnsi" w:cstheme="minorHAnsi"/>
                <w:color w:val="auto"/>
              </w:rPr>
              <w:t>3</w:t>
            </w:r>
          </w:p>
        </w:tc>
        <w:tc>
          <w:tcPr>
            <w:tcW w:w="922" w:type="dxa"/>
            <w:tcBorders>
              <w:top w:val="single" w:sz="6" w:space="0" w:color="auto"/>
              <w:bottom w:val="single" w:sz="12" w:space="0" w:color="auto"/>
              <w:right w:val="single" w:sz="12" w:space="0" w:color="auto"/>
            </w:tcBorders>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44</w:t>
            </w:r>
          </w:p>
        </w:tc>
        <w:tc>
          <w:tcPr>
            <w:tcW w:w="1134" w:type="dxa"/>
            <w:tcBorders>
              <w:top w:val="single" w:sz="6" w:space="0" w:color="auto"/>
              <w:left w:val="nil"/>
              <w:bottom w:val="single" w:sz="12" w:space="0" w:color="auto"/>
            </w:tcBorders>
            <w:shd w:val="clear" w:color="auto" w:fill="auto"/>
            <w:vAlign w:val="center"/>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+41</w:t>
            </w:r>
          </w:p>
        </w:tc>
        <w:tc>
          <w:tcPr>
            <w:tcW w:w="974" w:type="dxa"/>
            <w:tcBorders>
              <w:top w:val="single" w:sz="6" w:space="0" w:color="auto"/>
              <w:left w:val="nil"/>
              <w:bottom w:val="single" w:sz="12" w:space="0" w:color="auto"/>
            </w:tcBorders>
          </w:tcPr>
          <w:p w:rsidR="00DC5CF9" w:rsidRPr="007C76CA" w:rsidRDefault="00DC5CF9" w:rsidP="00DC5CF9">
            <w:pPr>
              <w:pStyle w:val="Texttabulky"/>
              <w:spacing w:before="20" w:after="20"/>
              <w:ind w:right="57"/>
              <w:jc w:val="center"/>
              <w:rPr>
                <w:rFonts w:asciiTheme="minorHAnsi" w:hAnsiTheme="minorHAnsi" w:cstheme="minorHAnsi"/>
                <w:color w:val="auto"/>
              </w:rPr>
            </w:pPr>
            <w:r>
              <w:rPr>
                <w:rFonts w:asciiTheme="minorHAnsi" w:hAnsiTheme="minorHAnsi" w:cstheme="minorHAnsi"/>
                <w:color w:val="auto"/>
              </w:rPr>
              <w:t>1 466,7</w:t>
            </w:r>
          </w:p>
        </w:tc>
      </w:tr>
    </w:tbl>
    <w:p w:rsidR="00DC5CF9" w:rsidRPr="007C76CA" w:rsidRDefault="00DC5CF9" w:rsidP="00DC5CF9">
      <w:pPr>
        <w:pStyle w:val="dka"/>
        <w:ind w:right="-286"/>
        <w:jc w:val="both"/>
        <w:rPr>
          <w:rFonts w:asciiTheme="minorHAnsi" w:hAnsiTheme="minorHAnsi" w:cstheme="minorHAnsi"/>
          <w:i/>
          <w:iCs/>
          <w:color w:val="auto"/>
          <w:sz w:val="20"/>
        </w:rPr>
      </w:pPr>
      <w:r w:rsidRPr="007C76CA">
        <w:rPr>
          <w:rFonts w:asciiTheme="minorHAnsi" w:hAnsiTheme="minorHAnsi" w:cstheme="minorHAnsi"/>
          <w:i/>
          <w:iCs/>
          <w:snapToGrid/>
          <w:color w:val="auto"/>
          <w:sz w:val="20"/>
        </w:rPr>
        <w:t>1)</w:t>
      </w:r>
      <w:r w:rsidRPr="007C76CA">
        <w:rPr>
          <w:rFonts w:asciiTheme="minorHAnsi" w:hAnsiTheme="minorHAnsi" w:cstheme="minorHAnsi"/>
          <w:i/>
          <w:iCs/>
          <w:color w:val="auto"/>
          <w:sz w:val="20"/>
        </w:rPr>
        <w:t xml:space="preserve"> včetně osob zařazených do rekvalifikací v předchozím roce</w:t>
      </w:r>
    </w:p>
    <w:bookmarkEnd w:id="2"/>
    <w:p w:rsidR="00DC5CF9" w:rsidRPr="007C76CA" w:rsidRDefault="00DC5CF9" w:rsidP="00DC5CF9">
      <w:pPr>
        <w:pStyle w:val="Zkladntext"/>
        <w:spacing w:after="0"/>
        <w:ind w:left="284" w:hanging="284"/>
        <w:jc w:val="both"/>
        <w:rPr>
          <w:rFonts w:asciiTheme="minorHAnsi" w:hAnsiTheme="minorHAnsi" w:cstheme="minorHAnsi"/>
          <w:i/>
        </w:rPr>
      </w:pPr>
      <w:r w:rsidRPr="007C76CA">
        <w:rPr>
          <w:rFonts w:asciiTheme="minorHAnsi" w:hAnsiTheme="minorHAnsi" w:cstheme="minorHAnsi"/>
          <w:i/>
        </w:rPr>
        <w:t>2) do úspěšně ukončených rekvalifikací jsou započítáni i uchazeči, kteří ve sledovaném roce ukončili rekvalifikaci předčasně nástupem do zaměstnání, popř. na soustavnou přípravu na povolání</w:t>
      </w:r>
    </w:p>
    <w:p w:rsidR="00DC5CF9" w:rsidRPr="007C76CA" w:rsidRDefault="00DC5CF9" w:rsidP="00DC5CF9">
      <w:pPr>
        <w:ind w:firstLine="708"/>
        <w:jc w:val="both"/>
        <w:rPr>
          <w:rFonts w:asciiTheme="minorHAnsi" w:hAnsiTheme="minorHAnsi" w:cstheme="minorHAnsi"/>
          <w:sz w:val="24"/>
          <w:szCs w:val="24"/>
        </w:rPr>
      </w:pPr>
    </w:p>
    <w:p w:rsidR="00DC5CF9" w:rsidRPr="00B029A7" w:rsidRDefault="00DC5CF9" w:rsidP="00DC5CF9">
      <w:pPr>
        <w:ind w:firstLine="708"/>
        <w:jc w:val="both"/>
        <w:rPr>
          <w:rFonts w:asciiTheme="minorHAnsi" w:hAnsiTheme="minorHAnsi" w:cstheme="minorHAnsi"/>
          <w:sz w:val="24"/>
          <w:szCs w:val="24"/>
        </w:rPr>
      </w:pPr>
      <w:r w:rsidRPr="005423BC">
        <w:rPr>
          <w:rFonts w:asciiTheme="minorHAnsi" w:hAnsiTheme="minorHAnsi" w:cstheme="minorHAnsi"/>
          <w:sz w:val="24"/>
          <w:szCs w:val="24"/>
        </w:rPr>
        <w:t>V hodnoceném ročním období došlo k poklesu počtu zahájených rekvalifikačních kurzů hrazených z „národní“ APZ (-92, tj. -51,7 %)</w:t>
      </w:r>
      <w:r>
        <w:rPr>
          <w:rFonts w:asciiTheme="minorHAnsi" w:hAnsiTheme="minorHAnsi" w:cstheme="minorHAnsi"/>
          <w:sz w:val="24"/>
          <w:szCs w:val="24"/>
        </w:rPr>
        <w:t xml:space="preserve">, </w:t>
      </w:r>
      <w:r w:rsidRPr="0071456F">
        <w:rPr>
          <w:rFonts w:asciiTheme="minorHAnsi" w:hAnsiTheme="minorHAnsi" w:cstheme="minorHAnsi"/>
          <w:sz w:val="24"/>
          <w:szCs w:val="24"/>
        </w:rPr>
        <w:t xml:space="preserve">ale i u kurzů financovaných z NIP ESF-OP LZZ (-123, tj. -35,2 %). Co se týká celkového počtu účastníků všech kurzů („národní“ APZ + NiP, RIP i GP ESF-OP LZZ) jsme v roce 2014 v meziročním srovnání registrovali jejich snížení (-765, tj. -23,1 %). Toto snížení jak počtu zahájených rekvalifikačních kurzů, tak i jejich </w:t>
      </w:r>
      <w:r w:rsidRPr="00B029A7">
        <w:rPr>
          <w:rFonts w:asciiTheme="minorHAnsi" w:hAnsiTheme="minorHAnsi" w:cstheme="minorHAnsi"/>
          <w:sz w:val="24"/>
          <w:szCs w:val="24"/>
        </w:rPr>
        <w:t>účastníků bylo způsobeno přesunem části rekvalifikací do nástroje - zvolená rekvalifikace. Tento novodobý nástroj mnohem lépe naplňuje aktuální potřeby trhu práce.</w:t>
      </w:r>
    </w:p>
    <w:p w:rsidR="00DC5CF9" w:rsidRPr="00624BCC" w:rsidRDefault="00DC5CF9" w:rsidP="00DC5CF9">
      <w:pPr>
        <w:pStyle w:val="Zkladntextodsazen"/>
        <w:rPr>
          <w:rFonts w:asciiTheme="minorHAnsi" w:hAnsiTheme="minorHAnsi" w:cstheme="minorHAnsi"/>
        </w:rPr>
      </w:pPr>
      <w:r w:rsidRPr="00624BCC">
        <w:rPr>
          <w:rFonts w:asciiTheme="minorHAnsi" w:hAnsiTheme="minorHAnsi" w:cstheme="minorHAnsi"/>
        </w:rPr>
        <w:t>Účastníci rekvalifikačních kurzů organizovaných KrP v Ostravě byli nejčastěji zařazováni do kurzů obsluhy PC, různých účetnických kurzů, přípravy k zahájení podnikání a k získání a rozšíření řidičských oprávnění k řízení automobilů a motorových vozíků vč. profesní způsobilosti. Mezi velmi vyhledávané patřily i kurzy pro ošetřovatele a pracovníky v sociálních službách</w:t>
      </w:r>
      <w:r>
        <w:rPr>
          <w:rFonts w:asciiTheme="minorHAnsi" w:hAnsiTheme="minorHAnsi" w:cstheme="minorHAnsi"/>
        </w:rPr>
        <w:t xml:space="preserve"> a</w:t>
      </w:r>
      <w:r w:rsidRPr="00624BCC">
        <w:rPr>
          <w:rFonts w:asciiTheme="minorHAnsi" w:hAnsiTheme="minorHAnsi" w:cstheme="minorHAnsi"/>
        </w:rPr>
        <w:t xml:space="preserve"> nespecifické rekvalifikace</w:t>
      </w:r>
      <w:r>
        <w:rPr>
          <w:rFonts w:asciiTheme="minorHAnsi" w:hAnsiTheme="minorHAnsi" w:cstheme="minorHAnsi"/>
        </w:rPr>
        <w:t>,</w:t>
      </w:r>
      <w:r w:rsidRPr="00624BCC">
        <w:rPr>
          <w:rFonts w:asciiTheme="minorHAnsi" w:hAnsiTheme="minorHAnsi" w:cstheme="minorHAnsi"/>
        </w:rPr>
        <w:t xml:space="preserve"> dále </w:t>
      </w:r>
      <w:r>
        <w:rPr>
          <w:rFonts w:asciiTheme="minorHAnsi" w:hAnsiTheme="minorHAnsi" w:cstheme="minorHAnsi"/>
        </w:rPr>
        <w:t xml:space="preserve">ještě </w:t>
      </w:r>
      <w:r w:rsidRPr="00624BCC">
        <w:rPr>
          <w:rFonts w:asciiTheme="minorHAnsi" w:hAnsiTheme="minorHAnsi" w:cstheme="minorHAnsi"/>
        </w:rPr>
        <w:t xml:space="preserve">kurzy administrativy a různé druhy svářečských kurzů. </w:t>
      </w:r>
    </w:p>
    <w:p w:rsidR="00DC5CF9" w:rsidRPr="00FF657C" w:rsidRDefault="00DC5CF9" w:rsidP="00DC5CF9">
      <w:pPr>
        <w:ind w:firstLine="708"/>
        <w:jc w:val="both"/>
        <w:rPr>
          <w:rFonts w:asciiTheme="minorHAnsi" w:hAnsiTheme="minorHAnsi" w:cstheme="minorHAnsi"/>
          <w:sz w:val="24"/>
        </w:rPr>
      </w:pPr>
      <w:r w:rsidRPr="00FF657C">
        <w:rPr>
          <w:rFonts w:asciiTheme="minorHAnsi" w:hAnsiTheme="minorHAnsi" w:cstheme="minorHAnsi"/>
          <w:sz w:val="24"/>
        </w:rPr>
        <w:t xml:space="preserve">V roce 2014 v MSK zahájilo zvolenou rekvalifikaci </w:t>
      </w:r>
      <w:r>
        <w:rPr>
          <w:rFonts w:asciiTheme="minorHAnsi" w:hAnsiTheme="minorHAnsi" w:cstheme="minorHAnsi"/>
          <w:sz w:val="24"/>
        </w:rPr>
        <w:t>rekordních</w:t>
      </w:r>
      <w:r w:rsidRPr="00FF657C">
        <w:rPr>
          <w:rFonts w:asciiTheme="minorHAnsi" w:hAnsiTheme="minorHAnsi" w:cstheme="minorHAnsi"/>
          <w:sz w:val="24"/>
        </w:rPr>
        <w:t xml:space="preserve"> 4 082 uchazečů a zájemců o zaměstnání, z toho 1 227 bylo hrazených z „národní“ APZ a dalších 2 855 (meziročně o 1 189 tj. +71,4 % více) bylo financováno z NIP Vzdělání a dovednosti pro trh práce</w:t>
      </w:r>
      <w:r w:rsidRPr="00FF657C">
        <w:rPr>
          <w:rFonts w:asciiTheme="minorHAnsi" w:hAnsiTheme="minorHAnsi" w:cstheme="minorHAnsi"/>
          <w:bCs/>
        </w:rPr>
        <w:t>.</w:t>
      </w:r>
      <w:r w:rsidRPr="00FF657C">
        <w:rPr>
          <w:rFonts w:asciiTheme="minorHAnsi" w:hAnsiTheme="minorHAnsi" w:cstheme="minorHAnsi"/>
          <w:sz w:val="24"/>
        </w:rPr>
        <w:t xml:space="preserve"> Jednalo se převážně o rekvalifikace zaměřené na získání řidičského oprávnění vč. profesní způsobilosti, dále pak o</w:t>
      </w:r>
      <w:r>
        <w:rPr>
          <w:rFonts w:asciiTheme="minorHAnsi" w:hAnsiTheme="minorHAnsi" w:cstheme="minorHAnsi"/>
          <w:sz w:val="24"/>
        </w:rPr>
        <w:t xml:space="preserve"> různé</w:t>
      </w:r>
      <w:r w:rsidRPr="00FF657C">
        <w:rPr>
          <w:rFonts w:asciiTheme="minorHAnsi" w:hAnsiTheme="minorHAnsi" w:cstheme="minorHAnsi"/>
          <w:sz w:val="24"/>
        </w:rPr>
        <w:t xml:space="preserve"> svářečské kurzy a o kurzy pro pracovníky v sociálních službách. Vzhledem k</w:t>
      </w:r>
      <w:r>
        <w:rPr>
          <w:rFonts w:asciiTheme="minorHAnsi" w:hAnsiTheme="minorHAnsi" w:cstheme="minorHAnsi"/>
          <w:sz w:val="24"/>
        </w:rPr>
        <w:t> </w:t>
      </w:r>
      <w:r w:rsidRPr="00FF657C">
        <w:rPr>
          <w:rFonts w:asciiTheme="minorHAnsi" w:hAnsiTheme="minorHAnsi" w:cstheme="minorHAnsi"/>
          <w:sz w:val="24"/>
        </w:rPr>
        <w:t>tomu, že prostřednictvím zvolených rekvalifikací ÚP pružně</w:t>
      </w:r>
      <w:r>
        <w:rPr>
          <w:rFonts w:asciiTheme="minorHAnsi" w:hAnsiTheme="minorHAnsi" w:cstheme="minorHAnsi"/>
          <w:sz w:val="24"/>
        </w:rPr>
        <w:t>ji</w:t>
      </w:r>
      <w:r w:rsidRPr="00FF657C">
        <w:rPr>
          <w:rFonts w:asciiTheme="minorHAnsi" w:hAnsiTheme="minorHAnsi" w:cstheme="minorHAnsi"/>
          <w:sz w:val="24"/>
        </w:rPr>
        <w:t xml:space="preserve"> reaguje na specifické potřeby klientů a podporuje tak i rekvalifikace, které nemůže běžně nabízet, hodnotíme zavedení tohoto </w:t>
      </w:r>
      <w:r>
        <w:rPr>
          <w:rFonts w:asciiTheme="minorHAnsi" w:hAnsiTheme="minorHAnsi" w:cstheme="minorHAnsi"/>
          <w:sz w:val="24"/>
        </w:rPr>
        <w:t xml:space="preserve">flexibilního </w:t>
      </w:r>
      <w:r w:rsidRPr="00FF657C">
        <w:rPr>
          <w:rFonts w:asciiTheme="minorHAnsi" w:hAnsiTheme="minorHAnsi" w:cstheme="minorHAnsi"/>
          <w:sz w:val="24"/>
        </w:rPr>
        <w:t>nástroje jako velmi pozitivní a účinné opatření.</w:t>
      </w:r>
    </w:p>
    <w:p w:rsidR="00DC5CF9" w:rsidRPr="00FF657C" w:rsidRDefault="00F60C32" w:rsidP="00DC5CF9">
      <w:pPr>
        <w:pStyle w:val="Zkladntext"/>
        <w:spacing w:after="0"/>
        <w:ind w:firstLine="708"/>
        <w:jc w:val="both"/>
        <w:rPr>
          <w:rFonts w:asciiTheme="minorHAnsi" w:hAnsiTheme="minorHAnsi" w:cstheme="minorHAnsi"/>
          <w:sz w:val="24"/>
          <w:szCs w:val="24"/>
        </w:rPr>
      </w:pPr>
      <w:r>
        <w:rPr>
          <w:rFonts w:asciiTheme="minorHAnsi" w:hAnsiTheme="minorHAnsi" w:cstheme="minorHAnsi"/>
          <w:sz w:val="24"/>
          <w:szCs w:val="24"/>
        </w:rPr>
        <w:t xml:space="preserve">V uplynulém roce byly pouze s </w:t>
      </w:r>
      <w:r w:rsidR="00DC5CF9" w:rsidRPr="00FF657C">
        <w:rPr>
          <w:rFonts w:asciiTheme="minorHAnsi" w:hAnsiTheme="minorHAnsi" w:cstheme="minorHAnsi"/>
          <w:sz w:val="24"/>
          <w:szCs w:val="24"/>
        </w:rPr>
        <w:t xml:space="preserve">5 zaměstnavateli uzavřeny dohody o rekvalifikaci 44 zaměstnanců z rozpočtu „národní“ APZ, a </w:t>
      </w:r>
      <w:r>
        <w:rPr>
          <w:rFonts w:asciiTheme="minorHAnsi" w:hAnsiTheme="minorHAnsi" w:cstheme="minorHAnsi"/>
          <w:sz w:val="24"/>
          <w:szCs w:val="24"/>
        </w:rPr>
        <w:t xml:space="preserve">to </w:t>
      </w:r>
      <w:r w:rsidR="00DC5CF9">
        <w:rPr>
          <w:rFonts w:asciiTheme="minorHAnsi" w:hAnsiTheme="minorHAnsi" w:cstheme="minorHAnsi"/>
          <w:sz w:val="24"/>
          <w:szCs w:val="24"/>
        </w:rPr>
        <w:t>protože jsou</w:t>
      </w:r>
      <w:r w:rsidR="00DC5CF9" w:rsidRPr="00FF657C">
        <w:rPr>
          <w:rFonts w:asciiTheme="minorHAnsi" w:hAnsiTheme="minorHAnsi" w:cstheme="minorHAnsi"/>
          <w:sz w:val="24"/>
          <w:szCs w:val="24"/>
        </w:rPr>
        <w:t xml:space="preserve"> pro zaměstnavatele mnohem výhodnějších NIP</w:t>
      </w:r>
      <w:r w:rsidR="00DC5CF9">
        <w:rPr>
          <w:rFonts w:asciiTheme="minorHAnsi" w:hAnsiTheme="minorHAnsi" w:cstheme="minorHAnsi"/>
          <w:sz w:val="24"/>
          <w:szCs w:val="24"/>
        </w:rPr>
        <w:t>y</w:t>
      </w:r>
      <w:r w:rsidR="00DC5CF9" w:rsidRPr="00FF657C">
        <w:rPr>
          <w:rFonts w:asciiTheme="minorHAnsi" w:hAnsiTheme="minorHAnsi" w:cstheme="minorHAnsi"/>
          <w:sz w:val="24"/>
          <w:szCs w:val="24"/>
        </w:rPr>
        <w:t xml:space="preserve"> ESF-OP LZZ </w:t>
      </w:r>
      <w:r w:rsidR="00DC5CF9">
        <w:rPr>
          <w:rFonts w:asciiTheme="minorHAnsi" w:hAnsiTheme="minorHAnsi" w:cstheme="minorHAnsi"/>
          <w:sz w:val="24"/>
          <w:szCs w:val="24"/>
        </w:rPr>
        <w:t>(</w:t>
      </w:r>
      <w:r w:rsidR="00DC5CF9" w:rsidRPr="00FF657C">
        <w:rPr>
          <w:rFonts w:asciiTheme="minorHAnsi" w:hAnsiTheme="minorHAnsi" w:cstheme="minorHAnsi"/>
          <w:sz w:val="24"/>
          <w:szCs w:val="24"/>
        </w:rPr>
        <w:t>Vzdělávejte se pro stabilitu! a Podpora odborného vzdělávání zaměstnanců)</w:t>
      </w:r>
      <w:r w:rsidR="00DC5CF9">
        <w:rPr>
          <w:rFonts w:asciiTheme="minorHAnsi" w:hAnsiTheme="minorHAnsi" w:cstheme="minorHAnsi"/>
          <w:sz w:val="24"/>
          <w:szCs w:val="24"/>
        </w:rPr>
        <w:t>,</w:t>
      </w:r>
      <w:r w:rsidR="00DC5CF9" w:rsidRPr="00FF657C">
        <w:rPr>
          <w:rFonts w:asciiTheme="minorHAnsi" w:hAnsiTheme="minorHAnsi" w:cstheme="minorHAnsi"/>
          <w:sz w:val="24"/>
          <w:szCs w:val="24"/>
        </w:rPr>
        <w:t xml:space="preserve"> </w:t>
      </w:r>
      <w:r w:rsidR="00DC5CF9">
        <w:rPr>
          <w:rFonts w:asciiTheme="minorHAnsi" w:hAnsiTheme="minorHAnsi" w:cstheme="minorHAnsi"/>
          <w:sz w:val="24"/>
          <w:szCs w:val="24"/>
        </w:rPr>
        <w:t>kde</w:t>
      </w:r>
      <w:r w:rsidR="00DC5CF9" w:rsidRPr="00FF657C">
        <w:rPr>
          <w:rFonts w:asciiTheme="minorHAnsi" w:hAnsiTheme="minorHAnsi" w:cstheme="minorHAnsi"/>
          <w:sz w:val="24"/>
          <w:szCs w:val="24"/>
        </w:rPr>
        <w:t xml:space="preserve"> kromě úhrady kurzovného </w:t>
      </w:r>
      <w:r w:rsidR="00DC5CF9">
        <w:rPr>
          <w:rFonts w:asciiTheme="minorHAnsi" w:hAnsiTheme="minorHAnsi" w:cstheme="minorHAnsi"/>
          <w:sz w:val="24"/>
          <w:szCs w:val="24"/>
        </w:rPr>
        <w:t xml:space="preserve">lze </w:t>
      </w:r>
      <w:r w:rsidR="00DC5CF9" w:rsidRPr="00FF657C">
        <w:rPr>
          <w:rFonts w:asciiTheme="minorHAnsi" w:hAnsiTheme="minorHAnsi" w:cstheme="minorHAnsi"/>
          <w:sz w:val="24"/>
          <w:szCs w:val="24"/>
        </w:rPr>
        <w:t>po dobu školení</w:t>
      </w:r>
      <w:r w:rsidR="00DC5CF9">
        <w:rPr>
          <w:rFonts w:asciiTheme="minorHAnsi" w:hAnsiTheme="minorHAnsi" w:cstheme="minorHAnsi"/>
          <w:sz w:val="24"/>
          <w:szCs w:val="24"/>
        </w:rPr>
        <w:t xml:space="preserve"> hradit i mzd</w:t>
      </w:r>
      <w:r w:rsidR="00DC5CF9" w:rsidRPr="00FF657C">
        <w:rPr>
          <w:rFonts w:asciiTheme="minorHAnsi" w:hAnsiTheme="minorHAnsi" w:cstheme="minorHAnsi"/>
          <w:sz w:val="24"/>
          <w:szCs w:val="24"/>
        </w:rPr>
        <w:t>y</w:t>
      </w:r>
      <w:r w:rsidR="00DC5CF9">
        <w:rPr>
          <w:rFonts w:asciiTheme="minorHAnsi" w:hAnsiTheme="minorHAnsi" w:cstheme="minorHAnsi"/>
          <w:sz w:val="24"/>
          <w:szCs w:val="24"/>
        </w:rPr>
        <w:t xml:space="preserve"> vč. pojištění</w:t>
      </w:r>
      <w:r w:rsidR="00DC5CF9" w:rsidRPr="00FF657C">
        <w:rPr>
          <w:rFonts w:asciiTheme="minorHAnsi" w:hAnsiTheme="minorHAnsi" w:cstheme="minorHAnsi"/>
          <w:sz w:val="24"/>
          <w:szCs w:val="24"/>
        </w:rPr>
        <w:t xml:space="preserve"> rekvalifikovaných zaměstnanců.</w:t>
      </w:r>
    </w:p>
    <w:p w:rsidR="00DC5CF9" w:rsidRPr="007C76CA" w:rsidRDefault="00DC5CF9" w:rsidP="00DC5CF9">
      <w:pPr>
        <w:pStyle w:val="Zkladntext"/>
        <w:spacing w:after="0"/>
        <w:ind w:firstLine="708"/>
        <w:jc w:val="both"/>
        <w:rPr>
          <w:rFonts w:asciiTheme="minorHAnsi" w:hAnsiTheme="minorHAnsi" w:cstheme="minorHAnsi"/>
          <w:sz w:val="24"/>
          <w:szCs w:val="24"/>
        </w:rPr>
      </w:pPr>
    </w:p>
    <w:p w:rsidR="00DC5CF9" w:rsidRPr="007C76CA" w:rsidRDefault="00DC5CF9" w:rsidP="00DC5CF9">
      <w:pPr>
        <w:pStyle w:val="dka"/>
        <w:rPr>
          <w:rFonts w:asciiTheme="minorHAnsi" w:hAnsiTheme="minorHAnsi" w:cstheme="minorHAnsi"/>
          <w:b/>
          <w:i/>
          <w:color w:val="auto"/>
        </w:rPr>
      </w:pPr>
      <w:r w:rsidRPr="007C76CA">
        <w:rPr>
          <w:rFonts w:asciiTheme="minorHAnsi" w:hAnsiTheme="minorHAnsi" w:cstheme="minorHAnsi"/>
          <w:b/>
          <w:i/>
          <w:color w:val="auto"/>
        </w:rPr>
        <w:t>Projekt Vzdělávejte se pro růst! - adaptabilita</w:t>
      </w:r>
    </w:p>
    <w:p w:rsidR="00DC5CF9" w:rsidRPr="007C76CA" w:rsidRDefault="00DC5CF9" w:rsidP="00DC5CF9">
      <w:pPr>
        <w:pStyle w:val="dka"/>
        <w:rPr>
          <w:rFonts w:asciiTheme="minorHAnsi" w:hAnsiTheme="minorHAnsi" w:cstheme="minorHAnsi"/>
          <w:color w:val="auto"/>
        </w:rPr>
      </w:pPr>
    </w:p>
    <w:p w:rsidR="00DC5CF9" w:rsidRPr="007C76CA" w:rsidRDefault="00DC5CF9" w:rsidP="00DC5CF9">
      <w:pPr>
        <w:pStyle w:val="dka"/>
        <w:jc w:val="both"/>
        <w:rPr>
          <w:rFonts w:asciiTheme="minorHAnsi" w:hAnsiTheme="minorHAnsi" w:cstheme="minorHAnsi"/>
          <w:color w:val="auto"/>
        </w:rPr>
      </w:pPr>
      <w:r w:rsidRPr="007C76CA">
        <w:rPr>
          <w:rFonts w:asciiTheme="minorHAnsi" w:hAnsiTheme="minorHAnsi" w:cstheme="minorHAnsi"/>
          <w:b/>
          <w:color w:val="auto"/>
        </w:rPr>
        <w:t>Tabulka V/5</w:t>
      </w:r>
      <w:r w:rsidRPr="007C76CA">
        <w:rPr>
          <w:rFonts w:asciiTheme="minorHAnsi" w:hAnsiTheme="minorHAnsi" w:cstheme="minorHAnsi"/>
          <w:color w:val="auto"/>
        </w:rPr>
        <w:t xml:space="preserve"> - </w:t>
      </w:r>
      <w:r w:rsidRPr="007C76CA">
        <w:rPr>
          <w:rFonts w:asciiTheme="minorHAnsi" w:hAnsiTheme="minorHAnsi" w:cstheme="minorHAnsi"/>
          <w:bCs/>
          <w:color w:val="auto"/>
        </w:rPr>
        <w:t xml:space="preserve">Realizace NIP </w:t>
      </w:r>
      <w:r w:rsidRPr="007C76CA">
        <w:rPr>
          <w:rFonts w:asciiTheme="minorHAnsi" w:hAnsiTheme="minorHAnsi" w:cstheme="minorHAnsi"/>
          <w:color w:val="auto"/>
        </w:rPr>
        <w:t>Vzdělávejte se pro růst! - adaptabilita</w:t>
      </w:r>
    </w:p>
    <w:tbl>
      <w:tblPr>
        <w:tblW w:w="9356" w:type="dxa"/>
        <w:tblInd w:w="108" w:type="dxa"/>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6096"/>
        <w:gridCol w:w="3260"/>
      </w:tblGrid>
      <w:tr w:rsidR="00DC5CF9" w:rsidRPr="007C76CA" w:rsidTr="00DC5CF9">
        <w:trPr>
          <w:trHeight w:val="500"/>
        </w:trPr>
        <w:tc>
          <w:tcPr>
            <w:tcW w:w="6096" w:type="dxa"/>
            <w:tcBorders>
              <w:top w:val="single" w:sz="12" w:space="0" w:color="auto"/>
              <w:bottom w:val="single" w:sz="12"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 xml:space="preserve">ukazatel </w:t>
            </w:r>
          </w:p>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(podle uzavřených dohod)</w:t>
            </w:r>
          </w:p>
        </w:tc>
        <w:tc>
          <w:tcPr>
            <w:tcW w:w="3260" w:type="dxa"/>
            <w:tcBorders>
              <w:top w:val="single" w:sz="12" w:space="0" w:color="auto"/>
              <w:left w:val="single" w:sz="12" w:space="0" w:color="auto"/>
              <w:bottom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é období</w:t>
            </w:r>
            <w:r w:rsidRPr="007C76CA">
              <w:rPr>
                <w:rFonts w:asciiTheme="minorHAnsi" w:hAnsiTheme="minorHAnsi" w:cstheme="minorHAnsi"/>
              </w:rPr>
              <w:t xml:space="preserve"> 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 xml:space="preserve">stav k </w:t>
            </w:r>
            <w:r>
              <w:rPr>
                <w:rFonts w:asciiTheme="minorHAnsi" w:hAnsiTheme="minorHAnsi" w:cstheme="minorHAnsi"/>
              </w:rPr>
              <w:t>30</w:t>
            </w:r>
            <w:r w:rsidRPr="007C76CA">
              <w:rPr>
                <w:rFonts w:asciiTheme="minorHAnsi" w:hAnsiTheme="minorHAnsi" w:cstheme="minorHAnsi"/>
              </w:rPr>
              <w:t>.0</w:t>
            </w:r>
            <w:r>
              <w:rPr>
                <w:rFonts w:asciiTheme="minorHAnsi" w:hAnsiTheme="minorHAnsi" w:cstheme="minorHAnsi"/>
              </w:rPr>
              <w:t>4</w:t>
            </w:r>
            <w:r w:rsidRPr="007C76CA">
              <w:rPr>
                <w:rFonts w:asciiTheme="minorHAnsi" w:hAnsiTheme="minorHAnsi" w:cstheme="minorHAnsi"/>
              </w:rPr>
              <w:t>.2014</w:t>
            </w:r>
          </w:p>
        </w:tc>
      </w:tr>
      <w:tr w:rsidR="00DC5CF9" w:rsidRPr="007C76CA" w:rsidTr="00DC5CF9">
        <w:tc>
          <w:tcPr>
            <w:tcW w:w="6096" w:type="dxa"/>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uzavřených dohod</w:t>
            </w:r>
          </w:p>
        </w:tc>
        <w:tc>
          <w:tcPr>
            <w:tcW w:w="3260" w:type="dxa"/>
            <w:tcBorders>
              <w:top w:val="single" w:sz="12" w:space="0" w:color="auto"/>
              <w:left w:val="single" w:sz="12" w:space="0" w:color="auto"/>
              <w:bottom w:val="single" w:sz="6" w:space="0" w:color="auto"/>
            </w:tcBorders>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811</w:t>
            </w:r>
          </w:p>
        </w:tc>
      </w:tr>
      <w:tr w:rsidR="00DC5CF9" w:rsidRPr="007C76CA" w:rsidTr="00DC5CF9">
        <w:tc>
          <w:tcPr>
            <w:tcW w:w="6096" w:type="dxa"/>
            <w:tcBorders>
              <w:top w:val="single" w:sz="6" w:space="0" w:color="auto"/>
              <w:bottom w:val="single" w:sz="12"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zaměstnanců zařazených do vzdělávání</w:t>
            </w:r>
          </w:p>
        </w:tc>
        <w:tc>
          <w:tcPr>
            <w:tcW w:w="3260" w:type="dxa"/>
            <w:tcBorders>
              <w:top w:val="single" w:sz="6" w:space="0" w:color="auto"/>
              <w:left w:val="single" w:sz="12" w:space="0" w:color="auto"/>
              <w:bottom w:val="single" w:sz="12" w:space="0" w:color="auto"/>
            </w:tcBorders>
            <w:vAlign w:val="center"/>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2 972</w:t>
            </w:r>
          </w:p>
        </w:tc>
      </w:tr>
      <w:tr w:rsidR="00DC5CF9" w:rsidRPr="007C76CA" w:rsidTr="00DC5CF9">
        <w:tc>
          <w:tcPr>
            <w:tcW w:w="6096" w:type="dxa"/>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nasml</w:t>
            </w:r>
            <w:r>
              <w:rPr>
                <w:rFonts w:asciiTheme="minorHAnsi" w:hAnsiTheme="minorHAnsi" w:cstheme="minorHAnsi"/>
                <w:color w:val="auto"/>
              </w:rPr>
              <w:t>ouvané</w:t>
            </w:r>
            <w:r w:rsidRPr="007C76CA">
              <w:rPr>
                <w:rFonts w:asciiTheme="minorHAnsi" w:hAnsiTheme="minorHAnsi" w:cstheme="minorHAnsi"/>
                <w:color w:val="auto"/>
              </w:rPr>
              <w:t xml:space="preserve"> fin</w:t>
            </w:r>
            <w:r>
              <w:rPr>
                <w:rFonts w:asciiTheme="minorHAnsi" w:hAnsiTheme="minorHAnsi" w:cstheme="minorHAnsi"/>
                <w:color w:val="auto"/>
              </w:rPr>
              <w:t>anční</w:t>
            </w:r>
            <w:r w:rsidRPr="007C76CA">
              <w:rPr>
                <w:rFonts w:asciiTheme="minorHAnsi" w:hAnsiTheme="minorHAnsi" w:cstheme="minorHAnsi"/>
                <w:color w:val="auto"/>
              </w:rPr>
              <w:t xml:space="preserve"> prostř</w:t>
            </w:r>
            <w:r>
              <w:rPr>
                <w:rFonts w:asciiTheme="minorHAnsi" w:hAnsiTheme="minorHAnsi" w:cstheme="minorHAnsi"/>
                <w:color w:val="auto"/>
              </w:rPr>
              <w:t>edky</w:t>
            </w:r>
            <w:r w:rsidRPr="007C76CA">
              <w:rPr>
                <w:rFonts w:asciiTheme="minorHAnsi" w:hAnsiTheme="minorHAnsi" w:cstheme="minorHAnsi"/>
                <w:color w:val="auto"/>
              </w:rPr>
              <w:t xml:space="preserve"> v dohodách (tis. Kč)</w:t>
            </w:r>
          </w:p>
        </w:tc>
        <w:tc>
          <w:tcPr>
            <w:tcW w:w="3260" w:type="dxa"/>
            <w:tcBorders>
              <w:top w:val="single" w:sz="12" w:space="0" w:color="auto"/>
              <w:left w:val="single" w:sz="12" w:space="0" w:color="auto"/>
              <w:bottom w:val="single" w:sz="6" w:space="0" w:color="auto"/>
            </w:tcBorders>
            <w:vAlign w:val="center"/>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86 476,5</w:t>
            </w:r>
          </w:p>
        </w:tc>
      </w:tr>
      <w:tr w:rsidR="00DC5CF9" w:rsidRPr="007C76CA" w:rsidTr="00DC5CF9">
        <w:tc>
          <w:tcPr>
            <w:tcW w:w="6096" w:type="dxa"/>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vyplacené příspěvky celkem (tis. Kč)</w:t>
            </w:r>
          </w:p>
        </w:tc>
        <w:tc>
          <w:tcPr>
            <w:tcW w:w="3260" w:type="dxa"/>
            <w:tcBorders>
              <w:top w:val="single" w:sz="6" w:space="0" w:color="auto"/>
              <w:left w:val="single" w:sz="12" w:space="0" w:color="auto"/>
              <w:bottom w:val="single" w:sz="6" w:space="0" w:color="auto"/>
            </w:tcBorders>
            <w:vAlign w:val="center"/>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76 393,3</w:t>
            </w:r>
          </w:p>
        </w:tc>
      </w:tr>
      <w:tr w:rsidR="00DC5CF9" w:rsidRPr="007C76CA" w:rsidTr="00DC5CF9">
        <w:tc>
          <w:tcPr>
            <w:tcW w:w="6096" w:type="dxa"/>
            <w:tcBorders>
              <w:top w:val="single" w:sz="6" w:space="0" w:color="auto"/>
              <w:bottom w:val="single" w:sz="6" w:space="0" w:color="auto"/>
              <w:right w:val="single" w:sz="12" w:space="0" w:color="auto"/>
            </w:tcBorders>
            <w:vAlign w:val="center"/>
          </w:tcPr>
          <w:p w:rsidR="00DC5CF9" w:rsidRPr="004F5DD4" w:rsidRDefault="00DC5CF9" w:rsidP="00DC5CF9">
            <w:pPr>
              <w:pStyle w:val="dka"/>
              <w:rPr>
                <w:rFonts w:asciiTheme="minorHAnsi" w:hAnsiTheme="minorHAnsi" w:cstheme="minorHAnsi"/>
                <w:color w:val="auto"/>
                <w:sz w:val="22"/>
                <w:szCs w:val="22"/>
              </w:rPr>
            </w:pPr>
            <w:r w:rsidRPr="007C76CA">
              <w:rPr>
                <w:rFonts w:asciiTheme="minorHAnsi" w:hAnsiTheme="minorHAnsi" w:cstheme="minorHAnsi"/>
                <w:color w:val="auto"/>
                <w:sz w:val="22"/>
                <w:szCs w:val="22"/>
              </w:rPr>
              <w:t>z toho</w:t>
            </w:r>
            <w:r w:rsidRPr="007C76CA">
              <w:rPr>
                <w:rFonts w:asciiTheme="minorHAnsi" w:hAnsiTheme="minorHAnsi" w:cstheme="minorHAnsi"/>
                <w:color w:val="auto"/>
                <w:szCs w:val="24"/>
              </w:rPr>
              <w:t xml:space="preserve"> - náklady vzdělávání - kurzovné (tis. Kč)</w:t>
            </w:r>
          </w:p>
        </w:tc>
        <w:tc>
          <w:tcPr>
            <w:tcW w:w="3260" w:type="dxa"/>
            <w:tcBorders>
              <w:top w:val="single" w:sz="6" w:space="0" w:color="auto"/>
              <w:left w:val="single" w:sz="12" w:space="0" w:color="auto"/>
              <w:bottom w:val="single" w:sz="6" w:space="0" w:color="auto"/>
            </w:tcBorders>
            <w:vAlign w:val="center"/>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38 967,7</w:t>
            </w:r>
          </w:p>
        </w:tc>
      </w:tr>
      <w:tr w:rsidR="00DC5CF9" w:rsidRPr="007C76CA" w:rsidTr="00DC5CF9">
        <w:tc>
          <w:tcPr>
            <w:tcW w:w="6096" w:type="dxa"/>
            <w:tcBorders>
              <w:top w:val="single" w:sz="6" w:space="0" w:color="auto"/>
              <w:bottom w:val="single" w:sz="12"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szCs w:val="24"/>
              </w:rPr>
            </w:pPr>
            <w:r w:rsidRPr="007C76CA">
              <w:rPr>
                <w:rFonts w:asciiTheme="minorHAnsi" w:hAnsiTheme="minorHAnsi" w:cstheme="minorHAnsi"/>
                <w:color w:val="auto"/>
                <w:szCs w:val="24"/>
              </w:rPr>
              <w:t xml:space="preserve"> - příspěvky na mzdy</w:t>
            </w:r>
            <w:r>
              <w:rPr>
                <w:rFonts w:asciiTheme="minorHAnsi" w:hAnsiTheme="minorHAnsi" w:cstheme="minorHAnsi"/>
                <w:color w:val="auto"/>
                <w:szCs w:val="24"/>
              </w:rPr>
              <w:t xml:space="preserve"> vč. pojištění</w:t>
            </w:r>
            <w:r w:rsidRPr="007C76CA">
              <w:rPr>
                <w:rFonts w:asciiTheme="minorHAnsi" w:hAnsiTheme="minorHAnsi" w:cstheme="minorHAnsi"/>
                <w:color w:val="auto"/>
                <w:szCs w:val="24"/>
              </w:rPr>
              <w:t xml:space="preserve"> (tis. Kč)</w:t>
            </w:r>
          </w:p>
        </w:tc>
        <w:tc>
          <w:tcPr>
            <w:tcW w:w="3260" w:type="dxa"/>
            <w:tcBorders>
              <w:top w:val="single" w:sz="6" w:space="0" w:color="auto"/>
              <w:left w:val="single" w:sz="12" w:space="0" w:color="auto"/>
              <w:bottom w:val="single" w:sz="12" w:space="0" w:color="auto"/>
            </w:tcBorders>
          </w:tcPr>
          <w:p w:rsidR="00DC5CF9" w:rsidRPr="004F5DD4" w:rsidRDefault="00DC5CF9" w:rsidP="00DC5CF9">
            <w:pPr>
              <w:pStyle w:val="dka"/>
              <w:jc w:val="center"/>
              <w:rPr>
                <w:rFonts w:asciiTheme="minorHAnsi" w:hAnsiTheme="minorHAnsi" w:cstheme="minorHAnsi"/>
                <w:color w:val="auto"/>
              </w:rPr>
            </w:pPr>
            <w:r w:rsidRPr="004F5DD4">
              <w:rPr>
                <w:rFonts w:asciiTheme="minorHAnsi" w:hAnsiTheme="minorHAnsi" w:cstheme="minorHAnsi"/>
                <w:color w:val="auto"/>
              </w:rPr>
              <w:t>37 425,6</w:t>
            </w:r>
          </w:p>
        </w:tc>
      </w:tr>
    </w:tbl>
    <w:p w:rsidR="00DC5CF9" w:rsidRPr="00DE2CDF" w:rsidRDefault="00DC5CF9" w:rsidP="00DC5CF9">
      <w:pPr>
        <w:pStyle w:val="dka"/>
        <w:jc w:val="both"/>
        <w:rPr>
          <w:rFonts w:asciiTheme="minorHAnsi" w:hAnsiTheme="minorHAnsi" w:cstheme="minorHAnsi"/>
          <w:color w:val="auto"/>
        </w:rPr>
      </w:pPr>
    </w:p>
    <w:p w:rsidR="00DC5CF9" w:rsidRPr="00DE2CDF" w:rsidRDefault="00DC5CF9" w:rsidP="00DC5CF9">
      <w:pPr>
        <w:ind w:firstLine="709"/>
        <w:jc w:val="both"/>
        <w:rPr>
          <w:rFonts w:asciiTheme="minorHAnsi" w:hAnsiTheme="minorHAnsi" w:cstheme="minorHAnsi"/>
          <w:sz w:val="24"/>
          <w:szCs w:val="24"/>
        </w:rPr>
      </w:pPr>
      <w:r w:rsidRPr="00DE2CDF">
        <w:rPr>
          <w:rFonts w:asciiTheme="minorHAnsi" w:hAnsiTheme="minorHAnsi" w:cstheme="minorHAnsi"/>
          <w:sz w:val="24"/>
          <w:szCs w:val="24"/>
        </w:rPr>
        <w:t>Tento národní individuální projekt realizovaný ÚP ČR byl zahájen 31.05.2011 a jeho realizace byla prodloužena do 31.05.2014, přičemž vzdělávací aktivity musely být ukončeny do 28.02.2014. Projekt byl zaměřen na zaměstnavatele v odvětvích s předpokladem růstu a s významným podílem na tvorbě HDP, kteří realizovali svoji činnost v odvětvích strojírenství, stavebnictví, nezávislý maloobchod (zde pouze malé a střední podniky), terénní sociální služby a odpadové hospodářství. Předpokladem bylo, že tyto podniky přijímaly další zaměstnance, které potřebovaly vyškolit či rekvalifikovat, popř. musely proškolit stávající zaměstnance.</w:t>
      </w:r>
    </w:p>
    <w:p w:rsidR="00DC5CF9" w:rsidRPr="00DE2CDF" w:rsidRDefault="00DC5CF9" w:rsidP="00DC5CF9">
      <w:pPr>
        <w:ind w:firstLine="709"/>
        <w:jc w:val="both"/>
        <w:rPr>
          <w:rFonts w:asciiTheme="minorHAnsi" w:hAnsiTheme="minorHAnsi" w:cstheme="minorHAnsi"/>
          <w:sz w:val="24"/>
          <w:szCs w:val="24"/>
        </w:rPr>
      </w:pPr>
      <w:r w:rsidRPr="00DE2CDF">
        <w:rPr>
          <w:rFonts w:asciiTheme="minorHAnsi" w:hAnsiTheme="minorHAnsi" w:cstheme="minorHAnsi"/>
          <w:sz w:val="24"/>
          <w:szCs w:val="24"/>
        </w:rPr>
        <w:t>Na základě uzavřených dohod byly podnikům zapojeným do projektu vypláceny finanční příspěvky na vzdělávání či rekvalifikace zaměstnanců a současně po tuto dobu i příspěvky na mzdové náklady vzdělávaných zaměstnanců. Vzdělávání mohlo být buď obecné, anebo po zdůvodnění i specifické.</w:t>
      </w:r>
    </w:p>
    <w:p w:rsidR="00DC5CF9" w:rsidRDefault="00DC5CF9" w:rsidP="00DC5CF9">
      <w:pPr>
        <w:pStyle w:val="dka"/>
        <w:ind w:firstLine="708"/>
        <w:jc w:val="both"/>
        <w:rPr>
          <w:rFonts w:asciiTheme="minorHAnsi" w:hAnsiTheme="minorHAnsi" w:cstheme="minorHAnsi"/>
          <w:color w:val="auto"/>
        </w:rPr>
      </w:pPr>
      <w:r w:rsidRPr="00DE2CDF">
        <w:rPr>
          <w:rFonts w:asciiTheme="minorHAnsi" w:hAnsiTheme="minorHAnsi" w:cstheme="minorHAnsi"/>
          <w:color w:val="auto"/>
        </w:rPr>
        <w:t xml:space="preserve">Za celou dobu realizace projektu bylo se zaměstnavateli uzavřeno celkem 811 dohod a vzdělávání se zúčastnilo dohromady 2 972 zaměstnanců. </w:t>
      </w:r>
      <w:r>
        <w:rPr>
          <w:rFonts w:asciiTheme="minorHAnsi" w:hAnsiTheme="minorHAnsi" w:cstheme="minorHAnsi"/>
          <w:color w:val="auto"/>
        </w:rPr>
        <w:t>Nasmlouvané finanční prostředky na uzavřených dohodách dosáhly úhrnně 86,5 mil. Kč, z nichž bylo na příspěvky (kurzovné + mzdy vč. pojištění) vyplaceno 76,4 mil. Kč (88,3%).</w:t>
      </w:r>
    </w:p>
    <w:p w:rsidR="00DC5CF9" w:rsidRPr="00DE2CDF" w:rsidRDefault="00DC5CF9" w:rsidP="00DC5CF9">
      <w:pPr>
        <w:pStyle w:val="dka"/>
        <w:ind w:firstLine="708"/>
        <w:jc w:val="both"/>
        <w:rPr>
          <w:rFonts w:asciiTheme="minorHAnsi" w:hAnsiTheme="minorHAnsi" w:cstheme="minorHAnsi"/>
          <w:color w:val="auto"/>
        </w:rPr>
      </w:pPr>
      <w:r w:rsidRPr="00DE2CDF">
        <w:rPr>
          <w:rFonts w:asciiTheme="minorHAnsi" w:hAnsiTheme="minorHAnsi" w:cstheme="minorHAnsi"/>
          <w:color w:val="auto"/>
        </w:rPr>
        <w:t>Z hlediska celého projektu se nejpočetněji vzdělávání či rekvalifikací zúčastnili zaměstnanci z odvětví Výroby kovových konstrukcí a kovodělných výrobků, kromě strojů a</w:t>
      </w:r>
      <w:r>
        <w:rPr>
          <w:rFonts w:asciiTheme="minorHAnsi" w:hAnsiTheme="minorHAnsi" w:cstheme="minorHAnsi"/>
          <w:color w:val="auto"/>
        </w:rPr>
        <w:t> </w:t>
      </w:r>
      <w:r w:rsidRPr="00DE2CDF">
        <w:rPr>
          <w:rFonts w:asciiTheme="minorHAnsi" w:hAnsiTheme="minorHAnsi" w:cstheme="minorHAnsi"/>
          <w:color w:val="auto"/>
        </w:rPr>
        <w:t>zařízení a Ambulantních nebo terénních sociálních služeb.</w:t>
      </w:r>
    </w:p>
    <w:p w:rsidR="00DC5CF9" w:rsidRPr="00DE2CDF" w:rsidRDefault="00DC5CF9" w:rsidP="00DC5CF9">
      <w:pPr>
        <w:pStyle w:val="dka"/>
        <w:rPr>
          <w:rFonts w:asciiTheme="minorHAnsi" w:hAnsiTheme="minorHAnsi" w:cstheme="minorHAnsi"/>
          <w:color w:val="auto"/>
        </w:rPr>
      </w:pPr>
    </w:p>
    <w:p w:rsidR="00DC5CF9" w:rsidRPr="004B639D" w:rsidRDefault="00DC5CF9" w:rsidP="00DC5CF9">
      <w:pPr>
        <w:pStyle w:val="dka"/>
        <w:rPr>
          <w:rFonts w:asciiTheme="minorHAnsi" w:hAnsiTheme="minorHAnsi" w:cstheme="minorHAnsi"/>
          <w:b/>
          <w:i/>
          <w:color w:val="auto"/>
        </w:rPr>
      </w:pPr>
      <w:r w:rsidRPr="004B639D">
        <w:rPr>
          <w:rFonts w:asciiTheme="minorHAnsi" w:hAnsiTheme="minorHAnsi" w:cstheme="minorHAnsi"/>
          <w:b/>
          <w:i/>
          <w:color w:val="auto"/>
        </w:rPr>
        <w:t>Projekt - Podpora odborného vzdělávání zaměstnanců</w:t>
      </w:r>
    </w:p>
    <w:p w:rsidR="00DC5CF9" w:rsidRPr="004B639D" w:rsidRDefault="00DC5CF9" w:rsidP="00DC5CF9">
      <w:pPr>
        <w:pStyle w:val="dka"/>
        <w:jc w:val="both"/>
        <w:rPr>
          <w:rFonts w:asciiTheme="minorHAnsi" w:hAnsiTheme="minorHAnsi" w:cstheme="minorHAnsi"/>
          <w:bCs/>
          <w:color w:val="auto"/>
          <w:szCs w:val="24"/>
        </w:rPr>
      </w:pPr>
    </w:p>
    <w:p w:rsidR="00DC5CF9" w:rsidRDefault="00DC5CF9" w:rsidP="00DC5CF9">
      <w:pPr>
        <w:pStyle w:val="dka"/>
        <w:ind w:firstLine="709"/>
        <w:jc w:val="both"/>
        <w:rPr>
          <w:rFonts w:asciiTheme="minorHAnsi" w:hAnsiTheme="minorHAnsi" w:cstheme="minorHAnsi"/>
          <w:color w:val="auto"/>
          <w:szCs w:val="24"/>
        </w:rPr>
      </w:pPr>
      <w:r w:rsidRPr="004B639D">
        <w:rPr>
          <w:rFonts w:asciiTheme="minorHAnsi" w:hAnsiTheme="minorHAnsi" w:cstheme="minorHAnsi"/>
          <w:color w:val="auto"/>
        </w:rPr>
        <w:t xml:space="preserve">Národní individuální projekt nazvaný Podpora odborného vzdělávání zaměstnanců </w:t>
      </w:r>
      <w:r>
        <w:rPr>
          <w:rFonts w:asciiTheme="minorHAnsi" w:hAnsiTheme="minorHAnsi" w:cstheme="minorHAnsi"/>
          <w:color w:val="auto"/>
        </w:rPr>
        <w:t xml:space="preserve">(POVEZ) </w:t>
      </w:r>
      <w:r w:rsidRPr="004B639D">
        <w:rPr>
          <w:rFonts w:asciiTheme="minorHAnsi" w:hAnsiTheme="minorHAnsi" w:cstheme="minorHAnsi"/>
          <w:color w:val="auto"/>
        </w:rPr>
        <w:t>realizuje ÚP ČR od 01.12.2013 do 31.08.2015</w:t>
      </w:r>
      <w:r>
        <w:rPr>
          <w:rFonts w:asciiTheme="minorHAnsi" w:hAnsiTheme="minorHAnsi" w:cstheme="minorHAnsi"/>
          <w:color w:val="auto"/>
        </w:rPr>
        <w:t>; j</w:t>
      </w:r>
      <w:r w:rsidRPr="004B639D">
        <w:rPr>
          <w:rFonts w:asciiTheme="minorHAnsi" w:hAnsiTheme="minorHAnsi" w:cstheme="minorHAnsi"/>
          <w:color w:val="auto"/>
        </w:rPr>
        <w:t xml:space="preserve">eho vzdělávací aktivity mají být ukončeny k 30.06.2015. Úlohou tohoto projektu je </w:t>
      </w:r>
      <w:r w:rsidRPr="004B639D">
        <w:rPr>
          <w:rFonts w:asciiTheme="minorHAnsi" w:hAnsiTheme="minorHAnsi" w:cstheme="minorHAnsi"/>
          <w:color w:val="auto"/>
          <w:szCs w:val="24"/>
        </w:rPr>
        <w:t>poskytnout firmám s prorůstovým potencionálem peněžní příspěvky na vzdělávání či rekvalifikace jejich zaměstnanců a současně po dobu vzdělávání uhradit jejich mzdy</w:t>
      </w:r>
      <w:r>
        <w:rPr>
          <w:rFonts w:asciiTheme="minorHAnsi" w:hAnsiTheme="minorHAnsi" w:cstheme="minorHAnsi"/>
          <w:color w:val="auto"/>
          <w:szCs w:val="24"/>
        </w:rPr>
        <w:t xml:space="preserve"> vč. pojištění.</w:t>
      </w:r>
    </w:p>
    <w:p w:rsidR="00DC5CF9" w:rsidRDefault="00DC5CF9" w:rsidP="00DC5CF9">
      <w:pPr>
        <w:pStyle w:val="dka"/>
        <w:ind w:firstLine="709"/>
        <w:jc w:val="both"/>
        <w:rPr>
          <w:rFonts w:asciiTheme="minorHAnsi" w:hAnsiTheme="minorHAnsi" w:cstheme="minorHAnsi"/>
          <w:color w:val="auto"/>
        </w:rPr>
      </w:pPr>
      <w:r w:rsidRPr="004B639D">
        <w:rPr>
          <w:rFonts w:asciiTheme="minorHAnsi" w:hAnsiTheme="minorHAnsi" w:cstheme="minorHAnsi"/>
          <w:color w:val="auto"/>
        </w:rPr>
        <w:t>V roce 2014</w:t>
      </w:r>
      <w:r>
        <w:rPr>
          <w:rFonts w:asciiTheme="minorHAnsi" w:hAnsiTheme="minorHAnsi" w:cstheme="minorHAnsi"/>
          <w:color w:val="auto"/>
        </w:rPr>
        <w:t xml:space="preserve"> bylo v MSK v rámci projektu POVEZ uzavřeno celkem 424 dohod se 139 zaměstnavateli a do vzdělávání zařazeno téměř 1 597 zaměstnanců. Z nasmlouvaných finančních prostředků na uzavřených dohodách (40,5 mil. Kč) pak byly dosud proplaceny příspěvky na kurzovné a mzdy vč. pojištění v celkové výši 14,8 mil. Kč, tj. 36,5 %. </w:t>
      </w:r>
    </w:p>
    <w:p w:rsidR="00DC5CF9" w:rsidRDefault="00DC5CF9" w:rsidP="00DC5CF9">
      <w:pPr>
        <w:pStyle w:val="dka"/>
        <w:ind w:firstLine="709"/>
        <w:jc w:val="both"/>
        <w:rPr>
          <w:rFonts w:asciiTheme="minorHAnsi" w:hAnsiTheme="minorHAnsi" w:cstheme="minorHAnsi"/>
          <w:color w:val="auto"/>
        </w:rPr>
      </w:pPr>
      <w:r>
        <w:rPr>
          <w:rFonts w:asciiTheme="minorHAnsi" w:hAnsiTheme="minorHAnsi" w:cstheme="minorHAnsi"/>
          <w:color w:val="auto"/>
        </w:rPr>
        <w:t>V rámci projektu POVEZ byly zaměstnavateli nejčastěji požadovány tyto kurzy:</w:t>
      </w:r>
    </w:p>
    <w:p w:rsidR="00DC5CF9" w:rsidRPr="00CE14BE" w:rsidRDefault="00DC5CF9" w:rsidP="00DC5CF9">
      <w:pPr>
        <w:pStyle w:val="dka"/>
        <w:numPr>
          <w:ilvl w:val="0"/>
          <w:numId w:val="33"/>
        </w:numPr>
        <w:tabs>
          <w:tab w:val="clear" w:pos="720"/>
        </w:tabs>
        <w:ind w:left="426"/>
        <w:jc w:val="both"/>
        <w:rPr>
          <w:rFonts w:asciiTheme="minorHAnsi" w:hAnsiTheme="minorHAnsi" w:cstheme="minorHAnsi"/>
        </w:rPr>
      </w:pPr>
      <w:r>
        <w:rPr>
          <w:rFonts w:asciiTheme="minorHAnsi" w:hAnsiTheme="minorHAnsi" w:cstheme="minorHAnsi"/>
        </w:rPr>
        <w:t>s</w:t>
      </w:r>
      <w:r w:rsidRPr="00CE14BE">
        <w:rPr>
          <w:rFonts w:asciiTheme="minorHAnsi" w:hAnsiTheme="minorHAnsi" w:cstheme="minorHAnsi"/>
        </w:rPr>
        <w:t xml:space="preserve">vářečské kurzy </w:t>
      </w:r>
      <w:r>
        <w:rPr>
          <w:rFonts w:asciiTheme="minorHAnsi" w:hAnsiTheme="minorHAnsi" w:cstheme="minorHAnsi"/>
        </w:rPr>
        <w:t>-</w:t>
      </w:r>
      <w:r w:rsidRPr="00CE14BE">
        <w:rPr>
          <w:rFonts w:asciiTheme="minorHAnsi" w:hAnsiTheme="minorHAnsi" w:cstheme="minorHAnsi"/>
        </w:rPr>
        <w:t xml:space="preserve"> základní, mezinárodní, ČSN</w:t>
      </w:r>
      <w:r>
        <w:rPr>
          <w:rFonts w:asciiTheme="minorHAnsi" w:hAnsiTheme="minorHAnsi" w:cstheme="minorHAnsi"/>
        </w:rPr>
        <w:t>,</w:t>
      </w:r>
    </w:p>
    <w:p w:rsidR="00DC5CF9" w:rsidRDefault="00DC5CF9" w:rsidP="00DC5CF9">
      <w:pPr>
        <w:pStyle w:val="dka"/>
        <w:numPr>
          <w:ilvl w:val="0"/>
          <w:numId w:val="33"/>
        </w:numPr>
        <w:tabs>
          <w:tab w:val="clear" w:pos="720"/>
        </w:tabs>
        <w:ind w:left="426"/>
        <w:jc w:val="both"/>
        <w:rPr>
          <w:rFonts w:asciiTheme="minorHAnsi" w:hAnsiTheme="minorHAnsi" w:cstheme="minorHAnsi"/>
        </w:rPr>
      </w:pPr>
      <w:r>
        <w:rPr>
          <w:rFonts w:asciiTheme="minorHAnsi" w:hAnsiTheme="minorHAnsi" w:cstheme="minorHAnsi"/>
        </w:rPr>
        <w:t>p</w:t>
      </w:r>
      <w:r w:rsidRPr="00CE14BE">
        <w:rPr>
          <w:rFonts w:asciiTheme="minorHAnsi" w:hAnsiTheme="minorHAnsi" w:cstheme="minorHAnsi"/>
        </w:rPr>
        <w:t>očítačové kurzy - AutoCAD, Adobe, vývoj aplikací, programování</w:t>
      </w:r>
      <w:r>
        <w:rPr>
          <w:rFonts w:asciiTheme="minorHAnsi" w:hAnsiTheme="minorHAnsi" w:cstheme="minorHAnsi"/>
        </w:rPr>
        <w:t>,</w:t>
      </w:r>
    </w:p>
    <w:p w:rsidR="00DC5CF9" w:rsidRDefault="00DC5CF9" w:rsidP="00DC5CF9">
      <w:pPr>
        <w:pStyle w:val="dka"/>
        <w:numPr>
          <w:ilvl w:val="0"/>
          <w:numId w:val="33"/>
        </w:numPr>
        <w:tabs>
          <w:tab w:val="clear" w:pos="720"/>
        </w:tabs>
        <w:ind w:left="426"/>
        <w:jc w:val="both"/>
        <w:rPr>
          <w:rFonts w:asciiTheme="minorHAnsi" w:hAnsiTheme="minorHAnsi" w:cstheme="minorHAnsi"/>
        </w:rPr>
      </w:pPr>
      <w:r>
        <w:rPr>
          <w:rFonts w:asciiTheme="minorHAnsi" w:hAnsiTheme="minorHAnsi" w:cstheme="minorHAnsi"/>
        </w:rPr>
        <w:t>j</w:t>
      </w:r>
      <w:r w:rsidRPr="00CE14BE">
        <w:rPr>
          <w:rFonts w:asciiTheme="minorHAnsi" w:hAnsiTheme="minorHAnsi" w:cstheme="minorHAnsi"/>
        </w:rPr>
        <w:t>azykové kurzy - anglický, německý, italský, španělský, ruský</w:t>
      </w:r>
      <w:r>
        <w:rPr>
          <w:rFonts w:asciiTheme="minorHAnsi" w:hAnsiTheme="minorHAnsi" w:cstheme="minorHAnsi"/>
        </w:rPr>
        <w:t>,</w:t>
      </w:r>
    </w:p>
    <w:p w:rsidR="00DC5CF9" w:rsidRPr="00CE14BE" w:rsidRDefault="00DC5CF9" w:rsidP="00DC5CF9">
      <w:pPr>
        <w:pStyle w:val="dka"/>
        <w:numPr>
          <w:ilvl w:val="0"/>
          <w:numId w:val="33"/>
        </w:numPr>
        <w:tabs>
          <w:tab w:val="clear" w:pos="720"/>
        </w:tabs>
        <w:ind w:left="426"/>
        <w:jc w:val="both"/>
        <w:rPr>
          <w:rFonts w:asciiTheme="minorHAnsi" w:hAnsiTheme="minorHAnsi" w:cstheme="minorHAnsi"/>
        </w:rPr>
      </w:pPr>
      <w:r>
        <w:rPr>
          <w:rFonts w:asciiTheme="minorHAnsi" w:hAnsiTheme="minorHAnsi" w:cstheme="minorHAnsi"/>
        </w:rPr>
        <w:t>ř</w:t>
      </w:r>
      <w:r w:rsidRPr="00CE14BE">
        <w:rPr>
          <w:rFonts w:asciiTheme="minorHAnsi" w:hAnsiTheme="minorHAnsi" w:cstheme="minorHAnsi"/>
        </w:rPr>
        <w:t>idičské průkazy - sk. C, D</w:t>
      </w:r>
      <w:r>
        <w:rPr>
          <w:rFonts w:asciiTheme="minorHAnsi" w:hAnsiTheme="minorHAnsi" w:cstheme="minorHAnsi"/>
        </w:rPr>
        <w:t>,</w:t>
      </w:r>
      <w:r w:rsidRPr="00CE14BE">
        <w:rPr>
          <w:rFonts w:asciiTheme="minorHAnsi" w:hAnsiTheme="minorHAnsi" w:cstheme="minorHAnsi"/>
        </w:rPr>
        <w:t xml:space="preserve"> vč</w:t>
      </w:r>
      <w:r>
        <w:rPr>
          <w:rFonts w:asciiTheme="minorHAnsi" w:hAnsiTheme="minorHAnsi" w:cstheme="minorHAnsi"/>
        </w:rPr>
        <w:t>.</w:t>
      </w:r>
      <w:r w:rsidRPr="00CE14BE">
        <w:rPr>
          <w:rFonts w:asciiTheme="minorHAnsi" w:hAnsiTheme="minorHAnsi" w:cstheme="minorHAnsi"/>
        </w:rPr>
        <w:t xml:space="preserve"> profesních průkazů</w:t>
      </w:r>
      <w:r>
        <w:rPr>
          <w:rFonts w:asciiTheme="minorHAnsi" w:hAnsiTheme="minorHAnsi" w:cstheme="minorHAnsi"/>
        </w:rPr>
        <w:t>,</w:t>
      </w:r>
    </w:p>
    <w:p w:rsidR="00DC5CF9" w:rsidRPr="00CE14BE" w:rsidRDefault="00DC5CF9" w:rsidP="00DC5CF9">
      <w:pPr>
        <w:pStyle w:val="dka"/>
        <w:numPr>
          <w:ilvl w:val="0"/>
          <w:numId w:val="33"/>
        </w:numPr>
        <w:tabs>
          <w:tab w:val="clear" w:pos="720"/>
        </w:tabs>
        <w:ind w:left="426"/>
        <w:jc w:val="both"/>
        <w:rPr>
          <w:rFonts w:asciiTheme="minorHAnsi" w:hAnsiTheme="minorHAnsi" w:cstheme="minorHAnsi"/>
        </w:rPr>
      </w:pPr>
      <w:r>
        <w:rPr>
          <w:rFonts w:asciiTheme="minorHAnsi" w:hAnsiTheme="minorHAnsi" w:cstheme="minorHAnsi"/>
        </w:rPr>
        <w:t>k</w:t>
      </w:r>
      <w:r w:rsidRPr="00CE14BE">
        <w:rPr>
          <w:rFonts w:asciiTheme="minorHAnsi" w:hAnsiTheme="minorHAnsi" w:cstheme="minorHAnsi"/>
        </w:rPr>
        <w:t>urzy obsluh</w:t>
      </w:r>
      <w:r>
        <w:rPr>
          <w:rFonts w:asciiTheme="minorHAnsi" w:hAnsiTheme="minorHAnsi" w:cstheme="minorHAnsi"/>
        </w:rPr>
        <w:t>y</w:t>
      </w:r>
      <w:r w:rsidRPr="00CE14BE">
        <w:rPr>
          <w:rFonts w:asciiTheme="minorHAnsi" w:hAnsiTheme="minorHAnsi" w:cstheme="minorHAnsi"/>
        </w:rPr>
        <w:t xml:space="preserve"> strojů a výrobních linek</w:t>
      </w:r>
      <w:r>
        <w:rPr>
          <w:rFonts w:asciiTheme="minorHAnsi" w:hAnsiTheme="minorHAnsi" w:cstheme="minorHAnsi"/>
        </w:rPr>
        <w:t>.</w:t>
      </w:r>
    </w:p>
    <w:p w:rsidR="00DC5CF9" w:rsidRDefault="00DC5CF9" w:rsidP="00DC5CF9">
      <w:pPr>
        <w:pStyle w:val="dka"/>
        <w:ind w:firstLine="709"/>
        <w:jc w:val="both"/>
        <w:rPr>
          <w:rFonts w:asciiTheme="minorHAnsi" w:hAnsiTheme="minorHAnsi" w:cstheme="minorHAnsi"/>
          <w:color w:val="auto"/>
        </w:rPr>
      </w:pPr>
    </w:p>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b/>
          <w:color w:val="auto"/>
        </w:rPr>
        <w:t>Tabulka V/</w:t>
      </w:r>
      <w:r>
        <w:rPr>
          <w:rFonts w:asciiTheme="minorHAnsi" w:hAnsiTheme="minorHAnsi" w:cstheme="minorHAnsi"/>
          <w:b/>
          <w:color w:val="auto"/>
        </w:rPr>
        <w:t>6</w:t>
      </w:r>
      <w:r w:rsidRPr="00626A03">
        <w:rPr>
          <w:rFonts w:asciiTheme="minorHAnsi" w:hAnsiTheme="minorHAnsi" w:cstheme="minorHAnsi"/>
          <w:color w:val="auto"/>
        </w:rPr>
        <w:t xml:space="preserve"> - </w:t>
      </w:r>
      <w:r w:rsidRPr="00626A03">
        <w:rPr>
          <w:rFonts w:asciiTheme="minorHAnsi" w:hAnsiTheme="minorHAnsi" w:cstheme="minorHAnsi"/>
          <w:bCs/>
          <w:color w:val="auto"/>
        </w:rPr>
        <w:t xml:space="preserve">Realizace NIP - </w:t>
      </w:r>
      <w:r w:rsidRPr="00626A03">
        <w:rPr>
          <w:rFonts w:asciiTheme="minorHAnsi" w:hAnsiTheme="minorHAnsi" w:cstheme="minorHAnsi"/>
          <w:color w:val="auto"/>
        </w:rPr>
        <w:t>Podpora odborného vzdělávání zaměstnanců</w:t>
      </w:r>
    </w:p>
    <w:tbl>
      <w:tblPr>
        <w:tblW w:w="4983" w:type="pct"/>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6491"/>
        <w:gridCol w:w="3046"/>
      </w:tblGrid>
      <w:tr w:rsidR="00DC5CF9" w:rsidRPr="00626A03" w:rsidTr="00DC5CF9">
        <w:trPr>
          <w:trHeight w:val="500"/>
        </w:trPr>
        <w:tc>
          <w:tcPr>
            <w:tcW w:w="3403" w:type="pct"/>
            <w:tcBorders>
              <w:top w:val="single" w:sz="12" w:space="0" w:color="auto"/>
              <w:bottom w:val="single" w:sz="12" w:space="0" w:color="auto"/>
              <w:right w:val="single" w:sz="12" w:space="0" w:color="auto"/>
            </w:tcBorders>
            <w:vAlign w:val="center"/>
          </w:tcPr>
          <w:p w:rsidR="00DC5CF9" w:rsidRPr="00626A03" w:rsidRDefault="00DC5CF9" w:rsidP="00DC5CF9">
            <w:pPr>
              <w:pStyle w:val="dka"/>
              <w:jc w:val="center"/>
              <w:rPr>
                <w:rFonts w:asciiTheme="minorHAnsi" w:hAnsiTheme="minorHAnsi" w:cstheme="minorHAnsi"/>
                <w:color w:val="auto"/>
              </w:rPr>
            </w:pPr>
            <w:r w:rsidRPr="00626A03">
              <w:rPr>
                <w:rFonts w:asciiTheme="minorHAnsi" w:hAnsiTheme="minorHAnsi" w:cstheme="minorHAnsi"/>
                <w:color w:val="auto"/>
              </w:rPr>
              <w:t>ukazatel (podle uzavřených dohod)</w:t>
            </w:r>
          </w:p>
        </w:tc>
        <w:tc>
          <w:tcPr>
            <w:tcW w:w="1597" w:type="pct"/>
            <w:tcBorders>
              <w:top w:val="single" w:sz="12" w:space="0" w:color="auto"/>
              <w:left w:val="single" w:sz="12" w:space="0" w:color="auto"/>
              <w:bottom w:val="single" w:sz="12" w:space="0" w:color="auto"/>
            </w:tcBorders>
            <w:vAlign w:val="center"/>
          </w:tcPr>
          <w:p w:rsidR="00DC5CF9" w:rsidRPr="00626A03" w:rsidRDefault="00DC5CF9" w:rsidP="00DC5CF9">
            <w:pPr>
              <w:pStyle w:val="odsazen"/>
              <w:numPr>
                <w:ilvl w:val="0"/>
                <w:numId w:val="0"/>
              </w:numPr>
              <w:jc w:val="center"/>
              <w:rPr>
                <w:rFonts w:asciiTheme="minorHAnsi" w:hAnsiTheme="minorHAnsi" w:cstheme="minorHAnsi"/>
              </w:rPr>
            </w:pPr>
            <w:r w:rsidRPr="00626A03">
              <w:rPr>
                <w:rFonts w:asciiTheme="minorHAnsi" w:hAnsiTheme="minorHAnsi" w:cstheme="minorHAnsi"/>
              </w:rPr>
              <w:t>za cel</w:t>
            </w:r>
            <w:r>
              <w:rPr>
                <w:rFonts w:asciiTheme="minorHAnsi" w:hAnsiTheme="minorHAnsi" w:cstheme="minorHAnsi"/>
              </w:rPr>
              <w:t>é období</w:t>
            </w:r>
            <w:r w:rsidRPr="00626A03">
              <w:rPr>
                <w:rFonts w:asciiTheme="minorHAnsi" w:hAnsiTheme="minorHAnsi" w:cstheme="minorHAnsi"/>
              </w:rPr>
              <w:t xml:space="preserve"> projekt</w:t>
            </w:r>
            <w:r>
              <w:rPr>
                <w:rFonts w:asciiTheme="minorHAnsi" w:hAnsiTheme="minorHAnsi" w:cstheme="minorHAnsi"/>
              </w:rPr>
              <w:t>u</w:t>
            </w:r>
          </w:p>
          <w:p w:rsidR="00DC5CF9" w:rsidRPr="00626A03" w:rsidRDefault="00DC5CF9" w:rsidP="00DC5CF9">
            <w:pPr>
              <w:pStyle w:val="odsazen"/>
              <w:numPr>
                <w:ilvl w:val="0"/>
                <w:numId w:val="0"/>
              </w:numPr>
              <w:jc w:val="center"/>
              <w:rPr>
                <w:rFonts w:asciiTheme="minorHAnsi" w:hAnsiTheme="minorHAnsi" w:cstheme="minorHAnsi"/>
              </w:rPr>
            </w:pPr>
            <w:r w:rsidRPr="00626A03">
              <w:rPr>
                <w:rFonts w:asciiTheme="minorHAnsi" w:hAnsiTheme="minorHAnsi" w:cstheme="minorHAnsi"/>
              </w:rPr>
              <w:t>stav k 31.12.2014</w:t>
            </w:r>
          </w:p>
        </w:tc>
      </w:tr>
      <w:tr w:rsidR="00DC5CF9" w:rsidRPr="00626A03" w:rsidTr="00DC5CF9">
        <w:tc>
          <w:tcPr>
            <w:tcW w:w="3403" w:type="pct"/>
            <w:tcBorders>
              <w:top w:val="single" w:sz="12" w:space="0" w:color="auto"/>
              <w:bottom w:val="single" w:sz="6"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color w:val="auto"/>
              </w:rPr>
              <w:t>počet uzavřených dohod</w:t>
            </w:r>
          </w:p>
        </w:tc>
        <w:tc>
          <w:tcPr>
            <w:tcW w:w="1597" w:type="pct"/>
            <w:tcBorders>
              <w:top w:val="single" w:sz="12" w:space="0" w:color="auto"/>
              <w:left w:val="single" w:sz="12" w:space="0" w:color="auto"/>
              <w:bottom w:val="single" w:sz="6" w:space="0" w:color="auto"/>
            </w:tcBorders>
          </w:tcPr>
          <w:p w:rsidR="00DC5CF9" w:rsidRPr="00626A03" w:rsidRDefault="00DC5CF9" w:rsidP="00DC5CF9">
            <w:pPr>
              <w:pStyle w:val="dka"/>
              <w:jc w:val="center"/>
              <w:rPr>
                <w:rFonts w:asciiTheme="minorHAnsi" w:hAnsiTheme="minorHAnsi" w:cstheme="minorHAnsi"/>
                <w:color w:val="auto"/>
              </w:rPr>
            </w:pPr>
            <w:r>
              <w:rPr>
                <w:rFonts w:asciiTheme="minorHAnsi" w:hAnsiTheme="minorHAnsi" w:cstheme="minorHAnsi"/>
                <w:color w:val="auto"/>
              </w:rPr>
              <w:t>424</w:t>
            </w:r>
          </w:p>
        </w:tc>
      </w:tr>
      <w:tr w:rsidR="00DC5CF9" w:rsidRPr="00626A03" w:rsidTr="00DC5CF9">
        <w:tc>
          <w:tcPr>
            <w:tcW w:w="3403" w:type="pct"/>
            <w:tcBorders>
              <w:top w:val="single" w:sz="6" w:space="0" w:color="auto"/>
              <w:bottom w:val="single" w:sz="6"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color w:val="auto"/>
              </w:rPr>
              <w:t>počet zapojených zaměstnavatelů</w:t>
            </w:r>
          </w:p>
        </w:tc>
        <w:tc>
          <w:tcPr>
            <w:tcW w:w="1597" w:type="pct"/>
            <w:tcBorders>
              <w:top w:val="single" w:sz="6" w:space="0" w:color="auto"/>
              <w:left w:val="single" w:sz="12" w:space="0" w:color="auto"/>
              <w:bottom w:val="single" w:sz="6" w:space="0" w:color="auto"/>
            </w:tcBorders>
          </w:tcPr>
          <w:p w:rsidR="00DC5CF9" w:rsidRPr="00626A03" w:rsidRDefault="00DC5CF9" w:rsidP="00DC5CF9">
            <w:pPr>
              <w:pStyle w:val="dka"/>
              <w:jc w:val="center"/>
              <w:rPr>
                <w:rFonts w:asciiTheme="minorHAnsi" w:hAnsiTheme="minorHAnsi" w:cstheme="minorHAnsi"/>
                <w:color w:val="auto"/>
              </w:rPr>
            </w:pPr>
            <w:r>
              <w:rPr>
                <w:rFonts w:asciiTheme="minorHAnsi" w:hAnsiTheme="minorHAnsi" w:cstheme="minorHAnsi"/>
                <w:color w:val="auto"/>
              </w:rPr>
              <w:t>139</w:t>
            </w:r>
          </w:p>
        </w:tc>
      </w:tr>
      <w:tr w:rsidR="00DC5CF9" w:rsidRPr="00626A03" w:rsidTr="00DC5CF9">
        <w:tc>
          <w:tcPr>
            <w:tcW w:w="3403" w:type="pct"/>
            <w:tcBorders>
              <w:top w:val="single" w:sz="6" w:space="0" w:color="auto"/>
              <w:bottom w:val="single" w:sz="4"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color w:val="auto"/>
              </w:rPr>
              <w:t>počet zaměstnanců zařazených do vzdělávání</w:t>
            </w:r>
          </w:p>
        </w:tc>
        <w:tc>
          <w:tcPr>
            <w:tcW w:w="1597" w:type="pct"/>
            <w:tcBorders>
              <w:top w:val="single" w:sz="6" w:space="0" w:color="auto"/>
              <w:left w:val="single" w:sz="12" w:space="0" w:color="auto"/>
              <w:bottom w:val="single" w:sz="4" w:space="0" w:color="auto"/>
            </w:tcBorders>
          </w:tcPr>
          <w:p w:rsidR="00DC5CF9" w:rsidRPr="00626A03" w:rsidRDefault="00DC5CF9" w:rsidP="00DC5CF9">
            <w:pPr>
              <w:pStyle w:val="dka"/>
              <w:jc w:val="center"/>
              <w:rPr>
                <w:rFonts w:asciiTheme="minorHAnsi" w:hAnsiTheme="minorHAnsi" w:cstheme="minorHAnsi"/>
                <w:color w:val="auto"/>
              </w:rPr>
            </w:pPr>
            <w:r>
              <w:rPr>
                <w:rFonts w:asciiTheme="minorHAnsi" w:hAnsiTheme="minorHAnsi" w:cstheme="minorHAnsi"/>
                <w:color w:val="auto"/>
              </w:rPr>
              <w:t>1 597</w:t>
            </w:r>
          </w:p>
        </w:tc>
      </w:tr>
      <w:tr w:rsidR="00DC5CF9" w:rsidRPr="00626A03" w:rsidTr="00DC5CF9">
        <w:trPr>
          <w:trHeight w:val="263"/>
        </w:trPr>
        <w:tc>
          <w:tcPr>
            <w:tcW w:w="3403" w:type="pct"/>
            <w:tcBorders>
              <w:top w:val="single" w:sz="12" w:space="0" w:color="auto"/>
              <w:bottom w:val="single" w:sz="6"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color w:val="auto"/>
              </w:rPr>
              <w:t>nasml. fin. prostř. v dohodách (tis. Kč)</w:t>
            </w:r>
          </w:p>
        </w:tc>
        <w:tc>
          <w:tcPr>
            <w:tcW w:w="1597" w:type="pct"/>
            <w:tcBorders>
              <w:top w:val="single" w:sz="12" w:space="0" w:color="auto"/>
              <w:left w:val="single" w:sz="12" w:space="0" w:color="auto"/>
              <w:bottom w:val="single" w:sz="6" w:space="0" w:color="auto"/>
            </w:tcBorders>
          </w:tcPr>
          <w:p w:rsidR="00DC5CF9" w:rsidRPr="00626A03" w:rsidRDefault="00DC5CF9" w:rsidP="00DC5CF9">
            <w:pPr>
              <w:pStyle w:val="dka"/>
              <w:jc w:val="center"/>
              <w:rPr>
                <w:rFonts w:asciiTheme="minorHAnsi" w:hAnsiTheme="minorHAnsi" w:cstheme="minorHAnsi"/>
                <w:color w:val="auto"/>
              </w:rPr>
            </w:pPr>
            <w:r>
              <w:rPr>
                <w:rFonts w:asciiTheme="minorHAnsi" w:hAnsiTheme="minorHAnsi" w:cstheme="minorHAnsi"/>
                <w:color w:val="auto"/>
              </w:rPr>
              <w:t>40 474,3</w:t>
            </w:r>
          </w:p>
        </w:tc>
      </w:tr>
      <w:tr w:rsidR="00DC5CF9" w:rsidRPr="00626A03" w:rsidTr="00DC5CF9">
        <w:tc>
          <w:tcPr>
            <w:tcW w:w="3403" w:type="pct"/>
            <w:tcBorders>
              <w:top w:val="single" w:sz="6" w:space="0" w:color="auto"/>
              <w:bottom w:val="single" w:sz="6"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rPr>
            </w:pPr>
            <w:r w:rsidRPr="00626A03">
              <w:rPr>
                <w:rFonts w:asciiTheme="minorHAnsi" w:hAnsiTheme="minorHAnsi" w:cstheme="minorHAnsi"/>
                <w:color w:val="auto"/>
              </w:rPr>
              <w:t>vyplacené příspěvky celkem (tis. Kč)</w:t>
            </w:r>
          </w:p>
        </w:tc>
        <w:tc>
          <w:tcPr>
            <w:tcW w:w="1597" w:type="pct"/>
            <w:tcBorders>
              <w:top w:val="single" w:sz="6" w:space="0" w:color="auto"/>
              <w:left w:val="single" w:sz="12" w:space="0" w:color="auto"/>
              <w:bottom w:val="single" w:sz="6" w:space="0" w:color="auto"/>
            </w:tcBorders>
            <w:vAlign w:val="center"/>
          </w:tcPr>
          <w:p w:rsidR="00DC5CF9" w:rsidRPr="00626A03" w:rsidRDefault="00DC5CF9" w:rsidP="00DC5CF9">
            <w:pPr>
              <w:pStyle w:val="dka"/>
              <w:jc w:val="center"/>
              <w:rPr>
                <w:rFonts w:asciiTheme="minorHAnsi" w:hAnsiTheme="minorHAnsi" w:cstheme="minorHAnsi"/>
                <w:color w:val="auto"/>
              </w:rPr>
            </w:pPr>
            <w:r>
              <w:rPr>
                <w:rFonts w:asciiTheme="minorHAnsi" w:hAnsiTheme="minorHAnsi" w:cstheme="minorHAnsi"/>
                <w:color w:val="auto"/>
              </w:rPr>
              <w:t>14 778,9</w:t>
            </w:r>
          </w:p>
        </w:tc>
      </w:tr>
      <w:tr w:rsidR="00DC5CF9" w:rsidRPr="00626A03" w:rsidTr="00DC5CF9">
        <w:tc>
          <w:tcPr>
            <w:tcW w:w="3403" w:type="pct"/>
            <w:tcBorders>
              <w:top w:val="single" w:sz="6" w:space="0" w:color="auto"/>
              <w:bottom w:val="single" w:sz="6" w:space="0" w:color="auto"/>
              <w:right w:val="single" w:sz="12" w:space="0" w:color="auto"/>
            </w:tcBorders>
            <w:vAlign w:val="center"/>
          </w:tcPr>
          <w:p w:rsidR="00DC5CF9" w:rsidRPr="00626A03" w:rsidRDefault="00DC5CF9" w:rsidP="00DC5CF9">
            <w:pPr>
              <w:pStyle w:val="dka"/>
              <w:rPr>
                <w:rFonts w:asciiTheme="minorHAnsi" w:hAnsiTheme="minorHAnsi" w:cstheme="minorHAnsi"/>
                <w:color w:val="auto"/>
                <w:szCs w:val="24"/>
              </w:rPr>
            </w:pPr>
            <w:r w:rsidRPr="00626A03">
              <w:rPr>
                <w:rFonts w:asciiTheme="minorHAnsi" w:hAnsiTheme="minorHAnsi" w:cstheme="minorHAnsi"/>
                <w:color w:val="auto"/>
                <w:szCs w:val="24"/>
              </w:rPr>
              <w:t xml:space="preserve">z toho - náklady vzdělávání </w:t>
            </w:r>
            <w:r>
              <w:rPr>
                <w:rFonts w:asciiTheme="minorHAnsi" w:hAnsiTheme="minorHAnsi" w:cstheme="minorHAnsi"/>
                <w:color w:val="auto"/>
                <w:szCs w:val="24"/>
              </w:rPr>
              <w:t>-</w:t>
            </w:r>
            <w:r w:rsidRPr="00626A03">
              <w:rPr>
                <w:rFonts w:asciiTheme="minorHAnsi" w:hAnsiTheme="minorHAnsi" w:cstheme="minorHAnsi"/>
                <w:color w:val="auto"/>
                <w:szCs w:val="24"/>
              </w:rPr>
              <w:t xml:space="preserve"> kurzovné (tis. Kč)</w:t>
            </w:r>
          </w:p>
        </w:tc>
        <w:tc>
          <w:tcPr>
            <w:tcW w:w="1597" w:type="pct"/>
            <w:tcBorders>
              <w:top w:val="single" w:sz="6" w:space="0" w:color="auto"/>
              <w:left w:val="single" w:sz="12" w:space="0" w:color="auto"/>
              <w:bottom w:val="single" w:sz="6" w:space="0" w:color="auto"/>
            </w:tcBorders>
            <w:vAlign w:val="center"/>
          </w:tcPr>
          <w:p w:rsidR="00DC5CF9" w:rsidRPr="00626A03"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8 291,1</w:t>
            </w:r>
          </w:p>
        </w:tc>
      </w:tr>
      <w:tr w:rsidR="00DC5CF9" w:rsidRPr="00626A03" w:rsidTr="00DC5CF9">
        <w:tc>
          <w:tcPr>
            <w:tcW w:w="3403" w:type="pct"/>
            <w:tcBorders>
              <w:top w:val="single" w:sz="6" w:space="0" w:color="auto"/>
              <w:bottom w:val="single" w:sz="12" w:space="0" w:color="auto"/>
              <w:right w:val="single" w:sz="12" w:space="0" w:color="auto"/>
            </w:tcBorders>
            <w:vAlign w:val="center"/>
          </w:tcPr>
          <w:p w:rsidR="00DC5CF9" w:rsidRPr="00626A03" w:rsidRDefault="00DC5CF9" w:rsidP="00DC5CF9">
            <w:pPr>
              <w:pStyle w:val="dka"/>
              <w:ind w:left="567"/>
              <w:rPr>
                <w:rFonts w:asciiTheme="minorHAnsi" w:hAnsiTheme="minorHAnsi" w:cstheme="minorHAnsi"/>
                <w:color w:val="auto"/>
                <w:szCs w:val="24"/>
              </w:rPr>
            </w:pPr>
            <w:r w:rsidRPr="00626A03">
              <w:rPr>
                <w:rFonts w:asciiTheme="minorHAnsi" w:hAnsiTheme="minorHAnsi" w:cstheme="minorHAnsi"/>
                <w:color w:val="auto"/>
                <w:szCs w:val="24"/>
              </w:rPr>
              <w:t xml:space="preserve"> - příspěvky na mzdy</w:t>
            </w:r>
            <w:r>
              <w:rPr>
                <w:rFonts w:asciiTheme="minorHAnsi" w:hAnsiTheme="minorHAnsi" w:cstheme="minorHAnsi"/>
                <w:color w:val="auto"/>
                <w:szCs w:val="24"/>
              </w:rPr>
              <w:t xml:space="preserve"> vč. pojištění</w:t>
            </w:r>
            <w:r w:rsidRPr="00626A03">
              <w:rPr>
                <w:rFonts w:asciiTheme="minorHAnsi" w:hAnsiTheme="minorHAnsi" w:cstheme="minorHAnsi"/>
                <w:color w:val="auto"/>
                <w:szCs w:val="24"/>
              </w:rPr>
              <w:t xml:space="preserve"> (tis. Kč)</w:t>
            </w:r>
          </w:p>
        </w:tc>
        <w:tc>
          <w:tcPr>
            <w:tcW w:w="1597" w:type="pct"/>
            <w:tcBorders>
              <w:top w:val="single" w:sz="6" w:space="0" w:color="auto"/>
              <w:left w:val="single" w:sz="12" w:space="0" w:color="auto"/>
              <w:bottom w:val="single" w:sz="12" w:space="0" w:color="auto"/>
            </w:tcBorders>
            <w:vAlign w:val="center"/>
          </w:tcPr>
          <w:p w:rsidR="00DC5CF9" w:rsidRPr="00626A03"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6 487,8</w:t>
            </w:r>
          </w:p>
        </w:tc>
      </w:tr>
    </w:tbl>
    <w:p w:rsidR="00DC5CF9" w:rsidRDefault="00DC5CF9" w:rsidP="00DC5CF9">
      <w:pPr>
        <w:pStyle w:val="dka"/>
        <w:rPr>
          <w:rFonts w:asciiTheme="minorHAnsi" w:hAnsiTheme="minorHAnsi" w:cstheme="minorHAnsi"/>
          <w:b/>
          <w:i/>
          <w:color w:val="auto"/>
        </w:rPr>
      </w:pPr>
    </w:p>
    <w:p w:rsidR="00DC5CF9" w:rsidRPr="007C76CA" w:rsidRDefault="00DC5CF9" w:rsidP="00DC5CF9">
      <w:pPr>
        <w:pStyle w:val="dka"/>
        <w:rPr>
          <w:rFonts w:asciiTheme="minorHAnsi" w:hAnsiTheme="minorHAnsi" w:cstheme="minorHAnsi"/>
          <w:b/>
          <w:i/>
          <w:color w:val="auto"/>
        </w:rPr>
      </w:pPr>
      <w:r w:rsidRPr="007C76CA">
        <w:rPr>
          <w:rFonts w:asciiTheme="minorHAnsi" w:hAnsiTheme="minorHAnsi" w:cstheme="minorHAnsi"/>
          <w:b/>
          <w:i/>
          <w:color w:val="auto"/>
        </w:rPr>
        <w:t>Projekt Vzdělávejte se pro stabilitu!</w:t>
      </w:r>
    </w:p>
    <w:p w:rsidR="00DC5CF9" w:rsidRPr="007C76CA" w:rsidRDefault="00DC5CF9" w:rsidP="00DC5CF9">
      <w:pPr>
        <w:pStyle w:val="dka"/>
        <w:rPr>
          <w:rFonts w:asciiTheme="minorHAnsi" w:hAnsiTheme="minorHAnsi" w:cstheme="minorHAnsi"/>
          <w:color w:val="auto"/>
        </w:rPr>
      </w:pPr>
    </w:p>
    <w:p w:rsidR="00DC5CF9" w:rsidRPr="006C5501" w:rsidRDefault="00DC5CF9" w:rsidP="00DC5CF9">
      <w:pPr>
        <w:pStyle w:val="dka"/>
        <w:ind w:firstLine="708"/>
        <w:jc w:val="both"/>
        <w:rPr>
          <w:rFonts w:asciiTheme="minorHAnsi" w:hAnsiTheme="minorHAnsi" w:cstheme="minorHAnsi"/>
          <w:color w:val="auto"/>
        </w:rPr>
      </w:pPr>
      <w:r w:rsidRPr="006C5501">
        <w:rPr>
          <w:rFonts w:asciiTheme="minorHAnsi" w:hAnsiTheme="minorHAnsi" w:cstheme="minorHAnsi"/>
          <w:color w:val="auto"/>
        </w:rPr>
        <w:t>Pod názvem Vzdělávejte se pro stabilitu! b</w:t>
      </w:r>
      <w:r>
        <w:rPr>
          <w:rFonts w:asciiTheme="minorHAnsi" w:hAnsiTheme="minorHAnsi" w:cstheme="minorHAnsi"/>
          <w:color w:val="auto"/>
        </w:rPr>
        <w:t>yl</w:t>
      </w:r>
      <w:r w:rsidRPr="006C5501">
        <w:rPr>
          <w:rFonts w:asciiTheme="minorHAnsi" w:hAnsiTheme="minorHAnsi" w:cstheme="minorHAnsi"/>
          <w:color w:val="auto"/>
        </w:rPr>
        <w:t xml:space="preserve"> od 17.09.2012</w:t>
      </w:r>
      <w:r>
        <w:rPr>
          <w:rFonts w:asciiTheme="minorHAnsi" w:hAnsiTheme="minorHAnsi" w:cstheme="minorHAnsi"/>
          <w:color w:val="auto"/>
        </w:rPr>
        <w:t xml:space="preserve"> a původně měl být až</w:t>
      </w:r>
      <w:r w:rsidRPr="006C5501">
        <w:rPr>
          <w:rFonts w:asciiTheme="minorHAnsi" w:hAnsiTheme="minorHAnsi" w:cstheme="minorHAnsi"/>
          <w:color w:val="auto"/>
        </w:rPr>
        <w:t xml:space="preserve"> do 31.08.2015 ÚP ČR realizován další národní individuální projekt. Záměrem tohoto projektu bylo podpořit udržení pracovních míst u těch zaměstnavatelů, kteří se v souvislosti s negativním vývojem ekonomiky v ČR nacházeli v přechodně obtížné hospodářské situaci a dočasně nebyli schopni svým zaměstnancům přidělovat práci ve sjednaném rozsahu. Zaměstnavatelé mohli na základě podané a schválené žádosti získat finanční příspěvky na realizaci odborného rozvoje svých pracovníků, včetně příspěvků na mzdy</w:t>
      </w:r>
      <w:r>
        <w:rPr>
          <w:rFonts w:asciiTheme="minorHAnsi" w:hAnsiTheme="minorHAnsi" w:cstheme="minorHAnsi"/>
          <w:color w:val="auto"/>
        </w:rPr>
        <w:t xml:space="preserve"> vč. pojištění</w:t>
      </w:r>
      <w:r w:rsidRPr="006C5501">
        <w:rPr>
          <w:rFonts w:asciiTheme="minorHAnsi" w:hAnsiTheme="minorHAnsi" w:cstheme="minorHAnsi"/>
          <w:color w:val="auto"/>
        </w:rPr>
        <w:t xml:space="preserve"> za dobu jejich účasti na tomto rozvoji.</w:t>
      </w:r>
    </w:p>
    <w:p w:rsidR="00DC5CF9" w:rsidRDefault="00DC5CF9" w:rsidP="00DC5CF9">
      <w:pPr>
        <w:pStyle w:val="dka"/>
        <w:rPr>
          <w:rFonts w:asciiTheme="minorHAnsi" w:hAnsiTheme="minorHAnsi" w:cstheme="minorHAnsi"/>
          <w:b/>
          <w:color w:val="auto"/>
        </w:rPr>
      </w:pPr>
    </w:p>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b/>
          <w:color w:val="auto"/>
        </w:rPr>
        <w:t>Tabulka V/</w:t>
      </w:r>
      <w:r>
        <w:rPr>
          <w:rFonts w:asciiTheme="minorHAnsi" w:hAnsiTheme="minorHAnsi" w:cstheme="minorHAnsi"/>
          <w:b/>
          <w:color w:val="auto"/>
        </w:rPr>
        <w:t>7</w:t>
      </w:r>
      <w:r w:rsidRPr="007C76CA">
        <w:rPr>
          <w:rFonts w:asciiTheme="minorHAnsi" w:hAnsiTheme="minorHAnsi" w:cstheme="minorHAnsi"/>
          <w:color w:val="auto"/>
        </w:rPr>
        <w:t xml:space="preserve"> - </w:t>
      </w:r>
      <w:r w:rsidRPr="007C76CA">
        <w:rPr>
          <w:rFonts w:asciiTheme="minorHAnsi" w:hAnsiTheme="minorHAnsi" w:cstheme="minorHAnsi"/>
          <w:bCs/>
          <w:color w:val="auto"/>
        </w:rPr>
        <w:t xml:space="preserve">Realizace NIP </w:t>
      </w:r>
      <w:r>
        <w:rPr>
          <w:rFonts w:asciiTheme="minorHAnsi" w:hAnsiTheme="minorHAnsi" w:cstheme="minorHAnsi"/>
          <w:bCs/>
          <w:color w:val="auto"/>
        </w:rPr>
        <w:t xml:space="preserve">- </w:t>
      </w:r>
      <w:r w:rsidRPr="007C76CA">
        <w:rPr>
          <w:rFonts w:asciiTheme="minorHAnsi" w:hAnsiTheme="minorHAnsi" w:cstheme="minorHAnsi"/>
          <w:color w:val="auto"/>
        </w:rPr>
        <w:t>Vzdělávejte se pro stabilitu!</w:t>
      </w:r>
    </w:p>
    <w:tbl>
      <w:tblPr>
        <w:tblW w:w="5000" w:type="pct"/>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5213"/>
        <w:gridCol w:w="1007"/>
        <w:gridCol w:w="1009"/>
        <w:gridCol w:w="1009"/>
        <w:gridCol w:w="1332"/>
      </w:tblGrid>
      <w:tr w:rsidR="00DC5CF9" w:rsidRPr="007C76CA" w:rsidTr="00DC5CF9">
        <w:trPr>
          <w:trHeight w:val="500"/>
        </w:trPr>
        <w:tc>
          <w:tcPr>
            <w:tcW w:w="2724" w:type="pct"/>
            <w:tcBorders>
              <w:top w:val="single" w:sz="12" w:space="0" w:color="auto"/>
              <w:bottom w:val="single" w:sz="12"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ukazatel (podle uzavřených dohod)</w:t>
            </w:r>
          </w:p>
        </w:tc>
        <w:tc>
          <w:tcPr>
            <w:tcW w:w="526" w:type="pct"/>
            <w:tcBorders>
              <w:top w:val="single" w:sz="12" w:space="0" w:color="auto"/>
              <w:left w:val="single" w:sz="12" w:space="0" w:color="auto"/>
              <w:bottom w:val="single" w:sz="12"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2012</w:t>
            </w:r>
          </w:p>
        </w:tc>
        <w:tc>
          <w:tcPr>
            <w:tcW w:w="527" w:type="pct"/>
            <w:tcBorders>
              <w:top w:val="single" w:sz="12" w:space="0" w:color="auto"/>
              <w:left w:val="single" w:sz="6" w:space="0" w:color="auto"/>
              <w:bottom w:val="single" w:sz="12"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2013</w:t>
            </w:r>
          </w:p>
        </w:tc>
        <w:tc>
          <w:tcPr>
            <w:tcW w:w="527" w:type="pct"/>
            <w:tcBorders>
              <w:top w:val="single" w:sz="12" w:space="0" w:color="auto"/>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2014</w:t>
            </w:r>
          </w:p>
        </w:tc>
        <w:tc>
          <w:tcPr>
            <w:tcW w:w="697" w:type="pct"/>
            <w:tcBorders>
              <w:top w:val="single" w:sz="12" w:space="0" w:color="auto"/>
              <w:left w:val="single" w:sz="12" w:space="0" w:color="auto"/>
              <w:bottom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é období</w:t>
            </w:r>
            <w:r w:rsidRPr="007C76CA">
              <w:rPr>
                <w:rFonts w:asciiTheme="minorHAnsi" w:hAnsiTheme="minorHAnsi" w:cstheme="minorHAnsi"/>
              </w:rPr>
              <w:t xml:space="preserve"> 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stav k 31.12.2014</w:t>
            </w:r>
          </w:p>
        </w:tc>
      </w:tr>
      <w:tr w:rsidR="00DC5CF9" w:rsidRPr="007C76CA" w:rsidTr="00DC5CF9">
        <w:tc>
          <w:tcPr>
            <w:tcW w:w="2724"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uzavřených dohod</w:t>
            </w:r>
          </w:p>
        </w:tc>
        <w:tc>
          <w:tcPr>
            <w:tcW w:w="526" w:type="pct"/>
            <w:tcBorders>
              <w:top w:val="single" w:sz="12" w:space="0" w:color="auto"/>
              <w:left w:val="single" w:sz="12" w:space="0" w:color="auto"/>
              <w:bottom w:val="single" w:sz="6"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4</w:t>
            </w:r>
          </w:p>
        </w:tc>
        <w:tc>
          <w:tcPr>
            <w:tcW w:w="527" w:type="pct"/>
            <w:tcBorders>
              <w:top w:val="single" w:sz="12" w:space="0" w:color="auto"/>
              <w:left w:val="single" w:sz="6"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42</w:t>
            </w:r>
          </w:p>
        </w:tc>
        <w:tc>
          <w:tcPr>
            <w:tcW w:w="527" w:type="pct"/>
            <w:tcBorders>
              <w:top w:val="single" w:sz="12"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20</w:t>
            </w:r>
          </w:p>
        </w:tc>
        <w:tc>
          <w:tcPr>
            <w:tcW w:w="697" w:type="pct"/>
            <w:tcBorders>
              <w:top w:val="single" w:sz="12" w:space="0" w:color="auto"/>
              <w:left w:val="single" w:sz="12" w:space="0" w:color="auto"/>
              <w:bottom w:val="single" w:sz="6" w:space="0" w:color="auto"/>
            </w:tcBorders>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66</w:t>
            </w:r>
          </w:p>
        </w:tc>
      </w:tr>
      <w:tr w:rsidR="00DC5CF9" w:rsidRPr="007C76CA" w:rsidTr="00DC5CF9">
        <w:tc>
          <w:tcPr>
            <w:tcW w:w="2724"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zapojených zaměstnavatelů</w:t>
            </w:r>
          </w:p>
        </w:tc>
        <w:tc>
          <w:tcPr>
            <w:tcW w:w="526" w:type="pct"/>
            <w:tcBorders>
              <w:top w:val="single" w:sz="6" w:space="0" w:color="auto"/>
              <w:left w:val="single" w:sz="12" w:space="0" w:color="auto"/>
              <w:bottom w:val="single" w:sz="6"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2</w:t>
            </w:r>
          </w:p>
        </w:tc>
        <w:tc>
          <w:tcPr>
            <w:tcW w:w="527" w:type="pct"/>
            <w:tcBorders>
              <w:top w:val="single" w:sz="6" w:space="0" w:color="auto"/>
              <w:left w:val="single" w:sz="6"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6</w:t>
            </w:r>
          </w:p>
        </w:tc>
        <w:tc>
          <w:tcPr>
            <w:tcW w:w="527"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4</w:t>
            </w:r>
          </w:p>
        </w:tc>
        <w:tc>
          <w:tcPr>
            <w:tcW w:w="697" w:type="pct"/>
            <w:tcBorders>
              <w:top w:val="single" w:sz="6" w:space="0" w:color="auto"/>
              <w:left w:val="single" w:sz="12" w:space="0" w:color="auto"/>
              <w:bottom w:val="single" w:sz="6" w:space="0" w:color="auto"/>
            </w:tcBorders>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12</w:t>
            </w:r>
          </w:p>
        </w:tc>
      </w:tr>
      <w:tr w:rsidR="00DC5CF9" w:rsidRPr="007C76CA" w:rsidTr="00DC5CF9">
        <w:tc>
          <w:tcPr>
            <w:tcW w:w="2724" w:type="pct"/>
            <w:tcBorders>
              <w:top w:val="single" w:sz="6" w:space="0" w:color="auto"/>
              <w:bottom w:val="single" w:sz="4"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zaměstnanců zařazených do vzdělávání</w:t>
            </w:r>
          </w:p>
        </w:tc>
        <w:tc>
          <w:tcPr>
            <w:tcW w:w="526" w:type="pct"/>
            <w:tcBorders>
              <w:top w:val="single" w:sz="6" w:space="0" w:color="auto"/>
              <w:left w:val="single" w:sz="12" w:space="0" w:color="auto"/>
              <w:bottom w:val="single" w:sz="4"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27</w:t>
            </w:r>
          </w:p>
        </w:tc>
        <w:tc>
          <w:tcPr>
            <w:tcW w:w="527" w:type="pct"/>
            <w:tcBorders>
              <w:top w:val="single" w:sz="6" w:space="0" w:color="auto"/>
              <w:left w:val="single" w:sz="6" w:space="0" w:color="auto"/>
              <w:bottom w:val="single" w:sz="4"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153</w:t>
            </w:r>
          </w:p>
        </w:tc>
        <w:tc>
          <w:tcPr>
            <w:tcW w:w="527" w:type="pct"/>
            <w:tcBorders>
              <w:top w:val="single" w:sz="6" w:space="0" w:color="auto"/>
              <w:left w:val="single" w:sz="4" w:space="0" w:color="auto"/>
              <w:bottom w:val="single" w:sz="4"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47</w:t>
            </w:r>
          </w:p>
        </w:tc>
        <w:tc>
          <w:tcPr>
            <w:tcW w:w="697" w:type="pct"/>
            <w:tcBorders>
              <w:top w:val="single" w:sz="6" w:space="0" w:color="auto"/>
              <w:left w:val="single" w:sz="12" w:space="0" w:color="auto"/>
              <w:bottom w:val="single" w:sz="4" w:space="0" w:color="auto"/>
            </w:tcBorders>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227</w:t>
            </w:r>
          </w:p>
        </w:tc>
      </w:tr>
      <w:tr w:rsidR="00DC5CF9" w:rsidRPr="007C76CA" w:rsidTr="00DC5CF9">
        <w:trPr>
          <w:trHeight w:val="263"/>
        </w:trPr>
        <w:tc>
          <w:tcPr>
            <w:tcW w:w="2724"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nasml</w:t>
            </w:r>
            <w:r>
              <w:rPr>
                <w:rFonts w:asciiTheme="minorHAnsi" w:hAnsiTheme="minorHAnsi" w:cstheme="minorHAnsi"/>
                <w:color w:val="auto"/>
              </w:rPr>
              <w:t>ouvané</w:t>
            </w:r>
            <w:r w:rsidRPr="007C76CA">
              <w:rPr>
                <w:rFonts w:asciiTheme="minorHAnsi" w:hAnsiTheme="minorHAnsi" w:cstheme="minorHAnsi"/>
                <w:color w:val="auto"/>
              </w:rPr>
              <w:t xml:space="preserve"> fin</w:t>
            </w:r>
            <w:r>
              <w:rPr>
                <w:rFonts w:asciiTheme="minorHAnsi" w:hAnsiTheme="minorHAnsi" w:cstheme="minorHAnsi"/>
                <w:color w:val="auto"/>
              </w:rPr>
              <w:t>anční</w:t>
            </w:r>
            <w:r w:rsidRPr="007C76CA">
              <w:rPr>
                <w:rFonts w:asciiTheme="minorHAnsi" w:hAnsiTheme="minorHAnsi" w:cstheme="minorHAnsi"/>
                <w:color w:val="auto"/>
              </w:rPr>
              <w:t xml:space="preserve"> </w:t>
            </w:r>
            <w:r>
              <w:rPr>
                <w:rFonts w:asciiTheme="minorHAnsi" w:hAnsiTheme="minorHAnsi" w:cstheme="minorHAnsi"/>
                <w:color w:val="auto"/>
              </w:rPr>
              <w:t>p</w:t>
            </w:r>
            <w:r w:rsidRPr="007C76CA">
              <w:rPr>
                <w:rFonts w:asciiTheme="minorHAnsi" w:hAnsiTheme="minorHAnsi" w:cstheme="minorHAnsi"/>
                <w:color w:val="auto"/>
              </w:rPr>
              <w:t>rostř</w:t>
            </w:r>
            <w:r>
              <w:rPr>
                <w:rFonts w:asciiTheme="minorHAnsi" w:hAnsiTheme="minorHAnsi" w:cstheme="minorHAnsi"/>
                <w:color w:val="auto"/>
              </w:rPr>
              <w:t>.</w:t>
            </w:r>
            <w:r w:rsidRPr="007C76CA">
              <w:rPr>
                <w:rFonts w:asciiTheme="minorHAnsi" w:hAnsiTheme="minorHAnsi" w:cstheme="minorHAnsi"/>
                <w:color w:val="auto"/>
              </w:rPr>
              <w:t xml:space="preserve"> v dohodách (tis. Kč)</w:t>
            </w:r>
          </w:p>
        </w:tc>
        <w:tc>
          <w:tcPr>
            <w:tcW w:w="526" w:type="pct"/>
            <w:tcBorders>
              <w:top w:val="single" w:sz="12" w:space="0" w:color="auto"/>
              <w:left w:val="single" w:sz="12" w:space="0" w:color="auto"/>
              <w:bottom w:val="single" w:sz="6"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sz w:val="22"/>
                <w:szCs w:val="22"/>
              </w:rPr>
            </w:pPr>
            <w:r w:rsidRPr="007C76CA">
              <w:rPr>
                <w:rFonts w:asciiTheme="minorHAnsi" w:hAnsiTheme="minorHAnsi" w:cstheme="minorHAnsi"/>
                <w:color w:val="auto"/>
              </w:rPr>
              <w:t>1 163,1</w:t>
            </w:r>
          </w:p>
        </w:tc>
        <w:tc>
          <w:tcPr>
            <w:tcW w:w="527" w:type="pct"/>
            <w:tcBorders>
              <w:top w:val="single" w:sz="12" w:space="0" w:color="auto"/>
              <w:left w:val="single" w:sz="6"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3 524,1</w:t>
            </w:r>
          </w:p>
        </w:tc>
        <w:tc>
          <w:tcPr>
            <w:tcW w:w="527" w:type="pct"/>
            <w:tcBorders>
              <w:top w:val="single" w:sz="12"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2 162,3</w:t>
            </w:r>
          </w:p>
        </w:tc>
        <w:tc>
          <w:tcPr>
            <w:tcW w:w="697" w:type="pct"/>
            <w:tcBorders>
              <w:top w:val="single" w:sz="12" w:space="0" w:color="auto"/>
              <w:left w:val="single" w:sz="12" w:space="0" w:color="auto"/>
              <w:bottom w:val="single" w:sz="6" w:space="0" w:color="auto"/>
            </w:tcBorders>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6 849,5</w:t>
            </w:r>
          </w:p>
        </w:tc>
      </w:tr>
      <w:tr w:rsidR="00DC5CF9" w:rsidRPr="007C76CA" w:rsidTr="00DC5CF9">
        <w:tc>
          <w:tcPr>
            <w:tcW w:w="2724"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vyplacené příspěvky celkem (tis. Kč)</w:t>
            </w:r>
          </w:p>
        </w:tc>
        <w:tc>
          <w:tcPr>
            <w:tcW w:w="526" w:type="pct"/>
            <w:tcBorders>
              <w:top w:val="single" w:sz="6" w:space="0" w:color="auto"/>
              <w:left w:val="single" w:sz="12" w:space="0" w:color="auto"/>
              <w:bottom w:val="single" w:sz="6" w:space="0" w:color="auto"/>
              <w:right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0</w:t>
            </w:r>
          </w:p>
        </w:tc>
        <w:tc>
          <w:tcPr>
            <w:tcW w:w="527" w:type="pct"/>
            <w:tcBorders>
              <w:top w:val="single" w:sz="6" w:space="0" w:color="auto"/>
              <w:left w:val="single" w:sz="6"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3 375,4</w:t>
            </w:r>
          </w:p>
        </w:tc>
        <w:tc>
          <w:tcPr>
            <w:tcW w:w="527"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2 797,8</w:t>
            </w:r>
          </w:p>
        </w:tc>
        <w:tc>
          <w:tcPr>
            <w:tcW w:w="697" w:type="pct"/>
            <w:tcBorders>
              <w:top w:val="single" w:sz="6"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6 173,2</w:t>
            </w:r>
          </w:p>
        </w:tc>
      </w:tr>
      <w:tr w:rsidR="00DC5CF9" w:rsidRPr="007C76CA" w:rsidTr="00DC5CF9">
        <w:tc>
          <w:tcPr>
            <w:tcW w:w="2724"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szCs w:val="24"/>
              </w:rPr>
            </w:pPr>
            <w:r w:rsidRPr="007C76CA">
              <w:rPr>
                <w:rFonts w:asciiTheme="minorHAnsi" w:hAnsiTheme="minorHAnsi" w:cstheme="minorHAnsi"/>
                <w:color w:val="auto"/>
                <w:szCs w:val="24"/>
              </w:rPr>
              <w:t xml:space="preserve">z toho - náklady vzdělávání </w:t>
            </w:r>
            <w:r>
              <w:rPr>
                <w:rFonts w:asciiTheme="minorHAnsi" w:hAnsiTheme="minorHAnsi" w:cstheme="minorHAnsi"/>
                <w:color w:val="auto"/>
                <w:szCs w:val="24"/>
              </w:rPr>
              <w:t>-</w:t>
            </w:r>
            <w:r w:rsidRPr="007C76CA">
              <w:rPr>
                <w:rFonts w:asciiTheme="minorHAnsi" w:hAnsiTheme="minorHAnsi" w:cstheme="minorHAnsi"/>
                <w:color w:val="auto"/>
                <w:szCs w:val="24"/>
              </w:rPr>
              <w:t xml:space="preserve"> kurzovné (tis. Kč)</w:t>
            </w:r>
          </w:p>
        </w:tc>
        <w:tc>
          <w:tcPr>
            <w:tcW w:w="526" w:type="pct"/>
            <w:tcBorders>
              <w:top w:val="single" w:sz="6" w:space="0" w:color="auto"/>
              <w:left w:val="single" w:sz="12" w:space="0" w:color="auto"/>
              <w:bottom w:val="single" w:sz="6" w:space="0" w:color="auto"/>
              <w:right w:val="single" w:sz="6" w:space="0" w:color="auto"/>
            </w:tcBorders>
            <w:vAlign w:val="center"/>
          </w:tcPr>
          <w:p w:rsidR="00DC5CF9" w:rsidRPr="007C76CA" w:rsidRDefault="00DC5CF9" w:rsidP="00DC5CF9">
            <w:pPr>
              <w:jc w:val="center"/>
              <w:rPr>
                <w:rFonts w:asciiTheme="minorHAnsi" w:hAnsiTheme="minorHAnsi" w:cstheme="minorHAnsi"/>
                <w:snapToGrid w:val="0"/>
                <w:sz w:val="24"/>
              </w:rPr>
            </w:pPr>
            <w:r w:rsidRPr="007C76CA">
              <w:rPr>
                <w:rFonts w:asciiTheme="minorHAnsi" w:hAnsiTheme="minorHAnsi" w:cstheme="minorHAnsi"/>
                <w:snapToGrid w:val="0"/>
                <w:sz w:val="24"/>
              </w:rPr>
              <w:t>0</w:t>
            </w:r>
          </w:p>
        </w:tc>
        <w:tc>
          <w:tcPr>
            <w:tcW w:w="527" w:type="pct"/>
            <w:tcBorders>
              <w:top w:val="single" w:sz="6" w:space="0" w:color="auto"/>
              <w:left w:val="single" w:sz="6" w:space="0" w:color="auto"/>
              <w:bottom w:val="single" w:sz="6" w:space="0" w:color="auto"/>
              <w:right w:val="single" w:sz="4" w:space="0" w:color="auto"/>
            </w:tcBorders>
            <w:vAlign w:val="center"/>
          </w:tcPr>
          <w:p w:rsidR="00DC5CF9" w:rsidRPr="007C76CA" w:rsidRDefault="00DC5CF9" w:rsidP="00DC5CF9">
            <w:pPr>
              <w:jc w:val="center"/>
              <w:rPr>
                <w:rFonts w:asciiTheme="minorHAnsi" w:hAnsiTheme="minorHAnsi" w:cstheme="minorHAnsi"/>
                <w:snapToGrid w:val="0"/>
                <w:sz w:val="24"/>
              </w:rPr>
            </w:pPr>
            <w:r w:rsidRPr="007C76CA">
              <w:rPr>
                <w:rFonts w:asciiTheme="minorHAnsi" w:hAnsiTheme="minorHAnsi" w:cstheme="minorHAnsi"/>
                <w:snapToGrid w:val="0"/>
                <w:sz w:val="24"/>
              </w:rPr>
              <w:t>1 270,4</w:t>
            </w:r>
          </w:p>
        </w:tc>
        <w:tc>
          <w:tcPr>
            <w:tcW w:w="527"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1 211,6</w:t>
            </w:r>
          </w:p>
        </w:tc>
        <w:tc>
          <w:tcPr>
            <w:tcW w:w="697" w:type="pct"/>
            <w:tcBorders>
              <w:top w:val="single" w:sz="6" w:space="0" w:color="auto"/>
              <w:left w:val="single" w:sz="12" w:space="0" w:color="auto"/>
              <w:bottom w:val="single" w:sz="6"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2 482,0</w:t>
            </w:r>
          </w:p>
        </w:tc>
      </w:tr>
      <w:tr w:rsidR="00DC5CF9" w:rsidRPr="007C76CA" w:rsidTr="00DC5CF9">
        <w:tc>
          <w:tcPr>
            <w:tcW w:w="2724" w:type="pct"/>
            <w:tcBorders>
              <w:top w:val="single" w:sz="6" w:space="0" w:color="auto"/>
              <w:bottom w:val="single" w:sz="12" w:space="0" w:color="auto"/>
              <w:right w:val="single" w:sz="12" w:space="0" w:color="auto"/>
            </w:tcBorders>
            <w:vAlign w:val="center"/>
          </w:tcPr>
          <w:p w:rsidR="00DC5CF9" w:rsidRPr="007C76CA" w:rsidRDefault="00DC5CF9" w:rsidP="00DC5CF9">
            <w:pPr>
              <w:pStyle w:val="dka"/>
              <w:ind w:left="567"/>
              <w:rPr>
                <w:rFonts w:asciiTheme="minorHAnsi" w:hAnsiTheme="minorHAnsi" w:cstheme="minorHAnsi"/>
                <w:color w:val="auto"/>
                <w:szCs w:val="24"/>
              </w:rPr>
            </w:pPr>
            <w:r w:rsidRPr="007C76CA">
              <w:rPr>
                <w:rFonts w:asciiTheme="minorHAnsi" w:hAnsiTheme="minorHAnsi" w:cstheme="minorHAnsi"/>
                <w:color w:val="auto"/>
                <w:szCs w:val="24"/>
              </w:rPr>
              <w:t xml:space="preserve"> - příspěvky na mzdy</w:t>
            </w:r>
            <w:r>
              <w:rPr>
                <w:rFonts w:asciiTheme="minorHAnsi" w:hAnsiTheme="minorHAnsi" w:cstheme="minorHAnsi"/>
                <w:color w:val="auto"/>
                <w:szCs w:val="24"/>
              </w:rPr>
              <w:t xml:space="preserve"> vč. pojištění</w:t>
            </w:r>
            <w:r w:rsidRPr="007C76CA">
              <w:rPr>
                <w:rFonts w:asciiTheme="minorHAnsi" w:hAnsiTheme="minorHAnsi" w:cstheme="minorHAnsi"/>
                <w:color w:val="auto"/>
                <w:szCs w:val="24"/>
              </w:rPr>
              <w:t xml:space="preserve"> (tis. Kč)</w:t>
            </w:r>
          </w:p>
        </w:tc>
        <w:tc>
          <w:tcPr>
            <w:tcW w:w="526" w:type="pct"/>
            <w:tcBorders>
              <w:top w:val="single" w:sz="6" w:space="0" w:color="auto"/>
              <w:left w:val="single" w:sz="12" w:space="0" w:color="auto"/>
              <w:bottom w:val="single" w:sz="12" w:space="0" w:color="auto"/>
              <w:right w:val="single" w:sz="6" w:space="0" w:color="auto"/>
            </w:tcBorders>
            <w:vAlign w:val="center"/>
          </w:tcPr>
          <w:p w:rsidR="00DC5CF9" w:rsidRPr="007C76CA" w:rsidRDefault="00DC5CF9" w:rsidP="00DC5CF9">
            <w:pPr>
              <w:jc w:val="center"/>
              <w:rPr>
                <w:rFonts w:asciiTheme="minorHAnsi" w:hAnsiTheme="minorHAnsi" w:cstheme="minorHAnsi"/>
                <w:sz w:val="22"/>
                <w:szCs w:val="22"/>
              </w:rPr>
            </w:pPr>
            <w:r w:rsidRPr="007C76CA">
              <w:rPr>
                <w:rFonts w:asciiTheme="minorHAnsi" w:hAnsiTheme="minorHAnsi" w:cstheme="minorHAnsi"/>
                <w:snapToGrid w:val="0"/>
                <w:sz w:val="24"/>
              </w:rPr>
              <w:t>0</w:t>
            </w:r>
          </w:p>
        </w:tc>
        <w:tc>
          <w:tcPr>
            <w:tcW w:w="527" w:type="pct"/>
            <w:tcBorders>
              <w:top w:val="single" w:sz="6" w:space="0" w:color="auto"/>
              <w:left w:val="single" w:sz="6" w:space="0" w:color="auto"/>
              <w:bottom w:val="single" w:sz="12" w:space="0" w:color="auto"/>
              <w:right w:val="single" w:sz="4" w:space="0" w:color="auto"/>
            </w:tcBorders>
            <w:vAlign w:val="center"/>
          </w:tcPr>
          <w:p w:rsidR="00DC5CF9" w:rsidRPr="007C76CA" w:rsidRDefault="00DC5CF9" w:rsidP="00DC5CF9">
            <w:pPr>
              <w:jc w:val="center"/>
              <w:rPr>
                <w:rFonts w:asciiTheme="minorHAnsi" w:hAnsiTheme="minorHAnsi" w:cstheme="minorHAnsi"/>
                <w:snapToGrid w:val="0"/>
                <w:sz w:val="24"/>
              </w:rPr>
            </w:pPr>
            <w:r w:rsidRPr="007C76CA">
              <w:rPr>
                <w:rFonts w:asciiTheme="minorHAnsi" w:hAnsiTheme="minorHAnsi" w:cstheme="minorHAnsi"/>
                <w:snapToGrid w:val="0"/>
                <w:sz w:val="24"/>
              </w:rPr>
              <w:t>2 105,0</w:t>
            </w:r>
          </w:p>
        </w:tc>
        <w:tc>
          <w:tcPr>
            <w:tcW w:w="527" w:type="pct"/>
            <w:tcBorders>
              <w:top w:val="single" w:sz="6" w:space="0" w:color="auto"/>
              <w:left w:val="single" w:sz="4" w:space="0" w:color="auto"/>
              <w:bottom w:val="single" w:sz="12" w:space="0" w:color="auto"/>
              <w:right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1 586,2</w:t>
            </w:r>
          </w:p>
        </w:tc>
        <w:tc>
          <w:tcPr>
            <w:tcW w:w="697" w:type="pct"/>
            <w:tcBorders>
              <w:top w:val="single" w:sz="6" w:space="0" w:color="auto"/>
              <w:left w:val="single" w:sz="12" w:space="0" w:color="auto"/>
              <w:bottom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3 691,2</w:t>
            </w:r>
          </w:p>
        </w:tc>
      </w:tr>
    </w:tbl>
    <w:p w:rsidR="00DC5CF9" w:rsidRPr="008128B0" w:rsidRDefault="00DC5CF9" w:rsidP="00DC5CF9">
      <w:pPr>
        <w:pStyle w:val="dka"/>
        <w:rPr>
          <w:rFonts w:asciiTheme="minorHAnsi" w:hAnsiTheme="minorHAnsi" w:cstheme="minorHAnsi"/>
          <w:color w:val="auto"/>
        </w:rPr>
      </w:pPr>
    </w:p>
    <w:p w:rsidR="00DC5CF9" w:rsidRPr="008128B0" w:rsidRDefault="00DC5CF9" w:rsidP="00DC5CF9">
      <w:pPr>
        <w:pStyle w:val="dka"/>
        <w:ind w:firstLine="708"/>
        <w:jc w:val="both"/>
        <w:rPr>
          <w:rFonts w:asciiTheme="minorHAnsi" w:hAnsiTheme="minorHAnsi" w:cstheme="minorHAnsi"/>
          <w:color w:val="auto"/>
        </w:rPr>
      </w:pPr>
      <w:r w:rsidRPr="008128B0">
        <w:rPr>
          <w:rFonts w:asciiTheme="minorHAnsi" w:hAnsiTheme="minorHAnsi" w:cstheme="minorHAnsi"/>
          <w:bCs/>
          <w:color w:val="auto"/>
        </w:rPr>
        <w:t>Vzhledem k tomu, že podmínky pro vstup zaměstnavatelů do projektu byly zpočátku velmi přísné a musely být splněny současně (výpadek pracovní doby, pokles tržeb), rozhodlo se od</w:t>
      </w:r>
      <w:r w:rsidRPr="008128B0">
        <w:rPr>
          <w:rFonts w:asciiTheme="minorHAnsi" w:hAnsiTheme="minorHAnsi" w:cstheme="minorHAnsi"/>
          <w:color w:val="auto"/>
        </w:rPr>
        <w:t xml:space="preserve"> června 2013 je</w:t>
      </w:r>
      <w:r w:rsidRPr="008128B0">
        <w:rPr>
          <w:rFonts w:asciiTheme="minorHAnsi" w:hAnsiTheme="minorHAnsi" w:cstheme="minorHAnsi"/>
          <w:bCs/>
          <w:color w:val="auto"/>
        </w:rPr>
        <w:t xml:space="preserve"> MPSV</w:t>
      </w:r>
      <w:r w:rsidRPr="008128B0">
        <w:rPr>
          <w:rFonts w:asciiTheme="minorHAnsi" w:hAnsiTheme="minorHAnsi" w:cstheme="minorHAnsi"/>
          <w:color w:val="auto"/>
        </w:rPr>
        <w:t xml:space="preserve"> </w:t>
      </w:r>
      <w:r>
        <w:rPr>
          <w:rFonts w:asciiTheme="minorHAnsi" w:hAnsiTheme="minorHAnsi" w:cstheme="minorHAnsi"/>
          <w:color w:val="auto"/>
        </w:rPr>
        <w:t xml:space="preserve">nějak </w:t>
      </w:r>
      <w:r w:rsidRPr="008128B0">
        <w:rPr>
          <w:rFonts w:asciiTheme="minorHAnsi" w:hAnsiTheme="minorHAnsi" w:cstheme="minorHAnsi"/>
          <w:color w:val="auto"/>
        </w:rPr>
        <w:t xml:space="preserve">zjednodušit. </w:t>
      </w:r>
      <w:r>
        <w:rPr>
          <w:rFonts w:asciiTheme="minorHAnsi" w:hAnsiTheme="minorHAnsi" w:cstheme="minorHAnsi"/>
          <w:color w:val="auto"/>
        </w:rPr>
        <w:t>Avšak ne</w:t>
      </w:r>
      <w:r w:rsidRPr="008128B0">
        <w:rPr>
          <w:rFonts w:asciiTheme="minorHAnsi" w:hAnsiTheme="minorHAnsi" w:cstheme="minorHAnsi"/>
          <w:color w:val="auto"/>
        </w:rPr>
        <w:t xml:space="preserve">výrazná úprava byla pro zaměstnavatele zklamáním a nezvýšila tak podstatně jejich zájem o tento projekt. Z tohoto důvodu v červnu 2014 provedlo MPSV druhou, tentokrát zásadnější změnu, a to na základě </w:t>
      </w:r>
      <w:r>
        <w:rPr>
          <w:rFonts w:asciiTheme="minorHAnsi" w:hAnsiTheme="minorHAnsi" w:cstheme="minorHAnsi"/>
          <w:color w:val="auto"/>
        </w:rPr>
        <w:t>zpětné vazby</w:t>
      </w:r>
      <w:r w:rsidRPr="008128B0">
        <w:rPr>
          <w:rFonts w:asciiTheme="minorHAnsi" w:hAnsiTheme="minorHAnsi" w:cstheme="minorHAnsi"/>
          <w:color w:val="auto"/>
        </w:rPr>
        <w:t xml:space="preserve"> od samotných zaměstnavatelů. Tato úprava podmínek však neměla ze strany MPSV potřebnou publicitu a i přes snahu krajských pracovníků projektu nedošlo k</w:t>
      </w:r>
      <w:r>
        <w:rPr>
          <w:rFonts w:asciiTheme="minorHAnsi" w:hAnsiTheme="minorHAnsi" w:cstheme="minorHAnsi"/>
          <w:color w:val="auto"/>
        </w:rPr>
        <w:t> </w:t>
      </w:r>
      <w:r w:rsidRPr="008128B0">
        <w:rPr>
          <w:rFonts w:asciiTheme="minorHAnsi" w:hAnsiTheme="minorHAnsi" w:cstheme="minorHAnsi"/>
          <w:color w:val="auto"/>
        </w:rPr>
        <w:t>očekávané</w:t>
      </w:r>
      <w:r>
        <w:rPr>
          <w:rFonts w:asciiTheme="minorHAnsi" w:hAnsiTheme="minorHAnsi" w:cstheme="minorHAnsi"/>
          <w:color w:val="auto"/>
        </w:rPr>
        <w:t xml:space="preserve"> motivaci a </w:t>
      </w:r>
      <w:r w:rsidRPr="008128B0">
        <w:rPr>
          <w:rFonts w:asciiTheme="minorHAnsi" w:hAnsiTheme="minorHAnsi" w:cstheme="minorHAnsi"/>
          <w:color w:val="auto"/>
        </w:rPr>
        <w:t xml:space="preserve">nárůstu zájmu zaměstnavatelů o tento projekt. MPSV </w:t>
      </w:r>
      <w:r>
        <w:rPr>
          <w:rFonts w:asciiTheme="minorHAnsi" w:hAnsiTheme="minorHAnsi" w:cstheme="minorHAnsi"/>
          <w:color w:val="auto"/>
        </w:rPr>
        <w:t xml:space="preserve">se proto rozhodlo projekt předčasně v listopadu 2014 ukončit </w:t>
      </w:r>
      <w:r w:rsidRPr="008128B0">
        <w:rPr>
          <w:rFonts w:asciiTheme="minorHAnsi" w:hAnsiTheme="minorHAnsi" w:cstheme="minorHAnsi"/>
          <w:color w:val="auto"/>
        </w:rPr>
        <w:t>zastav</w:t>
      </w:r>
      <w:r>
        <w:rPr>
          <w:rFonts w:asciiTheme="minorHAnsi" w:hAnsiTheme="minorHAnsi" w:cstheme="minorHAnsi"/>
          <w:color w:val="auto"/>
        </w:rPr>
        <w:t>ením</w:t>
      </w:r>
      <w:r w:rsidRPr="008128B0">
        <w:rPr>
          <w:rFonts w:asciiTheme="minorHAnsi" w:hAnsiTheme="minorHAnsi" w:cstheme="minorHAnsi"/>
          <w:color w:val="auto"/>
        </w:rPr>
        <w:t xml:space="preserve"> příjm</w:t>
      </w:r>
      <w:r>
        <w:rPr>
          <w:rFonts w:asciiTheme="minorHAnsi" w:hAnsiTheme="minorHAnsi" w:cstheme="minorHAnsi"/>
          <w:color w:val="auto"/>
        </w:rPr>
        <w:t>u</w:t>
      </w:r>
      <w:r w:rsidRPr="008128B0">
        <w:rPr>
          <w:rFonts w:asciiTheme="minorHAnsi" w:hAnsiTheme="minorHAnsi" w:cstheme="minorHAnsi"/>
          <w:color w:val="auto"/>
        </w:rPr>
        <w:t xml:space="preserve"> žádostí. </w:t>
      </w:r>
      <w:r>
        <w:rPr>
          <w:rFonts w:asciiTheme="minorHAnsi" w:hAnsiTheme="minorHAnsi" w:cstheme="minorHAnsi"/>
          <w:color w:val="auto"/>
        </w:rPr>
        <w:t xml:space="preserve">A je jen ironií osudu, že </w:t>
      </w:r>
      <w:r w:rsidRPr="008128B0">
        <w:rPr>
          <w:rFonts w:asciiTheme="minorHAnsi" w:hAnsiTheme="minorHAnsi" w:cstheme="minorHAnsi"/>
          <w:color w:val="auto"/>
        </w:rPr>
        <w:t>jsme po té zaznamenali</w:t>
      </w:r>
      <w:r>
        <w:rPr>
          <w:rFonts w:asciiTheme="minorHAnsi" w:hAnsiTheme="minorHAnsi" w:cstheme="minorHAnsi"/>
          <w:color w:val="auto"/>
        </w:rPr>
        <w:t xml:space="preserve"> </w:t>
      </w:r>
      <w:r w:rsidRPr="008128B0">
        <w:rPr>
          <w:rFonts w:asciiTheme="minorHAnsi" w:hAnsiTheme="minorHAnsi" w:cstheme="minorHAnsi"/>
          <w:color w:val="auto"/>
        </w:rPr>
        <w:t>zvýšen</w:t>
      </w:r>
      <w:r>
        <w:rPr>
          <w:rFonts w:asciiTheme="minorHAnsi" w:hAnsiTheme="minorHAnsi" w:cstheme="minorHAnsi"/>
          <w:color w:val="auto"/>
        </w:rPr>
        <w:t>ý</w:t>
      </w:r>
      <w:r w:rsidRPr="008128B0">
        <w:rPr>
          <w:rFonts w:asciiTheme="minorHAnsi" w:hAnsiTheme="minorHAnsi" w:cstheme="minorHAnsi"/>
          <w:color w:val="auto"/>
        </w:rPr>
        <w:t xml:space="preserve"> záj</w:t>
      </w:r>
      <w:r>
        <w:rPr>
          <w:rFonts w:asciiTheme="minorHAnsi" w:hAnsiTheme="minorHAnsi" w:cstheme="minorHAnsi"/>
          <w:color w:val="auto"/>
        </w:rPr>
        <w:t>e</w:t>
      </w:r>
      <w:r w:rsidRPr="008128B0">
        <w:rPr>
          <w:rFonts w:asciiTheme="minorHAnsi" w:hAnsiTheme="minorHAnsi" w:cstheme="minorHAnsi"/>
          <w:color w:val="auto"/>
        </w:rPr>
        <w:t>m</w:t>
      </w:r>
      <w:r>
        <w:rPr>
          <w:rFonts w:asciiTheme="minorHAnsi" w:hAnsiTheme="minorHAnsi" w:cstheme="minorHAnsi"/>
          <w:color w:val="auto"/>
        </w:rPr>
        <w:t xml:space="preserve"> zaměstnavatelů o tento projekt.</w:t>
      </w:r>
    </w:p>
    <w:p w:rsidR="00DC5CF9" w:rsidRPr="00E05142" w:rsidRDefault="00DC5CF9" w:rsidP="00DC5CF9">
      <w:pPr>
        <w:pStyle w:val="dka"/>
        <w:ind w:firstLine="708"/>
        <w:jc w:val="both"/>
        <w:rPr>
          <w:rFonts w:asciiTheme="minorHAnsi" w:hAnsiTheme="minorHAnsi" w:cstheme="minorHAnsi"/>
          <w:color w:val="auto"/>
        </w:rPr>
      </w:pPr>
      <w:r w:rsidRPr="0008275A">
        <w:rPr>
          <w:rFonts w:asciiTheme="minorHAnsi" w:hAnsiTheme="minorHAnsi" w:cstheme="minorHAnsi"/>
          <w:color w:val="auto"/>
        </w:rPr>
        <w:t xml:space="preserve">V roce 2014 bylo se 4 zaměstnavateli uzavřeno 20 dohod o vzdělávání jejich 47 zaměstnanců. V meziročním srovnání tak došlo k poklesu počtu podepsaných dohod </w:t>
      </w:r>
      <w:r w:rsidRPr="0008275A">
        <w:rPr>
          <w:rFonts w:asciiTheme="minorHAnsi" w:hAnsiTheme="minorHAnsi" w:cstheme="minorHAnsi"/>
          <w:color w:val="auto"/>
        </w:rPr>
        <w:br/>
        <w:t xml:space="preserve">(-22, tj. -52,4 %) a zároveň i počtu pracovníků zařazených do vzdělávání (-106, tj. -69,3 %). Od počátku trvání projektu tak k 31.12.2014 bylo do něj zapojeno celkově 12 zaměstnavatelů, s nimiž bylo podepsáno dohromady 66 dohod o vzdělávání 227 pracovníků s celkovými nasmlouvanými finančními prostředky ve výši 6,8 mil. Kč, z nichž bylo na příspěvky vyplaceno </w:t>
      </w:r>
      <w:r w:rsidRPr="00E05142">
        <w:rPr>
          <w:rFonts w:asciiTheme="minorHAnsi" w:hAnsiTheme="minorHAnsi" w:cstheme="minorHAnsi"/>
          <w:color w:val="auto"/>
        </w:rPr>
        <w:t>celkem 6,2 mil. Kč (91,2 %). V rámci vzdělávání převažovaly rekvalifikační kurzy zaměřené na získání různých druhů svářečských průkazů.</w:t>
      </w:r>
    </w:p>
    <w:p w:rsidR="00DC5CF9" w:rsidRPr="007C76CA" w:rsidRDefault="00DC5CF9" w:rsidP="00DC5CF9">
      <w:pPr>
        <w:pStyle w:val="dka"/>
        <w:jc w:val="both"/>
        <w:rPr>
          <w:rFonts w:asciiTheme="minorHAnsi" w:hAnsiTheme="minorHAnsi" w:cstheme="minorHAnsi"/>
          <w:color w:val="auto"/>
        </w:rPr>
      </w:pPr>
    </w:p>
    <w:p w:rsidR="00DC5CF9" w:rsidRPr="007C76CA" w:rsidRDefault="00DC5CF9" w:rsidP="00DC5CF9">
      <w:pPr>
        <w:pStyle w:val="nadpis10"/>
        <w:spacing w:before="0"/>
        <w:rPr>
          <w:rFonts w:asciiTheme="minorHAnsi" w:hAnsiTheme="minorHAnsi" w:cstheme="minorHAnsi"/>
          <w:color w:val="auto"/>
        </w:rPr>
      </w:pPr>
      <w:r w:rsidRPr="007C76CA">
        <w:rPr>
          <w:rFonts w:asciiTheme="minorHAnsi" w:hAnsiTheme="minorHAnsi" w:cstheme="minorHAnsi"/>
          <w:color w:val="auto"/>
        </w:rPr>
        <w:t xml:space="preserve">4. Realizace projektů ESF - Operační program Lidské zdroje a zaměstnanost </w:t>
      </w:r>
    </w:p>
    <w:p w:rsidR="00DC5CF9" w:rsidRPr="007C76CA" w:rsidRDefault="00DC5CF9" w:rsidP="00DC5CF9">
      <w:pPr>
        <w:pStyle w:val="nadpis10"/>
        <w:spacing w:before="0"/>
        <w:rPr>
          <w:rFonts w:asciiTheme="minorHAnsi" w:hAnsiTheme="minorHAnsi" w:cstheme="minorHAnsi"/>
          <w:b w:val="0"/>
          <w:i w:val="0"/>
          <w:color w:val="auto"/>
        </w:rPr>
      </w:pPr>
    </w:p>
    <w:p w:rsidR="00DC5CF9" w:rsidRPr="00350E01" w:rsidRDefault="00DC5CF9" w:rsidP="00DC5CF9">
      <w:pPr>
        <w:pStyle w:val="odsazen"/>
        <w:numPr>
          <w:ilvl w:val="0"/>
          <w:numId w:val="0"/>
        </w:numPr>
        <w:ind w:firstLine="624"/>
        <w:rPr>
          <w:rFonts w:asciiTheme="minorHAnsi" w:hAnsiTheme="minorHAnsi" w:cstheme="minorHAnsi"/>
        </w:rPr>
      </w:pPr>
      <w:r w:rsidRPr="00350E01">
        <w:rPr>
          <w:rFonts w:asciiTheme="minorHAnsi" w:hAnsiTheme="minorHAnsi" w:cstheme="minorHAnsi"/>
        </w:rPr>
        <w:t>Ve druhém programovacím období let 2007-2013 využíval Úřad práce ČR pro čerpání finančních prostředků z Evropského sociálního fondu na podporu zaměstnanosti Operační program Lidské zdroje a zaměstnanost.</w:t>
      </w:r>
    </w:p>
    <w:p w:rsidR="00DC5CF9" w:rsidRPr="00350E01" w:rsidRDefault="00DC5CF9" w:rsidP="00DC5CF9">
      <w:pPr>
        <w:pStyle w:val="odsazen"/>
        <w:numPr>
          <w:ilvl w:val="0"/>
          <w:numId w:val="0"/>
        </w:numPr>
        <w:ind w:firstLine="624"/>
        <w:rPr>
          <w:rFonts w:asciiTheme="minorHAnsi" w:hAnsiTheme="minorHAnsi" w:cstheme="minorHAnsi"/>
        </w:rPr>
      </w:pPr>
      <w:r w:rsidRPr="00350E01">
        <w:rPr>
          <w:rFonts w:asciiTheme="minorHAnsi" w:hAnsiTheme="minorHAnsi" w:cstheme="minorHAnsi"/>
        </w:rPr>
        <w:t>OP LZZ je zaměřený na snižování nezaměstnanosti prostřednictvím aktivní politiky trhu práce, profesního vzdělávání, dále začleňování sociálně vyloučených obyvatel zpět do společnosti, zvyšování kvality veřejné správy a mezinárodní spolupráce v uvedených oblastech.</w:t>
      </w:r>
    </w:p>
    <w:p w:rsidR="00DC5CF9" w:rsidRPr="00350E01" w:rsidRDefault="00DC5CF9" w:rsidP="00DC5CF9">
      <w:pPr>
        <w:pStyle w:val="odsazen"/>
        <w:numPr>
          <w:ilvl w:val="0"/>
          <w:numId w:val="0"/>
        </w:numPr>
        <w:ind w:firstLine="624"/>
        <w:rPr>
          <w:rFonts w:asciiTheme="minorHAnsi" w:hAnsiTheme="minorHAnsi" w:cstheme="minorHAnsi"/>
        </w:rPr>
      </w:pPr>
      <w:r w:rsidRPr="00350E01">
        <w:rPr>
          <w:rFonts w:asciiTheme="minorHAnsi" w:hAnsiTheme="minorHAnsi" w:cstheme="minorHAnsi"/>
        </w:rPr>
        <w:t>Souhrnným cílem OP LZZ je „Zvýšit zaměstnanost a zaměstnatelnost lidí v ČR na úroveň průměru 15 nejlepších zemí EU“.</w:t>
      </w:r>
    </w:p>
    <w:p w:rsidR="00DC5CF9" w:rsidRPr="00350E01" w:rsidRDefault="00DC5CF9" w:rsidP="00DC5CF9">
      <w:pPr>
        <w:pStyle w:val="odsazen"/>
        <w:numPr>
          <w:ilvl w:val="0"/>
          <w:numId w:val="0"/>
        </w:numPr>
        <w:ind w:firstLine="624"/>
        <w:rPr>
          <w:rFonts w:asciiTheme="minorHAnsi" w:hAnsiTheme="minorHAnsi" w:cstheme="minorHAnsi"/>
        </w:rPr>
      </w:pPr>
    </w:p>
    <w:p w:rsidR="00DC5CF9" w:rsidRPr="00350E01" w:rsidRDefault="00DC5CF9" w:rsidP="00DC5CF9">
      <w:pPr>
        <w:pStyle w:val="odsazen"/>
        <w:numPr>
          <w:ilvl w:val="0"/>
          <w:numId w:val="0"/>
        </w:numPr>
        <w:ind w:firstLine="624"/>
        <w:rPr>
          <w:rFonts w:asciiTheme="minorHAnsi" w:hAnsiTheme="minorHAnsi" w:cstheme="minorHAnsi"/>
        </w:rPr>
      </w:pPr>
      <w:r w:rsidRPr="00350E01">
        <w:rPr>
          <w:rFonts w:asciiTheme="minorHAnsi" w:hAnsiTheme="minorHAnsi" w:cstheme="minorHAnsi"/>
        </w:rPr>
        <w:t xml:space="preserve">Tento hlavní záměr je naplňován prostřednictvím těchto </w:t>
      </w:r>
      <w:r w:rsidRPr="00350E01">
        <w:rPr>
          <w:rFonts w:asciiTheme="minorHAnsi" w:hAnsiTheme="minorHAnsi" w:cstheme="minorHAnsi"/>
          <w:b/>
        </w:rPr>
        <w:t>prioritních os</w:t>
      </w:r>
      <w:r w:rsidRPr="00350E01">
        <w:rPr>
          <w:rFonts w:asciiTheme="minorHAnsi" w:hAnsiTheme="minorHAnsi" w:cstheme="minorHAnsi"/>
        </w:rPr>
        <w:t>:</w:t>
      </w:r>
    </w:p>
    <w:p w:rsidR="00DC5CF9" w:rsidRPr="00350E01" w:rsidRDefault="00DC5CF9" w:rsidP="00DC5CF9">
      <w:pPr>
        <w:pStyle w:val="odsazen"/>
        <w:numPr>
          <w:ilvl w:val="0"/>
          <w:numId w:val="0"/>
        </w:numPr>
        <w:rPr>
          <w:rFonts w:asciiTheme="minorHAnsi" w:hAnsiTheme="minorHAnsi" w:cstheme="minorHAnsi"/>
        </w:rPr>
      </w:pPr>
      <w:r w:rsidRPr="00350E01">
        <w:rPr>
          <w:rFonts w:asciiTheme="minorHAnsi" w:hAnsiTheme="minorHAnsi" w:cstheme="minorHAnsi"/>
        </w:rPr>
        <w:t xml:space="preserve">Prioritní osa 1: </w:t>
      </w:r>
      <w:r w:rsidRPr="00350E01">
        <w:rPr>
          <w:rFonts w:asciiTheme="minorHAnsi" w:hAnsiTheme="minorHAnsi" w:cstheme="minorHAnsi"/>
        </w:rPr>
        <w:tab/>
      </w:r>
      <w:r w:rsidRPr="00350E01">
        <w:rPr>
          <w:rFonts w:asciiTheme="minorHAnsi" w:hAnsiTheme="minorHAnsi" w:cstheme="minorHAnsi"/>
        </w:rPr>
        <w:tab/>
        <w:t>Adaptabilita</w:t>
      </w:r>
    </w:p>
    <w:p w:rsidR="00DC5CF9" w:rsidRPr="00350E01" w:rsidRDefault="00DC5CF9" w:rsidP="00DC5CF9">
      <w:pPr>
        <w:pStyle w:val="odsazen"/>
        <w:numPr>
          <w:ilvl w:val="0"/>
          <w:numId w:val="0"/>
        </w:numPr>
        <w:rPr>
          <w:rFonts w:asciiTheme="minorHAnsi" w:hAnsiTheme="minorHAnsi" w:cstheme="minorHAnsi"/>
        </w:rPr>
      </w:pPr>
      <w:r w:rsidRPr="00350E01">
        <w:rPr>
          <w:rFonts w:asciiTheme="minorHAnsi" w:hAnsiTheme="minorHAnsi" w:cstheme="minorHAnsi"/>
        </w:rPr>
        <w:t>Prioritní osy 2a, 2b:</w:t>
      </w:r>
      <w:r w:rsidRPr="00350E01">
        <w:rPr>
          <w:rFonts w:asciiTheme="minorHAnsi" w:hAnsiTheme="minorHAnsi" w:cstheme="minorHAnsi"/>
        </w:rPr>
        <w:tab/>
      </w:r>
      <w:r w:rsidRPr="00350E01">
        <w:rPr>
          <w:rFonts w:asciiTheme="minorHAnsi" w:hAnsiTheme="minorHAnsi" w:cstheme="minorHAnsi"/>
        </w:rPr>
        <w:tab/>
        <w:t>Aktivní politiky trhu práce</w:t>
      </w:r>
    </w:p>
    <w:p w:rsidR="00DC5CF9" w:rsidRPr="00350E01" w:rsidRDefault="00DC5CF9" w:rsidP="00DC5CF9">
      <w:pPr>
        <w:pStyle w:val="odsazen"/>
        <w:numPr>
          <w:ilvl w:val="0"/>
          <w:numId w:val="0"/>
        </w:numPr>
        <w:rPr>
          <w:rFonts w:asciiTheme="minorHAnsi" w:hAnsiTheme="minorHAnsi" w:cstheme="minorHAnsi"/>
        </w:rPr>
      </w:pPr>
      <w:r w:rsidRPr="00350E01">
        <w:rPr>
          <w:rFonts w:asciiTheme="minorHAnsi" w:hAnsiTheme="minorHAnsi" w:cstheme="minorHAnsi"/>
        </w:rPr>
        <w:t xml:space="preserve">Prioritní osa 3: </w:t>
      </w:r>
      <w:r w:rsidRPr="00350E01">
        <w:rPr>
          <w:rFonts w:asciiTheme="minorHAnsi" w:hAnsiTheme="minorHAnsi" w:cstheme="minorHAnsi"/>
        </w:rPr>
        <w:tab/>
      </w:r>
      <w:r w:rsidRPr="00350E01">
        <w:rPr>
          <w:rFonts w:asciiTheme="minorHAnsi" w:hAnsiTheme="minorHAnsi" w:cstheme="minorHAnsi"/>
        </w:rPr>
        <w:tab/>
        <w:t>Sociální integrace a rovné příležitosti</w:t>
      </w:r>
    </w:p>
    <w:p w:rsidR="00DC5CF9" w:rsidRPr="00350E01" w:rsidRDefault="00DC5CF9" w:rsidP="00DC5CF9">
      <w:pPr>
        <w:pStyle w:val="odsazen"/>
        <w:numPr>
          <w:ilvl w:val="0"/>
          <w:numId w:val="0"/>
        </w:numPr>
        <w:rPr>
          <w:rFonts w:asciiTheme="minorHAnsi" w:hAnsiTheme="minorHAnsi" w:cstheme="minorHAnsi"/>
        </w:rPr>
      </w:pPr>
      <w:r w:rsidRPr="00350E01">
        <w:rPr>
          <w:rFonts w:asciiTheme="minorHAnsi" w:hAnsiTheme="minorHAnsi" w:cstheme="minorHAnsi"/>
        </w:rPr>
        <w:t xml:space="preserve">Prioritní osy 4a, 4b: </w:t>
      </w:r>
      <w:r w:rsidRPr="00350E01">
        <w:rPr>
          <w:rFonts w:asciiTheme="minorHAnsi" w:hAnsiTheme="minorHAnsi" w:cstheme="minorHAnsi"/>
        </w:rPr>
        <w:tab/>
      </w:r>
      <w:r w:rsidRPr="00350E01">
        <w:rPr>
          <w:rFonts w:asciiTheme="minorHAnsi" w:hAnsiTheme="minorHAnsi" w:cstheme="minorHAnsi"/>
        </w:rPr>
        <w:tab/>
        <w:t>Veřejná správa a veřejné služby</w:t>
      </w:r>
    </w:p>
    <w:p w:rsidR="00DC5CF9" w:rsidRPr="00350E01" w:rsidRDefault="00DC5CF9" w:rsidP="00DC5CF9">
      <w:pPr>
        <w:pStyle w:val="odsazen"/>
        <w:numPr>
          <w:ilvl w:val="0"/>
          <w:numId w:val="0"/>
        </w:numPr>
        <w:rPr>
          <w:rFonts w:asciiTheme="minorHAnsi" w:hAnsiTheme="minorHAnsi" w:cstheme="minorHAnsi"/>
        </w:rPr>
      </w:pPr>
      <w:r w:rsidRPr="00350E01">
        <w:rPr>
          <w:rFonts w:asciiTheme="minorHAnsi" w:hAnsiTheme="minorHAnsi" w:cstheme="minorHAnsi"/>
        </w:rPr>
        <w:t xml:space="preserve">Prioritní osy 5a, 5b: </w:t>
      </w:r>
      <w:r w:rsidRPr="00350E01">
        <w:rPr>
          <w:rFonts w:asciiTheme="minorHAnsi" w:hAnsiTheme="minorHAnsi" w:cstheme="minorHAnsi"/>
        </w:rPr>
        <w:tab/>
      </w:r>
      <w:r w:rsidRPr="00350E01">
        <w:rPr>
          <w:rFonts w:asciiTheme="minorHAnsi" w:hAnsiTheme="minorHAnsi" w:cstheme="minorHAnsi"/>
        </w:rPr>
        <w:tab/>
        <w:t>Mezinárodní spolupráce</w:t>
      </w:r>
    </w:p>
    <w:p w:rsidR="00DC5CF9" w:rsidRPr="00122D1D" w:rsidRDefault="00DC5CF9" w:rsidP="00DC5CF9">
      <w:pPr>
        <w:pStyle w:val="odsazen"/>
        <w:numPr>
          <w:ilvl w:val="0"/>
          <w:numId w:val="0"/>
        </w:numPr>
        <w:rPr>
          <w:rFonts w:asciiTheme="minorHAnsi" w:hAnsiTheme="minorHAnsi" w:cstheme="minorHAnsi"/>
        </w:rPr>
      </w:pPr>
      <w:r w:rsidRPr="00122D1D">
        <w:rPr>
          <w:rFonts w:asciiTheme="minorHAnsi" w:hAnsiTheme="minorHAnsi" w:cstheme="minorHAnsi"/>
        </w:rPr>
        <w:t>Prioritní osy 6a, 6b:</w:t>
      </w:r>
      <w:r w:rsidRPr="00122D1D">
        <w:rPr>
          <w:rFonts w:asciiTheme="minorHAnsi" w:hAnsiTheme="minorHAnsi" w:cstheme="minorHAnsi"/>
        </w:rPr>
        <w:tab/>
      </w:r>
      <w:r w:rsidRPr="00122D1D">
        <w:rPr>
          <w:rFonts w:asciiTheme="minorHAnsi" w:hAnsiTheme="minorHAnsi" w:cstheme="minorHAnsi"/>
        </w:rPr>
        <w:tab/>
        <w:t>Technická pomoc</w:t>
      </w:r>
    </w:p>
    <w:p w:rsidR="00DC5CF9" w:rsidRPr="00122D1D" w:rsidRDefault="00DC5CF9" w:rsidP="00DC5CF9">
      <w:pPr>
        <w:pStyle w:val="odsazen"/>
        <w:numPr>
          <w:ilvl w:val="0"/>
          <w:numId w:val="0"/>
        </w:numPr>
        <w:rPr>
          <w:rFonts w:asciiTheme="minorHAnsi" w:hAnsiTheme="minorHAnsi" w:cstheme="minorHAnsi"/>
          <w:sz w:val="16"/>
          <w:szCs w:val="16"/>
        </w:rPr>
      </w:pPr>
    </w:p>
    <w:p w:rsidR="00DC5CF9" w:rsidRPr="002E5787" w:rsidRDefault="00DC5CF9" w:rsidP="00DC5CF9">
      <w:pPr>
        <w:pStyle w:val="odsazen"/>
        <w:numPr>
          <w:ilvl w:val="0"/>
          <w:numId w:val="0"/>
        </w:numPr>
        <w:ind w:firstLine="708"/>
        <w:rPr>
          <w:rFonts w:asciiTheme="minorHAnsi" w:hAnsiTheme="minorHAnsi" w:cstheme="minorHAnsi"/>
        </w:rPr>
      </w:pPr>
      <w:r w:rsidRPr="00350E01">
        <w:rPr>
          <w:rFonts w:asciiTheme="minorHAnsi" w:hAnsiTheme="minorHAnsi" w:cstheme="minorHAnsi"/>
        </w:rPr>
        <w:t xml:space="preserve">Úřad práce ČR se podílí zejména na realizaci oblasti podpory 2.1 Posílení aktivních politik zaměstnanosti, jejímž hlavním cílem je zvýšení zaměstnatelnosti evidovaných UoZ nebo osob ohrožených na trhu práce, a to prostřednictvím efektivního a cíleného využití všech nástrojů a opatření aktivní politiky zaměstnanosti. Zároveň jsou v rámci oblasti podpory 1.1 Zvýšení adaptability zaměstnanců a konkurenceschopnosti podniků uskutečňovány projekty zaměřené na vzdělávání zaměstnanců. Tyto dvě oblasti podpory jsou realizovány pomocí národních </w:t>
      </w:r>
      <w:r w:rsidRPr="002E5787">
        <w:rPr>
          <w:rFonts w:asciiTheme="minorHAnsi" w:hAnsiTheme="minorHAnsi" w:cstheme="minorHAnsi"/>
        </w:rPr>
        <w:t>a regionálních individuálních projektů, ale i globálních grantů.</w:t>
      </w:r>
    </w:p>
    <w:p w:rsidR="00DC5CF9" w:rsidRPr="002E5787" w:rsidRDefault="00DC5CF9" w:rsidP="00DC5CF9">
      <w:pPr>
        <w:pStyle w:val="odsazen"/>
        <w:numPr>
          <w:ilvl w:val="0"/>
          <w:numId w:val="0"/>
        </w:numPr>
        <w:ind w:firstLine="708"/>
        <w:rPr>
          <w:rFonts w:asciiTheme="minorHAnsi" w:hAnsiTheme="minorHAnsi" w:cstheme="minorHAnsi"/>
        </w:rPr>
      </w:pPr>
      <w:r w:rsidRPr="002E5787">
        <w:rPr>
          <w:rFonts w:asciiTheme="minorHAnsi" w:hAnsiTheme="minorHAnsi" w:cstheme="minorHAnsi"/>
          <w:b/>
        </w:rPr>
        <w:t>Národní individuální projekty</w:t>
      </w:r>
      <w:r w:rsidRPr="002E5787">
        <w:rPr>
          <w:rFonts w:asciiTheme="minorHAnsi" w:hAnsiTheme="minorHAnsi" w:cstheme="minorHAnsi"/>
        </w:rPr>
        <w:t xml:space="preserve"> - mají celostátní působnost a jejich nositelem je MPSV ČR, jsou zabezpečovány jednotlivými krajskými pobočkami ÚP ČR podle stejné metodiky a pravidel, až na výjimky, jako nástroje APZ. V současné době se jedná o NIPy v oblasti podpory 2.1 Vzdělávejte se pro růst! - pracovní příležitosti (od ledna 2012 do </w:t>
      </w:r>
      <w:r>
        <w:rPr>
          <w:rFonts w:asciiTheme="minorHAnsi" w:hAnsiTheme="minorHAnsi" w:cstheme="minorHAnsi"/>
        </w:rPr>
        <w:t>prosince</w:t>
      </w:r>
      <w:r w:rsidRPr="002E5787">
        <w:rPr>
          <w:rFonts w:asciiTheme="minorHAnsi" w:hAnsiTheme="minorHAnsi" w:cstheme="minorHAnsi"/>
        </w:rPr>
        <w:t xml:space="preserve"> 2015) a Vzdělávání a dovednosti pro trh práce (od června 2013 do června 2015); v oblasti podpory 1.1 Podpora odborného vzdělávání zaměstnanců (od prosince 2013 do srpna 2015).</w:t>
      </w:r>
    </w:p>
    <w:p w:rsidR="00DC5CF9" w:rsidRPr="002E5787" w:rsidRDefault="00DC5CF9" w:rsidP="00DC5CF9">
      <w:pPr>
        <w:pStyle w:val="odsazen"/>
        <w:numPr>
          <w:ilvl w:val="0"/>
          <w:numId w:val="0"/>
        </w:numPr>
        <w:ind w:firstLine="708"/>
        <w:rPr>
          <w:rFonts w:asciiTheme="minorHAnsi" w:hAnsiTheme="minorHAnsi" w:cstheme="minorHAnsi"/>
        </w:rPr>
      </w:pPr>
      <w:r w:rsidRPr="002E5787">
        <w:rPr>
          <w:rFonts w:asciiTheme="minorHAnsi" w:hAnsiTheme="minorHAnsi" w:cstheme="minorHAnsi"/>
          <w:b/>
        </w:rPr>
        <w:t>Regionální individuální projekty</w:t>
      </w:r>
      <w:r w:rsidRPr="002E5787">
        <w:rPr>
          <w:rFonts w:asciiTheme="minorHAnsi" w:hAnsiTheme="minorHAnsi" w:cstheme="minorHAnsi"/>
        </w:rPr>
        <w:t xml:space="preserve"> - připravují a realizují je jednotlivé krajské pobočky ÚP ČR s cílem zajistit komplexní a individuální přístup k uchazečům popř. zájemcům o zaměstnání při hledání vhodného pracovního uplatnění na trhu práce s krajskými </w:t>
      </w:r>
      <w:r>
        <w:rPr>
          <w:rFonts w:asciiTheme="minorHAnsi" w:hAnsiTheme="minorHAnsi" w:cstheme="minorHAnsi"/>
        </w:rPr>
        <w:t xml:space="preserve">a místními </w:t>
      </w:r>
      <w:r w:rsidRPr="002E5787">
        <w:rPr>
          <w:rFonts w:asciiTheme="minorHAnsi" w:hAnsiTheme="minorHAnsi" w:cstheme="minorHAnsi"/>
        </w:rPr>
        <w:t>specifiky. A dále se jedná také o projekty zaměřené na vzdělávání zaměstnanců.</w:t>
      </w:r>
    </w:p>
    <w:p w:rsidR="00DC5CF9" w:rsidRPr="002E5787" w:rsidRDefault="00DC5CF9" w:rsidP="00DC5CF9">
      <w:pPr>
        <w:pStyle w:val="odsazen"/>
        <w:numPr>
          <w:ilvl w:val="0"/>
          <w:numId w:val="0"/>
        </w:numPr>
        <w:rPr>
          <w:rFonts w:asciiTheme="minorHAnsi" w:hAnsiTheme="minorHAnsi" w:cstheme="minorHAnsi"/>
        </w:rPr>
      </w:pPr>
      <w:r w:rsidRPr="002E5787">
        <w:rPr>
          <w:rFonts w:asciiTheme="minorHAnsi" w:hAnsiTheme="minorHAnsi" w:cstheme="minorHAnsi"/>
        </w:rPr>
        <w:tab/>
      </w:r>
      <w:r w:rsidRPr="002E5787">
        <w:rPr>
          <w:rFonts w:asciiTheme="minorHAnsi" w:hAnsiTheme="minorHAnsi" w:cstheme="minorHAnsi"/>
          <w:b/>
        </w:rPr>
        <w:t>Globální granty</w:t>
      </w:r>
      <w:r w:rsidRPr="002E5787">
        <w:rPr>
          <w:rFonts w:asciiTheme="minorHAnsi" w:hAnsiTheme="minorHAnsi" w:cstheme="minorHAnsi"/>
        </w:rPr>
        <w:t xml:space="preserve"> - jsou zajišťovány na úrovni MPSV ČR, které vyhlašuje výzvy k podávání jednotlivých grantových projektů.</w:t>
      </w:r>
    </w:p>
    <w:p w:rsidR="00DC5CF9" w:rsidRPr="002E5787" w:rsidRDefault="00DC5CF9" w:rsidP="00DC5CF9">
      <w:pPr>
        <w:pStyle w:val="odsazen"/>
        <w:numPr>
          <w:ilvl w:val="0"/>
          <w:numId w:val="0"/>
        </w:numPr>
        <w:ind w:left="360" w:hanging="360"/>
        <w:rPr>
          <w:rFonts w:asciiTheme="minorHAnsi" w:hAnsiTheme="minorHAnsi" w:cstheme="minorHAnsi"/>
        </w:rPr>
      </w:pPr>
    </w:p>
    <w:p w:rsidR="00DC5CF9" w:rsidRPr="002E5787" w:rsidRDefault="00DC5CF9" w:rsidP="00DC5CF9">
      <w:pPr>
        <w:pStyle w:val="odsazen"/>
        <w:numPr>
          <w:ilvl w:val="0"/>
          <w:numId w:val="0"/>
        </w:numPr>
        <w:ind w:left="360" w:hanging="360"/>
        <w:rPr>
          <w:rFonts w:asciiTheme="minorHAnsi" w:hAnsiTheme="minorHAnsi" w:cstheme="minorHAnsi"/>
          <w:b/>
          <w:i/>
        </w:rPr>
      </w:pPr>
      <w:r w:rsidRPr="002E5787">
        <w:rPr>
          <w:rFonts w:asciiTheme="minorHAnsi" w:hAnsiTheme="minorHAnsi" w:cstheme="minorHAnsi"/>
          <w:b/>
          <w:i/>
        </w:rPr>
        <w:t>4.1 RIP zaměřené na uchazeče o zaměstnání</w:t>
      </w:r>
    </w:p>
    <w:p w:rsidR="00DC5CF9" w:rsidRDefault="00DC5CF9" w:rsidP="00DC5CF9">
      <w:pPr>
        <w:pStyle w:val="odsazen"/>
        <w:numPr>
          <w:ilvl w:val="0"/>
          <w:numId w:val="0"/>
        </w:numPr>
        <w:ind w:left="360" w:hanging="360"/>
        <w:rPr>
          <w:rFonts w:asciiTheme="minorHAnsi" w:hAnsiTheme="minorHAnsi" w:cstheme="minorHAnsi"/>
        </w:rPr>
      </w:pPr>
    </w:p>
    <w:p w:rsidR="00DC5CF9" w:rsidRPr="00454369" w:rsidRDefault="00DC5CF9" w:rsidP="00DC5CF9">
      <w:pPr>
        <w:pStyle w:val="odsazen"/>
        <w:numPr>
          <w:ilvl w:val="0"/>
          <w:numId w:val="0"/>
        </w:numPr>
        <w:tabs>
          <w:tab w:val="left" w:pos="708"/>
        </w:tabs>
        <w:ind w:firstLine="708"/>
        <w:rPr>
          <w:rFonts w:asciiTheme="minorHAnsi" w:hAnsiTheme="minorHAnsi" w:cstheme="minorHAnsi"/>
        </w:rPr>
      </w:pPr>
      <w:r w:rsidRPr="00454369">
        <w:rPr>
          <w:rFonts w:asciiTheme="minorHAnsi" w:hAnsiTheme="minorHAnsi" w:cstheme="minorHAnsi"/>
          <w:b/>
          <w:bCs/>
        </w:rPr>
        <w:t>Pro oblast podpory 2.1 bylo připraveno celkem 10 projektů</w:t>
      </w:r>
      <w:r w:rsidRPr="00454369">
        <w:rPr>
          <w:rFonts w:asciiTheme="minorHAnsi" w:hAnsiTheme="minorHAnsi" w:cstheme="minorHAnsi"/>
        </w:rPr>
        <w:t xml:space="preserve">, z nichž </w:t>
      </w:r>
      <w:r w:rsidRPr="00454369">
        <w:rPr>
          <w:rFonts w:asciiTheme="minorHAnsi" w:hAnsiTheme="minorHAnsi" w:cstheme="minorHAnsi"/>
          <w:b/>
        </w:rPr>
        <w:t>7</w:t>
      </w:r>
      <w:r w:rsidRPr="00454369">
        <w:rPr>
          <w:rFonts w:asciiTheme="minorHAnsi" w:hAnsiTheme="minorHAnsi" w:cstheme="minorHAnsi"/>
        </w:rPr>
        <w:t xml:space="preserve"> již bylo ukončeno (v roce 2011 - Návrat+; v roce 2012 - Start, Příprava+ a Změna včas; v roce 2013 - Absolventi a</w:t>
      </w:r>
      <w:r>
        <w:rPr>
          <w:rFonts w:asciiTheme="minorHAnsi" w:hAnsiTheme="minorHAnsi" w:cstheme="minorHAnsi"/>
        </w:rPr>
        <w:t> </w:t>
      </w:r>
      <w:r w:rsidRPr="00454369">
        <w:rPr>
          <w:rFonts w:asciiTheme="minorHAnsi" w:hAnsiTheme="minorHAnsi" w:cstheme="minorHAnsi"/>
        </w:rPr>
        <w:t xml:space="preserve">praxe; v roce 2014 - Šance pro samostatnost a Nový začátek) a realizace dalších </w:t>
      </w:r>
      <w:r w:rsidRPr="00454369">
        <w:rPr>
          <w:rFonts w:asciiTheme="minorHAnsi" w:hAnsiTheme="minorHAnsi" w:cstheme="minorHAnsi"/>
          <w:b/>
          <w:bCs/>
        </w:rPr>
        <w:t xml:space="preserve">3 </w:t>
      </w:r>
      <w:r w:rsidRPr="00454369">
        <w:rPr>
          <w:rFonts w:asciiTheme="minorHAnsi" w:hAnsiTheme="minorHAnsi" w:cstheme="minorHAnsi"/>
        </w:rPr>
        <w:t>projektů p</w:t>
      </w:r>
      <w:r>
        <w:rPr>
          <w:rFonts w:asciiTheme="minorHAnsi" w:hAnsiTheme="minorHAnsi" w:cstheme="minorHAnsi"/>
        </w:rPr>
        <w:t>okračuje i v roce 2015</w:t>
      </w:r>
      <w:r w:rsidRPr="00454369">
        <w:rPr>
          <w:rFonts w:asciiTheme="minorHAnsi" w:hAnsiTheme="minorHAnsi" w:cstheme="minorHAnsi"/>
        </w:rPr>
        <w:t xml:space="preserve">. </w:t>
      </w:r>
    </w:p>
    <w:p w:rsidR="00DC5CF9" w:rsidRPr="00454369" w:rsidRDefault="00DC5CF9" w:rsidP="00DC5CF9">
      <w:pPr>
        <w:pStyle w:val="odsazen"/>
        <w:numPr>
          <w:ilvl w:val="0"/>
          <w:numId w:val="0"/>
        </w:numPr>
        <w:ind w:left="360" w:hanging="360"/>
        <w:rPr>
          <w:rFonts w:asciiTheme="minorHAnsi" w:hAnsiTheme="minorHAnsi" w:cstheme="minorHAnsi"/>
        </w:rPr>
      </w:pPr>
    </w:p>
    <w:p w:rsidR="00DC5CF9" w:rsidRPr="002E5787" w:rsidRDefault="00DC5CF9" w:rsidP="00DC5CF9">
      <w:pPr>
        <w:pStyle w:val="odsazen"/>
        <w:numPr>
          <w:ilvl w:val="0"/>
          <w:numId w:val="0"/>
        </w:numPr>
        <w:ind w:left="360" w:hanging="360"/>
        <w:rPr>
          <w:rFonts w:asciiTheme="minorHAnsi" w:hAnsiTheme="minorHAnsi" w:cstheme="minorHAnsi"/>
          <w:b/>
          <w:u w:val="single"/>
        </w:rPr>
      </w:pPr>
      <w:r w:rsidRPr="002E5787">
        <w:rPr>
          <w:rFonts w:asciiTheme="minorHAnsi" w:hAnsiTheme="minorHAnsi" w:cstheme="minorHAnsi"/>
          <w:b/>
          <w:u w:val="single"/>
        </w:rPr>
        <w:t>Projekty, jejichž realizace probíhala v roce 201</w:t>
      </w:r>
      <w:r>
        <w:rPr>
          <w:rFonts w:asciiTheme="minorHAnsi" w:hAnsiTheme="minorHAnsi" w:cstheme="minorHAnsi"/>
          <w:b/>
          <w:u w:val="single"/>
        </w:rPr>
        <w:t>4</w:t>
      </w:r>
    </w:p>
    <w:p w:rsidR="00DC5CF9" w:rsidRPr="007B1A0F" w:rsidRDefault="00DC5CF9" w:rsidP="00DC5CF9">
      <w:pPr>
        <w:pStyle w:val="odsazen"/>
        <w:numPr>
          <w:ilvl w:val="0"/>
          <w:numId w:val="0"/>
        </w:numPr>
        <w:ind w:left="360" w:hanging="360"/>
        <w:rPr>
          <w:rFonts w:asciiTheme="minorHAnsi" w:hAnsiTheme="minorHAnsi" w:cstheme="minorHAnsi"/>
          <w:u w:val="single"/>
        </w:rPr>
      </w:pPr>
    </w:p>
    <w:p w:rsidR="00DC5CF9" w:rsidRPr="007B1A0F" w:rsidRDefault="00DC5CF9" w:rsidP="00DC5CF9">
      <w:pPr>
        <w:pStyle w:val="odsazen"/>
        <w:numPr>
          <w:ilvl w:val="0"/>
          <w:numId w:val="0"/>
        </w:numPr>
        <w:ind w:firstLine="709"/>
        <w:rPr>
          <w:rFonts w:asciiTheme="minorHAnsi" w:hAnsiTheme="minorHAnsi" w:cstheme="minorHAnsi"/>
        </w:rPr>
      </w:pPr>
      <w:r w:rsidRPr="007B1A0F">
        <w:rPr>
          <w:rFonts w:asciiTheme="minorHAnsi" w:hAnsiTheme="minorHAnsi" w:cstheme="minorHAnsi"/>
          <w:b/>
        </w:rPr>
        <w:t>Šance pro samostatnost</w:t>
      </w:r>
      <w:r w:rsidRPr="007B1A0F">
        <w:rPr>
          <w:rFonts w:asciiTheme="minorHAnsi" w:hAnsiTheme="minorHAnsi" w:cstheme="minorHAnsi"/>
        </w:rPr>
        <w:t xml:space="preserve"> - realizace projektu, jehož dodavatelem se stala společnost COFET a. s., probíhala od září 2012 do dubna 2014. Projekt, jehož rozpočet činil 45,5 mil. Kč, byl určen pro 400 osob se zdravotním postižením, případně se zdravotním omezením. Hlavním záměrem projektu bylo podpořit začlenění těchto osob zpět na trh práce a zvýšit jejich zaměstnatelnost, a to prostřednictvím zvyšování jejich dovedností a poskytováním širších a komplexních služeb od motivačních, poradenských</w:t>
      </w:r>
      <w:r>
        <w:rPr>
          <w:rFonts w:asciiTheme="minorHAnsi" w:hAnsiTheme="minorHAnsi" w:cstheme="minorHAnsi"/>
        </w:rPr>
        <w:t xml:space="preserve"> a</w:t>
      </w:r>
      <w:r w:rsidRPr="007B1A0F">
        <w:rPr>
          <w:rFonts w:asciiTheme="minorHAnsi" w:hAnsiTheme="minorHAnsi" w:cstheme="minorHAnsi"/>
        </w:rPr>
        <w:t xml:space="preserve"> vzdělávacích aktivit až ke zprostředkování zaměstnání a podpoře pracovních míst. Klíčovou aktivitou celého projektu byla ergodiagnostika a pracovně-psychologické poradenství, které měl</w:t>
      </w:r>
      <w:r>
        <w:rPr>
          <w:rFonts w:asciiTheme="minorHAnsi" w:hAnsiTheme="minorHAnsi" w:cstheme="minorHAnsi"/>
        </w:rPr>
        <w:t xml:space="preserve">y </w:t>
      </w:r>
      <w:r w:rsidRPr="007B1A0F">
        <w:rPr>
          <w:rFonts w:asciiTheme="minorHAnsi" w:hAnsiTheme="minorHAnsi" w:cstheme="minorHAnsi"/>
        </w:rPr>
        <w:t xml:space="preserve">přispět k dalšímu směrování účastníka i k jeho rozvoji. </w:t>
      </w:r>
    </w:p>
    <w:p w:rsidR="00DC5CF9" w:rsidRPr="007B1A0F" w:rsidRDefault="00DC5CF9" w:rsidP="00DC5CF9">
      <w:pPr>
        <w:pStyle w:val="odsazen"/>
        <w:numPr>
          <w:ilvl w:val="0"/>
          <w:numId w:val="0"/>
        </w:numPr>
        <w:ind w:firstLine="709"/>
        <w:rPr>
          <w:rFonts w:asciiTheme="minorHAnsi" w:hAnsiTheme="minorHAnsi" w:cstheme="minorHAnsi"/>
        </w:rPr>
      </w:pPr>
      <w:r w:rsidRPr="007B1A0F">
        <w:rPr>
          <w:rFonts w:asciiTheme="minorHAnsi" w:hAnsiTheme="minorHAnsi" w:cstheme="minorHAnsi"/>
        </w:rPr>
        <w:t xml:space="preserve">Za celé období realizace projektu bylo do něj zařazeno celkově 446 UoZ (o 46 více oproti původně plánovaným), úspěšně účast ukončilo dohromady 298 účastníků (tj. 66,8 % ze zařazených osob). Vhodné pracovní uplatnění se podařilo najít celkem 109 (24,4 %) účastníkům, z nichž 106 nastoupilo do pracovního poměru na plný nebo zkrácený pracovní úvazek (z toho 85 na plný) a 3 zahájili </w:t>
      </w:r>
      <w:r>
        <w:rPr>
          <w:rFonts w:asciiTheme="minorHAnsi" w:hAnsiTheme="minorHAnsi" w:cstheme="minorHAnsi"/>
        </w:rPr>
        <w:t>výkon SVČ</w:t>
      </w:r>
      <w:r w:rsidRPr="007B1A0F">
        <w:rPr>
          <w:rFonts w:asciiTheme="minorHAnsi" w:hAnsiTheme="minorHAnsi" w:cstheme="minorHAnsi"/>
        </w:rPr>
        <w:t>. Příspěvkem na mzd</w:t>
      </w:r>
      <w:r>
        <w:rPr>
          <w:rFonts w:asciiTheme="minorHAnsi" w:hAnsiTheme="minorHAnsi" w:cstheme="minorHAnsi"/>
        </w:rPr>
        <w:t>y vč. pojištění</w:t>
      </w:r>
      <w:r w:rsidRPr="007B1A0F">
        <w:rPr>
          <w:rFonts w:asciiTheme="minorHAnsi" w:hAnsiTheme="minorHAnsi" w:cstheme="minorHAnsi"/>
        </w:rPr>
        <w:t xml:space="preserve"> bylo podpořeno 45 pracovních míst. Poradenského motivačního programu se zúčastnilo souhrnně 200 účastníků a 196 (98,0 %) jej ukončilo úspěšně. Do rekvalifikačních kurzů bylo zařazeno 100 účastníků.</w:t>
      </w:r>
    </w:p>
    <w:p w:rsidR="00DC5CF9" w:rsidRPr="007B1A0F" w:rsidRDefault="00DC5CF9" w:rsidP="00DC5CF9">
      <w:pPr>
        <w:pStyle w:val="odsazen"/>
        <w:numPr>
          <w:ilvl w:val="0"/>
          <w:numId w:val="0"/>
        </w:numPr>
        <w:rPr>
          <w:rFonts w:asciiTheme="minorHAnsi" w:hAnsiTheme="minorHAnsi" w:cstheme="minorHAnsi"/>
          <w:szCs w:val="24"/>
        </w:rPr>
      </w:pPr>
    </w:p>
    <w:p w:rsidR="00DC5CF9" w:rsidRPr="007B1A0F" w:rsidRDefault="00DC5CF9" w:rsidP="00DC5CF9">
      <w:pPr>
        <w:pStyle w:val="Zkladntext"/>
        <w:spacing w:after="0"/>
        <w:rPr>
          <w:rFonts w:asciiTheme="minorHAnsi" w:hAnsiTheme="minorHAnsi" w:cstheme="minorHAnsi"/>
          <w:sz w:val="24"/>
        </w:rPr>
      </w:pPr>
      <w:r w:rsidRPr="007B1A0F">
        <w:rPr>
          <w:rFonts w:asciiTheme="minorHAnsi" w:hAnsiTheme="minorHAnsi" w:cstheme="minorHAnsi"/>
          <w:b/>
          <w:sz w:val="24"/>
          <w:szCs w:val="24"/>
        </w:rPr>
        <w:t xml:space="preserve">Tabulka V/8 </w:t>
      </w:r>
      <w:r w:rsidRPr="00454369">
        <w:rPr>
          <w:rFonts w:asciiTheme="minorHAnsi" w:hAnsiTheme="minorHAnsi" w:cstheme="minorHAnsi"/>
          <w:sz w:val="24"/>
          <w:szCs w:val="24"/>
        </w:rPr>
        <w:t>-</w:t>
      </w:r>
      <w:r w:rsidRPr="007B1A0F">
        <w:rPr>
          <w:rFonts w:asciiTheme="minorHAnsi" w:hAnsiTheme="minorHAnsi" w:cstheme="minorHAnsi"/>
          <w:b/>
          <w:sz w:val="24"/>
          <w:szCs w:val="24"/>
        </w:rPr>
        <w:t xml:space="preserve"> </w:t>
      </w:r>
      <w:r w:rsidRPr="007B1A0F">
        <w:rPr>
          <w:rFonts w:asciiTheme="minorHAnsi" w:hAnsiTheme="minorHAnsi" w:cstheme="minorHAnsi"/>
          <w:sz w:val="24"/>
        </w:rPr>
        <w:t xml:space="preserve"> Realizace RIP - Šance pro samostatnost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39"/>
        <w:gridCol w:w="1040"/>
        <w:gridCol w:w="1040"/>
        <w:gridCol w:w="1984"/>
      </w:tblGrid>
      <w:tr w:rsidR="00DC5CF9" w:rsidRPr="007C76CA" w:rsidTr="00DC5CF9">
        <w:trPr>
          <w:trHeight w:val="390"/>
        </w:trPr>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ukazatel</w:t>
            </w:r>
          </w:p>
        </w:tc>
        <w:tc>
          <w:tcPr>
            <w:tcW w:w="1039" w:type="dxa"/>
            <w:tcBorders>
              <w:top w:val="single" w:sz="12" w:space="0" w:color="auto"/>
              <w:left w:val="single" w:sz="12" w:space="0" w:color="auto"/>
              <w:bottom w:val="single" w:sz="12" w:space="0" w:color="auto"/>
              <w:right w:val="single" w:sz="4" w:space="0" w:color="auto"/>
            </w:tcBorders>
            <w:shd w:val="clear" w:color="auto" w:fill="auto"/>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2012</w:t>
            </w:r>
          </w:p>
        </w:tc>
        <w:tc>
          <w:tcPr>
            <w:tcW w:w="1040" w:type="dxa"/>
            <w:tcBorders>
              <w:top w:val="single" w:sz="12" w:space="0" w:color="auto"/>
              <w:left w:val="single" w:sz="4" w:space="0" w:color="auto"/>
              <w:bottom w:val="single" w:sz="12"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2013</w:t>
            </w:r>
          </w:p>
        </w:tc>
        <w:tc>
          <w:tcPr>
            <w:tcW w:w="1040" w:type="dxa"/>
            <w:tcBorders>
              <w:top w:val="single" w:sz="12" w:space="0" w:color="auto"/>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2014</w:t>
            </w:r>
          </w:p>
        </w:tc>
        <w:tc>
          <w:tcPr>
            <w:tcW w:w="1984" w:type="dxa"/>
            <w:tcBorders>
              <w:top w:val="single" w:sz="12" w:space="0" w:color="auto"/>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é období</w:t>
            </w:r>
            <w:r w:rsidRPr="007C76CA">
              <w:rPr>
                <w:rFonts w:asciiTheme="minorHAnsi" w:hAnsiTheme="minorHAnsi" w:cstheme="minorHAnsi"/>
              </w:rPr>
              <w:t xml:space="preserve"> 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stav k 31.01.2014</w:t>
            </w:r>
          </w:p>
        </w:tc>
      </w:tr>
      <w:tr w:rsidR="00DC5CF9" w:rsidRPr="007C76CA" w:rsidTr="00DC5CF9">
        <w:trPr>
          <w:trHeight w:val="50"/>
        </w:trPr>
        <w:tc>
          <w:tcPr>
            <w:tcW w:w="4111" w:type="dxa"/>
            <w:tcBorders>
              <w:top w:val="single" w:sz="12" w:space="0" w:color="auto"/>
              <w:left w:val="single" w:sz="12" w:space="0" w:color="auto"/>
              <w:right w:val="single" w:sz="12" w:space="0" w:color="auto"/>
            </w:tcBorders>
            <w:shd w:val="clear" w:color="auto" w:fill="auto"/>
          </w:tcPr>
          <w:p w:rsidR="00DC5CF9" w:rsidRPr="007C76CA" w:rsidRDefault="00DC5CF9" w:rsidP="00DC5CF9">
            <w:pPr>
              <w:pStyle w:val="odsazen"/>
              <w:numPr>
                <w:ilvl w:val="0"/>
                <w:numId w:val="0"/>
              </w:numPr>
              <w:rPr>
                <w:rFonts w:asciiTheme="minorHAnsi" w:hAnsiTheme="minorHAnsi" w:cstheme="minorHAnsi"/>
              </w:rPr>
            </w:pPr>
            <w:r w:rsidRPr="007C76CA">
              <w:rPr>
                <w:rFonts w:asciiTheme="minorHAnsi" w:hAnsiTheme="minorHAnsi" w:cstheme="minorHAnsi"/>
              </w:rPr>
              <w:t>UoZ zařazení do projektu</w:t>
            </w:r>
          </w:p>
        </w:tc>
        <w:tc>
          <w:tcPr>
            <w:tcW w:w="1039" w:type="dxa"/>
            <w:tcBorders>
              <w:top w:val="single" w:sz="12" w:space="0" w:color="auto"/>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134</w:t>
            </w:r>
          </w:p>
        </w:tc>
        <w:tc>
          <w:tcPr>
            <w:tcW w:w="1040" w:type="dxa"/>
            <w:tcBorders>
              <w:top w:val="single" w:sz="12" w:space="0" w:color="auto"/>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311</w:t>
            </w:r>
          </w:p>
        </w:tc>
        <w:tc>
          <w:tcPr>
            <w:tcW w:w="1040" w:type="dxa"/>
            <w:tcBorders>
              <w:top w:val="single" w:sz="12" w:space="0" w:color="auto"/>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w:t>
            </w:r>
          </w:p>
        </w:tc>
        <w:tc>
          <w:tcPr>
            <w:tcW w:w="1984" w:type="dxa"/>
            <w:tcBorders>
              <w:top w:val="single" w:sz="12" w:space="0" w:color="auto"/>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44</w:t>
            </w:r>
            <w:r>
              <w:rPr>
                <w:rFonts w:asciiTheme="minorHAnsi" w:hAnsiTheme="minorHAnsi" w:cstheme="minorHAnsi"/>
              </w:rPr>
              <w:t>6</w:t>
            </w:r>
          </w:p>
        </w:tc>
      </w:tr>
      <w:tr w:rsidR="00DC5CF9" w:rsidRPr="007C76CA" w:rsidTr="00DC5CF9">
        <w:tc>
          <w:tcPr>
            <w:tcW w:w="4111" w:type="dxa"/>
            <w:tcBorders>
              <w:left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UoZ, kteří ukončili účast v projektu</w:t>
            </w:r>
          </w:p>
        </w:tc>
        <w:tc>
          <w:tcPr>
            <w:tcW w:w="1039"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5</w:t>
            </w:r>
          </w:p>
        </w:tc>
        <w:tc>
          <w:tcPr>
            <w:tcW w:w="1040"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182</w:t>
            </w:r>
          </w:p>
        </w:tc>
        <w:tc>
          <w:tcPr>
            <w:tcW w:w="1040" w:type="dxa"/>
            <w:tcBorders>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259</w:t>
            </w:r>
          </w:p>
        </w:tc>
        <w:tc>
          <w:tcPr>
            <w:tcW w:w="1984" w:type="dxa"/>
            <w:tcBorders>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446</w:t>
            </w:r>
          </w:p>
        </w:tc>
      </w:tr>
      <w:tr w:rsidR="00DC5CF9" w:rsidRPr="007C76CA" w:rsidTr="00DC5CF9">
        <w:tc>
          <w:tcPr>
            <w:tcW w:w="4111" w:type="dxa"/>
            <w:tcBorders>
              <w:left w:val="single" w:sz="12" w:space="0" w:color="auto"/>
              <w:right w:val="single" w:sz="12" w:space="0" w:color="auto"/>
            </w:tcBorders>
            <w:shd w:val="clear" w:color="auto" w:fill="auto"/>
          </w:tcPr>
          <w:p w:rsidR="00DC5CF9" w:rsidRPr="007C76CA" w:rsidRDefault="00DC5CF9" w:rsidP="00DC5CF9">
            <w:pPr>
              <w:pStyle w:val="odsazen"/>
              <w:numPr>
                <w:ilvl w:val="0"/>
                <w:numId w:val="0"/>
              </w:numPr>
              <w:ind w:left="360" w:hanging="360"/>
              <w:rPr>
                <w:rFonts w:asciiTheme="minorHAnsi" w:hAnsiTheme="minorHAnsi" w:cstheme="minorHAnsi"/>
              </w:rPr>
            </w:pPr>
            <w:r w:rsidRPr="007C76CA">
              <w:rPr>
                <w:rFonts w:asciiTheme="minorHAnsi" w:hAnsiTheme="minorHAnsi" w:cstheme="minorHAnsi"/>
              </w:rPr>
              <w:t>- z toho úspěšně</w:t>
            </w:r>
          </w:p>
        </w:tc>
        <w:tc>
          <w:tcPr>
            <w:tcW w:w="1039"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3</w:t>
            </w:r>
          </w:p>
        </w:tc>
        <w:tc>
          <w:tcPr>
            <w:tcW w:w="1040"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97</w:t>
            </w:r>
          </w:p>
        </w:tc>
        <w:tc>
          <w:tcPr>
            <w:tcW w:w="1040" w:type="dxa"/>
            <w:tcBorders>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198</w:t>
            </w:r>
          </w:p>
        </w:tc>
        <w:tc>
          <w:tcPr>
            <w:tcW w:w="1984" w:type="dxa"/>
            <w:tcBorders>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298</w:t>
            </w:r>
          </w:p>
        </w:tc>
      </w:tr>
      <w:tr w:rsidR="00DC5CF9" w:rsidRPr="007C76CA" w:rsidTr="00DC5CF9">
        <w:tc>
          <w:tcPr>
            <w:tcW w:w="4111" w:type="dxa"/>
            <w:tcBorders>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ind w:left="360" w:hanging="360"/>
              <w:rPr>
                <w:rFonts w:asciiTheme="minorHAnsi" w:hAnsiTheme="minorHAnsi" w:cstheme="minorHAnsi"/>
              </w:rPr>
            </w:pPr>
            <w:r w:rsidRPr="007C76CA">
              <w:rPr>
                <w:rFonts w:asciiTheme="minorHAnsi" w:hAnsiTheme="minorHAnsi" w:cstheme="minorHAnsi"/>
              </w:rPr>
              <w:t>- nástup do PP (plný i zkrác. úvazek)</w:t>
            </w:r>
          </w:p>
        </w:tc>
        <w:tc>
          <w:tcPr>
            <w:tcW w:w="1039"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w:t>
            </w:r>
          </w:p>
        </w:tc>
        <w:tc>
          <w:tcPr>
            <w:tcW w:w="1040"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95</w:t>
            </w:r>
          </w:p>
        </w:tc>
        <w:tc>
          <w:tcPr>
            <w:tcW w:w="1040" w:type="dxa"/>
            <w:tcBorders>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12</w:t>
            </w:r>
          </w:p>
        </w:tc>
        <w:tc>
          <w:tcPr>
            <w:tcW w:w="1984" w:type="dxa"/>
            <w:tcBorders>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10</w:t>
            </w:r>
            <w:r w:rsidRPr="007C76CA">
              <w:rPr>
                <w:rFonts w:asciiTheme="minorHAnsi" w:hAnsiTheme="minorHAnsi" w:cstheme="minorHAnsi"/>
              </w:rPr>
              <w:t>9</w:t>
            </w:r>
          </w:p>
        </w:tc>
      </w:tr>
      <w:tr w:rsidR="00DC5CF9" w:rsidRPr="007C76CA" w:rsidTr="00DC5CF9">
        <w:tc>
          <w:tcPr>
            <w:tcW w:w="4111" w:type="dxa"/>
            <w:tcBorders>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počet PM se mzdovým příspěvkem</w:t>
            </w:r>
          </w:p>
        </w:tc>
        <w:tc>
          <w:tcPr>
            <w:tcW w:w="1039" w:type="dxa"/>
            <w:tcBorders>
              <w:left w:val="single" w:sz="4" w:space="0" w:color="auto"/>
              <w:bottom w:val="single" w:sz="12" w:space="0" w:color="auto"/>
              <w:right w:val="single" w:sz="4" w:space="0" w:color="auto"/>
            </w:tcBorders>
          </w:tcPr>
          <w:p w:rsidR="00DC5CF9" w:rsidRPr="007B1A0F" w:rsidRDefault="00DC5CF9" w:rsidP="00DC5CF9">
            <w:pPr>
              <w:pStyle w:val="odsazen"/>
              <w:numPr>
                <w:ilvl w:val="0"/>
                <w:numId w:val="0"/>
              </w:numPr>
              <w:jc w:val="center"/>
              <w:rPr>
                <w:rFonts w:asciiTheme="minorHAnsi" w:hAnsiTheme="minorHAnsi" w:cstheme="minorHAnsi"/>
              </w:rPr>
            </w:pPr>
            <w:r w:rsidRPr="007B1A0F">
              <w:rPr>
                <w:rFonts w:asciiTheme="minorHAnsi" w:hAnsiTheme="minorHAnsi" w:cstheme="minorHAnsi"/>
              </w:rPr>
              <w:t>1</w:t>
            </w:r>
          </w:p>
        </w:tc>
        <w:tc>
          <w:tcPr>
            <w:tcW w:w="1040" w:type="dxa"/>
            <w:tcBorders>
              <w:left w:val="single" w:sz="4" w:space="0" w:color="auto"/>
              <w:bottom w:val="single" w:sz="12" w:space="0" w:color="auto"/>
              <w:right w:val="single" w:sz="4" w:space="0" w:color="auto"/>
            </w:tcBorders>
          </w:tcPr>
          <w:p w:rsidR="00DC5CF9" w:rsidRPr="007B1A0F" w:rsidRDefault="00DC5CF9" w:rsidP="00DC5CF9">
            <w:pPr>
              <w:pStyle w:val="odsazen"/>
              <w:numPr>
                <w:ilvl w:val="0"/>
                <w:numId w:val="0"/>
              </w:numPr>
              <w:jc w:val="center"/>
              <w:rPr>
                <w:rFonts w:asciiTheme="minorHAnsi" w:hAnsiTheme="minorHAnsi" w:cstheme="minorHAnsi"/>
              </w:rPr>
            </w:pPr>
            <w:r w:rsidRPr="007B1A0F">
              <w:rPr>
                <w:rFonts w:asciiTheme="minorHAnsi" w:hAnsiTheme="minorHAnsi" w:cstheme="minorHAnsi"/>
              </w:rPr>
              <w:t>42</w:t>
            </w:r>
          </w:p>
        </w:tc>
        <w:tc>
          <w:tcPr>
            <w:tcW w:w="1040" w:type="dxa"/>
            <w:tcBorders>
              <w:left w:val="single" w:sz="4" w:space="0" w:color="auto"/>
              <w:bottom w:val="single" w:sz="12" w:space="0" w:color="auto"/>
              <w:right w:val="single" w:sz="12" w:space="0" w:color="auto"/>
            </w:tcBorders>
            <w:vAlign w:val="center"/>
          </w:tcPr>
          <w:p w:rsidR="00DC5CF9" w:rsidRPr="007B1A0F" w:rsidRDefault="00DC5CF9" w:rsidP="00DC5CF9">
            <w:pPr>
              <w:pStyle w:val="odsazen"/>
              <w:numPr>
                <w:ilvl w:val="0"/>
                <w:numId w:val="0"/>
              </w:numPr>
              <w:jc w:val="center"/>
              <w:rPr>
                <w:rFonts w:asciiTheme="minorHAnsi" w:hAnsiTheme="minorHAnsi" w:cstheme="minorHAnsi"/>
              </w:rPr>
            </w:pPr>
            <w:r w:rsidRPr="007B1A0F">
              <w:rPr>
                <w:rFonts w:asciiTheme="minorHAnsi" w:hAnsiTheme="minorHAnsi" w:cstheme="minorHAnsi"/>
              </w:rPr>
              <w:t>2</w:t>
            </w:r>
          </w:p>
        </w:tc>
        <w:tc>
          <w:tcPr>
            <w:tcW w:w="1984" w:type="dxa"/>
            <w:tcBorders>
              <w:left w:val="single" w:sz="12" w:space="0" w:color="auto"/>
              <w:bottom w:val="single" w:sz="12" w:space="0" w:color="auto"/>
              <w:right w:val="single" w:sz="12" w:space="0" w:color="auto"/>
            </w:tcBorders>
          </w:tcPr>
          <w:p w:rsidR="00DC5CF9" w:rsidRPr="007B1A0F" w:rsidRDefault="00DC5CF9" w:rsidP="00DC5CF9">
            <w:pPr>
              <w:pStyle w:val="odsazen"/>
              <w:numPr>
                <w:ilvl w:val="0"/>
                <w:numId w:val="0"/>
              </w:numPr>
              <w:jc w:val="center"/>
              <w:rPr>
                <w:rFonts w:asciiTheme="minorHAnsi" w:hAnsiTheme="minorHAnsi" w:cstheme="minorHAnsi"/>
              </w:rPr>
            </w:pPr>
            <w:r w:rsidRPr="007B1A0F">
              <w:rPr>
                <w:rFonts w:asciiTheme="minorHAnsi" w:hAnsiTheme="minorHAnsi" w:cstheme="minorHAnsi"/>
              </w:rPr>
              <w:t>45</w:t>
            </w:r>
          </w:p>
        </w:tc>
      </w:tr>
      <w:tr w:rsidR="00DC5CF9" w:rsidRPr="007C76CA" w:rsidTr="00DC5CF9">
        <w:tc>
          <w:tcPr>
            <w:tcW w:w="4111" w:type="dxa"/>
            <w:tcBorders>
              <w:top w:val="single" w:sz="12" w:space="0" w:color="auto"/>
              <w:left w:val="single" w:sz="12" w:space="0" w:color="auto"/>
              <w:right w:val="single" w:sz="12" w:space="0" w:color="auto"/>
            </w:tcBorders>
            <w:shd w:val="clear" w:color="auto" w:fill="auto"/>
          </w:tcPr>
          <w:p w:rsidR="00DC5CF9" w:rsidRPr="007C76CA" w:rsidRDefault="00DC5CF9" w:rsidP="00DC5CF9">
            <w:pPr>
              <w:pStyle w:val="odsazen"/>
              <w:numPr>
                <w:ilvl w:val="0"/>
                <w:numId w:val="0"/>
              </w:numPr>
              <w:rPr>
                <w:rFonts w:asciiTheme="minorHAnsi" w:hAnsiTheme="minorHAnsi" w:cstheme="minorHAnsi"/>
              </w:rPr>
            </w:pPr>
            <w:r w:rsidRPr="007C76CA">
              <w:rPr>
                <w:rFonts w:asciiTheme="minorHAnsi" w:hAnsiTheme="minorHAnsi" w:cstheme="minorHAnsi"/>
              </w:rPr>
              <w:t>UoZ zařazení do školících aktivit</w:t>
            </w:r>
            <w:r w:rsidRPr="007C76CA">
              <w:rPr>
                <w:rFonts w:asciiTheme="minorHAnsi" w:hAnsiTheme="minorHAnsi" w:cstheme="minorHAnsi"/>
                <w:vertAlign w:val="superscript"/>
              </w:rPr>
              <w:t>*)</w:t>
            </w:r>
          </w:p>
        </w:tc>
        <w:tc>
          <w:tcPr>
            <w:tcW w:w="1039" w:type="dxa"/>
            <w:tcBorders>
              <w:top w:val="single" w:sz="12" w:space="0" w:color="auto"/>
              <w:left w:val="single" w:sz="4"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3</w:t>
            </w:r>
          </w:p>
        </w:tc>
        <w:tc>
          <w:tcPr>
            <w:tcW w:w="1040" w:type="dxa"/>
            <w:tcBorders>
              <w:top w:val="single" w:sz="12" w:space="0" w:color="auto"/>
              <w:left w:val="single" w:sz="4"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96</w:t>
            </w:r>
          </w:p>
        </w:tc>
        <w:tc>
          <w:tcPr>
            <w:tcW w:w="1040" w:type="dxa"/>
            <w:tcBorders>
              <w:top w:val="single" w:sz="12" w:space="0" w:color="auto"/>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w:t>
            </w:r>
          </w:p>
        </w:tc>
        <w:tc>
          <w:tcPr>
            <w:tcW w:w="1984" w:type="dxa"/>
            <w:tcBorders>
              <w:top w:val="single" w:sz="12" w:space="0" w:color="auto"/>
              <w:left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100</w:t>
            </w:r>
          </w:p>
        </w:tc>
      </w:tr>
      <w:tr w:rsidR="00DC5CF9" w:rsidRPr="007C76CA" w:rsidTr="00DC5CF9">
        <w:tc>
          <w:tcPr>
            <w:tcW w:w="4111" w:type="dxa"/>
            <w:tcBorders>
              <w:left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UoZ, kteří ukončili školící aktivity</w:t>
            </w:r>
          </w:p>
        </w:tc>
        <w:tc>
          <w:tcPr>
            <w:tcW w:w="1039"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040"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99</w:t>
            </w:r>
          </w:p>
        </w:tc>
        <w:tc>
          <w:tcPr>
            <w:tcW w:w="1040" w:type="dxa"/>
            <w:tcBorders>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w:t>
            </w:r>
          </w:p>
        </w:tc>
        <w:tc>
          <w:tcPr>
            <w:tcW w:w="1984" w:type="dxa"/>
            <w:tcBorders>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100</w:t>
            </w:r>
          </w:p>
        </w:tc>
      </w:tr>
      <w:tr w:rsidR="00DC5CF9" w:rsidRPr="007C76CA" w:rsidTr="00DC5CF9">
        <w:tc>
          <w:tcPr>
            <w:tcW w:w="4111" w:type="dxa"/>
            <w:tcBorders>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ind w:left="360" w:hanging="360"/>
              <w:rPr>
                <w:rFonts w:asciiTheme="minorHAnsi" w:hAnsiTheme="minorHAnsi" w:cstheme="minorHAnsi"/>
              </w:rPr>
            </w:pPr>
            <w:r w:rsidRPr="007C76CA">
              <w:rPr>
                <w:rFonts w:asciiTheme="minorHAnsi" w:hAnsiTheme="minorHAnsi" w:cstheme="minorHAnsi"/>
              </w:rPr>
              <w:t>- z toho úspěšně</w:t>
            </w:r>
          </w:p>
        </w:tc>
        <w:tc>
          <w:tcPr>
            <w:tcW w:w="1039"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040"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73</w:t>
            </w:r>
          </w:p>
        </w:tc>
        <w:tc>
          <w:tcPr>
            <w:tcW w:w="1040" w:type="dxa"/>
            <w:tcBorders>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2</w:t>
            </w:r>
          </w:p>
        </w:tc>
        <w:tc>
          <w:tcPr>
            <w:tcW w:w="1984" w:type="dxa"/>
            <w:tcBorders>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7</w:t>
            </w:r>
            <w:r>
              <w:rPr>
                <w:rFonts w:asciiTheme="minorHAnsi" w:hAnsiTheme="minorHAnsi" w:cstheme="minorHAnsi"/>
              </w:rPr>
              <w:t>5</w:t>
            </w:r>
          </w:p>
        </w:tc>
      </w:tr>
      <w:tr w:rsidR="00DC5CF9" w:rsidRPr="007C76CA" w:rsidTr="00DC5CF9">
        <w:tc>
          <w:tcPr>
            <w:tcW w:w="4111" w:type="dxa"/>
            <w:tcBorders>
              <w:top w:val="single" w:sz="12" w:space="0" w:color="auto"/>
              <w:left w:val="single" w:sz="12" w:space="0" w:color="auto"/>
              <w:right w:val="single" w:sz="12" w:space="0" w:color="auto"/>
            </w:tcBorders>
            <w:shd w:val="clear" w:color="auto" w:fill="auto"/>
          </w:tcPr>
          <w:p w:rsidR="00DC5CF9" w:rsidRPr="007C76CA" w:rsidRDefault="00DC5CF9" w:rsidP="00DC5CF9">
            <w:pPr>
              <w:pStyle w:val="odsazen"/>
              <w:numPr>
                <w:ilvl w:val="0"/>
                <w:numId w:val="0"/>
              </w:numPr>
              <w:rPr>
                <w:rFonts w:asciiTheme="minorHAnsi" w:hAnsiTheme="minorHAnsi" w:cstheme="minorHAnsi"/>
                <w:szCs w:val="24"/>
              </w:rPr>
            </w:pPr>
            <w:r w:rsidRPr="007C76CA">
              <w:rPr>
                <w:rFonts w:asciiTheme="minorHAnsi" w:hAnsiTheme="minorHAnsi" w:cstheme="minorHAnsi"/>
                <w:szCs w:val="24"/>
              </w:rPr>
              <w:t>UoZ zařazení do motivačních aktivit</w:t>
            </w:r>
            <w:r w:rsidRPr="007C76CA">
              <w:rPr>
                <w:rFonts w:asciiTheme="minorHAnsi" w:hAnsiTheme="minorHAnsi" w:cstheme="minorHAnsi"/>
                <w:szCs w:val="24"/>
                <w:vertAlign w:val="superscript"/>
              </w:rPr>
              <w:t>**)</w:t>
            </w:r>
          </w:p>
        </w:tc>
        <w:tc>
          <w:tcPr>
            <w:tcW w:w="1039" w:type="dxa"/>
            <w:tcBorders>
              <w:top w:val="single" w:sz="12" w:space="0" w:color="auto"/>
              <w:left w:val="single" w:sz="4"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10</w:t>
            </w:r>
          </w:p>
        </w:tc>
        <w:tc>
          <w:tcPr>
            <w:tcW w:w="1040" w:type="dxa"/>
            <w:tcBorders>
              <w:top w:val="single" w:sz="12" w:space="0" w:color="auto"/>
              <w:left w:val="single" w:sz="4"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160</w:t>
            </w:r>
          </w:p>
        </w:tc>
        <w:tc>
          <w:tcPr>
            <w:tcW w:w="1040" w:type="dxa"/>
            <w:tcBorders>
              <w:top w:val="single" w:sz="12" w:space="0" w:color="auto"/>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30</w:t>
            </w:r>
          </w:p>
        </w:tc>
        <w:tc>
          <w:tcPr>
            <w:tcW w:w="1984" w:type="dxa"/>
            <w:tcBorders>
              <w:top w:val="single" w:sz="12" w:space="0" w:color="auto"/>
              <w:left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200</w:t>
            </w:r>
          </w:p>
        </w:tc>
      </w:tr>
      <w:tr w:rsidR="00DC5CF9" w:rsidRPr="007C76CA" w:rsidTr="00DC5CF9">
        <w:tc>
          <w:tcPr>
            <w:tcW w:w="4111" w:type="dxa"/>
            <w:tcBorders>
              <w:left w:val="single" w:sz="12" w:space="0" w:color="auto"/>
              <w:bottom w:val="single" w:sz="4"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szCs w:val="24"/>
              </w:rPr>
            </w:pPr>
            <w:r w:rsidRPr="007C76CA">
              <w:rPr>
                <w:rFonts w:asciiTheme="minorHAnsi" w:hAnsiTheme="minorHAnsi" w:cstheme="minorHAnsi"/>
              </w:rPr>
              <w:t>UoZ, kteří ukončili motivační aktivity</w:t>
            </w:r>
          </w:p>
        </w:tc>
        <w:tc>
          <w:tcPr>
            <w:tcW w:w="1039" w:type="dxa"/>
            <w:tcBorders>
              <w:left w:val="single" w:sz="4" w:space="0" w:color="auto"/>
              <w:bottom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10</w:t>
            </w:r>
          </w:p>
        </w:tc>
        <w:tc>
          <w:tcPr>
            <w:tcW w:w="1040" w:type="dxa"/>
            <w:tcBorders>
              <w:left w:val="single" w:sz="4" w:space="0" w:color="auto"/>
              <w:bottom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130</w:t>
            </w:r>
          </w:p>
        </w:tc>
        <w:tc>
          <w:tcPr>
            <w:tcW w:w="1040" w:type="dxa"/>
            <w:tcBorders>
              <w:left w:val="single" w:sz="4" w:space="0" w:color="auto"/>
              <w:bottom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60</w:t>
            </w:r>
          </w:p>
        </w:tc>
        <w:tc>
          <w:tcPr>
            <w:tcW w:w="1984" w:type="dxa"/>
            <w:tcBorders>
              <w:left w:val="single" w:sz="12" w:space="0" w:color="auto"/>
              <w:bottom w:val="single" w:sz="4"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20</w:t>
            </w:r>
            <w:r w:rsidRPr="007C76CA">
              <w:rPr>
                <w:rFonts w:asciiTheme="minorHAnsi" w:hAnsiTheme="minorHAnsi" w:cstheme="minorHAnsi"/>
              </w:rPr>
              <w:t>0</w:t>
            </w:r>
          </w:p>
        </w:tc>
      </w:tr>
      <w:tr w:rsidR="00DC5CF9" w:rsidRPr="007C76CA" w:rsidTr="00DC5CF9">
        <w:tc>
          <w:tcPr>
            <w:tcW w:w="4111" w:type="dxa"/>
            <w:tcBorders>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ind w:left="360" w:hanging="360"/>
              <w:rPr>
                <w:rFonts w:asciiTheme="minorHAnsi" w:hAnsiTheme="minorHAnsi" w:cstheme="minorHAnsi"/>
                <w:szCs w:val="24"/>
              </w:rPr>
            </w:pPr>
            <w:r w:rsidRPr="007C76CA">
              <w:rPr>
                <w:rFonts w:asciiTheme="minorHAnsi" w:hAnsiTheme="minorHAnsi" w:cstheme="minorHAnsi"/>
                <w:szCs w:val="24"/>
              </w:rPr>
              <w:t>- z toho úspěšně</w:t>
            </w:r>
          </w:p>
        </w:tc>
        <w:tc>
          <w:tcPr>
            <w:tcW w:w="1039"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10</w:t>
            </w:r>
          </w:p>
        </w:tc>
        <w:tc>
          <w:tcPr>
            <w:tcW w:w="1040"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126</w:t>
            </w:r>
          </w:p>
        </w:tc>
        <w:tc>
          <w:tcPr>
            <w:tcW w:w="1040" w:type="dxa"/>
            <w:tcBorders>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60</w:t>
            </w:r>
          </w:p>
        </w:tc>
        <w:tc>
          <w:tcPr>
            <w:tcW w:w="1984" w:type="dxa"/>
            <w:tcBorders>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1</w:t>
            </w:r>
            <w:r>
              <w:rPr>
                <w:rFonts w:asciiTheme="minorHAnsi" w:hAnsiTheme="minorHAnsi" w:cstheme="minorHAnsi"/>
              </w:rPr>
              <w:t>9</w:t>
            </w:r>
            <w:r w:rsidRPr="007C76CA">
              <w:rPr>
                <w:rFonts w:asciiTheme="minorHAnsi" w:hAnsiTheme="minorHAnsi" w:cstheme="minorHAnsi"/>
              </w:rPr>
              <w:t>6</w:t>
            </w:r>
          </w:p>
        </w:tc>
      </w:tr>
    </w:tbl>
    <w:p w:rsidR="00DC5CF9" w:rsidRPr="007C76CA" w:rsidRDefault="00DC5CF9" w:rsidP="00DC5CF9">
      <w:pPr>
        <w:pStyle w:val="odsazen"/>
        <w:numPr>
          <w:ilvl w:val="0"/>
          <w:numId w:val="0"/>
        </w:numPr>
        <w:rPr>
          <w:rFonts w:asciiTheme="minorHAnsi" w:hAnsiTheme="minorHAnsi" w:cstheme="minorHAnsi"/>
          <w:i/>
          <w:sz w:val="20"/>
        </w:rPr>
      </w:pPr>
      <w:r w:rsidRPr="007C76CA">
        <w:rPr>
          <w:rFonts w:asciiTheme="minorHAnsi" w:hAnsiTheme="minorHAnsi" w:cstheme="minorHAnsi"/>
          <w:i/>
          <w:sz w:val="20"/>
        </w:rPr>
        <w:t>*) rekvalifikační kurzy, kurzy měkkých dovedností apod.</w:t>
      </w:r>
    </w:p>
    <w:p w:rsidR="00DC5CF9" w:rsidRPr="001F7218" w:rsidRDefault="00DC5CF9" w:rsidP="00DC5CF9">
      <w:pPr>
        <w:pStyle w:val="odsazen"/>
        <w:numPr>
          <w:ilvl w:val="0"/>
          <w:numId w:val="0"/>
        </w:numPr>
        <w:rPr>
          <w:rFonts w:asciiTheme="minorHAnsi" w:hAnsiTheme="minorHAnsi" w:cstheme="minorHAnsi"/>
          <w:i/>
          <w:sz w:val="20"/>
        </w:rPr>
      </w:pPr>
      <w:r w:rsidRPr="001F7218">
        <w:rPr>
          <w:rFonts w:asciiTheme="minorHAnsi" w:hAnsiTheme="minorHAnsi" w:cstheme="minorHAnsi"/>
          <w:i/>
          <w:sz w:val="20"/>
        </w:rPr>
        <w:t>**) motivační kurzy, motivační programy, techniky hledání zaměstnání apod.</w:t>
      </w:r>
    </w:p>
    <w:p w:rsidR="00DC5CF9" w:rsidRPr="001F7218" w:rsidRDefault="00DC5CF9" w:rsidP="00DC5CF9">
      <w:pPr>
        <w:pStyle w:val="Zkladntext"/>
        <w:spacing w:after="0"/>
        <w:rPr>
          <w:rFonts w:asciiTheme="minorHAnsi" w:hAnsiTheme="minorHAnsi" w:cstheme="minorHAnsi"/>
          <w:sz w:val="24"/>
        </w:rPr>
      </w:pPr>
    </w:p>
    <w:p w:rsidR="00DC5CF9" w:rsidRPr="001F7218" w:rsidRDefault="00DC5CF9" w:rsidP="00DC5CF9">
      <w:pPr>
        <w:pStyle w:val="odsazen"/>
        <w:numPr>
          <w:ilvl w:val="0"/>
          <w:numId w:val="0"/>
        </w:numPr>
        <w:ind w:firstLine="709"/>
        <w:rPr>
          <w:rFonts w:asciiTheme="minorHAnsi" w:hAnsiTheme="minorHAnsi" w:cstheme="minorHAnsi"/>
        </w:rPr>
      </w:pPr>
      <w:r w:rsidRPr="001F7218">
        <w:rPr>
          <w:rFonts w:asciiTheme="minorHAnsi" w:hAnsiTheme="minorHAnsi" w:cstheme="minorHAnsi"/>
          <w:b/>
        </w:rPr>
        <w:t xml:space="preserve">Odborné praxe pro mladé do 30 let v Moravskoslezském kraji </w:t>
      </w:r>
      <w:r w:rsidRPr="001F7218">
        <w:rPr>
          <w:rFonts w:asciiTheme="minorHAnsi" w:hAnsiTheme="minorHAnsi" w:cstheme="minorHAnsi"/>
        </w:rPr>
        <w:t>- realizátorem projektu, který probíhá od července 2013 do října 2015 (zahájení klíčových aktivit od října 2013), je ÚP ČR</w:t>
      </w:r>
      <w:r>
        <w:rPr>
          <w:rFonts w:asciiTheme="minorHAnsi" w:hAnsiTheme="minorHAnsi" w:cstheme="minorHAnsi"/>
        </w:rPr>
        <w:t>, K</w:t>
      </w:r>
      <w:r w:rsidRPr="001F7218">
        <w:rPr>
          <w:rFonts w:asciiTheme="minorHAnsi" w:hAnsiTheme="minorHAnsi" w:cstheme="minorHAnsi"/>
        </w:rPr>
        <w:t>rajská pobočka v Ostravě. Původní rozpočet projektu (137 mil. Kč) byl po provedených podstatných změnách v roce 2014 (zvýšen</w:t>
      </w:r>
      <w:r>
        <w:rPr>
          <w:rFonts w:asciiTheme="minorHAnsi" w:hAnsiTheme="minorHAnsi" w:cstheme="minorHAnsi"/>
        </w:rPr>
        <w:t>í</w:t>
      </w:r>
      <w:r w:rsidRPr="001F7218">
        <w:rPr>
          <w:rFonts w:asciiTheme="minorHAnsi" w:hAnsiTheme="minorHAnsi" w:cstheme="minorHAnsi"/>
        </w:rPr>
        <w:t xml:space="preserve"> počt</w:t>
      </w:r>
      <w:r>
        <w:rPr>
          <w:rFonts w:asciiTheme="minorHAnsi" w:hAnsiTheme="minorHAnsi" w:cstheme="minorHAnsi"/>
        </w:rPr>
        <w:t>u</w:t>
      </w:r>
      <w:r w:rsidRPr="001F7218">
        <w:rPr>
          <w:rFonts w:asciiTheme="minorHAnsi" w:hAnsiTheme="minorHAnsi" w:cstheme="minorHAnsi"/>
        </w:rPr>
        <w:t xml:space="preserve"> umístěných UoZ na odborné praxe až na 865, zrušen</w:t>
      </w:r>
      <w:r>
        <w:rPr>
          <w:rFonts w:asciiTheme="minorHAnsi" w:hAnsiTheme="minorHAnsi" w:cstheme="minorHAnsi"/>
        </w:rPr>
        <w:t>í</w:t>
      </w:r>
      <w:r w:rsidRPr="001F7218">
        <w:rPr>
          <w:rFonts w:asciiTheme="minorHAnsi" w:hAnsiTheme="minorHAnsi" w:cstheme="minorHAnsi"/>
        </w:rPr>
        <w:t xml:space="preserve"> podmínk</w:t>
      </w:r>
      <w:r>
        <w:rPr>
          <w:rFonts w:asciiTheme="minorHAnsi" w:hAnsiTheme="minorHAnsi" w:cstheme="minorHAnsi"/>
        </w:rPr>
        <w:t>y</w:t>
      </w:r>
      <w:r w:rsidRPr="001F7218">
        <w:rPr>
          <w:rFonts w:asciiTheme="minorHAnsi" w:hAnsiTheme="minorHAnsi" w:cstheme="minorHAnsi"/>
        </w:rPr>
        <w:t xml:space="preserve"> délky evidence) navýšen na 233 mil. Kč. Projekt je určen uchazečů</w:t>
      </w:r>
      <w:r>
        <w:rPr>
          <w:rFonts w:asciiTheme="minorHAnsi" w:hAnsiTheme="minorHAnsi" w:cstheme="minorHAnsi"/>
        </w:rPr>
        <w:t>m</w:t>
      </w:r>
      <w:r w:rsidRPr="001F7218">
        <w:rPr>
          <w:rFonts w:asciiTheme="minorHAnsi" w:hAnsiTheme="minorHAnsi" w:cstheme="minorHAnsi"/>
        </w:rPr>
        <w:t xml:space="preserve"> o</w:t>
      </w:r>
      <w:r>
        <w:rPr>
          <w:rFonts w:asciiTheme="minorHAnsi" w:hAnsiTheme="minorHAnsi" w:cstheme="minorHAnsi"/>
        </w:rPr>
        <w:t> </w:t>
      </w:r>
      <w:r w:rsidRPr="001F7218">
        <w:rPr>
          <w:rFonts w:asciiTheme="minorHAnsi" w:hAnsiTheme="minorHAnsi" w:cstheme="minorHAnsi"/>
        </w:rPr>
        <w:t>zaměstnání ve věku do 30 let, bez rozdílu vzdělání, bez nebo s minimální dosavadní pracovní zkušeností (tj. ne déle než dva roky od ukončení přípravy na povolání). Předpokladem je, že tyto osoby jsou vysoce motivovány k výkonu praxe a k získání dlouhodobého pracovního uplatnění. Projekt vychází ze současných potřeb trhu práce a měl by jeho účastníkům napomoci k</w:t>
      </w:r>
      <w:r>
        <w:rPr>
          <w:rFonts w:asciiTheme="minorHAnsi" w:hAnsiTheme="minorHAnsi" w:cstheme="minorHAnsi"/>
        </w:rPr>
        <w:t> </w:t>
      </w:r>
      <w:r w:rsidRPr="001F7218">
        <w:rPr>
          <w:rFonts w:asciiTheme="minorHAnsi" w:hAnsiTheme="minorHAnsi" w:cstheme="minorHAnsi"/>
        </w:rPr>
        <w:t>rychlejšímu nastartování jejich profesní kariéry, a to prostřednictvím souboru na sebe navazujících aktivit - individuální popř. skupinové poradenství, rekvalifikace a především odborné praxe (</w:t>
      </w:r>
      <w:r>
        <w:rPr>
          <w:rFonts w:asciiTheme="minorHAnsi" w:hAnsiTheme="minorHAnsi" w:cstheme="minorHAnsi"/>
        </w:rPr>
        <w:t xml:space="preserve">příspěvek na mzdy vč. pojištění na </w:t>
      </w:r>
      <w:r w:rsidRPr="001F7218">
        <w:rPr>
          <w:rFonts w:asciiTheme="minorHAnsi" w:hAnsiTheme="minorHAnsi" w:cstheme="minorHAnsi"/>
        </w:rPr>
        <w:t>SÚPM a na mentora).</w:t>
      </w:r>
    </w:p>
    <w:p w:rsidR="00DC5CF9" w:rsidRPr="00147F13" w:rsidRDefault="00DC5CF9" w:rsidP="00DC5CF9">
      <w:pPr>
        <w:pStyle w:val="odsazen"/>
        <w:numPr>
          <w:ilvl w:val="0"/>
          <w:numId w:val="0"/>
        </w:numPr>
        <w:ind w:firstLine="708"/>
        <w:rPr>
          <w:rFonts w:asciiTheme="minorHAnsi" w:hAnsiTheme="minorHAnsi" w:cstheme="minorHAnsi"/>
        </w:rPr>
      </w:pPr>
    </w:p>
    <w:p w:rsidR="00DC5CF9" w:rsidRPr="007C76CA" w:rsidRDefault="00DC5CF9" w:rsidP="00DC5CF9">
      <w:pPr>
        <w:pStyle w:val="Zkladntext"/>
        <w:spacing w:after="0"/>
        <w:rPr>
          <w:rFonts w:asciiTheme="minorHAnsi" w:hAnsiTheme="minorHAnsi" w:cstheme="minorHAnsi"/>
          <w:sz w:val="24"/>
          <w:szCs w:val="24"/>
        </w:rPr>
      </w:pPr>
      <w:r w:rsidRPr="007C76CA">
        <w:rPr>
          <w:rFonts w:asciiTheme="minorHAnsi" w:hAnsiTheme="minorHAnsi" w:cstheme="minorHAnsi"/>
          <w:b/>
          <w:sz w:val="24"/>
          <w:szCs w:val="24"/>
        </w:rPr>
        <w:t>Tabulka V/</w:t>
      </w:r>
      <w:r>
        <w:rPr>
          <w:rFonts w:asciiTheme="minorHAnsi" w:hAnsiTheme="minorHAnsi" w:cstheme="minorHAnsi"/>
          <w:b/>
          <w:sz w:val="24"/>
          <w:szCs w:val="24"/>
        </w:rPr>
        <w:t>9</w:t>
      </w:r>
      <w:r w:rsidRPr="007C76CA">
        <w:rPr>
          <w:rFonts w:asciiTheme="minorHAnsi" w:hAnsiTheme="minorHAnsi" w:cstheme="minorHAnsi"/>
          <w:b/>
          <w:sz w:val="24"/>
          <w:szCs w:val="24"/>
        </w:rPr>
        <w:t xml:space="preserve"> </w:t>
      </w:r>
      <w:r w:rsidRPr="00302D42">
        <w:rPr>
          <w:rFonts w:asciiTheme="minorHAnsi" w:hAnsiTheme="minorHAnsi" w:cstheme="minorHAnsi"/>
          <w:sz w:val="24"/>
          <w:szCs w:val="24"/>
        </w:rPr>
        <w:t xml:space="preserve">- </w:t>
      </w:r>
      <w:r w:rsidRPr="007C76CA">
        <w:rPr>
          <w:rFonts w:asciiTheme="minorHAnsi" w:hAnsiTheme="minorHAnsi" w:cstheme="minorHAnsi"/>
          <w:sz w:val="24"/>
          <w:szCs w:val="24"/>
        </w:rPr>
        <w:t>Realizace RIP - Odborné praxe pro mladé do 30 let v Moravskoslezském kraji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134"/>
        <w:gridCol w:w="1134"/>
        <w:gridCol w:w="2268"/>
      </w:tblGrid>
      <w:tr w:rsidR="00DC5CF9" w:rsidRPr="007C76CA" w:rsidTr="00DC5CF9">
        <w:trPr>
          <w:trHeight w:val="390"/>
        </w:trPr>
        <w:tc>
          <w:tcPr>
            <w:tcW w:w="4678" w:type="dxa"/>
            <w:tcBorders>
              <w:top w:val="single" w:sz="12" w:space="0" w:color="auto"/>
              <w:left w:val="single" w:sz="12" w:space="0" w:color="auto"/>
              <w:bottom w:val="single" w:sz="12" w:space="0" w:color="auto"/>
              <w:right w:val="single" w:sz="12" w:space="0" w:color="auto"/>
            </w:tcBorders>
            <w:shd w:val="clear" w:color="auto" w:fill="auto"/>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ukazatel</w:t>
            </w:r>
          </w:p>
        </w:tc>
        <w:tc>
          <w:tcPr>
            <w:tcW w:w="1134" w:type="dxa"/>
            <w:tcBorders>
              <w:top w:val="single" w:sz="12" w:space="0" w:color="auto"/>
              <w:left w:val="single" w:sz="12" w:space="0" w:color="auto"/>
              <w:bottom w:val="single" w:sz="12" w:space="0" w:color="auto"/>
              <w:right w:val="single" w:sz="4" w:space="0" w:color="auto"/>
            </w:tcBorders>
            <w:shd w:val="clear" w:color="auto" w:fill="auto"/>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2013</w:t>
            </w:r>
          </w:p>
        </w:tc>
        <w:tc>
          <w:tcPr>
            <w:tcW w:w="1134" w:type="dxa"/>
            <w:tcBorders>
              <w:top w:val="single" w:sz="12" w:space="0" w:color="auto"/>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2014</w:t>
            </w:r>
          </w:p>
        </w:tc>
        <w:tc>
          <w:tcPr>
            <w:tcW w:w="2268" w:type="dxa"/>
            <w:tcBorders>
              <w:top w:val="single" w:sz="12" w:space="0" w:color="auto"/>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 xml:space="preserve">é období </w:t>
            </w:r>
            <w:r w:rsidRPr="007C76CA">
              <w:rPr>
                <w:rFonts w:asciiTheme="minorHAnsi" w:hAnsiTheme="minorHAnsi" w:cstheme="minorHAnsi"/>
              </w:rPr>
              <w:t>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stav k 31.12.2014</w:t>
            </w:r>
          </w:p>
        </w:tc>
      </w:tr>
      <w:tr w:rsidR="00DC5CF9" w:rsidRPr="007C76CA" w:rsidTr="00DC5CF9">
        <w:trPr>
          <w:trHeight w:val="50"/>
        </w:trPr>
        <w:tc>
          <w:tcPr>
            <w:tcW w:w="4678" w:type="dxa"/>
            <w:tcBorders>
              <w:top w:val="single" w:sz="12" w:space="0" w:color="auto"/>
              <w:left w:val="single" w:sz="12" w:space="0" w:color="auto"/>
              <w:right w:val="single" w:sz="12" w:space="0" w:color="auto"/>
            </w:tcBorders>
            <w:shd w:val="clear" w:color="auto" w:fill="auto"/>
          </w:tcPr>
          <w:p w:rsidR="00DC5CF9" w:rsidRPr="007C76CA" w:rsidRDefault="00DC5CF9" w:rsidP="00DC5CF9">
            <w:pPr>
              <w:pStyle w:val="odsazen"/>
              <w:numPr>
                <w:ilvl w:val="0"/>
                <w:numId w:val="0"/>
              </w:numPr>
              <w:rPr>
                <w:rFonts w:asciiTheme="minorHAnsi" w:hAnsiTheme="minorHAnsi" w:cstheme="minorHAnsi"/>
              </w:rPr>
            </w:pPr>
            <w:r w:rsidRPr="007C76CA">
              <w:rPr>
                <w:rFonts w:asciiTheme="minorHAnsi" w:hAnsiTheme="minorHAnsi" w:cstheme="minorHAnsi"/>
              </w:rPr>
              <w:t>UoZ zařazení do projektu</w:t>
            </w:r>
          </w:p>
        </w:tc>
        <w:tc>
          <w:tcPr>
            <w:tcW w:w="1134" w:type="dxa"/>
            <w:tcBorders>
              <w:top w:val="single" w:sz="12" w:space="0" w:color="auto"/>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36</w:t>
            </w:r>
          </w:p>
        </w:tc>
        <w:tc>
          <w:tcPr>
            <w:tcW w:w="1134" w:type="dxa"/>
            <w:tcBorders>
              <w:top w:val="single" w:sz="12" w:space="0" w:color="auto"/>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833</w:t>
            </w:r>
          </w:p>
        </w:tc>
        <w:tc>
          <w:tcPr>
            <w:tcW w:w="2268" w:type="dxa"/>
            <w:tcBorders>
              <w:top w:val="single" w:sz="12" w:space="0" w:color="auto"/>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869</w:t>
            </w:r>
          </w:p>
        </w:tc>
      </w:tr>
      <w:tr w:rsidR="00DC5CF9" w:rsidRPr="007C76CA" w:rsidTr="00DC5CF9">
        <w:tc>
          <w:tcPr>
            <w:tcW w:w="4678" w:type="dxa"/>
            <w:tcBorders>
              <w:left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UoZ, kteří ukončili účast v projektu</w:t>
            </w:r>
          </w:p>
        </w:tc>
        <w:tc>
          <w:tcPr>
            <w:tcW w:w="1134"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134" w:type="dxa"/>
            <w:tcBorders>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75</w:t>
            </w:r>
          </w:p>
        </w:tc>
        <w:tc>
          <w:tcPr>
            <w:tcW w:w="2268" w:type="dxa"/>
            <w:tcBorders>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75</w:t>
            </w:r>
          </w:p>
        </w:tc>
      </w:tr>
      <w:tr w:rsidR="00DC5CF9" w:rsidRPr="007C76CA" w:rsidTr="00DC5CF9">
        <w:tc>
          <w:tcPr>
            <w:tcW w:w="4678" w:type="dxa"/>
            <w:tcBorders>
              <w:top w:val="single" w:sz="12" w:space="0" w:color="auto"/>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počet odborných praxí (vyhrazených SÚPM)</w:t>
            </w:r>
          </w:p>
        </w:tc>
        <w:tc>
          <w:tcPr>
            <w:tcW w:w="1134" w:type="dxa"/>
            <w:tcBorders>
              <w:top w:val="single" w:sz="12" w:space="0" w:color="auto"/>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w:t>
            </w:r>
          </w:p>
        </w:tc>
        <w:tc>
          <w:tcPr>
            <w:tcW w:w="1134" w:type="dxa"/>
            <w:tcBorders>
              <w:top w:val="single" w:sz="12" w:space="0" w:color="auto"/>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832</w:t>
            </w:r>
          </w:p>
        </w:tc>
        <w:tc>
          <w:tcPr>
            <w:tcW w:w="2268" w:type="dxa"/>
            <w:tcBorders>
              <w:top w:val="single" w:sz="12" w:space="0" w:color="auto"/>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834</w:t>
            </w:r>
          </w:p>
        </w:tc>
      </w:tr>
      <w:tr w:rsidR="00DC5CF9" w:rsidRPr="007C76CA" w:rsidTr="00DC5CF9">
        <w:tc>
          <w:tcPr>
            <w:tcW w:w="4678" w:type="dxa"/>
            <w:tcBorders>
              <w:top w:val="single" w:sz="12" w:space="0" w:color="auto"/>
              <w:left w:val="single" w:sz="12" w:space="0" w:color="auto"/>
              <w:right w:val="single" w:sz="12" w:space="0" w:color="auto"/>
            </w:tcBorders>
            <w:shd w:val="clear" w:color="auto" w:fill="auto"/>
          </w:tcPr>
          <w:p w:rsidR="00DC5CF9" w:rsidRPr="007C76CA" w:rsidRDefault="00DC5CF9" w:rsidP="00DC5CF9">
            <w:pPr>
              <w:pStyle w:val="odsazen"/>
              <w:numPr>
                <w:ilvl w:val="0"/>
                <w:numId w:val="0"/>
              </w:numPr>
              <w:rPr>
                <w:rFonts w:asciiTheme="minorHAnsi" w:hAnsiTheme="minorHAnsi" w:cstheme="minorHAnsi"/>
              </w:rPr>
            </w:pPr>
            <w:r w:rsidRPr="007C76CA">
              <w:rPr>
                <w:rFonts w:asciiTheme="minorHAnsi" w:hAnsiTheme="minorHAnsi" w:cstheme="minorHAnsi"/>
              </w:rPr>
              <w:t>UoZ zařazení do školících aktivit</w:t>
            </w:r>
            <w:r w:rsidRPr="007C76CA">
              <w:rPr>
                <w:rFonts w:asciiTheme="minorHAnsi" w:hAnsiTheme="minorHAnsi" w:cstheme="minorHAnsi"/>
                <w:vertAlign w:val="superscript"/>
              </w:rPr>
              <w:t>*)</w:t>
            </w:r>
          </w:p>
        </w:tc>
        <w:tc>
          <w:tcPr>
            <w:tcW w:w="1134" w:type="dxa"/>
            <w:tcBorders>
              <w:top w:val="single" w:sz="12" w:space="0" w:color="auto"/>
              <w:left w:val="single" w:sz="4"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134" w:type="dxa"/>
            <w:tcBorders>
              <w:top w:val="single" w:sz="12" w:space="0" w:color="auto"/>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c>
          <w:tcPr>
            <w:tcW w:w="2268" w:type="dxa"/>
            <w:tcBorders>
              <w:top w:val="single" w:sz="12" w:space="0" w:color="auto"/>
              <w:left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r>
      <w:tr w:rsidR="00DC5CF9" w:rsidRPr="007C76CA" w:rsidTr="00DC5CF9">
        <w:tc>
          <w:tcPr>
            <w:tcW w:w="4678" w:type="dxa"/>
            <w:tcBorders>
              <w:left w:val="single" w:sz="12" w:space="0" w:color="auto"/>
              <w:right w:val="single" w:sz="12" w:space="0" w:color="auto"/>
            </w:tcBorders>
            <w:shd w:val="clear" w:color="auto" w:fill="auto"/>
          </w:tcPr>
          <w:p w:rsidR="00DC5CF9" w:rsidRPr="007C76CA" w:rsidRDefault="00DC5CF9" w:rsidP="00DC5CF9">
            <w:pPr>
              <w:pStyle w:val="odsazen"/>
              <w:numPr>
                <w:ilvl w:val="0"/>
                <w:numId w:val="0"/>
              </w:numPr>
              <w:jc w:val="left"/>
              <w:rPr>
                <w:rFonts w:asciiTheme="minorHAnsi" w:hAnsiTheme="minorHAnsi" w:cstheme="minorHAnsi"/>
              </w:rPr>
            </w:pPr>
            <w:r w:rsidRPr="007C76CA">
              <w:rPr>
                <w:rFonts w:asciiTheme="minorHAnsi" w:hAnsiTheme="minorHAnsi" w:cstheme="minorHAnsi"/>
              </w:rPr>
              <w:t>UoZ, kteří ukončili školící aktivity</w:t>
            </w:r>
          </w:p>
        </w:tc>
        <w:tc>
          <w:tcPr>
            <w:tcW w:w="1134" w:type="dxa"/>
            <w:tcBorders>
              <w:left w:val="single" w:sz="4"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134" w:type="dxa"/>
            <w:tcBorders>
              <w:left w:val="single" w:sz="4"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c>
          <w:tcPr>
            <w:tcW w:w="2268" w:type="dxa"/>
            <w:tcBorders>
              <w:left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r>
      <w:tr w:rsidR="00DC5CF9" w:rsidRPr="007C76CA" w:rsidTr="00DC5CF9">
        <w:tc>
          <w:tcPr>
            <w:tcW w:w="4678" w:type="dxa"/>
            <w:tcBorders>
              <w:left w:val="single" w:sz="12" w:space="0" w:color="auto"/>
              <w:bottom w:val="single" w:sz="12" w:space="0" w:color="auto"/>
              <w:right w:val="single" w:sz="12" w:space="0" w:color="auto"/>
            </w:tcBorders>
            <w:shd w:val="clear" w:color="auto" w:fill="auto"/>
          </w:tcPr>
          <w:p w:rsidR="00DC5CF9" w:rsidRPr="007C76CA" w:rsidRDefault="00DC5CF9" w:rsidP="00DC5CF9">
            <w:pPr>
              <w:pStyle w:val="odsazen"/>
              <w:numPr>
                <w:ilvl w:val="0"/>
                <w:numId w:val="0"/>
              </w:numPr>
              <w:ind w:left="360" w:hanging="360"/>
              <w:rPr>
                <w:rFonts w:asciiTheme="minorHAnsi" w:hAnsiTheme="minorHAnsi" w:cstheme="minorHAnsi"/>
              </w:rPr>
            </w:pPr>
            <w:r w:rsidRPr="007C76CA">
              <w:rPr>
                <w:rFonts w:asciiTheme="minorHAnsi" w:hAnsiTheme="minorHAnsi" w:cstheme="minorHAnsi"/>
              </w:rPr>
              <w:t>- z toho úspěšně</w:t>
            </w:r>
          </w:p>
        </w:tc>
        <w:tc>
          <w:tcPr>
            <w:tcW w:w="1134" w:type="dxa"/>
            <w:tcBorders>
              <w:left w:val="single" w:sz="4" w:space="0" w:color="auto"/>
              <w:bottom w:val="single" w:sz="12" w:space="0" w:color="auto"/>
              <w:right w:val="single" w:sz="4"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0</w:t>
            </w:r>
          </w:p>
        </w:tc>
        <w:tc>
          <w:tcPr>
            <w:tcW w:w="1134" w:type="dxa"/>
            <w:tcBorders>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c>
          <w:tcPr>
            <w:tcW w:w="2268" w:type="dxa"/>
            <w:tcBorders>
              <w:left w:val="single" w:sz="12" w:space="0" w:color="auto"/>
              <w:bottom w:val="single" w:sz="12" w:space="0" w:color="auto"/>
              <w:right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Pr>
                <w:rFonts w:asciiTheme="minorHAnsi" w:hAnsiTheme="minorHAnsi" w:cstheme="minorHAnsi"/>
              </w:rPr>
              <w:t>3</w:t>
            </w:r>
          </w:p>
        </w:tc>
      </w:tr>
    </w:tbl>
    <w:p w:rsidR="00DC5CF9" w:rsidRDefault="00DC5CF9" w:rsidP="00DC5CF9">
      <w:pPr>
        <w:pStyle w:val="odsazen"/>
        <w:numPr>
          <w:ilvl w:val="0"/>
          <w:numId w:val="0"/>
        </w:numPr>
        <w:rPr>
          <w:rFonts w:asciiTheme="minorHAnsi" w:hAnsiTheme="minorHAnsi" w:cstheme="minorHAnsi"/>
          <w:i/>
          <w:sz w:val="20"/>
        </w:rPr>
      </w:pPr>
      <w:r w:rsidRPr="007C76CA">
        <w:rPr>
          <w:rFonts w:asciiTheme="minorHAnsi" w:hAnsiTheme="minorHAnsi" w:cstheme="minorHAnsi"/>
          <w:i/>
          <w:sz w:val="20"/>
        </w:rPr>
        <w:t>*) rekvalifikační kurzy</w:t>
      </w:r>
    </w:p>
    <w:p w:rsidR="00DC5CF9" w:rsidRDefault="00DC5CF9" w:rsidP="00DC5CF9">
      <w:pPr>
        <w:pStyle w:val="odsazen"/>
        <w:numPr>
          <w:ilvl w:val="0"/>
          <w:numId w:val="0"/>
        </w:numPr>
        <w:rPr>
          <w:rFonts w:asciiTheme="minorHAnsi" w:hAnsiTheme="minorHAnsi" w:cstheme="minorHAnsi"/>
          <w:i/>
          <w:sz w:val="20"/>
        </w:rPr>
      </w:pPr>
    </w:p>
    <w:p w:rsidR="00DC5CF9" w:rsidRDefault="00DC5CF9" w:rsidP="00DC5CF9">
      <w:pPr>
        <w:pStyle w:val="odsazen"/>
        <w:numPr>
          <w:ilvl w:val="0"/>
          <w:numId w:val="0"/>
        </w:numPr>
        <w:rPr>
          <w:rFonts w:asciiTheme="minorHAnsi" w:hAnsiTheme="minorHAnsi" w:cstheme="minorHAnsi"/>
          <w:i/>
          <w:sz w:val="20"/>
        </w:rPr>
      </w:pPr>
    </w:p>
    <w:p w:rsidR="00DC5CF9" w:rsidRPr="00147F13" w:rsidRDefault="00DC5CF9" w:rsidP="00DC5CF9">
      <w:pPr>
        <w:pStyle w:val="odsazen"/>
        <w:numPr>
          <w:ilvl w:val="0"/>
          <w:numId w:val="0"/>
        </w:numPr>
        <w:ind w:firstLine="708"/>
        <w:rPr>
          <w:rFonts w:asciiTheme="minorHAnsi" w:hAnsiTheme="minorHAnsi" w:cstheme="minorHAnsi"/>
        </w:rPr>
      </w:pPr>
      <w:r w:rsidRPr="001D4E0D">
        <w:rPr>
          <w:rFonts w:asciiTheme="minorHAnsi" w:hAnsiTheme="minorHAnsi" w:cstheme="minorHAnsi"/>
        </w:rPr>
        <w:t>Od začátku realizace</w:t>
      </w:r>
      <w:r w:rsidRPr="00147F13">
        <w:rPr>
          <w:rFonts w:asciiTheme="minorHAnsi" w:hAnsiTheme="minorHAnsi" w:cstheme="minorHAnsi"/>
        </w:rPr>
        <w:t xml:space="preserve"> </w:t>
      </w:r>
      <w:r>
        <w:rPr>
          <w:rFonts w:asciiTheme="minorHAnsi" w:hAnsiTheme="minorHAnsi" w:cstheme="minorHAnsi"/>
        </w:rPr>
        <w:t>projektu d</w:t>
      </w:r>
      <w:r w:rsidRPr="00147F13">
        <w:rPr>
          <w:rFonts w:asciiTheme="minorHAnsi" w:hAnsiTheme="minorHAnsi" w:cstheme="minorHAnsi"/>
        </w:rPr>
        <w:t>o konce roku 2014 projevilo v rámci podaných žádostí zájem zapojit se do projektu celkem 872 zaměstnavatelů, kteří nabídli celkem 1 416 pracovních pozic pro uchazeče evidované ÚP ČR v Moravskoslezském kraji. Během loňského roku nastoupilo na odbornou praxi dohromady 83</w:t>
      </w:r>
      <w:r>
        <w:rPr>
          <w:rFonts w:asciiTheme="minorHAnsi" w:hAnsiTheme="minorHAnsi" w:cstheme="minorHAnsi"/>
        </w:rPr>
        <w:t>2</w:t>
      </w:r>
      <w:r w:rsidRPr="00147F13">
        <w:rPr>
          <w:rFonts w:asciiTheme="minorHAnsi" w:hAnsiTheme="minorHAnsi" w:cstheme="minorHAnsi"/>
        </w:rPr>
        <w:t xml:space="preserve"> UoZ (za </w:t>
      </w:r>
      <w:r>
        <w:rPr>
          <w:rFonts w:asciiTheme="minorHAnsi" w:hAnsiTheme="minorHAnsi" w:cstheme="minorHAnsi"/>
        </w:rPr>
        <w:t xml:space="preserve">celou </w:t>
      </w:r>
      <w:r w:rsidRPr="00147F13">
        <w:rPr>
          <w:rFonts w:asciiTheme="minorHAnsi" w:hAnsiTheme="minorHAnsi" w:cstheme="minorHAnsi"/>
        </w:rPr>
        <w:t>dobu realizace</w:t>
      </w:r>
      <w:r>
        <w:rPr>
          <w:rFonts w:asciiTheme="minorHAnsi" w:hAnsiTheme="minorHAnsi" w:cstheme="minorHAnsi"/>
        </w:rPr>
        <w:t xml:space="preserve"> projektu </w:t>
      </w:r>
      <w:r w:rsidRPr="00147F13">
        <w:rPr>
          <w:rFonts w:asciiTheme="minorHAnsi" w:hAnsiTheme="minorHAnsi" w:cstheme="minorHAnsi"/>
        </w:rPr>
        <w:t>834).</w:t>
      </w:r>
    </w:p>
    <w:p w:rsidR="00DC5CF9" w:rsidRPr="00D64DD5" w:rsidRDefault="00DC5CF9" w:rsidP="00DC5CF9">
      <w:pPr>
        <w:pStyle w:val="odsazen"/>
        <w:numPr>
          <w:ilvl w:val="0"/>
          <w:numId w:val="0"/>
        </w:numPr>
        <w:rPr>
          <w:rFonts w:asciiTheme="minorHAnsi" w:hAnsiTheme="minorHAnsi" w:cstheme="minorHAnsi"/>
          <w:i/>
          <w:szCs w:val="24"/>
        </w:rPr>
      </w:pPr>
    </w:p>
    <w:p w:rsidR="00DC5CF9" w:rsidRPr="00147F13" w:rsidRDefault="00DC5CF9" w:rsidP="00DC5CF9">
      <w:pPr>
        <w:pStyle w:val="odsazen"/>
        <w:numPr>
          <w:ilvl w:val="0"/>
          <w:numId w:val="0"/>
        </w:numPr>
        <w:ind w:firstLine="708"/>
        <w:rPr>
          <w:rFonts w:asciiTheme="minorHAnsi" w:hAnsiTheme="minorHAnsi" w:cstheme="minorHAnsi"/>
        </w:rPr>
      </w:pPr>
      <w:r w:rsidRPr="00147F13">
        <w:rPr>
          <w:rFonts w:asciiTheme="minorHAnsi" w:hAnsiTheme="minorHAnsi" w:cstheme="minorHAnsi"/>
          <w:b/>
        </w:rPr>
        <w:t>Nový začátek</w:t>
      </w:r>
      <w:r w:rsidRPr="00147F13">
        <w:rPr>
          <w:rFonts w:asciiTheme="minorHAnsi" w:hAnsiTheme="minorHAnsi" w:cstheme="minorHAnsi"/>
        </w:rPr>
        <w:t xml:space="preserve"> - projekt byl určen pro 720 uchazečů o zaměstnání evidovaných na KoP ÚP v MSK déle než 6 měsíců. Tyto osoby se potýkají se svými specifickými handicapy, které jim </w:t>
      </w:r>
      <w:r>
        <w:rPr>
          <w:rFonts w:asciiTheme="minorHAnsi" w:hAnsiTheme="minorHAnsi" w:cstheme="minorHAnsi"/>
        </w:rPr>
        <w:t>z</w:t>
      </w:r>
      <w:r w:rsidRPr="00147F13">
        <w:rPr>
          <w:rFonts w:asciiTheme="minorHAnsi" w:hAnsiTheme="minorHAnsi" w:cstheme="minorHAnsi"/>
        </w:rPr>
        <w:t>těžují návrat na trh práce (např. nízký/vyšší věk, nedostatek praxe, překážky související s péčí o</w:t>
      </w:r>
      <w:r>
        <w:rPr>
          <w:rFonts w:asciiTheme="minorHAnsi" w:hAnsiTheme="minorHAnsi" w:cstheme="minorHAnsi"/>
        </w:rPr>
        <w:t> </w:t>
      </w:r>
      <w:r w:rsidRPr="00147F13">
        <w:rPr>
          <w:rFonts w:asciiTheme="minorHAnsi" w:hAnsiTheme="minorHAnsi" w:cstheme="minorHAnsi"/>
        </w:rPr>
        <w:t>dítě, zdravotní omezení, nízká úroveň vzdělání)</w:t>
      </w:r>
      <w:r>
        <w:rPr>
          <w:rFonts w:asciiTheme="minorHAnsi" w:hAnsiTheme="minorHAnsi" w:cstheme="minorHAnsi"/>
        </w:rPr>
        <w:t xml:space="preserve"> a</w:t>
      </w:r>
      <w:r w:rsidRPr="00147F13">
        <w:rPr>
          <w:rFonts w:asciiTheme="minorHAnsi" w:hAnsiTheme="minorHAnsi" w:cstheme="minorHAnsi"/>
        </w:rPr>
        <w:t xml:space="preserve"> které se v mnoha případech kumulují, což vede k dalšímu </w:t>
      </w:r>
      <w:r>
        <w:rPr>
          <w:rFonts w:asciiTheme="minorHAnsi" w:hAnsiTheme="minorHAnsi" w:cstheme="minorHAnsi"/>
        </w:rPr>
        <w:t xml:space="preserve">výraznému </w:t>
      </w:r>
      <w:r w:rsidRPr="00147F13">
        <w:rPr>
          <w:rFonts w:asciiTheme="minorHAnsi" w:hAnsiTheme="minorHAnsi" w:cstheme="minorHAnsi"/>
        </w:rPr>
        <w:t>snížení možnosti uplatnění se na běžném trhu práce (</w:t>
      </w:r>
      <w:r>
        <w:rPr>
          <w:rFonts w:asciiTheme="minorHAnsi" w:hAnsiTheme="minorHAnsi" w:cstheme="minorHAnsi"/>
        </w:rPr>
        <w:t xml:space="preserve">např. </w:t>
      </w:r>
      <w:r w:rsidRPr="00147F13">
        <w:rPr>
          <w:rFonts w:asciiTheme="minorHAnsi" w:hAnsiTheme="minorHAnsi" w:cstheme="minorHAnsi"/>
        </w:rPr>
        <w:t>ztráta sebedůvěry, nedostatečná mot</w:t>
      </w:r>
      <w:r>
        <w:rPr>
          <w:rFonts w:asciiTheme="minorHAnsi" w:hAnsiTheme="minorHAnsi" w:cstheme="minorHAnsi"/>
        </w:rPr>
        <w:t>ivace, ztráta pracovních návyků</w:t>
      </w:r>
      <w:r w:rsidRPr="00147F13">
        <w:rPr>
          <w:rFonts w:asciiTheme="minorHAnsi" w:hAnsiTheme="minorHAnsi" w:cstheme="minorHAnsi"/>
        </w:rPr>
        <w:t>). Tyto osoby tak patří k nejhůře umístitelným na trhu práce. Hlavním principem tohoto projektu bylo zlepšit zaměstnatelnost uvedené cílové skupiny, rozšířit jejich dovednosti a znalosti a zvýšit tak jejich atraktivitu pro zaměstnavatele</w:t>
      </w:r>
      <w:r>
        <w:rPr>
          <w:rFonts w:asciiTheme="minorHAnsi" w:hAnsiTheme="minorHAnsi" w:cstheme="minorHAnsi"/>
        </w:rPr>
        <w:t>,</w:t>
      </w:r>
      <w:r w:rsidRPr="00147F13">
        <w:rPr>
          <w:rFonts w:asciiTheme="minorHAnsi" w:hAnsiTheme="minorHAnsi" w:cstheme="minorHAnsi"/>
        </w:rPr>
        <w:t xml:space="preserve"> a tím podpořit jejich začlenění zpět na trh práce. Projekt komplexního charakteru měl účastníkům nabídnout celou škálu aktivit - od motivačních, školících a poradenských, až po zprostředkování zaměstnání a podporu pracovních míst. Významnou součástí projektu byla aktivita Labour Pool, jejímž cílem </w:t>
      </w:r>
      <w:r>
        <w:rPr>
          <w:rFonts w:asciiTheme="minorHAnsi" w:hAnsiTheme="minorHAnsi" w:cstheme="minorHAnsi"/>
        </w:rPr>
        <w:t>je</w:t>
      </w:r>
      <w:r w:rsidRPr="00147F13">
        <w:rPr>
          <w:rFonts w:asciiTheme="minorHAnsi" w:hAnsiTheme="minorHAnsi" w:cstheme="minorHAnsi"/>
        </w:rPr>
        <w:t xml:space="preserve"> zvýšení praktických dovedností a získání či obnovení pracovních návyků. Jedná se o inovativní nástroj, který měl být v tomto projektu pilotně ověřen. </w:t>
      </w:r>
    </w:p>
    <w:p w:rsidR="00DC5CF9" w:rsidRPr="003A64E4" w:rsidRDefault="00DC5CF9" w:rsidP="00DC5CF9">
      <w:pPr>
        <w:pStyle w:val="odsazen"/>
        <w:numPr>
          <w:ilvl w:val="0"/>
          <w:numId w:val="0"/>
        </w:numPr>
        <w:ind w:firstLine="708"/>
        <w:rPr>
          <w:rFonts w:asciiTheme="minorHAnsi" w:hAnsiTheme="minorHAnsi" w:cstheme="minorHAnsi"/>
        </w:rPr>
      </w:pPr>
      <w:r w:rsidRPr="003A64E4">
        <w:rPr>
          <w:rFonts w:asciiTheme="minorHAnsi" w:hAnsiTheme="minorHAnsi" w:cstheme="minorHAnsi"/>
        </w:rPr>
        <w:t xml:space="preserve">Realizace klíčových aktivit zaměřených na klienty projektu a naplnění monitorovacích indikátorů bylo podmíněno zadáním veřejné zakázky pod názvem </w:t>
      </w:r>
      <w:r>
        <w:rPr>
          <w:rFonts w:asciiTheme="minorHAnsi" w:hAnsiTheme="minorHAnsi" w:cstheme="minorHAnsi"/>
        </w:rPr>
        <w:t>„</w:t>
      </w:r>
      <w:r w:rsidRPr="003A64E4">
        <w:rPr>
          <w:rFonts w:asciiTheme="minorHAnsi" w:hAnsiTheme="minorHAnsi" w:cstheme="minorHAnsi"/>
        </w:rPr>
        <w:t xml:space="preserve">Výběr dodavatele služeb na realizaci projektu Nový začátek“ a </w:t>
      </w:r>
      <w:r>
        <w:rPr>
          <w:rFonts w:asciiTheme="minorHAnsi" w:hAnsiTheme="minorHAnsi" w:cstheme="minorHAnsi"/>
        </w:rPr>
        <w:t>jeho</w:t>
      </w:r>
      <w:r w:rsidRPr="003A64E4">
        <w:rPr>
          <w:rFonts w:asciiTheme="minorHAnsi" w:hAnsiTheme="minorHAnsi" w:cstheme="minorHAnsi"/>
        </w:rPr>
        <w:t xml:space="preserve"> smluvním zajištěním. Z důvodu nepředpokládaného prodloužení doby trvání zadávacího řízení došlo k výraznému zkrácení času pro plnění veřejné zakázky. Tato skutečnost byla </w:t>
      </w:r>
      <w:r>
        <w:rPr>
          <w:rFonts w:asciiTheme="minorHAnsi" w:hAnsiTheme="minorHAnsi" w:cstheme="minorHAnsi"/>
        </w:rPr>
        <w:t xml:space="preserve">pak </w:t>
      </w:r>
      <w:r w:rsidRPr="003A64E4">
        <w:rPr>
          <w:rFonts w:asciiTheme="minorHAnsi" w:hAnsiTheme="minorHAnsi" w:cstheme="minorHAnsi"/>
        </w:rPr>
        <w:t xml:space="preserve">důvodem pro který odmítli </w:t>
      </w:r>
      <w:r>
        <w:rPr>
          <w:rFonts w:asciiTheme="minorHAnsi" w:hAnsiTheme="minorHAnsi" w:cstheme="minorHAnsi"/>
        </w:rPr>
        <w:t xml:space="preserve">první tři úspěšní </w:t>
      </w:r>
      <w:r w:rsidRPr="003A64E4">
        <w:rPr>
          <w:rFonts w:asciiTheme="minorHAnsi" w:hAnsiTheme="minorHAnsi" w:cstheme="minorHAnsi"/>
        </w:rPr>
        <w:t>uchazeči</w:t>
      </w:r>
      <w:r>
        <w:rPr>
          <w:rFonts w:asciiTheme="minorHAnsi" w:hAnsiTheme="minorHAnsi" w:cstheme="minorHAnsi"/>
        </w:rPr>
        <w:t xml:space="preserve"> o veřejnou zakázku</w:t>
      </w:r>
      <w:r w:rsidRPr="003A64E4">
        <w:rPr>
          <w:rFonts w:asciiTheme="minorHAnsi" w:hAnsiTheme="minorHAnsi" w:cstheme="minorHAnsi"/>
        </w:rPr>
        <w:t xml:space="preserve"> poskytnout součinnost k uzavření smlouvy. Z tohoto důvodu zadavatel rozhodl o zrušení zadávacího řízení</w:t>
      </w:r>
      <w:r>
        <w:rPr>
          <w:rFonts w:asciiTheme="minorHAnsi" w:hAnsiTheme="minorHAnsi" w:cstheme="minorHAnsi"/>
        </w:rPr>
        <w:t xml:space="preserve"> a p</w:t>
      </w:r>
      <w:r w:rsidRPr="003A64E4">
        <w:rPr>
          <w:rFonts w:asciiTheme="minorHAnsi" w:hAnsiTheme="minorHAnsi" w:cstheme="minorHAnsi"/>
        </w:rPr>
        <w:t>rojekt byl předčasně ukončen</w:t>
      </w:r>
      <w:r>
        <w:rPr>
          <w:rFonts w:asciiTheme="minorHAnsi" w:hAnsiTheme="minorHAnsi" w:cstheme="minorHAnsi"/>
        </w:rPr>
        <w:t xml:space="preserve"> v říjnu </w:t>
      </w:r>
      <w:r w:rsidRPr="003A64E4">
        <w:rPr>
          <w:rFonts w:asciiTheme="minorHAnsi" w:hAnsiTheme="minorHAnsi" w:cstheme="minorHAnsi"/>
        </w:rPr>
        <w:t>2014.</w:t>
      </w:r>
      <w:r>
        <w:rPr>
          <w:rFonts w:asciiTheme="minorHAnsi" w:hAnsiTheme="minorHAnsi" w:cstheme="minorHAnsi"/>
        </w:rPr>
        <w:t xml:space="preserve"> V následujícím období v rámci nového OP Zaměstnanost KrP v Ostravě využije dosavadních zkušeností k přípravě obdobného programu.</w:t>
      </w:r>
    </w:p>
    <w:p w:rsidR="00DC5CF9" w:rsidRPr="003A64E4" w:rsidRDefault="00DC5CF9" w:rsidP="00DC5CF9">
      <w:pPr>
        <w:pStyle w:val="odsazen"/>
        <w:numPr>
          <w:ilvl w:val="0"/>
          <w:numId w:val="0"/>
        </w:numPr>
        <w:ind w:firstLine="708"/>
        <w:rPr>
          <w:rFonts w:asciiTheme="minorHAnsi" w:hAnsiTheme="minorHAnsi" w:cstheme="minorHAnsi"/>
        </w:rPr>
      </w:pPr>
    </w:p>
    <w:p w:rsidR="00DC5CF9" w:rsidRPr="00302D42" w:rsidRDefault="00DC5CF9" w:rsidP="00DC5CF9">
      <w:pPr>
        <w:jc w:val="both"/>
        <w:rPr>
          <w:rFonts w:asciiTheme="minorHAnsi" w:hAnsiTheme="minorHAnsi" w:cstheme="minorHAnsi"/>
          <w:b/>
          <w:snapToGrid w:val="0"/>
          <w:sz w:val="24"/>
        </w:rPr>
      </w:pPr>
      <w:r w:rsidRPr="00302D42">
        <w:rPr>
          <w:rFonts w:asciiTheme="minorHAnsi" w:hAnsiTheme="minorHAnsi" w:cstheme="minorHAnsi"/>
          <w:b/>
          <w:snapToGrid w:val="0"/>
          <w:sz w:val="24"/>
          <w:szCs w:val="24"/>
        </w:rPr>
        <w:t>Tabulka V/</w:t>
      </w:r>
      <w:r>
        <w:rPr>
          <w:rFonts w:asciiTheme="minorHAnsi" w:hAnsiTheme="minorHAnsi" w:cstheme="minorHAnsi"/>
          <w:b/>
          <w:snapToGrid w:val="0"/>
          <w:sz w:val="24"/>
          <w:szCs w:val="24"/>
        </w:rPr>
        <w:t xml:space="preserve">10 </w:t>
      </w:r>
      <w:r w:rsidRPr="005E1F37">
        <w:rPr>
          <w:rFonts w:asciiTheme="minorHAnsi" w:hAnsiTheme="minorHAnsi" w:cstheme="minorHAnsi"/>
          <w:snapToGrid w:val="0"/>
          <w:sz w:val="24"/>
          <w:szCs w:val="24"/>
        </w:rPr>
        <w:t xml:space="preserve">- </w:t>
      </w:r>
      <w:r w:rsidRPr="00302D42">
        <w:rPr>
          <w:rFonts w:asciiTheme="minorHAnsi" w:hAnsiTheme="minorHAnsi" w:cstheme="minorHAnsi"/>
          <w:snapToGrid w:val="0"/>
          <w:sz w:val="24"/>
        </w:rPr>
        <w:t xml:space="preserve">Realizace RIP - </w:t>
      </w:r>
      <w:r w:rsidRPr="00302D42">
        <w:rPr>
          <w:rFonts w:asciiTheme="minorHAnsi" w:hAnsiTheme="minorHAnsi" w:cstheme="minorHAnsi"/>
          <w:b/>
          <w:snapToGrid w:val="0"/>
          <w:sz w:val="24"/>
        </w:rPr>
        <w:t>10 pro život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268"/>
      </w:tblGrid>
      <w:tr w:rsidR="00DC5CF9" w:rsidRPr="00302D42" w:rsidTr="00DC5CF9">
        <w:trPr>
          <w:trHeight w:val="390"/>
        </w:trPr>
        <w:tc>
          <w:tcPr>
            <w:tcW w:w="6946" w:type="dxa"/>
            <w:tcBorders>
              <w:top w:val="single" w:sz="12" w:space="0" w:color="auto"/>
              <w:left w:val="single" w:sz="12" w:space="0" w:color="auto"/>
              <w:bottom w:val="single" w:sz="12" w:space="0" w:color="auto"/>
              <w:right w:val="single" w:sz="12" w:space="0" w:color="auto"/>
            </w:tcBorders>
            <w:shd w:val="clear" w:color="auto" w:fill="auto"/>
            <w:vAlign w:val="center"/>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ukazatel</w:t>
            </w:r>
          </w:p>
        </w:tc>
        <w:tc>
          <w:tcPr>
            <w:tcW w:w="2268" w:type="dxa"/>
            <w:tcBorders>
              <w:top w:val="single" w:sz="12" w:space="0" w:color="auto"/>
              <w:left w:val="single" w:sz="12" w:space="0" w:color="auto"/>
              <w:bottom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za cel</w:t>
            </w:r>
            <w:r>
              <w:rPr>
                <w:rFonts w:asciiTheme="minorHAnsi" w:hAnsiTheme="minorHAnsi" w:cstheme="minorHAnsi"/>
                <w:sz w:val="24"/>
              </w:rPr>
              <w:t>é období</w:t>
            </w:r>
            <w:r w:rsidRPr="00302D42">
              <w:rPr>
                <w:rFonts w:asciiTheme="minorHAnsi" w:hAnsiTheme="minorHAnsi" w:cstheme="minorHAnsi"/>
                <w:sz w:val="24"/>
              </w:rPr>
              <w:t xml:space="preserve"> projekt</w:t>
            </w:r>
            <w:r>
              <w:rPr>
                <w:rFonts w:asciiTheme="minorHAnsi" w:hAnsiTheme="minorHAnsi" w:cstheme="minorHAnsi"/>
                <w:sz w:val="24"/>
              </w:rPr>
              <w:t>u</w:t>
            </w:r>
          </w:p>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stav k 31.12.2014</w:t>
            </w:r>
          </w:p>
        </w:tc>
      </w:tr>
      <w:tr w:rsidR="00DC5CF9" w:rsidRPr="00302D42" w:rsidTr="00DC5CF9">
        <w:trPr>
          <w:trHeight w:val="50"/>
        </w:trPr>
        <w:tc>
          <w:tcPr>
            <w:tcW w:w="6946" w:type="dxa"/>
            <w:tcBorders>
              <w:top w:val="single" w:sz="12" w:space="0" w:color="auto"/>
              <w:left w:val="single" w:sz="12" w:space="0" w:color="auto"/>
              <w:right w:val="single" w:sz="12" w:space="0" w:color="auto"/>
            </w:tcBorders>
            <w:shd w:val="clear" w:color="auto" w:fill="auto"/>
          </w:tcPr>
          <w:p w:rsidR="00DC5CF9" w:rsidRPr="00302D42" w:rsidRDefault="00DC5CF9" w:rsidP="00DC5CF9">
            <w:pPr>
              <w:jc w:val="both"/>
              <w:rPr>
                <w:rFonts w:asciiTheme="minorHAnsi" w:hAnsiTheme="minorHAnsi" w:cstheme="minorHAnsi"/>
                <w:sz w:val="24"/>
              </w:rPr>
            </w:pPr>
            <w:r w:rsidRPr="00302D42">
              <w:rPr>
                <w:rFonts w:asciiTheme="minorHAnsi" w:hAnsiTheme="minorHAnsi" w:cstheme="minorHAnsi"/>
                <w:sz w:val="24"/>
              </w:rPr>
              <w:t>UoZ zařazení do projektu</w:t>
            </w:r>
          </w:p>
        </w:tc>
        <w:tc>
          <w:tcPr>
            <w:tcW w:w="2268" w:type="dxa"/>
            <w:tcBorders>
              <w:top w:val="single" w:sz="12" w:space="0" w:color="auto"/>
              <w:left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200</w:t>
            </w:r>
          </w:p>
        </w:tc>
      </w:tr>
      <w:tr w:rsidR="00DC5CF9" w:rsidRPr="00302D42" w:rsidTr="00DC5CF9">
        <w:tc>
          <w:tcPr>
            <w:tcW w:w="6946" w:type="dxa"/>
            <w:tcBorders>
              <w:left w:val="single" w:sz="12" w:space="0" w:color="auto"/>
              <w:right w:val="single" w:sz="12" w:space="0" w:color="auto"/>
            </w:tcBorders>
            <w:shd w:val="clear" w:color="auto" w:fill="auto"/>
          </w:tcPr>
          <w:p w:rsidR="00DC5CF9" w:rsidRPr="00302D42" w:rsidRDefault="00DC5CF9" w:rsidP="00DC5CF9">
            <w:pPr>
              <w:rPr>
                <w:rFonts w:asciiTheme="minorHAnsi" w:hAnsiTheme="minorHAnsi" w:cstheme="minorHAnsi"/>
                <w:sz w:val="24"/>
              </w:rPr>
            </w:pPr>
            <w:r w:rsidRPr="00302D42">
              <w:rPr>
                <w:rFonts w:asciiTheme="minorHAnsi" w:hAnsiTheme="minorHAnsi" w:cstheme="minorHAnsi"/>
                <w:sz w:val="24"/>
              </w:rPr>
              <w:t>UoZ, kteří ukončili účast v projektu</w:t>
            </w:r>
          </w:p>
        </w:tc>
        <w:tc>
          <w:tcPr>
            <w:tcW w:w="2268" w:type="dxa"/>
            <w:tcBorders>
              <w:left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34</w:t>
            </w:r>
          </w:p>
        </w:tc>
      </w:tr>
      <w:tr w:rsidR="00DC5CF9" w:rsidRPr="00302D42" w:rsidTr="00DC5CF9">
        <w:tc>
          <w:tcPr>
            <w:tcW w:w="6946" w:type="dxa"/>
            <w:tcBorders>
              <w:left w:val="single" w:sz="12" w:space="0" w:color="auto"/>
              <w:right w:val="single" w:sz="12" w:space="0" w:color="auto"/>
            </w:tcBorders>
            <w:shd w:val="clear" w:color="auto" w:fill="auto"/>
          </w:tcPr>
          <w:p w:rsidR="00DC5CF9" w:rsidRPr="00302D42" w:rsidRDefault="00DC5CF9" w:rsidP="00DC5CF9">
            <w:pPr>
              <w:ind w:left="360" w:hanging="360"/>
              <w:jc w:val="both"/>
              <w:rPr>
                <w:rFonts w:asciiTheme="minorHAnsi" w:hAnsiTheme="minorHAnsi" w:cstheme="minorHAnsi"/>
                <w:sz w:val="24"/>
              </w:rPr>
            </w:pPr>
            <w:r w:rsidRPr="00302D42">
              <w:rPr>
                <w:rFonts w:asciiTheme="minorHAnsi" w:hAnsiTheme="minorHAnsi" w:cstheme="minorHAnsi"/>
                <w:sz w:val="24"/>
              </w:rPr>
              <w:t>- z toho úspěšně</w:t>
            </w:r>
          </w:p>
        </w:tc>
        <w:tc>
          <w:tcPr>
            <w:tcW w:w="2268" w:type="dxa"/>
            <w:tcBorders>
              <w:left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19</w:t>
            </w:r>
          </w:p>
        </w:tc>
      </w:tr>
      <w:tr w:rsidR="00DC5CF9" w:rsidRPr="00302D42" w:rsidTr="00DC5CF9">
        <w:tc>
          <w:tcPr>
            <w:tcW w:w="6946" w:type="dxa"/>
            <w:tcBorders>
              <w:left w:val="single" w:sz="12" w:space="0" w:color="auto"/>
              <w:bottom w:val="single" w:sz="12" w:space="0" w:color="auto"/>
              <w:right w:val="single" w:sz="12" w:space="0" w:color="auto"/>
            </w:tcBorders>
            <w:shd w:val="clear" w:color="auto" w:fill="auto"/>
          </w:tcPr>
          <w:p w:rsidR="00DC5CF9" w:rsidRPr="00302D42" w:rsidRDefault="00DC5CF9" w:rsidP="00DC5CF9">
            <w:pPr>
              <w:ind w:left="360" w:hanging="360"/>
              <w:jc w:val="both"/>
              <w:rPr>
                <w:rFonts w:asciiTheme="minorHAnsi" w:hAnsiTheme="minorHAnsi" w:cstheme="minorHAnsi"/>
                <w:sz w:val="24"/>
              </w:rPr>
            </w:pPr>
            <w:r w:rsidRPr="00302D42">
              <w:rPr>
                <w:rFonts w:asciiTheme="minorHAnsi" w:hAnsiTheme="minorHAnsi" w:cstheme="minorHAnsi"/>
                <w:sz w:val="24"/>
              </w:rPr>
              <w:t>- nástup do PP (plný i zkrác</w:t>
            </w:r>
            <w:r>
              <w:rPr>
                <w:rFonts w:asciiTheme="minorHAnsi" w:hAnsiTheme="minorHAnsi" w:cstheme="minorHAnsi"/>
                <w:sz w:val="24"/>
              </w:rPr>
              <w:t>ený</w:t>
            </w:r>
            <w:r w:rsidRPr="00302D42">
              <w:rPr>
                <w:rFonts w:asciiTheme="minorHAnsi" w:hAnsiTheme="minorHAnsi" w:cstheme="minorHAnsi"/>
                <w:sz w:val="24"/>
              </w:rPr>
              <w:t xml:space="preserve"> úvazek)</w:t>
            </w:r>
          </w:p>
        </w:tc>
        <w:tc>
          <w:tcPr>
            <w:tcW w:w="2268" w:type="dxa"/>
            <w:tcBorders>
              <w:left w:val="single" w:sz="12" w:space="0" w:color="auto"/>
              <w:bottom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19</w:t>
            </w:r>
          </w:p>
        </w:tc>
      </w:tr>
      <w:tr w:rsidR="00DC5CF9" w:rsidRPr="00302D42" w:rsidTr="00DC5CF9">
        <w:tc>
          <w:tcPr>
            <w:tcW w:w="6946" w:type="dxa"/>
            <w:tcBorders>
              <w:left w:val="single" w:sz="12" w:space="0" w:color="auto"/>
              <w:bottom w:val="single" w:sz="12" w:space="0" w:color="auto"/>
              <w:right w:val="single" w:sz="12" w:space="0" w:color="auto"/>
            </w:tcBorders>
            <w:shd w:val="clear" w:color="auto" w:fill="auto"/>
          </w:tcPr>
          <w:p w:rsidR="00DC5CF9" w:rsidRPr="00302D42" w:rsidRDefault="00DC5CF9" w:rsidP="00DC5CF9">
            <w:pPr>
              <w:rPr>
                <w:rFonts w:asciiTheme="minorHAnsi" w:hAnsiTheme="minorHAnsi" w:cstheme="minorHAnsi"/>
                <w:sz w:val="24"/>
              </w:rPr>
            </w:pPr>
            <w:r w:rsidRPr="00302D42">
              <w:rPr>
                <w:rFonts w:asciiTheme="minorHAnsi" w:hAnsiTheme="minorHAnsi" w:cstheme="minorHAnsi"/>
                <w:sz w:val="24"/>
              </w:rPr>
              <w:t>počet PM se mzdovým příspěvkem</w:t>
            </w:r>
          </w:p>
        </w:tc>
        <w:tc>
          <w:tcPr>
            <w:tcW w:w="2268" w:type="dxa"/>
            <w:tcBorders>
              <w:left w:val="single" w:sz="12" w:space="0" w:color="auto"/>
              <w:bottom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9</w:t>
            </w:r>
          </w:p>
        </w:tc>
      </w:tr>
      <w:tr w:rsidR="00DC5CF9" w:rsidRPr="00302D42" w:rsidTr="00DC5CF9">
        <w:tc>
          <w:tcPr>
            <w:tcW w:w="6946" w:type="dxa"/>
            <w:tcBorders>
              <w:top w:val="single" w:sz="12" w:space="0" w:color="auto"/>
              <w:left w:val="single" w:sz="12" w:space="0" w:color="auto"/>
              <w:right w:val="single" w:sz="12" w:space="0" w:color="auto"/>
            </w:tcBorders>
            <w:shd w:val="clear" w:color="auto" w:fill="auto"/>
          </w:tcPr>
          <w:p w:rsidR="00DC5CF9" w:rsidRPr="00302D42" w:rsidRDefault="00DC5CF9" w:rsidP="00DC5CF9">
            <w:pPr>
              <w:jc w:val="both"/>
              <w:rPr>
                <w:rFonts w:asciiTheme="minorHAnsi" w:hAnsiTheme="minorHAnsi" w:cstheme="minorHAnsi"/>
                <w:sz w:val="24"/>
              </w:rPr>
            </w:pPr>
            <w:r w:rsidRPr="00302D42">
              <w:rPr>
                <w:rFonts w:asciiTheme="minorHAnsi" w:hAnsiTheme="minorHAnsi" w:cstheme="minorHAnsi"/>
                <w:sz w:val="24"/>
              </w:rPr>
              <w:t>UoZ zařazení do školících aktivit</w:t>
            </w:r>
            <w:r w:rsidRPr="00302D42">
              <w:rPr>
                <w:rFonts w:asciiTheme="minorHAnsi" w:hAnsiTheme="minorHAnsi" w:cstheme="minorHAnsi"/>
                <w:sz w:val="24"/>
                <w:vertAlign w:val="superscript"/>
              </w:rPr>
              <w:t>*)</w:t>
            </w:r>
          </w:p>
        </w:tc>
        <w:tc>
          <w:tcPr>
            <w:tcW w:w="2268" w:type="dxa"/>
            <w:tcBorders>
              <w:top w:val="single" w:sz="12" w:space="0" w:color="auto"/>
              <w:left w:val="single" w:sz="12" w:space="0" w:color="auto"/>
              <w:right w:val="single" w:sz="12" w:space="0" w:color="auto"/>
            </w:tcBorders>
            <w:vAlign w:val="center"/>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26</w:t>
            </w:r>
          </w:p>
        </w:tc>
      </w:tr>
      <w:tr w:rsidR="00DC5CF9" w:rsidRPr="00302D42" w:rsidTr="00DC5CF9">
        <w:tc>
          <w:tcPr>
            <w:tcW w:w="6946" w:type="dxa"/>
            <w:tcBorders>
              <w:left w:val="single" w:sz="12" w:space="0" w:color="auto"/>
              <w:right w:val="single" w:sz="12" w:space="0" w:color="auto"/>
            </w:tcBorders>
            <w:shd w:val="clear" w:color="auto" w:fill="auto"/>
          </w:tcPr>
          <w:p w:rsidR="00DC5CF9" w:rsidRPr="00302D42" w:rsidRDefault="00DC5CF9" w:rsidP="00DC5CF9">
            <w:pPr>
              <w:rPr>
                <w:rFonts w:asciiTheme="minorHAnsi" w:hAnsiTheme="minorHAnsi" w:cstheme="minorHAnsi"/>
                <w:sz w:val="24"/>
              </w:rPr>
            </w:pPr>
            <w:r w:rsidRPr="00302D42">
              <w:rPr>
                <w:rFonts w:asciiTheme="minorHAnsi" w:hAnsiTheme="minorHAnsi" w:cstheme="minorHAnsi"/>
                <w:sz w:val="24"/>
              </w:rPr>
              <w:t>UoZ, kteří ukončili školící aktivity</w:t>
            </w:r>
          </w:p>
        </w:tc>
        <w:tc>
          <w:tcPr>
            <w:tcW w:w="2268" w:type="dxa"/>
            <w:tcBorders>
              <w:left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16</w:t>
            </w:r>
          </w:p>
        </w:tc>
      </w:tr>
      <w:tr w:rsidR="00DC5CF9" w:rsidRPr="00302D42" w:rsidTr="00DC5CF9">
        <w:tc>
          <w:tcPr>
            <w:tcW w:w="6946" w:type="dxa"/>
            <w:tcBorders>
              <w:left w:val="single" w:sz="12" w:space="0" w:color="auto"/>
              <w:bottom w:val="single" w:sz="12" w:space="0" w:color="auto"/>
              <w:right w:val="single" w:sz="12" w:space="0" w:color="auto"/>
            </w:tcBorders>
            <w:shd w:val="clear" w:color="auto" w:fill="auto"/>
          </w:tcPr>
          <w:p w:rsidR="00DC5CF9" w:rsidRPr="00302D42" w:rsidRDefault="00DC5CF9" w:rsidP="00DC5CF9">
            <w:pPr>
              <w:ind w:left="360" w:hanging="360"/>
              <w:jc w:val="both"/>
              <w:rPr>
                <w:rFonts w:asciiTheme="minorHAnsi" w:hAnsiTheme="minorHAnsi" w:cstheme="minorHAnsi"/>
                <w:sz w:val="24"/>
              </w:rPr>
            </w:pPr>
            <w:r w:rsidRPr="00302D42">
              <w:rPr>
                <w:rFonts w:asciiTheme="minorHAnsi" w:hAnsiTheme="minorHAnsi" w:cstheme="minorHAnsi"/>
                <w:sz w:val="24"/>
              </w:rPr>
              <w:t>- z toho úspěšně</w:t>
            </w:r>
          </w:p>
        </w:tc>
        <w:tc>
          <w:tcPr>
            <w:tcW w:w="2268" w:type="dxa"/>
            <w:tcBorders>
              <w:left w:val="single" w:sz="12" w:space="0" w:color="auto"/>
              <w:bottom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15</w:t>
            </w:r>
          </w:p>
        </w:tc>
      </w:tr>
      <w:tr w:rsidR="00DC5CF9" w:rsidRPr="00302D42" w:rsidTr="00DC5CF9">
        <w:tc>
          <w:tcPr>
            <w:tcW w:w="6946" w:type="dxa"/>
            <w:tcBorders>
              <w:top w:val="single" w:sz="12" w:space="0" w:color="auto"/>
              <w:left w:val="single" w:sz="12" w:space="0" w:color="auto"/>
              <w:right w:val="single" w:sz="12" w:space="0" w:color="auto"/>
            </w:tcBorders>
            <w:shd w:val="clear" w:color="auto" w:fill="auto"/>
          </w:tcPr>
          <w:p w:rsidR="00DC5CF9" w:rsidRPr="00302D42" w:rsidRDefault="00DC5CF9" w:rsidP="00DC5CF9">
            <w:pPr>
              <w:jc w:val="both"/>
              <w:rPr>
                <w:rFonts w:asciiTheme="minorHAnsi" w:hAnsiTheme="minorHAnsi" w:cstheme="minorHAnsi"/>
                <w:sz w:val="24"/>
                <w:szCs w:val="24"/>
              </w:rPr>
            </w:pPr>
            <w:r w:rsidRPr="00302D42">
              <w:rPr>
                <w:rFonts w:asciiTheme="minorHAnsi" w:hAnsiTheme="minorHAnsi" w:cstheme="minorHAnsi"/>
                <w:sz w:val="24"/>
                <w:szCs w:val="24"/>
              </w:rPr>
              <w:t>UoZ zařazení do motivačních aktivit</w:t>
            </w:r>
            <w:r w:rsidRPr="00302D42">
              <w:rPr>
                <w:rFonts w:asciiTheme="minorHAnsi" w:hAnsiTheme="minorHAnsi" w:cstheme="minorHAnsi"/>
                <w:sz w:val="24"/>
                <w:szCs w:val="24"/>
                <w:vertAlign w:val="superscript"/>
              </w:rPr>
              <w:t>**)</w:t>
            </w:r>
          </w:p>
        </w:tc>
        <w:tc>
          <w:tcPr>
            <w:tcW w:w="2268" w:type="dxa"/>
            <w:tcBorders>
              <w:top w:val="single" w:sz="12" w:space="0" w:color="auto"/>
              <w:left w:val="single" w:sz="12" w:space="0" w:color="auto"/>
              <w:right w:val="single" w:sz="12" w:space="0" w:color="auto"/>
            </w:tcBorders>
            <w:vAlign w:val="center"/>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110</w:t>
            </w:r>
          </w:p>
        </w:tc>
      </w:tr>
      <w:tr w:rsidR="00DC5CF9" w:rsidRPr="00302D42" w:rsidTr="00DC5CF9">
        <w:tc>
          <w:tcPr>
            <w:tcW w:w="6946" w:type="dxa"/>
            <w:tcBorders>
              <w:left w:val="single" w:sz="12" w:space="0" w:color="auto"/>
              <w:bottom w:val="single" w:sz="4" w:space="0" w:color="auto"/>
              <w:right w:val="single" w:sz="12" w:space="0" w:color="auto"/>
            </w:tcBorders>
            <w:shd w:val="clear" w:color="auto" w:fill="auto"/>
          </w:tcPr>
          <w:p w:rsidR="00DC5CF9" w:rsidRPr="00302D42" w:rsidRDefault="00DC5CF9" w:rsidP="00DC5CF9">
            <w:pPr>
              <w:rPr>
                <w:rFonts w:asciiTheme="minorHAnsi" w:hAnsiTheme="minorHAnsi" w:cstheme="minorHAnsi"/>
                <w:sz w:val="24"/>
                <w:szCs w:val="24"/>
              </w:rPr>
            </w:pPr>
            <w:r w:rsidRPr="00302D42">
              <w:rPr>
                <w:rFonts w:asciiTheme="minorHAnsi" w:hAnsiTheme="minorHAnsi" w:cstheme="minorHAnsi"/>
                <w:sz w:val="24"/>
              </w:rPr>
              <w:t>UoZ, kteří ukončili motivační aktivity</w:t>
            </w:r>
          </w:p>
        </w:tc>
        <w:tc>
          <w:tcPr>
            <w:tcW w:w="2268" w:type="dxa"/>
            <w:tcBorders>
              <w:left w:val="single" w:sz="12" w:space="0" w:color="auto"/>
              <w:bottom w:val="single" w:sz="4"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110</w:t>
            </w:r>
          </w:p>
        </w:tc>
      </w:tr>
      <w:tr w:rsidR="00DC5CF9" w:rsidRPr="00302D42" w:rsidTr="00DC5CF9">
        <w:tc>
          <w:tcPr>
            <w:tcW w:w="6946" w:type="dxa"/>
            <w:tcBorders>
              <w:left w:val="single" w:sz="12" w:space="0" w:color="auto"/>
              <w:bottom w:val="single" w:sz="12" w:space="0" w:color="auto"/>
              <w:right w:val="single" w:sz="12" w:space="0" w:color="auto"/>
            </w:tcBorders>
            <w:shd w:val="clear" w:color="auto" w:fill="auto"/>
          </w:tcPr>
          <w:p w:rsidR="00DC5CF9" w:rsidRPr="00302D42" w:rsidRDefault="00DC5CF9" w:rsidP="00DC5CF9">
            <w:pPr>
              <w:ind w:left="360" w:hanging="360"/>
              <w:jc w:val="both"/>
              <w:rPr>
                <w:rFonts w:asciiTheme="minorHAnsi" w:hAnsiTheme="minorHAnsi" w:cstheme="minorHAnsi"/>
                <w:sz w:val="24"/>
                <w:szCs w:val="24"/>
              </w:rPr>
            </w:pPr>
            <w:r w:rsidRPr="00302D42">
              <w:rPr>
                <w:rFonts w:asciiTheme="minorHAnsi" w:hAnsiTheme="minorHAnsi" w:cstheme="minorHAnsi"/>
                <w:sz w:val="24"/>
                <w:szCs w:val="24"/>
              </w:rPr>
              <w:t>- z toho úspěšně</w:t>
            </w:r>
          </w:p>
        </w:tc>
        <w:tc>
          <w:tcPr>
            <w:tcW w:w="2268" w:type="dxa"/>
            <w:tcBorders>
              <w:left w:val="single" w:sz="12" w:space="0" w:color="auto"/>
              <w:bottom w:val="single" w:sz="12" w:space="0" w:color="auto"/>
              <w:right w:val="single" w:sz="12" w:space="0" w:color="auto"/>
            </w:tcBorders>
          </w:tcPr>
          <w:p w:rsidR="00DC5CF9" w:rsidRPr="00302D42" w:rsidRDefault="00DC5CF9" w:rsidP="00DC5CF9">
            <w:pPr>
              <w:jc w:val="center"/>
              <w:rPr>
                <w:rFonts w:asciiTheme="minorHAnsi" w:hAnsiTheme="minorHAnsi" w:cstheme="minorHAnsi"/>
                <w:sz w:val="24"/>
              </w:rPr>
            </w:pPr>
            <w:r w:rsidRPr="00302D42">
              <w:rPr>
                <w:rFonts w:asciiTheme="minorHAnsi" w:hAnsiTheme="minorHAnsi" w:cstheme="minorHAnsi"/>
                <w:sz w:val="24"/>
              </w:rPr>
              <w:t>103</w:t>
            </w:r>
          </w:p>
        </w:tc>
      </w:tr>
    </w:tbl>
    <w:p w:rsidR="00DC5CF9" w:rsidRPr="00302D42" w:rsidRDefault="00DC5CF9" w:rsidP="00DC5CF9">
      <w:pPr>
        <w:jc w:val="both"/>
        <w:rPr>
          <w:rFonts w:asciiTheme="minorHAnsi" w:hAnsiTheme="minorHAnsi" w:cstheme="minorHAnsi"/>
          <w:i/>
        </w:rPr>
      </w:pPr>
      <w:r w:rsidRPr="00302D42">
        <w:rPr>
          <w:rFonts w:asciiTheme="minorHAnsi" w:hAnsiTheme="minorHAnsi" w:cstheme="minorHAnsi"/>
          <w:i/>
        </w:rPr>
        <w:t>*) rekvalifikační kurzy, kurzy měkkých dovedností apod.</w:t>
      </w:r>
    </w:p>
    <w:p w:rsidR="00DC5CF9" w:rsidRPr="00302D42" w:rsidRDefault="00DC5CF9" w:rsidP="00DC5CF9">
      <w:pPr>
        <w:jc w:val="both"/>
        <w:rPr>
          <w:rFonts w:asciiTheme="minorHAnsi" w:hAnsiTheme="minorHAnsi" w:cstheme="minorHAnsi"/>
          <w:i/>
        </w:rPr>
      </w:pPr>
      <w:r w:rsidRPr="00302D42">
        <w:rPr>
          <w:rFonts w:asciiTheme="minorHAnsi" w:hAnsiTheme="minorHAnsi" w:cstheme="minorHAnsi"/>
          <w:i/>
        </w:rPr>
        <w:t>**) motivační kurzy, motivační programy, techniky hledání zaměstnání apod.</w:t>
      </w:r>
    </w:p>
    <w:p w:rsidR="00DC5CF9" w:rsidRDefault="00DC5CF9" w:rsidP="00DC5CF9">
      <w:pPr>
        <w:pStyle w:val="odsazen"/>
        <w:numPr>
          <w:ilvl w:val="0"/>
          <w:numId w:val="0"/>
        </w:numPr>
        <w:ind w:firstLine="708"/>
        <w:rPr>
          <w:rFonts w:asciiTheme="minorHAnsi" w:hAnsiTheme="minorHAnsi" w:cstheme="minorHAnsi"/>
          <w:b/>
        </w:rPr>
      </w:pPr>
    </w:p>
    <w:p w:rsidR="00DC5CF9" w:rsidRPr="00381F38" w:rsidRDefault="00DC5CF9" w:rsidP="00DC5CF9">
      <w:pPr>
        <w:pStyle w:val="odsazen"/>
        <w:numPr>
          <w:ilvl w:val="0"/>
          <w:numId w:val="0"/>
        </w:numPr>
        <w:ind w:firstLine="708"/>
        <w:rPr>
          <w:rFonts w:asciiTheme="minorHAnsi" w:hAnsiTheme="minorHAnsi" w:cstheme="minorHAnsi"/>
        </w:rPr>
      </w:pPr>
      <w:r w:rsidRPr="005166F5">
        <w:rPr>
          <w:rFonts w:asciiTheme="minorHAnsi" w:hAnsiTheme="minorHAnsi" w:cstheme="minorHAnsi"/>
          <w:b/>
        </w:rPr>
        <w:t>10 pro život</w:t>
      </w:r>
      <w:r w:rsidRPr="005166F5">
        <w:rPr>
          <w:rFonts w:asciiTheme="minorHAnsi" w:hAnsiTheme="minorHAnsi" w:cstheme="minorHAnsi"/>
        </w:rPr>
        <w:t xml:space="preserve"> - realizace projektu, jehož dodavatelem se stalo Sdružení C.P.A. (tvořeno s.</w:t>
      </w:r>
      <w:r>
        <w:rPr>
          <w:rFonts w:asciiTheme="minorHAnsi" w:hAnsiTheme="minorHAnsi" w:cstheme="minorHAnsi"/>
        </w:rPr>
        <w:t> </w:t>
      </w:r>
      <w:r w:rsidRPr="005166F5">
        <w:rPr>
          <w:rFonts w:asciiTheme="minorHAnsi" w:hAnsiTheme="minorHAnsi" w:cstheme="minorHAnsi"/>
        </w:rPr>
        <w:t>r. o. Počítačová a vzdělávací společnost Celkonscia a PMB-ZOS), probíhá pro uchazeče o</w:t>
      </w:r>
      <w:r>
        <w:rPr>
          <w:rFonts w:asciiTheme="minorHAnsi" w:hAnsiTheme="minorHAnsi" w:cstheme="minorHAnsi"/>
        </w:rPr>
        <w:t> </w:t>
      </w:r>
      <w:r w:rsidRPr="005166F5">
        <w:rPr>
          <w:rFonts w:asciiTheme="minorHAnsi" w:hAnsiTheme="minorHAnsi" w:cstheme="minorHAnsi"/>
        </w:rPr>
        <w:t>zaměstnání od září 2014 do května 2015. Hlavním cílem projektu, jehož rozpočet činí cca 21,7 mil. Kč je podpořit začlenění 180 nezaměstnaných osob se zdravotním postižením</w:t>
      </w:r>
      <w:r>
        <w:rPr>
          <w:rFonts w:asciiTheme="minorHAnsi" w:hAnsiTheme="minorHAnsi" w:cstheme="minorHAnsi"/>
        </w:rPr>
        <w:t xml:space="preserve">, </w:t>
      </w:r>
      <w:r w:rsidRPr="005166F5">
        <w:rPr>
          <w:rFonts w:asciiTheme="minorHAnsi" w:hAnsiTheme="minorHAnsi" w:cstheme="minorHAnsi"/>
        </w:rPr>
        <w:t xml:space="preserve">popřípadě zdravotním omezením, na trh práce a zvýšit jejich zaměstnatelnost. Projekt má zvýšit </w:t>
      </w:r>
      <w:r w:rsidRPr="006D52F7">
        <w:rPr>
          <w:rFonts w:asciiTheme="minorHAnsi" w:hAnsiTheme="minorHAnsi" w:cstheme="minorHAnsi"/>
        </w:rPr>
        <w:t xml:space="preserve">šance nezaměstnaných osob ze skupiny zdravotně handicapovaných občanů k nástupu do pracovního poměru, a to prostřednictvím široké nabídky služeb (individuální podpora, pracovní </w:t>
      </w:r>
      <w:r w:rsidRPr="00DC6734">
        <w:rPr>
          <w:rFonts w:asciiTheme="minorHAnsi" w:hAnsiTheme="minorHAnsi" w:cstheme="minorHAnsi"/>
        </w:rPr>
        <w:t xml:space="preserve">diagnostika, monitoring trhu práce, vyhledávání vhodných pracovních pozic, rekvalifikace, zprostředkování zaměstnání, podpora pracovních míst). Od zahájení </w:t>
      </w:r>
      <w:r>
        <w:rPr>
          <w:rFonts w:asciiTheme="minorHAnsi" w:hAnsiTheme="minorHAnsi" w:cstheme="minorHAnsi"/>
        </w:rPr>
        <w:t>do</w:t>
      </w:r>
      <w:r w:rsidRPr="00DC6734">
        <w:rPr>
          <w:rFonts w:asciiTheme="minorHAnsi" w:hAnsiTheme="minorHAnsi" w:cstheme="minorHAnsi"/>
        </w:rPr>
        <w:t xml:space="preserve"> 31.12.2014 bylo do projektu zařazeno již</w:t>
      </w:r>
      <w:r>
        <w:rPr>
          <w:rFonts w:asciiTheme="minorHAnsi" w:hAnsiTheme="minorHAnsi" w:cstheme="minorHAnsi"/>
        </w:rPr>
        <w:t xml:space="preserve"> celkem</w:t>
      </w:r>
      <w:r w:rsidRPr="00DC6734">
        <w:rPr>
          <w:rFonts w:asciiTheme="minorHAnsi" w:hAnsiTheme="minorHAnsi" w:cstheme="minorHAnsi"/>
        </w:rPr>
        <w:t xml:space="preserve"> 200 osob a účast ukončilo prozatím 34 účastníků, z toho 19 úspěšně. </w:t>
      </w:r>
    </w:p>
    <w:p w:rsidR="00DC5CF9" w:rsidRPr="00814493" w:rsidRDefault="00DC5CF9" w:rsidP="00DC5CF9">
      <w:pPr>
        <w:pStyle w:val="odsazen"/>
        <w:numPr>
          <w:ilvl w:val="0"/>
          <w:numId w:val="0"/>
        </w:numPr>
        <w:ind w:firstLine="708"/>
        <w:rPr>
          <w:rFonts w:asciiTheme="minorHAnsi" w:hAnsiTheme="minorHAnsi" w:cstheme="minorHAnsi"/>
        </w:rPr>
      </w:pPr>
    </w:p>
    <w:p w:rsidR="00DC5CF9" w:rsidRPr="00814493" w:rsidRDefault="00DC5CF9" w:rsidP="00DC5CF9">
      <w:pPr>
        <w:pStyle w:val="odsazen"/>
        <w:numPr>
          <w:ilvl w:val="0"/>
          <w:numId w:val="0"/>
        </w:numPr>
        <w:ind w:firstLine="709"/>
        <w:rPr>
          <w:rFonts w:asciiTheme="minorHAnsi" w:hAnsiTheme="minorHAnsi" w:cstheme="minorHAnsi"/>
        </w:rPr>
      </w:pPr>
      <w:r w:rsidRPr="00814493">
        <w:rPr>
          <w:rFonts w:asciiTheme="minorHAnsi" w:hAnsiTheme="minorHAnsi" w:cstheme="minorHAnsi"/>
          <w:b/>
        </w:rPr>
        <w:t>Příležitost dělá(t) zaměstnance</w:t>
      </w:r>
      <w:r w:rsidRPr="00814493">
        <w:rPr>
          <w:rFonts w:asciiTheme="minorHAnsi" w:hAnsiTheme="minorHAnsi" w:cstheme="minorHAnsi"/>
        </w:rPr>
        <w:t xml:space="preserve"> - projekt svou náplní přímo podporuje činnosti zaměřené na pomoc se zařazením do pracovního poměru osob, které žijí ve vyloučených lokalitách Moravskoslezského kraje a jsou postiženi sociálním vyloučením, stigmatizací a nezaměstnaností. Projekt si klade za cíl podpořit tyto osoby prostřednictvím cíleného využití komplexu služeb poradenství, motivace, rekvalifikace, terénní asistence a podpory pracovních míst. Jeho základním principem je poskytn</w:t>
      </w:r>
      <w:r>
        <w:rPr>
          <w:rFonts w:asciiTheme="minorHAnsi" w:hAnsiTheme="minorHAnsi" w:cstheme="minorHAnsi"/>
        </w:rPr>
        <w:t>o</w:t>
      </w:r>
      <w:r w:rsidRPr="00814493">
        <w:rPr>
          <w:rFonts w:asciiTheme="minorHAnsi" w:hAnsiTheme="minorHAnsi" w:cstheme="minorHAnsi"/>
        </w:rPr>
        <w:t xml:space="preserve">ut intenzivní individuální pomoc jak jednotlivcům, tak celým rodinám žijícím ve znevýhodněném prostředí sociálně vyloučených lokalit. </w:t>
      </w:r>
    </w:p>
    <w:p w:rsidR="00DC5CF9" w:rsidRPr="003534A8" w:rsidRDefault="00DC5CF9" w:rsidP="00DC5CF9">
      <w:pPr>
        <w:pStyle w:val="odsazen"/>
        <w:numPr>
          <w:ilvl w:val="0"/>
          <w:numId w:val="0"/>
        </w:numPr>
        <w:ind w:firstLine="709"/>
        <w:rPr>
          <w:rFonts w:asciiTheme="minorHAnsi" w:hAnsiTheme="minorHAnsi" w:cstheme="minorHAnsi"/>
        </w:rPr>
      </w:pPr>
      <w:r w:rsidRPr="003534A8">
        <w:rPr>
          <w:rFonts w:asciiTheme="minorHAnsi" w:hAnsiTheme="minorHAnsi" w:cstheme="minorHAnsi"/>
        </w:rPr>
        <w:t xml:space="preserve">Přestože měl být projekt realizován dodavatelsky, probíhá od </w:t>
      </w:r>
      <w:r>
        <w:rPr>
          <w:rFonts w:asciiTheme="minorHAnsi" w:hAnsiTheme="minorHAnsi" w:cstheme="minorHAnsi"/>
        </w:rPr>
        <w:t xml:space="preserve">listopadu </w:t>
      </w:r>
      <w:r w:rsidRPr="003534A8">
        <w:rPr>
          <w:rFonts w:asciiTheme="minorHAnsi" w:hAnsiTheme="minorHAnsi" w:cstheme="minorHAnsi"/>
        </w:rPr>
        <w:t xml:space="preserve">2014 jeho realizace </w:t>
      </w:r>
      <w:r>
        <w:rPr>
          <w:rFonts w:asciiTheme="minorHAnsi" w:hAnsiTheme="minorHAnsi" w:cstheme="minorHAnsi"/>
        </w:rPr>
        <w:t xml:space="preserve">vlastními silami, tj. </w:t>
      </w:r>
      <w:r w:rsidRPr="003534A8">
        <w:rPr>
          <w:rFonts w:asciiTheme="minorHAnsi" w:hAnsiTheme="minorHAnsi" w:cstheme="minorHAnsi"/>
        </w:rPr>
        <w:t xml:space="preserve">zaměstnanci referátu </w:t>
      </w:r>
      <w:r>
        <w:rPr>
          <w:rFonts w:asciiTheme="minorHAnsi" w:hAnsiTheme="minorHAnsi" w:cstheme="minorHAnsi"/>
        </w:rPr>
        <w:t xml:space="preserve">projektů </w:t>
      </w:r>
      <w:r w:rsidRPr="003534A8">
        <w:rPr>
          <w:rFonts w:asciiTheme="minorHAnsi" w:hAnsiTheme="minorHAnsi" w:cstheme="minorHAnsi"/>
        </w:rPr>
        <w:t>EU</w:t>
      </w:r>
      <w:r>
        <w:rPr>
          <w:rFonts w:asciiTheme="minorHAnsi" w:hAnsiTheme="minorHAnsi" w:cstheme="minorHAnsi"/>
        </w:rPr>
        <w:t xml:space="preserve"> KrP v Ostravě</w:t>
      </w:r>
      <w:r w:rsidRPr="003534A8">
        <w:rPr>
          <w:rFonts w:asciiTheme="minorHAnsi" w:hAnsiTheme="minorHAnsi" w:cstheme="minorHAnsi"/>
        </w:rPr>
        <w:t xml:space="preserve">. </w:t>
      </w:r>
    </w:p>
    <w:p w:rsidR="00DC5CF9" w:rsidRPr="003534A8" w:rsidRDefault="00DC5CF9" w:rsidP="00DC5CF9">
      <w:pPr>
        <w:pStyle w:val="odsazen"/>
        <w:numPr>
          <w:ilvl w:val="0"/>
          <w:numId w:val="0"/>
        </w:numPr>
        <w:ind w:left="360" w:hanging="360"/>
        <w:rPr>
          <w:rFonts w:asciiTheme="minorHAnsi" w:hAnsiTheme="minorHAnsi" w:cstheme="minorHAnsi"/>
        </w:rPr>
      </w:pPr>
    </w:p>
    <w:p w:rsidR="00DC5CF9" w:rsidRPr="007905A3" w:rsidRDefault="00DC5CF9" w:rsidP="00DC5CF9">
      <w:pPr>
        <w:pStyle w:val="Zkladntext"/>
        <w:spacing w:after="0"/>
        <w:rPr>
          <w:rFonts w:asciiTheme="minorHAnsi" w:hAnsiTheme="minorHAnsi" w:cstheme="minorHAnsi"/>
          <w:sz w:val="24"/>
          <w:szCs w:val="24"/>
        </w:rPr>
      </w:pPr>
      <w:r w:rsidRPr="007905A3">
        <w:rPr>
          <w:rFonts w:asciiTheme="minorHAnsi" w:hAnsiTheme="minorHAnsi" w:cstheme="minorHAnsi"/>
          <w:b/>
          <w:sz w:val="24"/>
          <w:szCs w:val="24"/>
        </w:rPr>
        <w:t>Tabulka V/1</w:t>
      </w:r>
      <w:r>
        <w:rPr>
          <w:rFonts w:asciiTheme="minorHAnsi" w:hAnsiTheme="minorHAnsi" w:cstheme="minorHAnsi"/>
          <w:b/>
          <w:sz w:val="24"/>
          <w:szCs w:val="24"/>
        </w:rPr>
        <w:t>1</w:t>
      </w:r>
      <w:r w:rsidRPr="007905A3">
        <w:rPr>
          <w:rFonts w:asciiTheme="minorHAnsi" w:hAnsiTheme="minorHAnsi" w:cstheme="minorHAnsi"/>
          <w:b/>
          <w:sz w:val="24"/>
          <w:szCs w:val="24"/>
        </w:rPr>
        <w:t xml:space="preserve"> </w:t>
      </w:r>
      <w:r w:rsidRPr="00454369">
        <w:rPr>
          <w:rFonts w:asciiTheme="minorHAnsi" w:hAnsiTheme="minorHAnsi" w:cstheme="minorHAnsi"/>
          <w:sz w:val="24"/>
          <w:szCs w:val="24"/>
        </w:rPr>
        <w:t xml:space="preserve">- </w:t>
      </w:r>
      <w:r w:rsidRPr="007905A3">
        <w:rPr>
          <w:rFonts w:asciiTheme="minorHAnsi" w:hAnsiTheme="minorHAnsi" w:cstheme="minorHAnsi"/>
          <w:sz w:val="24"/>
          <w:szCs w:val="24"/>
        </w:rPr>
        <w:t>Realizace RIP - Příležitost dělá(t) zaměstnance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268"/>
      </w:tblGrid>
      <w:tr w:rsidR="00DC5CF9" w:rsidRPr="007905A3" w:rsidTr="00DC5CF9">
        <w:trPr>
          <w:trHeight w:val="390"/>
        </w:trPr>
        <w:tc>
          <w:tcPr>
            <w:tcW w:w="6946" w:type="dxa"/>
            <w:tcBorders>
              <w:top w:val="single" w:sz="12" w:space="0" w:color="auto"/>
              <w:left w:val="single" w:sz="12" w:space="0" w:color="auto"/>
              <w:bottom w:val="single" w:sz="12" w:space="0" w:color="auto"/>
              <w:right w:val="single" w:sz="12" w:space="0" w:color="auto"/>
            </w:tcBorders>
            <w:shd w:val="clear" w:color="auto" w:fill="auto"/>
            <w:vAlign w:val="center"/>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ukazatel</w:t>
            </w:r>
          </w:p>
        </w:tc>
        <w:tc>
          <w:tcPr>
            <w:tcW w:w="2268" w:type="dxa"/>
            <w:tcBorders>
              <w:top w:val="single" w:sz="12" w:space="0" w:color="auto"/>
              <w:left w:val="single" w:sz="12" w:space="0" w:color="auto"/>
              <w:bottom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za cel</w:t>
            </w:r>
            <w:r>
              <w:rPr>
                <w:rFonts w:asciiTheme="minorHAnsi" w:hAnsiTheme="minorHAnsi" w:cstheme="minorHAnsi"/>
              </w:rPr>
              <w:t>é období</w:t>
            </w:r>
            <w:r w:rsidRPr="007905A3">
              <w:rPr>
                <w:rFonts w:asciiTheme="minorHAnsi" w:hAnsiTheme="minorHAnsi" w:cstheme="minorHAnsi"/>
              </w:rPr>
              <w:t xml:space="preserve"> projekt</w:t>
            </w:r>
            <w:r>
              <w:rPr>
                <w:rFonts w:asciiTheme="minorHAnsi" w:hAnsiTheme="minorHAnsi" w:cstheme="minorHAnsi"/>
              </w:rPr>
              <w:t>u</w:t>
            </w:r>
          </w:p>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stav k 31.12.2014</w:t>
            </w:r>
          </w:p>
        </w:tc>
      </w:tr>
      <w:tr w:rsidR="00DC5CF9" w:rsidRPr="007905A3" w:rsidTr="00DC5CF9">
        <w:trPr>
          <w:trHeight w:val="50"/>
        </w:trPr>
        <w:tc>
          <w:tcPr>
            <w:tcW w:w="6946" w:type="dxa"/>
            <w:tcBorders>
              <w:top w:val="single" w:sz="12" w:space="0" w:color="auto"/>
              <w:left w:val="single" w:sz="12" w:space="0" w:color="auto"/>
              <w:right w:val="single" w:sz="12" w:space="0" w:color="auto"/>
            </w:tcBorders>
            <w:shd w:val="clear" w:color="auto" w:fill="auto"/>
          </w:tcPr>
          <w:p w:rsidR="00DC5CF9" w:rsidRPr="007905A3" w:rsidRDefault="00DC5CF9" w:rsidP="00DC5CF9">
            <w:pPr>
              <w:pStyle w:val="odsazen"/>
              <w:numPr>
                <w:ilvl w:val="0"/>
                <w:numId w:val="0"/>
              </w:numPr>
              <w:rPr>
                <w:rFonts w:asciiTheme="minorHAnsi" w:hAnsiTheme="minorHAnsi" w:cstheme="minorHAnsi"/>
              </w:rPr>
            </w:pPr>
            <w:r w:rsidRPr="007905A3">
              <w:rPr>
                <w:rFonts w:asciiTheme="minorHAnsi" w:hAnsiTheme="minorHAnsi" w:cstheme="minorHAnsi"/>
              </w:rPr>
              <w:t>UoZ/ZoZ zařazení do projektu</w:t>
            </w:r>
          </w:p>
        </w:tc>
        <w:tc>
          <w:tcPr>
            <w:tcW w:w="2268" w:type="dxa"/>
            <w:tcBorders>
              <w:top w:val="single" w:sz="12" w:space="0" w:color="auto"/>
              <w:left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142</w:t>
            </w:r>
          </w:p>
        </w:tc>
      </w:tr>
      <w:tr w:rsidR="00DC5CF9" w:rsidRPr="007905A3" w:rsidTr="00DC5CF9">
        <w:tc>
          <w:tcPr>
            <w:tcW w:w="6946" w:type="dxa"/>
            <w:tcBorders>
              <w:left w:val="single" w:sz="12" w:space="0" w:color="auto"/>
              <w:right w:val="single" w:sz="12" w:space="0" w:color="auto"/>
            </w:tcBorders>
            <w:shd w:val="clear" w:color="auto" w:fill="auto"/>
          </w:tcPr>
          <w:p w:rsidR="00DC5CF9" w:rsidRPr="007905A3" w:rsidRDefault="00DC5CF9" w:rsidP="00DC5CF9">
            <w:pPr>
              <w:pStyle w:val="odsazen"/>
              <w:numPr>
                <w:ilvl w:val="0"/>
                <w:numId w:val="0"/>
              </w:numPr>
              <w:jc w:val="left"/>
              <w:rPr>
                <w:rFonts w:asciiTheme="minorHAnsi" w:hAnsiTheme="minorHAnsi" w:cstheme="minorHAnsi"/>
              </w:rPr>
            </w:pPr>
            <w:r w:rsidRPr="007905A3">
              <w:rPr>
                <w:rFonts w:asciiTheme="minorHAnsi" w:hAnsiTheme="minorHAnsi" w:cstheme="minorHAnsi"/>
              </w:rPr>
              <w:t>UoZ/ZoZ, kteří nastoupili do PP (plný i zkrác</w:t>
            </w:r>
            <w:r>
              <w:rPr>
                <w:rFonts w:asciiTheme="minorHAnsi" w:hAnsiTheme="minorHAnsi" w:cstheme="minorHAnsi"/>
              </w:rPr>
              <w:t>ený</w:t>
            </w:r>
            <w:r w:rsidRPr="007905A3">
              <w:rPr>
                <w:rFonts w:asciiTheme="minorHAnsi" w:hAnsiTheme="minorHAnsi" w:cstheme="minorHAnsi"/>
              </w:rPr>
              <w:t xml:space="preserve"> úvazek)</w:t>
            </w:r>
          </w:p>
        </w:tc>
        <w:tc>
          <w:tcPr>
            <w:tcW w:w="2268" w:type="dxa"/>
            <w:tcBorders>
              <w:left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18</w:t>
            </w:r>
          </w:p>
        </w:tc>
      </w:tr>
      <w:tr w:rsidR="00DC5CF9" w:rsidRPr="007905A3" w:rsidTr="00DC5CF9">
        <w:tc>
          <w:tcPr>
            <w:tcW w:w="6946" w:type="dxa"/>
            <w:tcBorders>
              <w:left w:val="single" w:sz="12" w:space="0" w:color="auto"/>
              <w:right w:val="single" w:sz="12" w:space="0" w:color="auto"/>
            </w:tcBorders>
            <w:shd w:val="clear" w:color="auto" w:fill="auto"/>
          </w:tcPr>
          <w:p w:rsidR="00DC5CF9" w:rsidRPr="007905A3" w:rsidRDefault="00DC5CF9" w:rsidP="00DC5CF9">
            <w:pPr>
              <w:pStyle w:val="odsazen"/>
              <w:numPr>
                <w:ilvl w:val="0"/>
                <w:numId w:val="0"/>
              </w:numPr>
              <w:ind w:left="360" w:hanging="360"/>
              <w:rPr>
                <w:rFonts w:asciiTheme="minorHAnsi" w:hAnsiTheme="minorHAnsi" w:cstheme="minorHAnsi"/>
              </w:rPr>
            </w:pPr>
            <w:r w:rsidRPr="007905A3">
              <w:rPr>
                <w:rFonts w:asciiTheme="minorHAnsi" w:hAnsiTheme="minorHAnsi" w:cstheme="minorHAnsi"/>
              </w:rPr>
              <w:t>- z toho počet PM se mzdovým příspěvkem</w:t>
            </w:r>
          </w:p>
        </w:tc>
        <w:tc>
          <w:tcPr>
            <w:tcW w:w="2268" w:type="dxa"/>
            <w:tcBorders>
              <w:left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17</w:t>
            </w:r>
          </w:p>
        </w:tc>
      </w:tr>
      <w:tr w:rsidR="00DC5CF9" w:rsidRPr="007905A3" w:rsidTr="00DC5CF9">
        <w:tc>
          <w:tcPr>
            <w:tcW w:w="6946" w:type="dxa"/>
            <w:tcBorders>
              <w:top w:val="single" w:sz="12" w:space="0" w:color="auto"/>
              <w:left w:val="single" w:sz="12" w:space="0" w:color="auto"/>
              <w:right w:val="single" w:sz="12" w:space="0" w:color="auto"/>
            </w:tcBorders>
            <w:shd w:val="clear" w:color="auto" w:fill="auto"/>
          </w:tcPr>
          <w:p w:rsidR="00DC5CF9" w:rsidRPr="007905A3" w:rsidRDefault="00DC5CF9" w:rsidP="00DC5CF9">
            <w:pPr>
              <w:pStyle w:val="odsazen"/>
              <w:numPr>
                <w:ilvl w:val="0"/>
                <w:numId w:val="0"/>
              </w:numPr>
              <w:rPr>
                <w:rFonts w:asciiTheme="minorHAnsi" w:hAnsiTheme="minorHAnsi" w:cstheme="minorHAnsi"/>
              </w:rPr>
            </w:pPr>
            <w:r w:rsidRPr="007905A3">
              <w:rPr>
                <w:rFonts w:asciiTheme="minorHAnsi" w:hAnsiTheme="minorHAnsi" w:cstheme="minorHAnsi"/>
              </w:rPr>
              <w:t>UoZ/ZoZ zařazení do školících aktivit</w:t>
            </w:r>
            <w:r w:rsidRPr="007905A3">
              <w:rPr>
                <w:rFonts w:asciiTheme="minorHAnsi" w:hAnsiTheme="minorHAnsi" w:cstheme="minorHAnsi"/>
                <w:vertAlign w:val="superscript"/>
              </w:rPr>
              <w:t>*)</w:t>
            </w:r>
          </w:p>
        </w:tc>
        <w:tc>
          <w:tcPr>
            <w:tcW w:w="2268" w:type="dxa"/>
            <w:tcBorders>
              <w:top w:val="single" w:sz="12" w:space="0" w:color="auto"/>
              <w:left w:val="single" w:sz="12" w:space="0" w:color="auto"/>
              <w:right w:val="single" w:sz="12" w:space="0" w:color="auto"/>
            </w:tcBorders>
            <w:vAlign w:val="center"/>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3</w:t>
            </w:r>
          </w:p>
        </w:tc>
      </w:tr>
      <w:tr w:rsidR="00DC5CF9" w:rsidRPr="007905A3" w:rsidTr="00DC5CF9">
        <w:tc>
          <w:tcPr>
            <w:tcW w:w="6946" w:type="dxa"/>
            <w:tcBorders>
              <w:left w:val="single" w:sz="12" w:space="0" w:color="auto"/>
              <w:right w:val="single" w:sz="12" w:space="0" w:color="auto"/>
            </w:tcBorders>
            <w:shd w:val="clear" w:color="auto" w:fill="auto"/>
          </w:tcPr>
          <w:p w:rsidR="00DC5CF9" w:rsidRPr="007905A3" w:rsidRDefault="00DC5CF9" w:rsidP="00DC5CF9">
            <w:pPr>
              <w:pStyle w:val="odsazen"/>
              <w:numPr>
                <w:ilvl w:val="0"/>
                <w:numId w:val="0"/>
              </w:numPr>
              <w:jc w:val="left"/>
              <w:rPr>
                <w:rFonts w:asciiTheme="minorHAnsi" w:hAnsiTheme="minorHAnsi" w:cstheme="minorHAnsi"/>
              </w:rPr>
            </w:pPr>
            <w:r w:rsidRPr="007905A3">
              <w:rPr>
                <w:rFonts w:asciiTheme="minorHAnsi" w:hAnsiTheme="minorHAnsi" w:cstheme="minorHAnsi"/>
              </w:rPr>
              <w:t>UoZ/ZoZ, kteří ukončili školící aktivity</w:t>
            </w:r>
          </w:p>
        </w:tc>
        <w:tc>
          <w:tcPr>
            <w:tcW w:w="2268" w:type="dxa"/>
            <w:tcBorders>
              <w:left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0</w:t>
            </w:r>
          </w:p>
        </w:tc>
      </w:tr>
      <w:tr w:rsidR="00DC5CF9" w:rsidRPr="007905A3" w:rsidTr="00DC5CF9">
        <w:tc>
          <w:tcPr>
            <w:tcW w:w="6946" w:type="dxa"/>
            <w:tcBorders>
              <w:left w:val="single" w:sz="12" w:space="0" w:color="auto"/>
              <w:bottom w:val="single" w:sz="12" w:space="0" w:color="auto"/>
              <w:right w:val="single" w:sz="12" w:space="0" w:color="auto"/>
            </w:tcBorders>
            <w:shd w:val="clear" w:color="auto" w:fill="auto"/>
          </w:tcPr>
          <w:p w:rsidR="00DC5CF9" w:rsidRPr="007905A3" w:rsidRDefault="00DC5CF9" w:rsidP="00DC5CF9">
            <w:pPr>
              <w:pStyle w:val="odsazen"/>
              <w:numPr>
                <w:ilvl w:val="0"/>
                <w:numId w:val="0"/>
              </w:numPr>
              <w:ind w:left="360" w:hanging="360"/>
              <w:rPr>
                <w:rFonts w:asciiTheme="minorHAnsi" w:hAnsiTheme="minorHAnsi" w:cstheme="minorHAnsi"/>
              </w:rPr>
            </w:pPr>
            <w:r w:rsidRPr="007905A3">
              <w:rPr>
                <w:rFonts w:asciiTheme="minorHAnsi" w:hAnsiTheme="minorHAnsi" w:cstheme="minorHAnsi"/>
              </w:rPr>
              <w:t>- z toho úspěšně</w:t>
            </w:r>
          </w:p>
        </w:tc>
        <w:tc>
          <w:tcPr>
            <w:tcW w:w="2268" w:type="dxa"/>
            <w:tcBorders>
              <w:left w:val="single" w:sz="12" w:space="0" w:color="auto"/>
              <w:bottom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0</w:t>
            </w:r>
          </w:p>
        </w:tc>
      </w:tr>
      <w:tr w:rsidR="00DC5CF9" w:rsidRPr="007905A3" w:rsidTr="00DC5CF9">
        <w:tc>
          <w:tcPr>
            <w:tcW w:w="6946" w:type="dxa"/>
            <w:tcBorders>
              <w:top w:val="single" w:sz="12" w:space="0" w:color="auto"/>
              <w:left w:val="single" w:sz="12" w:space="0" w:color="auto"/>
              <w:right w:val="single" w:sz="12" w:space="0" w:color="auto"/>
            </w:tcBorders>
            <w:shd w:val="clear" w:color="auto" w:fill="auto"/>
          </w:tcPr>
          <w:p w:rsidR="00DC5CF9" w:rsidRPr="007905A3" w:rsidRDefault="00DC5CF9" w:rsidP="00DC5CF9">
            <w:pPr>
              <w:pStyle w:val="odsazen"/>
              <w:numPr>
                <w:ilvl w:val="0"/>
                <w:numId w:val="0"/>
              </w:numPr>
              <w:rPr>
                <w:rFonts w:asciiTheme="minorHAnsi" w:hAnsiTheme="minorHAnsi" w:cstheme="minorHAnsi"/>
                <w:szCs w:val="24"/>
              </w:rPr>
            </w:pPr>
            <w:r w:rsidRPr="007905A3">
              <w:rPr>
                <w:rFonts w:asciiTheme="minorHAnsi" w:hAnsiTheme="minorHAnsi" w:cstheme="minorHAnsi"/>
                <w:szCs w:val="24"/>
              </w:rPr>
              <w:t>UoZ/ZoZ zařazení do motivačních aktivit</w:t>
            </w:r>
            <w:r w:rsidRPr="007905A3">
              <w:rPr>
                <w:rFonts w:asciiTheme="minorHAnsi" w:hAnsiTheme="minorHAnsi" w:cstheme="minorHAnsi"/>
                <w:szCs w:val="24"/>
                <w:vertAlign w:val="superscript"/>
              </w:rPr>
              <w:t>**)</w:t>
            </w:r>
          </w:p>
        </w:tc>
        <w:tc>
          <w:tcPr>
            <w:tcW w:w="2268" w:type="dxa"/>
            <w:tcBorders>
              <w:top w:val="single" w:sz="12" w:space="0" w:color="auto"/>
              <w:left w:val="single" w:sz="12" w:space="0" w:color="auto"/>
              <w:right w:val="single" w:sz="12" w:space="0" w:color="auto"/>
            </w:tcBorders>
            <w:vAlign w:val="center"/>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110</w:t>
            </w:r>
          </w:p>
        </w:tc>
      </w:tr>
      <w:tr w:rsidR="00DC5CF9" w:rsidRPr="007905A3" w:rsidTr="00DC5CF9">
        <w:tc>
          <w:tcPr>
            <w:tcW w:w="6946" w:type="dxa"/>
            <w:tcBorders>
              <w:left w:val="single" w:sz="12" w:space="0" w:color="auto"/>
              <w:bottom w:val="single" w:sz="4" w:space="0" w:color="auto"/>
              <w:right w:val="single" w:sz="12" w:space="0" w:color="auto"/>
            </w:tcBorders>
            <w:shd w:val="clear" w:color="auto" w:fill="auto"/>
          </w:tcPr>
          <w:p w:rsidR="00DC5CF9" w:rsidRPr="007905A3" w:rsidRDefault="00DC5CF9" w:rsidP="00DC5CF9">
            <w:pPr>
              <w:pStyle w:val="odsazen"/>
              <w:numPr>
                <w:ilvl w:val="0"/>
                <w:numId w:val="0"/>
              </w:numPr>
              <w:jc w:val="left"/>
              <w:rPr>
                <w:rFonts w:asciiTheme="minorHAnsi" w:hAnsiTheme="minorHAnsi" w:cstheme="minorHAnsi"/>
                <w:szCs w:val="24"/>
              </w:rPr>
            </w:pPr>
            <w:r w:rsidRPr="007905A3">
              <w:rPr>
                <w:rFonts w:asciiTheme="minorHAnsi" w:hAnsiTheme="minorHAnsi" w:cstheme="minorHAnsi"/>
              </w:rPr>
              <w:t>UoZ/ZoZ, kteří ukončili motivační aktivity</w:t>
            </w:r>
          </w:p>
        </w:tc>
        <w:tc>
          <w:tcPr>
            <w:tcW w:w="2268" w:type="dxa"/>
            <w:tcBorders>
              <w:left w:val="single" w:sz="12" w:space="0" w:color="auto"/>
              <w:bottom w:val="single" w:sz="4"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110</w:t>
            </w:r>
          </w:p>
        </w:tc>
      </w:tr>
      <w:tr w:rsidR="00DC5CF9" w:rsidRPr="007905A3" w:rsidTr="00DC5CF9">
        <w:tc>
          <w:tcPr>
            <w:tcW w:w="6946" w:type="dxa"/>
            <w:tcBorders>
              <w:left w:val="single" w:sz="12" w:space="0" w:color="auto"/>
              <w:bottom w:val="single" w:sz="12" w:space="0" w:color="auto"/>
              <w:right w:val="single" w:sz="12" w:space="0" w:color="auto"/>
            </w:tcBorders>
            <w:shd w:val="clear" w:color="auto" w:fill="auto"/>
          </w:tcPr>
          <w:p w:rsidR="00DC5CF9" w:rsidRPr="007905A3" w:rsidRDefault="00DC5CF9" w:rsidP="00DC5CF9">
            <w:pPr>
              <w:pStyle w:val="odsazen"/>
              <w:numPr>
                <w:ilvl w:val="0"/>
                <w:numId w:val="0"/>
              </w:numPr>
              <w:ind w:left="360" w:hanging="360"/>
              <w:rPr>
                <w:rFonts w:asciiTheme="minorHAnsi" w:hAnsiTheme="minorHAnsi" w:cstheme="minorHAnsi"/>
                <w:szCs w:val="24"/>
              </w:rPr>
            </w:pPr>
            <w:r w:rsidRPr="007905A3">
              <w:rPr>
                <w:rFonts w:asciiTheme="minorHAnsi" w:hAnsiTheme="minorHAnsi" w:cstheme="minorHAnsi"/>
                <w:szCs w:val="24"/>
              </w:rPr>
              <w:t>- z toho úspěšně</w:t>
            </w:r>
          </w:p>
        </w:tc>
        <w:tc>
          <w:tcPr>
            <w:tcW w:w="2268" w:type="dxa"/>
            <w:tcBorders>
              <w:left w:val="single" w:sz="12" w:space="0" w:color="auto"/>
              <w:bottom w:val="single" w:sz="12" w:space="0" w:color="auto"/>
              <w:right w:val="single" w:sz="12" w:space="0" w:color="auto"/>
            </w:tcBorders>
          </w:tcPr>
          <w:p w:rsidR="00DC5CF9" w:rsidRPr="007905A3" w:rsidRDefault="00DC5CF9" w:rsidP="00DC5CF9">
            <w:pPr>
              <w:pStyle w:val="odsazen"/>
              <w:numPr>
                <w:ilvl w:val="0"/>
                <w:numId w:val="0"/>
              </w:numPr>
              <w:jc w:val="center"/>
              <w:rPr>
                <w:rFonts w:asciiTheme="minorHAnsi" w:hAnsiTheme="minorHAnsi" w:cstheme="minorHAnsi"/>
              </w:rPr>
            </w:pPr>
            <w:r w:rsidRPr="007905A3">
              <w:rPr>
                <w:rFonts w:asciiTheme="minorHAnsi" w:hAnsiTheme="minorHAnsi" w:cstheme="minorHAnsi"/>
              </w:rPr>
              <w:t>105</w:t>
            </w:r>
          </w:p>
        </w:tc>
      </w:tr>
    </w:tbl>
    <w:p w:rsidR="00DC5CF9" w:rsidRPr="007905A3" w:rsidRDefault="00DC5CF9" w:rsidP="00DC5CF9">
      <w:pPr>
        <w:pStyle w:val="odsazen"/>
        <w:numPr>
          <w:ilvl w:val="0"/>
          <w:numId w:val="0"/>
        </w:numPr>
        <w:rPr>
          <w:rFonts w:asciiTheme="minorHAnsi" w:hAnsiTheme="minorHAnsi" w:cstheme="minorHAnsi"/>
          <w:i/>
          <w:sz w:val="20"/>
        </w:rPr>
      </w:pPr>
      <w:r w:rsidRPr="007905A3">
        <w:rPr>
          <w:rFonts w:asciiTheme="minorHAnsi" w:hAnsiTheme="minorHAnsi" w:cstheme="minorHAnsi"/>
          <w:i/>
          <w:sz w:val="20"/>
        </w:rPr>
        <w:t>*) rekvalifikační kurzy, kurzy měkkých dovedností apod.</w:t>
      </w:r>
    </w:p>
    <w:p w:rsidR="00DC5CF9" w:rsidRPr="007905A3" w:rsidRDefault="00DC5CF9" w:rsidP="00DC5CF9">
      <w:pPr>
        <w:pStyle w:val="odsazen"/>
        <w:numPr>
          <w:ilvl w:val="0"/>
          <w:numId w:val="0"/>
        </w:numPr>
        <w:rPr>
          <w:rFonts w:asciiTheme="minorHAnsi" w:hAnsiTheme="minorHAnsi" w:cstheme="minorHAnsi"/>
          <w:i/>
          <w:sz w:val="20"/>
        </w:rPr>
      </w:pPr>
      <w:r w:rsidRPr="007905A3">
        <w:rPr>
          <w:rFonts w:asciiTheme="minorHAnsi" w:hAnsiTheme="minorHAnsi" w:cstheme="minorHAnsi"/>
          <w:i/>
          <w:sz w:val="20"/>
        </w:rPr>
        <w:t>**) motivační kurzy, motivační programy, techniky hledání zaměstnání apod.</w:t>
      </w:r>
    </w:p>
    <w:p w:rsidR="00DC5CF9" w:rsidRPr="003534A8" w:rsidRDefault="00DC5CF9" w:rsidP="00DC5CF9">
      <w:pPr>
        <w:pStyle w:val="odsazen"/>
        <w:numPr>
          <w:ilvl w:val="0"/>
          <w:numId w:val="0"/>
        </w:numPr>
        <w:ind w:firstLine="709"/>
        <w:rPr>
          <w:rFonts w:asciiTheme="minorHAnsi" w:hAnsiTheme="minorHAnsi" w:cstheme="minorHAnsi"/>
        </w:rPr>
      </w:pPr>
    </w:p>
    <w:p w:rsidR="00DC5CF9" w:rsidRPr="003534A8" w:rsidRDefault="00DC5CF9" w:rsidP="00DC5CF9">
      <w:pPr>
        <w:pStyle w:val="odsazen"/>
        <w:numPr>
          <w:ilvl w:val="0"/>
          <w:numId w:val="0"/>
        </w:numPr>
        <w:ind w:left="360" w:hanging="360"/>
        <w:rPr>
          <w:rFonts w:asciiTheme="minorHAnsi" w:hAnsiTheme="minorHAnsi" w:cstheme="minorHAnsi"/>
          <w:b/>
          <w:i/>
        </w:rPr>
      </w:pPr>
      <w:r w:rsidRPr="003534A8">
        <w:rPr>
          <w:rFonts w:asciiTheme="minorHAnsi" w:hAnsiTheme="minorHAnsi" w:cstheme="minorHAnsi"/>
          <w:b/>
          <w:i/>
        </w:rPr>
        <w:t>4.2 RIP zaměřené na zaměstnavatele, resp. jejich zaměstnance</w:t>
      </w:r>
    </w:p>
    <w:p w:rsidR="00DC5CF9" w:rsidRPr="003534A8" w:rsidRDefault="00DC5CF9" w:rsidP="00DC5CF9">
      <w:pPr>
        <w:pStyle w:val="odsazen"/>
        <w:numPr>
          <w:ilvl w:val="0"/>
          <w:numId w:val="0"/>
        </w:numPr>
        <w:ind w:firstLine="708"/>
        <w:rPr>
          <w:rFonts w:asciiTheme="minorHAnsi" w:hAnsiTheme="minorHAnsi" w:cstheme="minorHAnsi"/>
        </w:rPr>
      </w:pPr>
    </w:p>
    <w:p w:rsidR="00DC5CF9" w:rsidRPr="003534A8" w:rsidRDefault="00DC5CF9" w:rsidP="00DC5CF9">
      <w:pPr>
        <w:pStyle w:val="odsazen"/>
        <w:numPr>
          <w:ilvl w:val="0"/>
          <w:numId w:val="0"/>
        </w:numPr>
        <w:ind w:firstLine="708"/>
        <w:rPr>
          <w:rFonts w:asciiTheme="minorHAnsi" w:hAnsiTheme="minorHAnsi" w:cstheme="minorHAnsi"/>
        </w:rPr>
      </w:pPr>
      <w:r w:rsidRPr="003534A8">
        <w:rPr>
          <w:rFonts w:asciiTheme="minorHAnsi" w:hAnsiTheme="minorHAnsi" w:cstheme="minorHAnsi"/>
          <w:b/>
        </w:rPr>
        <w:t>V rámci oblasti podpory 1.1 byly připraveny dva projekty</w:t>
      </w:r>
      <w:r w:rsidRPr="003534A8">
        <w:rPr>
          <w:rFonts w:asciiTheme="minorHAnsi" w:hAnsiTheme="minorHAnsi" w:cstheme="minorHAnsi"/>
        </w:rPr>
        <w:t xml:space="preserve"> zaměřené na vzdělávání zaměstnanců - Vzdělávejte se pro růst! - Moravskoslezský kraj (květ</w:t>
      </w:r>
      <w:r>
        <w:rPr>
          <w:rFonts w:asciiTheme="minorHAnsi" w:hAnsiTheme="minorHAnsi" w:cstheme="minorHAnsi"/>
        </w:rPr>
        <w:t>e</w:t>
      </w:r>
      <w:r w:rsidRPr="003534A8">
        <w:rPr>
          <w:rFonts w:asciiTheme="minorHAnsi" w:hAnsiTheme="minorHAnsi" w:cstheme="minorHAnsi"/>
        </w:rPr>
        <w:t>n 2012</w:t>
      </w:r>
      <w:r>
        <w:rPr>
          <w:rFonts w:asciiTheme="minorHAnsi" w:hAnsiTheme="minorHAnsi" w:cstheme="minorHAnsi"/>
        </w:rPr>
        <w:t xml:space="preserve"> - duben 2014</w:t>
      </w:r>
      <w:r w:rsidRPr="003534A8">
        <w:rPr>
          <w:rFonts w:asciiTheme="minorHAnsi" w:hAnsiTheme="minorHAnsi" w:cstheme="minorHAnsi"/>
        </w:rPr>
        <w:t>) a Vzdělávejte se pro růst v MSK II (srp</w:t>
      </w:r>
      <w:r>
        <w:rPr>
          <w:rFonts w:asciiTheme="minorHAnsi" w:hAnsiTheme="minorHAnsi" w:cstheme="minorHAnsi"/>
        </w:rPr>
        <w:t>e</w:t>
      </w:r>
      <w:r w:rsidRPr="003534A8">
        <w:rPr>
          <w:rFonts w:asciiTheme="minorHAnsi" w:hAnsiTheme="minorHAnsi" w:cstheme="minorHAnsi"/>
        </w:rPr>
        <w:t>n 2013</w:t>
      </w:r>
      <w:r>
        <w:rPr>
          <w:rFonts w:asciiTheme="minorHAnsi" w:hAnsiTheme="minorHAnsi" w:cstheme="minorHAnsi"/>
        </w:rPr>
        <w:t xml:space="preserve"> - říjen 2015</w:t>
      </w:r>
      <w:r w:rsidRPr="003534A8">
        <w:rPr>
          <w:rFonts w:asciiTheme="minorHAnsi" w:hAnsiTheme="minorHAnsi" w:cstheme="minorHAnsi"/>
        </w:rPr>
        <w:t>).</w:t>
      </w:r>
    </w:p>
    <w:p w:rsidR="00DC5CF9" w:rsidRPr="003534A8" w:rsidRDefault="00DC5CF9" w:rsidP="00DC5CF9">
      <w:pPr>
        <w:pStyle w:val="odsazen"/>
        <w:numPr>
          <w:ilvl w:val="0"/>
          <w:numId w:val="0"/>
        </w:numPr>
        <w:ind w:firstLine="1069"/>
        <w:rPr>
          <w:rFonts w:asciiTheme="minorHAnsi" w:hAnsiTheme="minorHAnsi" w:cstheme="minorHAnsi"/>
        </w:rPr>
      </w:pPr>
    </w:p>
    <w:p w:rsidR="00DC5CF9" w:rsidRPr="003534A8" w:rsidRDefault="00DC5CF9" w:rsidP="00DC5CF9">
      <w:pPr>
        <w:pStyle w:val="odsazen"/>
        <w:numPr>
          <w:ilvl w:val="0"/>
          <w:numId w:val="0"/>
        </w:numPr>
        <w:ind w:left="360" w:hanging="360"/>
        <w:rPr>
          <w:rFonts w:asciiTheme="minorHAnsi" w:hAnsiTheme="minorHAnsi" w:cstheme="minorHAnsi"/>
          <w:b/>
          <w:u w:val="single"/>
        </w:rPr>
      </w:pPr>
      <w:r w:rsidRPr="003534A8">
        <w:rPr>
          <w:rFonts w:asciiTheme="minorHAnsi" w:hAnsiTheme="minorHAnsi" w:cstheme="minorHAnsi"/>
          <w:b/>
          <w:u w:val="single"/>
        </w:rPr>
        <w:t>Projekty, jejichž realizace probíhala v roce 2014</w:t>
      </w:r>
    </w:p>
    <w:p w:rsidR="00DC5CF9" w:rsidRPr="003534A8" w:rsidRDefault="00DC5CF9" w:rsidP="00DC5CF9">
      <w:pPr>
        <w:pStyle w:val="odsazen"/>
        <w:numPr>
          <w:ilvl w:val="0"/>
          <w:numId w:val="0"/>
        </w:numPr>
        <w:ind w:firstLine="1069"/>
        <w:rPr>
          <w:rFonts w:asciiTheme="minorHAnsi" w:hAnsiTheme="minorHAnsi" w:cstheme="minorHAnsi"/>
        </w:rPr>
      </w:pPr>
    </w:p>
    <w:p w:rsidR="00DC5CF9" w:rsidRPr="003534A8" w:rsidRDefault="00DC5CF9" w:rsidP="00DC5CF9">
      <w:pPr>
        <w:pStyle w:val="odsazen"/>
        <w:numPr>
          <w:ilvl w:val="0"/>
          <w:numId w:val="0"/>
        </w:numPr>
        <w:ind w:firstLine="709"/>
        <w:rPr>
          <w:rFonts w:asciiTheme="minorHAnsi" w:hAnsiTheme="minorHAnsi" w:cstheme="minorHAnsi"/>
        </w:rPr>
      </w:pPr>
      <w:r w:rsidRPr="003534A8">
        <w:rPr>
          <w:rFonts w:asciiTheme="minorHAnsi" w:hAnsiTheme="minorHAnsi" w:cstheme="minorHAnsi"/>
          <w:b/>
        </w:rPr>
        <w:t>Vzdělávejte se pro růst! - Moravskoslezský kraj</w:t>
      </w:r>
      <w:r w:rsidRPr="003534A8">
        <w:rPr>
          <w:rFonts w:asciiTheme="minorHAnsi" w:hAnsiTheme="minorHAnsi" w:cstheme="minorHAnsi"/>
        </w:rPr>
        <w:t xml:space="preserve"> - cílem projektu </w:t>
      </w:r>
      <w:r>
        <w:rPr>
          <w:rFonts w:asciiTheme="minorHAnsi" w:hAnsiTheme="minorHAnsi" w:cstheme="minorHAnsi"/>
        </w:rPr>
        <w:t>bylo</w:t>
      </w:r>
      <w:r w:rsidRPr="003534A8">
        <w:rPr>
          <w:rFonts w:asciiTheme="minorHAnsi" w:hAnsiTheme="minorHAnsi" w:cstheme="minorHAnsi"/>
        </w:rPr>
        <w:t xml:space="preserve"> podpořit zaměstnavatele v Moravskoslezském kraji, kterým se podařilo překonat hospodářskou recesi, a to poskytnutím finanční podpory na obecné či specifické vzdělávání pracovníků. Projekt </w:t>
      </w:r>
      <w:r>
        <w:rPr>
          <w:rFonts w:asciiTheme="minorHAnsi" w:hAnsiTheme="minorHAnsi" w:cstheme="minorHAnsi"/>
        </w:rPr>
        <w:t>byl</w:t>
      </w:r>
      <w:r w:rsidRPr="003534A8">
        <w:rPr>
          <w:rFonts w:asciiTheme="minorHAnsi" w:hAnsiTheme="minorHAnsi" w:cstheme="minorHAnsi"/>
        </w:rPr>
        <w:t xml:space="preserve"> určen pro všechny typy podniků (malé, střední i velké) podnikající v odvětvích, u kterých </w:t>
      </w:r>
      <w:r>
        <w:rPr>
          <w:rFonts w:asciiTheme="minorHAnsi" w:hAnsiTheme="minorHAnsi" w:cstheme="minorHAnsi"/>
        </w:rPr>
        <w:t>byl</w:t>
      </w:r>
      <w:r w:rsidRPr="003534A8">
        <w:rPr>
          <w:rFonts w:asciiTheme="minorHAnsi" w:hAnsiTheme="minorHAnsi" w:cstheme="minorHAnsi"/>
        </w:rPr>
        <w:t xml:space="preserve"> předpoklad ekonomického růstu. </w:t>
      </w:r>
    </w:p>
    <w:p w:rsidR="00DC5CF9" w:rsidRPr="009245AC" w:rsidRDefault="00DC5CF9" w:rsidP="00DC5CF9">
      <w:pPr>
        <w:pStyle w:val="odsazen"/>
        <w:numPr>
          <w:ilvl w:val="0"/>
          <w:numId w:val="0"/>
        </w:numPr>
        <w:ind w:firstLine="709"/>
        <w:rPr>
          <w:rFonts w:asciiTheme="minorHAnsi" w:hAnsiTheme="minorHAnsi" w:cstheme="minorHAnsi"/>
          <w:b/>
        </w:rPr>
      </w:pPr>
      <w:r w:rsidRPr="009245AC">
        <w:rPr>
          <w:rFonts w:asciiTheme="minorHAnsi" w:hAnsiTheme="minorHAnsi" w:cstheme="minorHAnsi"/>
        </w:rPr>
        <w:t>Realizace tohoto projektu byla zahájena v květnu 2012 a k je</w:t>
      </w:r>
      <w:r>
        <w:rPr>
          <w:rFonts w:asciiTheme="minorHAnsi" w:hAnsiTheme="minorHAnsi" w:cstheme="minorHAnsi"/>
        </w:rPr>
        <w:t>jímu</w:t>
      </w:r>
      <w:r w:rsidRPr="009245AC">
        <w:rPr>
          <w:rFonts w:asciiTheme="minorHAnsi" w:hAnsiTheme="minorHAnsi" w:cstheme="minorHAnsi"/>
        </w:rPr>
        <w:t xml:space="preserve"> řádnému </w:t>
      </w:r>
      <w:r>
        <w:rPr>
          <w:rFonts w:asciiTheme="minorHAnsi" w:hAnsiTheme="minorHAnsi" w:cstheme="minorHAnsi"/>
        </w:rPr>
        <w:t xml:space="preserve">úspěšnému </w:t>
      </w:r>
      <w:r w:rsidRPr="009245AC">
        <w:rPr>
          <w:rFonts w:asciiTheme="minorHAnsi" w:hAnsiTheme="minorHAnsi" w:cstheme="minorHAnsi"/>
        </w:rPr>
        <w:t>ukončení došlo v dubnu 2014. Za celou dobu realizace projektu bylo uzavřeno dohromady 699 dohod se 119 zaměstnavateli, které se týkaly 5 055 pracovníků s celkovými nasmlouvanými náklady ve výši 65,1 mil. Kč, z nichž bylo nakonec uhrazeno 58,2 mil. Kč (tj.</w:t>
      </w:r>
      <w:r>
        <w:rPr>
          <w:rFonts w:asciiTheme="minorHAnsi" w:hAnsiTheme="minorHAnsi" w:cstheme="minorHAnsi"/>
        </w:rPr>
        <w:t xml:space="preserve"> </w:t>
      </w:r>
      <w:r w:rsidRPr="009245AC">
        <w:rPr>
          <w:rFonts w:asciiTheme="minorHAnsi" w:hAnsiTheme="minorHAnsi" w:cstheme="minorHAnsi"/>
        </w:rPr>
        <w:t>89,4</w:t>
      </w:r>
      <w:r>
        <w:rPr>
          <w:rFonts w:asciiTheme="minorHAnsi" w:hAnsiTheme="minorHAnsi" w:cstheme="minorHAnsi"/>
        </w:rPr>
        <w:t xml:space="preserve"> %</w:t>
      </w:r>
      <w:r w:rsidRPr="009245AC">
        <w:rPr>
          <w:rFonts w:asciiTheme="minorHAnsi" w:hAnsiTheme="minorHAnsi" w:cstheme="minorHAnsi"/>
        </w:rPr>
        <w:t>).</w:t>
      </w:r>
    </w:p>
    <w:p w:rsidR="00DC5CF9" w:rsidRPr="009245AC" w:rsidRDefault="00DC5CF9" w:rsidP="00DC5CF9">
      <w:pPr>
        <w:pStyle w:val="odsazen"/>
        <w:numPr>
          <w:ilvl w:val="0"/>
          <w:numId w:val="0"/>
        </w:numPr>
        <w:ind w:firstLine="1069"/>
        <w:rPr>
          <w:rFonts w:asciiTheme="minorHAnsi" w:hAnsiTheme="minorHAnsi" w:cstheme="minorHAnsi"/>
        </w:rPr>
      </w:pPr>
    </w:p>
    <w:p w:rsidR="00DC5CF9" w:rsidRPr="009245AC" w:rsidRDefault="00DC5CF9" w:rsidP="00DC5CF9">
      <w:pPr>
        <w:pStyle w:val="dka"/>
        <w:rPr>
          <w:rFonts w:asciiTheme="minorHAnsi" w:hAnsiTheme="minorHAnsi" w:cstheme="minorHAnsi"/>
          <w:color w:val="auto"/>
        </w:rPr>
      </w:pPr>
      <w:r w:rsidRPr="009245AC">
        <w:rPr>
          <w:rFonts w:asciiTheme="minorHAnsi" w:hAnsiTheme="minorHAnsi" w:cstheme="minorHAnsi"/>
          <w:b/>
          <w:color w:val="auto"/>
          <w:szCs w:val="24"/>
        </w:rPr>
        <w:t>Tabulka V/1</w:t>
      </w:r>
      <w:r>
        <w:rPr>
          <w:rFonts w:asciiTheme="minorHAnsi" w:hAnsiTheme="minorHAnsi" w:cstheme="minorHAnsi"/>
          <w:b/>
          <w:color w:val="auto"/>
          <w:szCs w:val="24"/>
        </w:rPr>
        <w:t>2</w:t>
      </w:r>
      <w:r w:rsidRPr="009245AC">
        <w:rPr>
          <w:rFonts w:asciiTheme="minorHAnsi" w:hAnsiTheme="minorHAnsi" w:cstheme="minorHAnsi"/>
          <w:b/>
          <w:color w:val="auto"/>
          <w:szCs w:val="24"/>
        </w:rPr>
        <w:t xml:space="preserve"> </w:t>
      </w:r>
      <w:r w:rsidRPr="00454369">
        <w:rPr>
          <w:rFonts w:asciiTheme="minorHAnsi" w:hAnsiTheme="minorHAnsi" w:cstheme="minorHAnsi"/>
          <w:color w:val="auto"/>
          <w:szCs w:val="24"/>
        </w:rPr>
        <w:t>-</w:t>
      </w:r>
      <w:r w:rsidRPr="009245AC">
        <w:rPr>
          <w:rFonts w:asciiTheme="minorHAnsi" w:hAnsiTheme="minorHAnsi" w:cstheme="minorHAnsi"/>
          <w:b/>
          <w:color w:val="auto"/>
          <w:szCs w:val="24"/>
        </w:rPr>
        <w:t xml:space="preserve"> </w:t>
      </w:r>
      <w:r w:rsidRPr="009245AC">
        <w:rPr>
          <w:rFonts w:asciiTheme="minorHAnsi" w:hAnsiTheme="minorHAnsi" w:cstheme="minorHAnsi"/>
          <w:bCs/>
          <w:color w:val="auto"/>
        </w:rPr>
        <w:t xml:space="preserve">Realizace RIP - </w:t>
      </w:r>
      <w:r w:rsidRPr="009245AC">
        <w:rPr>
          <w:rFonts w:asciiTheme="minorHAnsi" w:hAnsiTheme="minorHAnsi" w:cstheme="minorHAnsi"/>
          <w:color w:val="auto"/>
        </w:rPr>
        <w:t>Vzdělávejte se pro růst! - Moravskoslezský kraj</w:t>
      </w: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6628"/>
        <w:gridCol w:w="2942"/>
      </w:tblGrid>
      <w:tr w:rsidR="00DC5CF9" w:rsidRPr="007C76CA" w:rsidTr="00DC5CF9">
        <w:trPr>
          <w:trHeight w:val="500"/>
        </w:trPr>
        <w:tc>
          <w:tcPr>
            <w:tcW w:w="3463" w:type="pct"/>
            <w:tcBorders>
              <w:bottom w:val="single" w:sz="12"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ukazatel</w:t>
            </w:r>
          </w:p>
        </w:tc>
        <w:tc>
          <w:tcPr>
            <w:tcW w:w="1537" w:type="pct"/>
            <w:tcBorders>
              <w:top w:val="single" w:sz="12" w:space="0" w:color="auto"/>
              <w:left w:val="single" w:sz="12" w:space="0" w:color="auto"/>
              <w:bottom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é období</w:t>
            </w:r>
            <w:r w:rsidRPr="007C76CA">
              <w:rPr>
                <w:rFonts w:asciiTheme="minorHAnsi" w:hAnsiTheme="minorHAnsi" w:cstheme="minorHAnsi"/>
              </w:rPr>
              <w:t xml:space="preserve"> 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 xml:space="preserve">stav k </w:t>
            </w:r>
            <w:r>
              <w:rPr>
                <w:rFonts w:asciiTheme="minorHAnsi" w:hAnsiTheme="minorHAnsi" w:cstheme="minorHAnsi"/>
              </w:rPr>
              <w:t>30</w:t>
            </w:r>
            <w:r w:rsidRPr="007C76CA">
              <w:rPr>
                <w:rFonts w:asciiTheme="minorHAnsi" w:hAnsiTheme="minorHAnsi" w:cstheme="minorHAnsi"/>
              </w:rPr>
              <w:t>.0</w:t>
            </w:r>
            <w:r>
              <w:rPr>
                <w:rFonts w:asciiTheme="minorHAnsi" w:hAnsiTheme="minorHAnsi" w:cstheme="minorHAnsi"/>
              </w:rPr>
              <w:t>4</w:t>
            </w:r>
            <w:r w:rsidRPr="007C76CA">
              <w:rPr>
                <w:rFonts w:asciiTheme="minorHAnsi" w:hAnsiTheme="minorHAnsi" w:cstheme="minorHAnsi"/>
              </w:rPr>
              <w:t>.2014</w:t>
            </w:r>
          </w:p>
        </w:tc>
      </w:tr>
      <w:tr w:rsidR="00DC5CF9" w:rsidRPr="007C76CA" w:rsidTr="00DC5CF9">
        <w:tc>
          <w:tcPr>
            <w:tcW w:w="3463"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uzavřených dohod</w:t>
            </w:r>
          </w:p>
        </w:tc>
        <w:tc>
          <w:tcPr>
            <w:tcW w:w="1537" w:type="pct"/>
            <w:tcBorders>
              <w:top w:val="single" w:sz="12"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699</w:t>
            </w:r>
          </w:p>
        </w:tc>
      </w:tr>
      <w:tr w:rsidR="00DC5CF9" w:rsidRPr="007C76CA" w:rsidTr="00DC5CF9">
        <w:tc>
          <w:tcPr>
            <w:tcW w:w="3463"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zapojených zaměstnavatelů</w:t>
            </w:r>
          </w:p>
        </w:tc>
        <w:tc>
          <w:tcPr>
            <w:tcW w:w="1537" w:type="pct"/>
            <w:tcBorders>
              <w:top w:val="single" w:sz="6" w:space="0" w:color="auto"/>
              <w:left w:val="single" w:sz="12" w:space="0" w:color="auto"/>
              <w:bottom w:val="single" w:sz="6" w:space="0" w:color="auto"/>
            </w:tcBorders>
            <w:vAlign w:val="center"/>
          </w:tcPr>
          <w:p w:rsidR="00DC5CF9" w:rsidRPr="00BD0C19" w:rsidRDefault="00DC5CF9" w:rsidP="00DC5CF9">
            <w:pPr>
              <w:pStyle w:val="dka"/>
              <w:jc w:val="center"/>
              <w:rPr>
                <w:rFonts w:asciiTheme="minorHAnsi" w:hAnsiTheme="minorHAnsi" w:cstheme="minorHAnsi"/>
                <w:color w:val="auto"/>
              </w:rPr>
            </w:pPr>
            <w:r w:rsidRPr="00BD0C19">
              <w:rPr>
                <w:rFonts w:asciiTheme="minorHAnsi" w:hAnsiTheme="minorHAnsi" w:cstheme="minorHAnsi"/>
                <w:color w:val="auto"/>
              </w:rPr>
              <w:t>119</w:t>
            </w:r>
          </w:p>
        </w:tc>
      </w:tr>
      <w:tr w:rsidR="00DC5CF9" w:rsidRPr="007C76CA" w:rsidTr="00DC5CF9">
        <w:tc>
          <w:tcPr>
            <w:tcW w:w="3463" w:type="pct"/>
            <w:tcBorders>
              <w:top w:val="single" w:sz="6" w:space="0" w:color="auto"/>
              <w:bottom w:val="single" w:sz="12"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zaměstnanců zařazených do vzdělávání</w:t>
            </w:r>
          </w:p>
        </w:tc>
        <w:tc>
          <w:tcPr>
            <w:tcW w:w="1537" w:type="pct"/>
            <w:tcBorders>
              <w:top w:val="single" w:sz="6" w:space="0" w:color="auto"/>
              <w:left w:val="single" w:sz="12" w:space="0" w:color="auto"/>
              <w:bottom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5 055</w:t>
            </w:r>
          </w:p>
        </w:tc>
      </w:tr>
      <w:tr w:rsidR="00DC5CF9" w:rsidRPr="007C76CA" w:rsidTr="00DC5CF9">
        <w:trPr>
          <w:trHeight w:val="272"/>
        </w:trPr>
        <w:tc>
          <w:tcPr>
            <w:tcW w:w="3463"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nasml</w:t>
            </w:r>
            <w:r>
              <w:rPr>
                <w:rFonts w:asciiTheme="minorHAnsi" w:hAnsiTheme="minorHAnsi" w:cstheme="minorHAnsi"/>
                <w:color w:val="auto"/>
              </w:rPr>
              <w:t>ouvané</w:t>
            </w:r>
            <w:r w:rsidRPr="007C76CA">
              <w:rPr>
                <w:rFonts w:asciiTheme="minorHAnsi" w:hAnsiTheme="minorHAnsi" w:cstheme="minorHAnsi"/>
                <w:color w:val="auto"/>
              </w:rPr>
              <w:t xml:space="preserve"> fin</w:t>
            </w:r>
            <w:r>
              <w:rPr>
                <w:rFonts w:asciiTheme="minorHAnsi" w:hAnsiTheme="minorHAnsi" w:cstheme="minorHAnsi"/>
                <w:color w:val="auto"/>
              </w:rPr>
              <w:t>anční</w:t>
            </w:r>
            <w:r w:rsidRPr="007C76CA">
              <w:rPr>
                <w:rFonts w:asciiTheme="minorHAnsi" w:hAnsiTheme="minorHAnsi" w:cstheme="minorHAnsi"/>
                <w:color w:val="auto"/>
              </w:rPr>
              <w:t xml:space="preserve"> prostř</w:t>
            </w:r>
            <w:r>
              <w:rPr>
                <w:rFonts w:asciiTheme="minorHAnsi" w:hAnsiTheme="minorHAnsi" w:cstheme="minorHAnsi"/>
                <w:color w:val="auto"/>
              </w:rPr>
              <w:t>edky</w:t>
            </w:r>
            <w:r w:rsidRPr="007C76CA">
              <w:rPr>
                <w:rFonts w:asciiTheme="minorHAnsi" w:hAnsiTheme="minorHAnsi" w:cstheme="minorHAnsi"/>
                <w:color w:val="auto"/>
              </w:rPr>
              <w:t xml:space="preserve"> v dohodách (tis. Kč)</w:t>
            </w:r>
          </w:p>
        </w:tc>
        <w:tc>
          <w:tcPr>
            <w:tcW w:w="1537" w:type="pct"/>
            <w:tcBorders>
              <w:top w:val="single" w:sz="12"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szCs w:val="24"/>
              </w:rPr>
            </w:pPr>
            <w:r>
              <w:rPr>
                <w:rFonts w:asciiTheme="minorHAnsi" w:hAnsiTheme="minorHAnsi" w:cstheme="minorHAnsi"/>
                <w:color w:val="auto"/>
                <w:szCs w:val="24"/>
              </w:rPr>
              <w:t>65 103,1</w:t>
            </w:r>
          </w:p>
        </w:tc>
      </w:tr>
      <w:tr w:rsidR="00DC5CF9" w:rsidRPr="007C76CA" w:rsidTr="00DC5CF9">
        <w:tc>
          <w:tcPr>
            <w:tcW w:w="3463"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vyplacené příspěvky celkem (tis. Kč)</w:t>
            </w:r>
          </w:p>
        </w:tc>
        <w:tc>
          <w:tcPr>
            <w:tcW w:w="1537" w:type="pct"/>
            <w:tcBorders>
              <w:top w:val="single" w:sz="6"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58 174,7</w:t>
            </w:r>
          </w:p>
        </w:tc>
      </w:tr>
      <w:tr w:rsidR="00DC5CF9" w:rsidRPr="007C76CA" w:rsidTr="00DC5CF9">
        <w:tc>
          <w:tcPr>
            <w:tcW w:w="3463"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szCs w:val="24"/>
              </w:rPr>
            </w:pPr>
            <w:r w:rsidRPr="007C76CA">
              <w:rPr>
                <w:rFonts w:asciiTheme="minorHAnsi" w:hAnsiTheme="minorHAnsi" w:cstheme="minorHAnsi"/>
                <w:color w:val="auto"/>
                <w:szCs w:val="24"/>
              </w:rPr>
              <w:t>z toho - náklady vzdělávání - kurzovné (tis. Kč)</w:t>
            </w:r>
          </w:p>
        </w:tc>
        <w:tc>
          <w:tcPr>
            <w:tcW w:w="1537" w:type="pct"/>
            <w:tcBorders>
              <w:top w:val="single" w:sz="6" w:space="0" w:color="auto"/>
              <w:left w:val="single" w:sz="12" w:space="0" w:color="auto"/>
              <w:bottom w:val="single" w:sz="6"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35 288,1</w:t>
            </w:r>
          </w:p>
        </w:tc>
      </w:tr>
      <w:tr w:rsidR="00DC5CF9" w:rsidRPr="007C76CA" w:rsidTr="00DC5CF9">
        <w:tc>
          <w:tcPr>
            <w:tcW w:w="3463" w:type="pct"/>
            <w:tcBorders>
              <w:top w:val="single" w:sz="6" w:space="0" w:color="auto"/>
              <w:bottom w:val="single" w:sz="12" w:space="0" w:color="auto"/>
              <w:right w:val="single" w:sz="12" w:space="0" w:color="auto"/>
            </w:tcBorders>
            <w:vAlign w:val="center"/>
          </w:tcPr>
          <w:p w:rsidR="00DC5CF9" w:rsidRPr="007C76CA" w:rsidRDefault="00DC5CF9" w:rsidP="00DC5CF9">
            <w:pPr>
              <w:pStyle w:val="dka"/>
              <w:ind w:left="567"/>
              <w:rPr>
                <w:rFonts w:asciiTheme="minorHAnsi" w:hAnsiTheme="minorHAnsi" w:cstheme="minorHAnsi"/>
                <w:color w:val="auto"/>
                <w:szCs w:val="24"/>
              </w:rPr>
            </w:pPr>
            <w:r w:rsidRPr="007C76CA">
              <w:rPr>
                <w:rFonts w:asciiTheme="minorHAnsi" w:hAnsiTheme="minorHAnsi" w:cstheme="minorHAnsi"/>
                <w:color w:val="auto"/>
                <w:szCs w:val="24"/>
              </w:rPr>
              <w:t xml:space="preserve"> - příspěvky na mzdy</w:t>
            </w:r>
            <w:r>
              <w:rPr>
                <w:rFonts w:asciiTheme="minorHAnsi" w:hAnsiTheme="minorHAnsi" w:cstheme="minorHAnsi"/>
                <w:color w:val="auto"/>
                <w:szCs w:val="24"/>
              </w:rPr>
              <w:t xml:space="preserve"> vč. pojištění</w:t>
            </w:r>
            <w:r w:rsidRPr="007C76CA">
              <w:rPr>
                <w:rFonts w:asciiTheme="minorHAnsi" w:hAnsiTheme="minorHAnsi" w:cstheme="minorHAnsi"/>
                <w:color w:val="auto"/>
                <w:szCs w:val="24"/>
              </w:rPr>
              <w:t xml:space="preserve"> (tis. Kč)</w:t>
            </w:r>
          </w:p>
        </w:tc>
        <w:tc>
          <w:tcPr>
            <w:tcW w:w="1537" w:type="pct"/>
            <w:tcBorders>
              <w:top w:val="single" w:sz="6" w:space="0" w:color="auto"/>
              <w:left w:val="single" w:sz="12" w:space="0" w:color="auto"/>
              <w:bottom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22 907,2</w:t>
            </w:r>
          </w:p>
        </w:tc>
      </w:tr>
    </w:tbl>
    <w:p w:rsidR="00DC5CF9" w:rsidRPr="00C079B3" w:rsidRDefault="00DC5CF9" w:rsidP="00DC5CF9">
      <w:pPr>
        <w:pStyle w:val="dka"/>
        <w:rPr>
          <w:rFonts w:asciiTheme="minorHAnsi" w:hAnsiTheme="minorHAnsi" w:cstheme="minorHAnsi"/>
          <w:color w:val="auto"/>
        </w:rPr>
      </w:pPr>
    </w:p>
    <w:p w:rsidR="00DC5CF9" w:rsidRPr="00C079B3" w:rsidRDefault="00DC5CF9" w:rsidP="00DC5CF9">
      <w:pPr>
        <w:pStyle w:val="odsazen"/>
        <w:numPr>
          <w:ilvl w:val="0"/>
          <w:numId w:val="0"/>
        </w:numPr>
        <w:ind w:firstLine="708"/>
        <w:rPr>
          <w:rFonts w:asciiTheme="minorHAnsi" w:hAnsiTheme="minorHAnsi" w:cstheme="minorHAnsi"/>
        </w:rPr>
      </w:pPr>
      <w:r w:rsidRPr="00C079B3">
        <w:rPr>
          <w:rFonts w:asciiTheme="minorHAnsi" w:hAnsiTheme="minorHAnsi" w:cstheme="minorHAnsi"/>
          <w:b/>
        </w:rPr>
        <w:t>Vzdělávejte se pro růst v MSK II</w:t>
      </w:r>
      <w:r w:rsidRPr="00C079B3">
        <w:rPr>
          <w:rFonts w:asciiTheme="minorHAnsi" w:hAnsiTheme="minorHAnsi" w:cstheme="minorHAnsi"/>
        </w:rPr>
        <w:t xml:space="preserve"> - jedná se o projekt navazující na předchozí, jehož cílem je rovněž podpořit zaměstnavatele v Moravskoslezském kraji, kterým se podařilo překonat hospodářskou recesi, a to poskytnutím finanční podpory na obecné či specifické vzdělávání pracovníků. Projekt je určen pro všechny typy podniků (malé, střední i velké) podnikající v odvětvích, u kterých je předpoklad ekonomického růstu. Z projektu jsou hrazeny náklady spojené se vzděláváním zaměstnanců a mzdové náhrady za dobu účasti na tomto školení.</w:t>
      </w:r>
    </w:p>
    <w:p w:rsidR="00DC5CF9" w:rsidRPr="00381F38" w:rsidRDefault="00DC5CF9" w:rsidP="00DC5CF9">
      <w:pPr>
        <w:pStyle w:val="dka"/>
        <w:rPr>
          <w:rFonts w:asciiTheme="minorHAnsi" w:hAnsiTheme="minorHAnsi" w:cstheme="minorHAnsi"/>
          <w:b/>
          <w:color w:val="auto"/>
          <w:szCs w:val="24"/>
        </w:rPr>
      </w:pPr>
    </w:p>
    <w:p w:rsidR="00DC5CF9" w:rsidRPr="00381F38" w:rsidRDefault="00DC5CF9" w:rsidP="00DC5CF9">
      <w:pPr>
        <w:pStyle w:val="dka"/>
        <w:ind w:right="-2"/>
        <w:rPr>
          <w:rFonts w:asciiTheme="minorHAnsi" w:hAnsiTheme="minorHAnsi" w:cstheme="minorHAnsi"/>
          <w:color w:val="auto"/>
        </w:rPr>
      </w:pPr>
      <w:r w:rsidRPr="00381F38">
        <w:rPr>
          <w:rFonts w:asciiTheme="minorHAnsi" w:hAnsiTheme="minorHAnsi" w:cstheme="minorHAnsi"/>
          <w:b/>
          <w:color w:val="auto"/>
          <w:szCs w:val="24"/>
        </w:rPr>
        <w:t>Tabulka V/1</w:t>
      </w:r>
      <w:r>
        <w:rPr>
          <w:rFonts w:asciiTheme="minorHAnsi" w:hAnsiTheme="minorHAnsi" w:cstheme="minorHAnsi"/>
          <w:b/>
          <w:color w:val="auto"/>
          <w:szCs w:val="24"/>
        </w:rPr>
        <w:t>3</w:t>
      </w:r>
      <w:r w:rsidRPr="00381F38">
        <w:rPr>
          <w:rFonts w:asciiTheme="minorHAnsi" w:hAnsiTheme="minorHAnsi" w:cstheme="minorHAnsi"/>
          <w:b/>
          <w:color w:val="auto"/>
          <w:szCs w:val="24"/>
        </w:rPr>
        <w:t xml:space="preserve"> </w:t>
      </w:r>
      <w:r w:rsidRPr="00454369">
        <w:rPr>
          <w:rFonts w:asciiTheme="minorHAnsi" w:hAnsiTheme="minorHAnsi" w:cstheme="minorHAnsi"/>
          <w:color w:val="auto"/>
          <w:szCs w:val="24"/>
        </w:rPr>
        <w:t>-</w:t>
      </w:r>
      <w:r w:rsidRPr="00381F38">
        <w:rPr>
          <w:rFonts w:asciiTheme="minorHAnsi" w:hAnsiTheme="minorHAnsi" w:cstheme="minorHAnsi"/>
          <w:b/>
          <w:color w:val="auto"/>
          <w:szCs w:val="24"/>
        </w:rPr>
        <w:t xml:space="preserve"> </w:t>
      </w:r>
      <w:r w:rsidRPr="00381F38">
        <w:rPr>
          <w:rFonts w:asciiTheme="minorHAnsi" w:hAnsiTheme="minorHAnsi" w:cstheme="minorHAnsi"/>
          <w:bCs/>
          <w:color w:val="auto"/>
        </w:rPr>
        <w:t xml:space="preserve">Realizace RIP - </w:t>
      </w:r>
      <w:r w:rsidRPr="00381F38">
        <w:rPr>
          <w:rFonts w:asciiTheme="minorHAnsi" w:hAnsiTheme="minorHAnsi" w:cstheme="minorHAnsi"/>
          <w:color w:val="auto"/>
        </w:rPr>
        <w:t>Vzdělávejte se pro růst v MSK II</w:t>
      </w: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5046"/>
        <w:gridCol w:w="1508"/>
        <w:gridCol w:w="1508"/>
        <w:gridCol w:w="1508"/>
      </w:tblGrid>
      <w:tr w:rsidR="00DC5CF9" w:rsidRPr="007C76CA" w:rsidTr="00DC5CF9">
        <w:trPr>
          <w:trHeight w:val="500"/>
        </w:trPr>
        <w:tc>
          <w:tcPr>
            <w:tcW w:w="2635" w:type="pct"/>
            <w:tcBorders>
              <w:bottom w:val="single" w:sz="12"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ukazatel</w:t>
            </w:r>
          </w:p>
        </w:tc>
        <w:tc>
          <w:tcPr>
            <w:tcW w:w="788" w:type="pct"/>
            <w:tcBorders>
              <w:top w:val="single" w:sz="12" w:space="0" w:color="auto"/>
              <w:left w:val="single" w:sz="12" w:space="0" w:color="auto"/>
              <w:bottom w:val="single" w:sz="12" w:space="0" w:color="auto"/>
              <w:right w:val="single" w:sz="4"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2013</w:t>
            </w:r>
          </w:p>
        </w:tc>
        <w:tc>
          <w:tcPr>
            <w:tcW w:w="788" w:type="pct"/>
            <w:tcBorders>
              <w:top w:val="single" w:sz="12" w:space="0" w:color="auto"/>
              <w:left w:val="single" w:sz="4" w:space="0" w:color="auto"/>
              <w:bottom w:val="single" w:sz="12" w:space="0" w:color="auto"/>
              <w:right w:val="single" w:sz="12" w:space="0" w:color="auto"/>
            </w:tcBorders>
            <w:vAlign w:val="center"/>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2014</w:t>
            </w:r>
          </w:p>
        </w:tc>
        <w:tc>
          <w:tcPr>
            <w:tcW w:w="788" w:type="pct"/>
            <w:tcBorders>
              <w:top w:val="single" w:sz="12" w:space="0" w:color="auto"/>
              <w:left w:val="single" w:sz="12" w:space="0" w:color="auto"/>
              <w:bottom w:val="single" w:sz="12" w:space="0" w:color="auto"/>
            </w:tcBorders>
          </w:tcPr>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za cel</w:t>
            </w:r>
            <w:r>
              <w:rPr>
                <w:rFonts w:asciiTheme="minorHAnsi" w:hAnsiTheme="minorHAnsi" w:cstheme="minorHAnsi"/>
              </w:rPr>
              <w:t>é období</w:t>
            </w:r>
            <w:r w:rsidRPr="007C76CA">
              <w:rPr>
                <w:rFonts w:asciiTheme="minorHAnsi" w:hAnsiTheme="minorHAnsi" w:cstheme="minorHAnsi"/>
              </w:rPr>
              <w:t xml:space="preserve"> projekt</w:t>
            </w:r>
            <w:r>
              <w:rPr>
                <w:rFonts w:asciiTheme="minorHAnsi" w:hAnsiTheme="minorHAnsi" w:cstheme="minorHAnsi"/>
              </w:rPr>
              <w:t>u</w:t>
            </w:r>
          </w:p>
          <w:p w:rsidR="00DC5CF9" w:rsidRPr="007C76CA" w:rsidRDefault="00DC5CF9" w:rsidP="00DC5CF9">
            <w:pPr>
              <w:pStyle w:val="odsazen"/>
              <w:numPr>
                <w:ilvl w:val="0"/>
                <w:numId w:val="0"/>
              </w:numPr>
              <w:jc w:val="center"/>
              <w:rPr>
                <w:rFonts w:asciiTheme="minorHAnsi" w:hAnsiTheme="minorHAnsi" w:cstheme="minorHAnsi"/>
              </w:rPr>
            </w:pPr>
            <w:r w:rsidRPr="007C76CA">
              <w:rPr>
                <w:rFonts w:asciiTheme="minorHAnsi" w:hAnsiTheme="minorHAnsi" w:cstheme="minorHAnsi"/>
              </w:rPr>
              <w:t>stav k 31.12.2014</w:t>
            </w:r>
          </w:p>
        </w:tc>
      </w:tr>
      <w:tr w:rsidR="00DC5CF9" w:rsidRPr="007C76CA" w:rsidTr="00DC5CF9">
        <w:tc>
          <w:tcPr>
            <w:tcW w:w="2635"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uzavřených dohod</w:t>
            </w:r>
          </w:p>
        </w:tc>
        <w:tc>
          <w:tcPr>
            <w:tcW w:w="788" w:type="pct"/>
            <w:tcBorders>
              <w:top w:val="single" w:sz="12" w:space="0" w:color="auto"/>
              <w:left w:val="single" w:sz="12"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12</w:t>
            </w:r>
          </w:p>
        </w:tc>
        <w:tc>
          <w:tcPr>
            <w:tcW w:w="788" w:type="pct"/>
            <w:tcBorders>
              <w:top w:val="single" w:sz="12"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309</w:t>
            </w:r>
          </w:p>
        </w:tc>
        <w:tc>
          <w:tcPr>
            <w:tcW w:w="788" w:type="pct"/>
            <w:tcBorders>
              <w:top w:val="single" w:sz="12"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321</w:t>
            </w:r>
          </w:p>
        </w:tc>
      </w:tr>
      <w:tr w:rsidR="00DC5CF9" w:rsidRPr="007C76CA" w:rsidTr="00DC5CF9">
        <w:tc>
          <w:tcPr>
            <w:tcW w:w="2635"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zapojených zaměstnavatelů</w:t>
            </w:r>
          </w:p>
        </w:tc>
        <w:tc>
          <w:tcPr>
            <w:tcW w:w="788" w:type="pct"/>
            <w:tcBorders>
              <w:top w:val="single" w:sz="6" w:space="0" w:color="auto"/>
              <w:left w:val="single" w:sz="12"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10</w:t>
            </w:r>
          </w:p>
        </w:tc>
        <w:tc>
          <w:tcPr>
            <w:tcW w:w="788"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96</w:t>
            </w:r>
          </w:p>
        </w:tc>
        <w:tc>
          <w:tcPr>
            <w:tcW w:w="788" w:type="pct"/>
            <w:tcBorders>
              <w:top w:val="single" w:sz="6"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106</w:t>
            </w:r>
          </w:p>
        </w:tc>
      </w:tr>
      <w:tr w:rsidR="00DC5CF9" w:rsidRPr="007C76CA" w:rsidTr="00DC5CF9">
        <w:tc>
          <w:tcPr>
            <w:tcW w:w="2635" w:type="pct"/>
            <w:tcBorders>
              <w:top w:val="single" w:sz="6" w:space="0" w:color="auto"/>
              <w:bottom w:val="single" w:sz="12"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počet zaměstnanců zařazených do vzdělávání</w:t>
            </w:r>
          </w:p>
        </w:tc>
        <w:tc>
          <w:tcPr>
            <w:tcW w:w="788" w:type="pct"/>
            <w:tcBorders>
              <w:top w:val="single" w:sz="6" w:space="0" w:color="auto"/>
              <w:left w:val="single" w:sz="12" w:space="0" w:color="auto"/>
              <w:bottom w:val="single" w:sz="12"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43</w:t>
            </w:r>
          </w:p>
        </w:tc>
        <w:tc>
          <w:tcPr>
            <w:tcW w:w="788" w:type="pct"/>
            <w:tcBorders>
              <w:top w:val="single" w:sz="6" w:space="0" w:color="auto"/>
              <w:left w:val="single" w:sz="4" w:space="0" w:color="auto"/>
              <w:bottom w:val="single" w:sz="12"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1 562</w:t>
            </w:r>
          </w:p>
        </w:tc>
        <w:tc>
          <w:tcPr>
            <w:tcW w:w="788" w:type="pct"/>
            <w:tcBorders>
              <w:top w:val="single" w:sz="6" w:space="0" w:color="auto"/>
              <w:left w:val="single" w:sz="12" w:space="0" w:color="auto"/>
              <w:bottom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1 605</w:t>
            </w:r>
          </w:p>
        </w:tc>
      </w:tr>
      <w:tr w:rsidR="00DC5CF9" w:rsidRPr="007C76CA" w:rsidTr="00DC5CF9">
        <w:trPr>
          <w:trHeight w:val="272"/>
        </w:trPr>
        <w:tc>
          <w:tcPr>
            <w:tcW w:w="2635" w:type="pct"/>
            <w:tcBorders>
              <w:top w:val="single" w:sz="12"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nasml. fin</w:t>
            </w:r>
            <w:r>
              <w:rPr>
                <w:rFonts w:asciiTheme="minorHAnsi" w:hAnsiTheme="minorHAnsi" w:cstheme="minorHAnsi"/>
                <w:color w:val="auto"/>
              </w:rPr>
              <w:t>anční</w:t>
            </w:r>
            <w:r w:rsidRPr="007C76CA">
              <w:rPr>
                <w:rFonts w:asciiTheme="minorHAnsi" w:hAnsiTheme="minorHAnsi" w:cstheme="minorHAnsi"/>
                <w:color w:val="auto"/>
              </w:rPr>
              <w:t xml:space="preserve"> prostř</w:t>
            </w:r>
            <w:r>
              <w:rPr>
                <w:rFonts w:asciiTheme="minorHAnsi" w:hAnsiTheme="minorHAnsi" w:cstheme="minorHAnsi"/>
                <w:color w:val="auto"/>
              </w:rPr>
              <w:t>edky</w:t>
            </w:r>
            <w:r w:rsidRPr="007C76CA">
              <w:rPr>
                <w:rFonts w:asciiTheme="minorHAnsi" w:hAnsiTheme="minorHAnsi" w:cstheme="minorHAnsi"/>
                <w:color w:val="auto"/>
              </w:rPr>
              <w:t xml:space="preserve"> v dohodách (tis. Kč)</w:t>
            </w:r>
          </w:p>
        </w:tc>
        <w:tc>
          <w:tcPr>
            <w:tcW w:w="788" w:type="pct"/>
            <w:tcBorders>
              <w:top w:val="single" w:sz="12" w:space="0" w:color="auto"/>
              <w:left w:val="single" w:sz="12"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szCs w:val="24"/>
              </w:rPr>
            </w:pPr>
            <w:r w:rsidRPr="007C76CA">
              <w:rPr>
                <w:rFonts w:asciiTheme="minorHAnsi" w:hAnsiTheme="minorHAnsi" w:cstheme="minorHAnsi"/>
                <w:color w:val="auto"/>
                <w:szCs w:val="24"/>
              </w:rPr>
              <w:t>2 041,4</w:t>
            </w:r>
          </w:p>
        </w:tc>
        <w:tc>
          <w:tcPr>
            <w:tcW w:w="788" w:type="pct"/>
            <w:tcBorders>
              <w:top w:val="single" w:sz="12"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szCs w:val="24"/>
              </w:rPr>
            </w:pPr>
            <w:r>
              <w:rPr>
                <w:rFonts w:asciiTheme="minorHAnsi" w:hAnsiTheme="minorHAnsi" w:cstheme="minorHAnsi"/>
                <w:color w:val="auto"/>
                <w:szCs w:val="24"/>
              </w:rPr>
              <w:t>32 953,3</w:t>
            </w:r>
          </w:p>
        </w:tc>
        <w:tc>
          <w:tcPr>
            <w:tcW w:w="788" w:type="pct"/>
            <w:tcBorders>
              <w:top w:val="single" w:sz="12"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szCs w:val="24"/>
              </w:rPr>
            </w:pPr>
            <w:r>
              <w:rPr>
                <w:rFonts w:asciiTheme="minorHAnsi" w:hAnsiTheme="minorHAnsi" w:cstheme="minorHAnsi"/>
                <w:color w:val="auto"/>
                <w:szCs w:val="24"/>
              </w:rPr>
              <w:t>34 994,7</w:t>
            </w:r>
          </w:p>
        </w:tc>
      </w:tr>
      <w:tr w:rsidR="00DC5CF9" w:rsidRPr="007C76CA" w:rsidTr="00DC5CF9">
        <w:tc>
          <w:tcPr>
            <w:tcW w:w="2635"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rPr>
            </w:pPr>
            <w:r w:rsidRPr="007C76CA">
              <w:rPr>
                <w:rFonts w:asciiTheme="minorHAnsi" w:hAnsiTheme="minorHAnsi" w:cstheme="minorHAnsi"/>
                <w:color w:val="auto"/>
              </w:rPr>
              <w:t>vyplacené příspěvky celkem (tis. Kč)</w:t>
            </w:r>
          </w:p>
        </w:tc>
        <w:tc>
          <w:tcPr>
            <w:tcW w:w="788" w:type="pct"/>
            <w:tcBorders>
              <w:top w:val="single" w:sz="6" w:space="0" w:color="auto"/>
              <w:left w:val="single" w:sz="12" w:space="0" w:color="auto"/>
              <w:bottom w:val="single" w:sz="6" w:space="0" w:color="auto"/>
              <w:right w:val="single" w:sz="4" w:space="0" w:color="auto"/>
            </w:tcBorders>
            <w:vAlign w:val="center"/>
          </w:tcPr>
          <w:p w:rsidR="00DC5CF9" w:rsidRPr="007C76CA" w:rsidRDefault="00DC5CF9" w:rsidP="00DC5CF9">
            <w:pPr>
              <w:pStyle w:val="dka"/>
              <w:jc w:val="center"/>
              <w:rPr>
                <w:rFonts w:asciiTheme="minorHAnsi" w:hAnsiTheme="minorHAnsi" w:cstheme="minorHAnsi"/>
                <w:color w:val="auto"/>
              </w:rPr>
            </w:pPr>
            <w:r w:rsidRPr="007C76CA">
              <w:rPr>
                <w:rFonts w:asciiTheme="minorHAnsi" w:hAnsiTheme="minorHAnsi" w:cstheme="minorHAnsi"/>
                <w:color w:val="auto"/>
              </w:rPr>
              <w:t>4,4</w:t>
            </w:r>
          </w:p>
        </w:tc>
        <w:tc>
          <w:tcPr>
            <w:tcW w:w="788"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18 113,1</w:t>
            </w:r>
          </w:p>
        </w:tc>
        <w:tc>
          <w:tcPr>
            <w:tcW w:w="788" w:type="pct"/>
            <w:tcBorders>
              <w:top w:val="single" w:sz="6" w:space="0" w:color="auto"/>
              <w:left w:val="single" w:sz="12" w:space="0" w:color="auto"/>
              <w:bottom w:val="single" w:sz="6" w:space="0" w:color="auto"/>
            </w:tcBorders>
            <w:vAlign w:val="center"/>
          </w:tcPr>
          <w:p w:rsidR="00DC5CF9" w:rsidRPr="007C76CA" w:rsidRDefault="00DC5CF9" w:rsidP="00DC5CF9">
            <w:pPr>
              <w:pStyle w:val="dka"/>
              <w:jc w:val="center"/>
              <w:rPr>
                <w:rFonts w:asciiTheme="minorHAnsi" w:hAnsiTheme="minorHAnsi" w:cstheme="minorHAnsi"/>
                <w:color w:val="auto"/>
              </w:rPr>
            </w:pPr>
            <w:r>
              <w:rPr>
                <w:rFonts w:asciiTheme="minorHAnsi" w:hAnsiTheme="minorHAnsi" w:cstheme="minorHAnsi"/>
                <w:color w:val="auto"/>
              </w:rPr>
              <w:t>18 117,5</w:t>
            </w:r>
          </w:p>
        </w:tc>
      </w:tr>
      <w:tr w:rsidR="00DC5CF9" w:rsidRPr="007C76CA" w:rsidTr="00DC5CF9">
        <w:tc>
          <w:tcPr>
            <w:tcW w:w="2635" w:type="pct"/>
            <w:tcBorders>
              <w:top w:val="single" w:sz="6" w:space="0" w:color="auto"/>
              <w:bottom w:val="single" w:sz="6" w:space="0" w:color="auto"/>
              <w:right w:val="single" w:sz="12" w:space="0" w:color="auto"/>
            </w:tcBorders>
            <w:vAlign w:val="center"/>
          </w:tcPr>
          <w:p w:rsidR="00DC5CF9" w:rsidRPr="007C76CA" w:rsidRDefault="00DC5CF9" w:rsidP="00DC5CF9">
            <w:pPr>
              <w:pStyle w:val="dka"/>
              <w:rPr>
                <w:rFonts w:asciiTheme="minorHAnsi" w:hAnsiTheme="minorHAnsi" w:cstheme="minorHAnsi"/>
                <w:color w:val="auto"/>
                <w:szCs w:val="24"/>
              </w:rPr>
            </w:pPr>
            <w:r w:rsidRPr="007C76CA">
              <w:rPr>
                <w:rFonts w:asciiTheme="minorHAnsi" w:hAnsiTheme="minorHAnsi" w:cstheme="minorHAnsi"/>
                <w:color w:val="auto"/>
                <w:szCs w:val="24"/>
              </w:rPr>
              <w:t>z toho - náklady vzdělávání - kurzovné (tis. Kč)</w:t>
            </w:r>
          </w:p>
        </w:tc>
        <w:tc>
          <w:tcPr>
            <w:tcW w:w="788" w:type="pct"/>
            <w:tcBorders>
              <w:top w:val="single" w:sz="6" w:space="0" w:color="auto"/>
              <w:left w:val="single" w:sz="12" w:space="0" w:color="auto"/>
              <w:bottom w:val="single" w:sz="6" w:space="0" w:color="auto"/>
              <w:right w:val="single" w:sz="4" w:space="0" w:color="auto"/>
            </w:tcBorders>
            <w:vAlign w:val="center"/>
          </w:tcPr>
          <w:p w:rsidR="00DC5CF9" w:rsidRPr="007C76CA" w:rsidRDefault="00DC5CF9" w:rsidP="00DC5CF9">
            <w:pPr>
              <w:jc w:val="center"/>
              <w:rPr>
                <w:rFonts w:asciiTheme="minorHAnsi" w:hAnsiTheme="minorHAnsi" w:cstheme="minorHAnsi"/>
                <w:snapToGrid w:val="0"/>
                <w:sz w:val="24"/>
              </w:rPr>
            </w:pPr>
            <w:r w:rsidRPr="007C76CA">
              <w:rPr>
                <w:rFonts w:asciiTheme="minorHAnsi" w:hAnsiTheme="minorHAnsi" w:cstheme="minorHAnsi"/>
                <w:snapToGrid w:val="0"/>
                <w:sz w:val="24"/>
              </w:rPr>
              <w:t>0,0</w:t>
            </w:r>
          </w:p>
        </w:tc>
        <w:tc>
          <w:tcPr>
            <w:tcW w:w="788" w:type="pct"/>
            <w:tcBorders>
              <w:top w:val="single" w:sz="6" w:space="0" w:color="auto"/>
              <w:left w:val="single" w:sz="4" w:space="0" w:color="auto"/>
              <w:bottom w:val="single" w:sz="6" w:space="0" w:color="auto"/>
              <w:right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9 418,2</w:t>
            </w:r>
          </w:p>
        </w:tc>
        <w:tc>
          <w:tcPr>
            <w:tcW w:w="788" w:type="pct"/>
            <w:tcBorders>
              <w:top w:val="single" w:sz="6" w:space="0" w:color="auto"/>
              <w:left w:val="single" w:sz="12" w:space="0" w:color="auto"/>
              <w:bottom w:val="single" w:sz="6"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9 418,2</w:t>
            </w:r>
          </w:p>
        </w:tc>
      </w:tr>
      <w:tr w:rsidR="00DC5CF9" w:rsidRPr="007C76CA" w:rsidTr="00DC5CF9">
        <w:tc>
          <w:tcPr>
            <w:tcW w:w="2635" w:type="pct"/>
            <w:tcBorders>
              <w:top w:val="single" w:sz="6" w:space="0" w:color="auto"/>
              <w:bottom w:val="single" w:sz="12" w:space="0" w:color="auto"/>
              <w:right w:val="single" w:sz="12" w:space="0" w:color="auto"/>
            </w:tcBorders>
            <w:vAlign w:val="center"/>
          </w:tcPr>
          <w:p w:rsidR="00DC5CF9" w:rsidRPr="007C76CA" w:rsidRDefault="00DC5CF9" w:rsidP="00DC5CF9">
            <w:pPr>
              <w:pStyle w:val="dka"/>
              <w:ind w:left="567"/>
              <w:rPr>
                <w:rFonts w:asciiTheme="minorHAnsi" w:hAnsiTheme="minorHAnsi" w:cstheme="minorHAnsi"/>
                <w:color w:val="auto"/>
                <w:szCs w:val="24"/>
              </w:rPr>
            </w:pPr>
            <w:r w:rsidRPr="007C76CA">
              <w:rPr>
                <w:rFonts w:asciiTheme="minorHAnsi" w:hAnsiTheme="minorHAnsi" w:cstheme="minorHAnsi"/>
                <w:color w:val="auto"/>
                <w:szCs w:val="24"/>
              </w:rPr>
              <w:t xml:space="preserve"> - příspěvky na mzdy </w:t>
            </w:r>
            <w:r>
              <w:rPr>
                <w:rFonts w:asciiTheme="minorHAnsi" w:hAnsiTheme="minorHAnsi" w:cstheme="minorHAnsi"/>
                <w:color w:val="auto"/>
                <w:szCs w:val="24"/>
              </w:rPr>
              <w:t xml:space="preserve">vč. pojištění </w:t>
            </w:r>
            <w:r w:rsidRPr="007C76CA">
              <w:rPr>
                <w:rFonts w:asciiTheme="minorHAnsi" w:hAnsiTheme="minorHAnsi" w:cstheme="minorHAnsi"/>
                <w:color w:val="auto"/>
                <w:szCs w:val="24"/>
              </w:rPr>
              <w:t>(tis. Kč)</w:t>
            </w:r>
          </w:p>
        </w:tc>
        <w:tc>
          <w:tcPr>
            <w:tcW w:w="788" w:type="pct"/>
            <w:tcBorders>
              <w:top w:val="single" w:sz="6" w:space="0" w:color="auto"/>
              <w:left w:val="single" w:sz="12" w:space="0" w:color="auto"/>
              <w:bottom w:val="single" w:sz="12" w:space="0" w:color="auto"/>
              <w:right w:val="single" w:sz="4" w:space="0" w:color="auto"/>
            </w:tcBorders>
            <w:vAlign w:val="center"/>
          </w:tcPr>
          <w:p w:rsidR="00DC5CF9" w:rsidRPr="007C76CA" w:rsidRDefault="00DC5CF9" w:rsidP="00DC5CF9">
            <w:pPr>
              <w:jc w:val="center"/>
              <w:rPr>
                <w:rFonts w:asciiTheme="minorHAnsi" w:hAnsiTheme="minorHAnsi" w:cstheme="minorHAnsi"/>
                <w:snapToGrid w:val="0"/>
                <w:sz w:val="24"/>
              </w:rPr>
            </w:pPr>
            <w:r w:rsidRPr="007C76CA">
              <w:rPr>
                <w:rFonts w:asciiTheme="minorHAnsi" w:hAnsiTheme="minorHAnsi" w:cstheme="minorHAnsi"/>
                <w:snapToGrid w:val="0"/>
                <w:sz w:val="24"/>
              </w:rPr>
              <w:t>4,4</w:t>
            </w:r>
          </w:p>
        </w:tc>
        <w:tc>
          <w:tcPr>
            <w:tcW w:w="788" w:type="pct"/>
            <w:tcBorders>
              <w:top w:val="single" w:sz="6" w:space="0" w:color="auto"/>
              <w:left w:val="single" w:sz="4" w:space="0" w:color="auto"/>
              <w:bottom w:val="single" w:sz="12" w:space="0" w:color="auto"/>
              <w:right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8 694,9</w:t>
            </w:r>
          </w:p>
        </w:tc>
        <w:tc>
          <w:tcPr>
            <w:tcW w:w="788" w:type="pct"/>
            <w:tcBorders>
              <w:top w:val="single" w:sz="6" w:space="0" w:color="auto"/>
              <w:left w:val="single" w:sz="12" w:space="0" w:color="auto"/>
              <w:bottom w:val="single" w:sz="12" w:space="0" w:color="auto"/>
            </w:tcBorders>
            <w:vAlign w:val="center"/>
          </w:tcPr>
          <w:p w:rsidR="00DC5CF9" w:rsidRPr="007C76CA" w:rsidRDefault="00DC5CF9" w:rsidP="00DC5CF9">
            <w:pPr>
              <w:jc w:val="center"/>
              <w:rPr>
                <w:rFonts w:asciiTheme="minorHAnsi" w:hAnsiTheme="minorHAnsi" w:cstheme="minorHAnsi"/>
                <w:snapToGrid w:val="0"/>
                <w:sz w:val="24"/>
              </w:rPr>
            </w:pPr>
            <w:r>
              <w:rPr>
                <w:rFonts w:asciiTheme="minorHAnsi" w:hAnsiTheme="minorHAnsi" w:cstheme="minorHAnsi"/>
                <w:snapToGrid w:val="0"/>
                <w:sz w:val="24"/>
              </w:rPr>
              <w:t>8 699,3</w:t>
            </w:r>
          </w:p>
        </w:tc>
      </w:tr>
    </w:tbl>
    <w:p w:rsidR="00DC5CF9" w:rsidRPr="00BB5771" w:rsidRDefault="00DC5CF9" w:rsidP="00DC5CF9">
      <w:pPr>
        <w:pStyle w:val="dka"/>
        <w:ind w:right="-2"/>
        <w:rPr>
          <w:rFonts w:asciiTheme="minorHAnsi" w:hAnsiTheme="minorHAnsi" w:cstheme="minorHAnsi"/>
          <w:color w:val="auto"/>
        </w:rPr>
      </w:pPr>
    </w:p>
    <w:p w:rsidR="00DC5CF9" w:rsidRPr="00BB5771" w:rsidRDefault="00DC5CF9" w:rsidP="00DC5CF9">
      <w:pPr>
        <w:pStyle w:val="odsazen"/>
        <w:numPr>
          <w:ilvl w:val="0"/>
          <w:numId w:val="0"/>
        </w:numPr>
        <w:ind w:firstLine="708"/>
        <w:rPr>
          <w:rFonts w:asciiTheme="minorHAnsi" w:hAnsiTheme="minorHAnsi" w:cstheme="minorHAnsi"/>
        </w:rPr>
      </w:pPr>
      <w:r w:rsidRPr="00BB5771">
        <w:rPr>
          <w:rFonts w:asciiTheme="minorHAnsi" w:hAnsiTheme="minorHAnsi" w:cstheme="minorHAnsi"/>
        </w:rPr>
        <w:t>Projekt byl zahájen v srpnu 2013. V průběhu roku 2014 bylo s 96 zaměstnavateli uzavřeno dohromady 309 dohod o vzdělávání jejich 1 562 pracovníků s nasmlouvanými náklady v úhrnné výši téměř 33 mil. Kč. Celkově tak za dobu realizace projektu bylo do vzdělávání prozatím zařazeno 1 605 pracovníků a vyplaceny příspěvky ve výši 18,1 mil. Kč.</w:t>
      </w:r>
    </w:p>
    <w:p w:rsidR="00DC5CF9" w:rsidRPr="00DC5CF9" w:rsidRDefault="00DC5CF9" w:rsidP="00DC5CF9">
      <w:pPr>
        <w:jc w:val="both"/>
        <w:rPr>
          <w:rFonts w:asciiTheme="minorHAnsi" w:hAnsiTheme="minorHAnsi" w:cstheme="minorHAnsi"/>
          <w:sz w:val="22"/>
          <w:szCs w:val="22"/>
        </w:rPr>
      </w:pPr>
    </w:p>
    <w:p w:rsidR="00DC5CF9" w:rsidRPr="007C76CA" w:rsidRDefault="00DC5CF9" w:rsidP="007214CF">
      <w:pPr>
        <w:ind w:firstLine="709"/>
        <w:jc w:val="both"/>
        <w:rPr>
          <w:rFonts w:asciiTheme="minorHAnsi" w:hAnsiTheme="minorHAnsi" w:cstheme="minorHAnsi"/>
          <w:sz w:val="24"/>
          <w:szCs w:val="24"/>
        </w:rPr>
      </w:pPr>
      <w:r w:rsidRPr="007C76CA">
        <w:rPr>
          <w:rFonts w:asciiTheme="minorHAnsi" w:hAnsiTheme="minorHAnsi" w:cstheme="minorHAnsi"/>
          <w:sz w:val="24"/>
          <w:szCs w:val="24"/>
        </w:rPr>
        <w:t xml:space="preserve">Na internetových stránkách </w:t>
      </w:r>
      <w:hyperlink r:id="rId28" w:history="1">
        <w:r w:rsidRPr="007C76CA">
          <w:rPr>
            <w:rStyle w:val="Hypertextovodkaz"/>
            <w:rFonts w:asciiTheme="minorHAnsi" w:hAnsiTheme="minorHAnsi" w:cstheme="minorHAnsi"/>
            <w:sz w:val="24"/>
            <w:szCs w:val="24"/>
          </w:rPr>
          <w:t>www.esfcr.cz</w:t>
        </w:r>
      </w:hyperlink>
      <w:r w:rsidRPr="007C76CA">
        <w:rPr>
          <w:rFonts w:asciiTheme="minorHAnsi" w:hAnsiTheme="minorHAnsi" w:cstheme="minorHAnsi"/>
          <w:sz w:val="24"/>
        </w:rPr>
        <w:t xml:space="preserve"> jsou pro širokou veřejnost k dispozici a</w:t>
      </w:r>
      <w:r w:rsidRPr="007C76CA">
        <w:rPr>
          <w:rFonts w:asciiTheme="minorHAnsi" w:hAnsiTheme="minorHAnsi" w:cstheme="minorHAnsi"/>
          <w:sz w:val="24"/>
          <w:szCs w:val="24"/>
        </w:rPr>
        <w:t>ktuální informace související s OP LZZ.</w:t>
      </w:r>
    </w:p>
    <w:p w:rsidR="00DC5CF9" w:rsidRPr="007C76CA" w:rsidRDefault="00DC5CF9" w:rsidP="00DC5CF9">
      <w:pPr>
        <w:jc w:val="both"/>
        <w:rPr>
          <w:rFonts w:asciiTheme="minorHAnsi" w:hAnsiTheme="minorHAnsi" w:cstheme="minorHAnsi"/>
          <w:b/>
          <w:sz w:val="24"/>
          <w:szCs w:val="24"/>
        </w:rPr>
      </w:pPr>
      <w:r w:rsidRPr="007C76CA">
        <w:rPr>
          <w:rFonts w:asciiTheme="minorHAnsi" w:hAnsiTheme="minorHAnsi" w:cstheme="minorHAnsi"/>
          <w:b/>
          <w:sz w:val="28"/>
          <w:szCs w:val="28"/>
        </w:rPr>
        <w:t>VI.  STRATEGIE  REALIZACE  APZ  PRO</w:t>
      </w:r>
      <w:r>
        <w:rPr>
          <w:rFonts w:asciiTheme="minorHAnsi" w:hAnsiTheme="minorHAnsi" w:cstheme="minorHAnsi"/>
          <w:b/>
          <w:sz w:val="28"/>
          <w:szCs w:val="28"/>
        </w:rPr>
        <w:t xml:space="preserve"> </w:t>
      </w:r>
      <w:r w:rsidRPr="007C76CA">
        <w:rPr>
          <w:rFonts w:asciiTheme="minorHAnsi" w:hAnsiTheme="minorHAnsi" w:cstheme="minorHAnsi"/>
          <w:b/>
          <w:sz w:val="28"/>
          <w:szCs w:val="28"/>
        </w:rPr>
        <w:t xml:space="preserve"> ROK  2015</w:t>
      </w:r>
    </w:p>
    <w:p w:rsidR="00DC5CF9" w:rsidRPr="007C76CA" w:rsidRDefault="00DC5CF9" w:rsidP="00DC5CF9">
      <w:pPr>
        <w:pStyle w:val="Zkladntext"/>
        <w:spacing w:after="0"/>
        <w:rPr>
          <w:rFonts w:asciiTheme="minorHAnsi" w:hAnsiTheme="minorHAnsi" w:cstheme="minorHAnsi"/>
          <w:sz w:val="24"/>
          <w:szCs w:val="24"/>
        </w:rPr>
      </w:pPr>
    </w:p>
    <w:p w:rsidR="00DC5CF9" w:rsidRPr="003B1292" w:rsidRDefault="00DC5CF9" w:rsidP="00DC5CF9">
      <w:pPr>
        <w:ind w:firstLine="709"/>
        <w:jc w:val="both"/>
        <w:rPr>
          <w:rFonts w:asciiTheme="minorHAnsi" w:hAnsiTheme="minorHAnsi" w:cstheme="minorHAnsi"/>
          <w:sz w:val="24"/>
          <w:szCs w:val="24"/>
        </w:rPr>
      </w:pPr>
      <w:r w:rsidRPr="003B1292">
        <w:rPr>
          <w:rFonts w:asciiTheme="minorHAnsi" w:hAnsiTheme="minorHAnsi" w:cstheme="minorHAnsi"/>
          <w:sz w:val="24"/>
          <w:szCs w:val="24"/>
        </w:rPr>
        <w:t>Aktivní politika zaměstnanosti bude v letošním roce realizována v souladu s platnou legislativou a řídícími akty MPSV i ÚP ČR</w:t>
      </w:r>
      <w:r>
        <w:rPr>
          <w:rFonts w:asciiTheme="minorHAnsi" w:hAnsiTheme="minorHAnsi" w:cstheme="minorHAnsi"/>
          <w:sz w:val="24"/>
          <w:szCs w:val="24"/>
        </w:rPr>
        <w:t>, a to zejména</w:t>
      </w:r>
      <w:r w:rsidRPr="003B1292">
        <w:rPr>
          <w:rFonts w:asciiTheme="minorHAnsi" w:hAnsiTheme="minorHAnsi" w:cstheme="minorHAnsi"/>
          <w:sz w:val="24"/>
          <w:szCs w:val="24"/>
        </w:rPr>
        <w:t>:</w:t>
      </w:r>
    </w:p>
    <w:p w:rsidR="00DC5CF9" w:rsidRPr="003B1292"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3B1292">
        <w:rPr>
          <w:rFonts w:asciiTheme="minorHAnsi" w:hAnsiTheme="minorHAnsi" w:cstheme="minorHAnsi"/>
          <w:sz w:val="24"/>
          <w:szCs w:val="24"/>
        </w:rPr>
        <w:t>zákonem č. 435/2004 Sb., o zaměstnanosti, ve znění pozdějších předpisů a vyhláškou č. 518/2004 Sb., v platném znění,</w:t>
      </w:r>
    </w:p>
    <w:p w:rsidR="00DC5CF9" w:rsidRPr="005C0D77"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5C0D77">
        <w:rPr>
          <w:rFonts w:asciiTheme="minorHAnsi" w:hAnsiTheme="minorHAnsi" w:cstheme="minorHAnsi"/>
          <w:sz w:val="24"/>
          <w:szCs w:val="24"/>
        </w:rPr>
        <w:t>novou instrukcí MPSV č. 15/2014 - Realizace APZ,</w:t>
      </w:r>
    </w:p>
    <w:p w:rsidR="00DC5CF9" w:rsidRPr="005C0D77"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5C0D77">
        <w:rPr>
          <w:rFonts w:asciiTheme="minorHAnsi" w:hAnsiTheme="minorHAnsi" w:cstheme="minorHAnsi"/>
          <w:sz w:val="24"/>
          <w:szCs w:val="24"/>
        </w:rPr>
        <w:t>směrnicí GŘ - č. 1/2015 - Postup ÚP ČR při realizaci nástrojů a opatření APZ,</w:t>
      </w:r>
    </w:p>
    <w:p w:rsidR="00DC5CF9" w:rsidRPr="005C0D77"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5C0D77">
        <w:rPr>
          <w:rFonts w:asciiTheme="minorHAnsi" w:hAnsiTheme="minorHAnsi" w:cstheme="minorHAnsi"/>
          <w:sz w:val="24"/>
          <w:szCs w:val="24"/>
        </w:rPr>
        <w:t xml:space="preserve">sdělením ředitele odboru trhu práce ÚP ČR č. 24/2013 - Postupy při realizaci nástroje…, </w:t>
      </w:r>
    </w:p>
    <w:p w:rsidR="00DC5CF9" w:rsidRPr="00B83538"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B83538">
        <w:rPr>
          <w:rFonts w:asciiTheme="minorHAnsi" w:hAnsiTheme="minorHAnsi" w:cstheme="minorHAnsi"/>
          <w:sz w:val="24"/>
          <w:szCs w:val="24"/>
        </w:rPr>
        <w:t xml:space="preserve">směrnicemi GŘ č. 17/2013 </w:t>
      </w:r>
      <w:r>
        <w:rPr>
          <w:rFonts w:asciiTheme="minorHAnsi" w:hAnsiTheme="minorHAnsi" w:cstheme="minorHAnsi"/>
          <w:sz w:val="24"/>
          <w:szCs w:val="24"/>
        </w:rPr>
        <w:t>-</w:t>
      </w:r>
      <w:r w:rsidRPr="00B83538">
        <w:rPr>
          <w:rFonts w:asciiTheme="minorHAnsi" w:hAnsiTheme="minorHAnsi" w:cstheme="minorHAnsi"/>
          <w:sz w:val="24"/>
          <w:szCs w:val="24"/>
        </w:rPr>
        <w:t xml:space="preserve"> Zásady pro zadávání veřejných zakázek …, č. 36/2011 - Postup při zabezpečování rekvalifikací, poradenství a pracovní rehabilitace… a č. 1/2012 - Postup při zabezpečování zvolené rekvalifikace…,</w:t>
      </w:r>
    </w:p>
    <w:p w:rsidR="00DC5CF9" w:rsidRPr="00B83538" w:rsidRDefault="00DC5CF9" w:rsidP="00DC5CF9">
      <w:pPr>
        <w:pStyle w:val="Odstavecseseznamem"/>
        <w:numPr>
          <w:ilvl w:val="0"/>
          <w:numId w:val="28"/>
        </w:numPr>
        <w:ind w:left="426" w:hanging="426"/>
        <w:contextualSpacing w:val="0"/>
        <w:jc w:val="both"/>
        <w:rPr>
          <w:rFonts w:asciiTheme="minorHAnsi" w:hAnsiTheme="minorHAnsi" w:cstheme="minorHAnsi"/>
          <w:sz w:val="24"/>
          <w:szCs w:val="24"/>
        </w:rPr>
      </w:pPr>
      <w:r w:rsidRPr="00B83538">
        <w:rPr>
          <w:rFonts w:asciiTheme="minorHAnsi" w:hAnsiTheme="minorHAnsi" w:cstheme="minorHAnsi"/>
          <w:sz w:val="24"/>
          <w:szCs w:val="24"/>
        </w:rPr>
        <w:t>platnými interními předpisy Krajské pobočky v Ostravě.</w:t>
      </w:r>
    </w:p>
    <w:p w:rsidR="00DC5CF9" w:rsidRPr="00B83538" w:rsidRDefault="00DC5CF9" w:rsidP="00DC5CF9">
      <w:pPr>
        <w:jc w:val="both"/>
        <w:rPr>
          <w:rFonts w:asciiTheme="minorHAnsi" w:hAnsiTheme="minorHAnsi" w:cstheme="minorHAnsi"/>
          <w:sz w:val="16"/>
          <w:szCs w:val="16"/>
        </w:rPr>
      </w:pPr>
    </w:p>
    <w:p w:rsidR="00DC5CF9" w:rsidRPr="00B83538" w:rsidRDefault="00DC5CF9" w:rsidP="00DC5CF9">
      <w:pPr>
        <w:ind w:firstLine="709"/>
        <w:jc w:val="both"/>
        <w:rPr>
          <w:rFonts w:asciiTheme="minorHAnsi" w:hAnsiTheme="minorHAnsi" w:cstheme="minorHAnsi"/>
          <w:sz w:val="24"/>
          <w:szCs w:val="24"/>
        </w:rPr>
      </w:pPr>
      <w:r w:rsidRPr="00B83538">
        <w:rPr>
          <w:rFonts w:asciiTheme="minorHAnsi" w:hAnsiTheme="minorHAnsi" w:cstheme="minorHAnsi"/>
          <w:sz w:val="24"/>
          <w:szCs w:val="24"/>
        </w:rPr>
        <w:t>V rámci platných řídících aktů bude v Moravskoslezském kraji zabezpečena realizace všech ověřených nástrojů a opatření APZ, přičemž:</w:t>
      </w:r>
    </w:p>
    <w:p w:rsidR="00DC5CF9" w:rsidRPr="00B83538" w:rsidRDefault="00DC5CF9" w:rsidP="00DC5CF9">
      <w:pPr>
        <w:pStyle w:val="Odstavecseseznamem"/>
        <w:numPr>
          <w:ilvl w:val="0"/>
          <w:numId w:val="30"/>
        </w:numPr>
        <w:ind w:left="426"/>
        <w:jc w:val="both"/>
        <w:rPr>
          <w:rFonts w:asciiTheme="minorHAnsi" w:hAnsiTheme="minorHAnsi" w:cstheme="minorHAnsi"/>
          <w:sz w:val="24"/>
          <w:szCs w:val="24"/>
        </w:rPr>
      </w:pPr>
      <w:r w:rsidRPr="00B83538">
        <w:rPr>
          <w:rFonts w:asciiTheme="minorHAnsi" w:hAnsiTheme="minorHAnsi" w:cstheme="minorHAnsi"/>
          <w:sz w:val="24"/>
          <w:szCs w:val="24"/>
        </w:rPr>
        <w:t>příspěvky na VPP a SÚPM budou přednostně poskytovány z OP LZZ prostřednictvím NIP Vzdělávejte se pro růst! - pracovní příležitosti,</w:t>
      </w:r>
    </w:p>
    <w:p w:rsidR="00DC5CF9" w:rsidRDefault="00DC5CF9" w:rsidP="00DC5CF9">
      <w:pPr>
        <w:pStyle w:val="Odstavecseseznamem"/>
        <w:numPr>
          <w:ilvl w:val="0"/>
          <w:numId w:val="30"/>
        </w:numPr>
        <w:ind w:left="426"/>
        <w:jc w:val="both"/>
        <w:rPr>
          <w:rFonts w:asciiTheme="minorHAnsi" w:hAnsiTheme="minorHAnsi" w:cstheme="minorHAnsi"/>
          <w:sz w:val="24"/>
          <w:szCs w:val="24"/>
        </w:rPr>
      </w:pPr>
      <w:r w:rsidRPr="00B83538">
        <w:rPr>
          <w:rFonts w:asciiTheme="minorHAnsi" w:hAnsiTheme="minorHAnsi" w:cstheme="minorHAnsi"/>
          <w:sz w:val="24"/>
          <w:szCs w:val="24"/>
        </w:rPr>
        <w:t>vybrané rekvalifikace a poradenské činnosti prostřednictvím NIP Vzdělávání a dovednosti pro trh práce</w:t>
      </w:r>
      <w:r>
        <w:rPr>
          <w:rFonts w:asciiTheme="minorHAnsi" w:hAnsiTheme="minorHAnsi" w:cstheme="minorHAnsi"/>
          <w:sz w:val="24"/>
          <w:szCs w:val="24"/>
        </w:rPr>
        <w:t>.</w:t>
      </w:r>
    </w:p>
    <w:p w:rsidR="00DC5CF9" w:rsidRPr="00465E90" w:rsidRDefault="00DC5CF9" w:rsidP="00DC5CF9">
      <w:pPr>
        <w:pStyle w:val="Odstavecseseznamem"/>
        <w:ind w:left="426"/>
        <w:jc w:val="both"/>
        <w:rPr>
          <w:rFonts w:asciiTheme="minorHAnsi" w:hAnsiTheme="minorHAnsi" w:cstheme="minorHAnsi"/>
          <w:sz w:val="24"/>
          <w:szCs w:val="24"/>
        </w:rPr>
      </w:pPr>
    </w:p>
    <w:p w:rsidR="00DC5CF9" w:rsidRPr="00465E90" w:rsidRDefault="00DC5CF9" w:rsidP="00DC5CF9">
      <w:pPr>
        <w:ind w:firstLine="708"/>
        <w:jc w:val="both"/>
        <w:rPr>
          <w:rFonts w:asciiTheme="minorHAnsi" w:hAnsiTheme="minorHAnsi" w:cstheme="minorHAnsi"/>
          <w:sz w:val="24"/>
          <w:szCs w:val="24"/>
        </w:rPr>
      </w:pPr>
      <w:r w:rsidRPr="00465E90">
        <w:rPr>
          <w:rFonts w:asciiTheme="minorHAnsi" w:hAnsiTheme="minorHAnsi" w:cstheme="minorHAnsi"/>
          <w:sz w:val="24"/>
          <w:szCs w:val="24"/>
        </w:rPr>
        <w:t>Po celý rok 2015 budeme podporovat zejména ty uchazeče o zaměstnání, kterým nelze pro jejich individuální charakteristiky sjednat vhodné zaměstnání jiným způsobem.</w:t>
      </w:r>
    </w:p>
    <w:p w:rsidR="00DC5CF9" w:rsidRPr="00465E90" w:rsidRDefault="00DC5CF9" w:rsidP="00DC5CF9">
      <w:pPr>
        <w:ind w:firstLine="708"/>
        <w:jc w:val="both"/>
        <w:rPr>
          <w:rFonts w:asciiTheme="minorHAnsi" w:hAnsiTheme="minorHAnsi" w:cstheme="minorHAnsi"/>
          <w:sz w:val="16"/>
          <w:szCs w:val="16"/>
        </w:rPr>
      </w:pPr>
    </w:p>
    <w:p w:rsidR="00DC5CF9" w:rsidRDefault="00DC5CF9" w:rsidP="00DC5CF9">
      <w:pPr>
        <w:jc w:val="both"/>
        <w:rPr>
          <w:rFonts w:asciiTheme="minorHAnsi" w:hAnsiTheme="minorHAnsi" w:cstheme="minorHAnsi"/>
          <w:sz w:val="24"/>
          <w:szCs w:val="24"/>
        </w:rPr>
      </w:pPr>
      <w:r w:rsidRPr="00465E90">
        <w:rPr>
          <w:rFonts w:asciiTheme="minorHAnsi" w:hAnsiTheme="minorHAnsi" w:cstheme="minorHAnsi"/>
          <w:sz w:val="24"/>
          <w:szCs w:val="24"/>
        </w:rPr>
        <w:t>Jedná se především o</w:t>
      </w:r>
      <w:r w:rsidRPr="00465E90">
        <w:rPr>
          <w:rFonts w:asciiTheme="minorHAnsi" w:hAnsiTheme="minorHAnsi" w:cstheme="minorHAnsi"/>
          <w:b/>
          <w:sz w:val="24"/>
          <w:szCs w:val="24"/>
        </w:rPr>
        <w:t xml:space="preserve"> </w:t>
      </w:r>
      <w:r w:rsidRPr="00465E90">
        <w:rPr>
          <w:rFonts w:asciiTheme="minorHAnsi" w:hAnsiTheme="minorHAnsi" w:cstheme="minorHAnsi"/>
          <w:sz w:val="24"/>
          <w:szCs w:val="24"/>
        </w:rPr>
        <w:t>uchazeče o zaměstnání:</w:t>
      </w:r>
    </w:p>
    <w:p w:rsidR="00DC5CF9" w:rsidRPr="00A54B56" w:rsidRDefault="00DC5CF9" w:rsidP="00DC5CF9">
      <w:pPr>
        <w:pStyle w:val="Odstavecseseznamem"/>
        <w:numPr>
          <w:ilvl w:val="0"/>
          <w:numId w:val="29"/>
        </w:numPr>
        <w:ind w:left="425" w:hanging="425"/>
        <w:contextualSpacing w:val="0"/>
        <w:jc w:val="both"/>
        <w:rPr>
          <w:rFonts w:asciiTheme="minorHAnsi" w:hAnsiTheme="minorHAnsi" w:cstheme="minorHAnsi"/>
          <w:b/>
          <w:sz w:val="24"/>
          <w:szCs w:val="24"/>
        </w:rPr>
      </w:pPr>
      <w:r w:rsidRPr="00A54B56">
        <w:rPr>
          <w:rFonts w:asciiTheme="minorHAnsi" w:hAnsiTheme="minorHAnsi" w:cstheme="minorHAnsi"/>
          <w:b/>
          <w:sz w:val="24"/>
          <w:szCs w:val="24"/>
        </w:rPr>
        <w:t xml:space="preserve">do 30 let věku, </w:t>
      </w:r>
      <w:r w:rsidRPr="00A54B56">
        <w:rPr>
          <w:rFonts w:asciiTheme="minorHAnsi" w:hAnsiTheme="minorHAnsi" w:cstheme="minorHAnsi"/>
          <w:sz w:val="24"/>
          <w:szCs w:val="24"/>
        </w:rPr>
        <w:t xml:space="preserve">kterým v souladu se zabezpečením „Realizačního plánu programu Záruky pro mládež“ </w:t>
      </w:r>
      <w:r w:rsidRPr="00A54B56">
        <w:rPr>
          <w:rFonts w:asciiTheme="minorHAnsi" w:hAnsiTheme="minorHAnsi" w:cstheme="minorHAnsi"/>
          <w:b/>
          <w:sz w:val="24"/>
          <w:szCs w:val="24"/>
        </w:rPr>
        <w:t>poskytn</w:t>
      </w:r>
      <w:r>
        <w:rPr>
          <w:rFonts w:asciiTheme="minorHAnsi" w:hAnsiTheme="minorHAnsi" w:cstheme="minorHAnsi"/>
          <w:b/>
          <w:sz w:val="24"/>
          <w:szCs w:val="24"/>
        </w:rPr>
        <w:t>eme</w:t>
      </w:r>
      <w:r w:rsidRPr="00A54B56">
        <w:rPr>
          <w:rFonts w:asciiTheme="minorHAnsi" w:hAnsiTheme="minorHAnsi" w:cstheme="minorHAnsi"/>
          <w:b/>
          <w:sz w:val="24"/>
          <w:szCs w:val="24"/>
        </w:rPr>
        <w:t xml:space="preserve"> nabídku zaměstnání, dalšího vzdělávání, odborné přípravy nebo stáže, </w:t>
      </w:r>
      <w:r w:rsidRPr="00A54B56">
        <w:rPr>
          <w:rFonts w:asciiTheme="minorHAnsi" w:hAnsiTheme="minorHAnsi" w:cstheme="minorHAnsi"/>
          <w:sz w:val="24"/>
          <w:szCs w:val="24"/>
        </w:rPr>
        <w:t>a to</w:t>
      </w:r>
      <w:r w:rsidRPr="00A54B56">
        <w:rPr>
          <w:rFonts w:asciiTheme="minorHAnsi" w:hAnsiTheme="minorHAnsi" w:cstheme="minorHAnsi"/>
          <w:b/>
          <w:sz w:val="24"/>
          <w:szCs w:val="24"/>
        </w:rPr>
        <w:t xml:space="preserve"> do 4 měsíců </w:t>
      </w:r>
      <w:r w:rsidRPr="00A54B56">
        <w:rPr>
          <w:rFonts w:asciiTheme="minorHAnsi" w:hAnsiTheme="minorHAnsi" w:cstheme="minorHAnsi"/>
          <w:sz w:val="24"/>
          <w:szCs w:val="24"/>
        </w:rPr>
        <w:t>od počátku</w:t>
      </w:r>
      <w:r w:rsidRPr="00A54B56">
        <w:rPr>
          <w:rFonts w:asciiTheme="minorHAnsi" w:hAnsiTheme="minorHAnsi" w:cstheme="minorHAnsi"/>
          <w:b/>
          <w:sz w:val="24"/>
          <w:szCs w:val="24"/>
        </w:rPr>
        <w:t xml:space="preserve"> jejich evidence</w:t>
      </w:r>
    </w:p>
    <w:p w:rsidR="00DC5CF9" w:rsidRPr="00465E90" w:rsidRDefault="00DC5CF9" w:rsidP="00DC5CF9">
      <w:pPr>
        <w:pStyle w:val="Odstavecseseznamem"/>
        <w:numPr>
          <w:ilvl w:val="0"/>
          <w:numId w:val="29"/>
        </w:numPr>
        <w:ind w:left="425" w:hanging="425"/>
        <w:contextualSpacing w:val="0"/>
        <w:jc w:val="both"/>
        <w:rPr>
          <w:rFonts w:asciiTheme="minorHAnsi" w:hAnsiTheme="minorHAnsi" w:cstheme="minorHAnsi"/>
          <w:b/>
          <w:bCs/>
          <w:sz w:val="24"/>
          <w:szCs w:val="24"/>
          <w:u w:val="single"/>
        </w:rPr>
      </w:pPr>
      <w:r w:rsidRPr="00465E90">
        <w:rPr>
          <w:rFonts w:asciiTheme="minorHAnsi" w:hAnsiTheme="minorHAnsi" w:cstheme="minorHAnsi"/>
          <w:b/>
          <w:sz w:val="24"/>
          <w:szCs w:val="24"/>
        </w:rPr>
        <w:t>vedené</w:t>
      </w:r>
      <w:r w:rsidRPr="00465E90">
        <w:rPr>
          <w:rFonts w:asciiTheme="minorHAnsi" w:hAnsiTheme="minorHAnsi" w:cstheme="minorHAnsi"/>
          <w:sz w:val="24"/>
          <w:szCs w:val="24"/>
        </w:rPr>
        <w:t xml:space="preserve"> v evidenci nepřetržitě </w:t>
      </w:r>
      <w:r w:rsidRPr="00465E90">
        <w:rPr>
          <w:rFonts w:asciiTheme="minorHAnsi" w:hAnsiTheme="minorHAnsi" w:cstheme="minorHAnsi"/>
          <w:b/>
          <w:bCs/>
          <w:sz w:val="24"/>
          <w:szCs w:val="24"/>
        </w:rPr>
        <w:t>déle než 5 měsíců,</w:t>
      </w:r>
    </w:p>
    <w:p w:rsidR="00DC5CF9" w:rsidRPr="00465E90" w:rsidRDefault="00DC5CF9" w:rsidP="00DC5CF9">
      <w:pPr>
        <w:pStyle w:val="Odstavecseseznamem"/>
        <w:numPr>
          <w:ilvl w:val="0"/>
          <w:numId w:val="29"/>
        </w:numPr>
        <w:ind w:left="425" w:hanging="425"/>
        <w:contextualSpacing w:val="0"/>
        <w:jc w:val="both"/>
        <w:rPr>
          <w:rFonts w:asciiTheme="minorHAnsi" w:hAnsiTheme="minorHAnsi" w:cstheme="minorHAnsi"/>
          <w:b/>
          <w:bCs/>
          <w:sz w:val="24"/>
          <w:szCs w:val="24"/>
        </w:rPr>
      </w:pPr>
      <w:r w:rsidRPr="00465E90">
        <w:rPr>
          <w:rFonts w:asciiTheme="minorHAnsi" w:hAnsiTheme="minorHAnsi" w:cstheme="minorHAnsi"/>
          <w:sz w:val="24"/>
          <w:szCs w:val="24"/>
        </w:rPr>
        <w:t xml:space="preserve">kterým je </w:t>
      </w:r>
      <w:r w:rsidRPr="00465E90">
        <w:rPr>
          <w:rFonts w:asciiTheme="minorHAnsi" w:hAnsiTheme="minorHAnsi" w:cstheme="minorHAnsi"/>
          <w:b/>
          <w:bCs/>
          <w:sz w:val="24"/>
          <w:szCs w:val="24"/>
        </w:rPr>
        <w:t>kvůli jejich zdravotnímu stavu, věku</w:t>
      </w:r>
      <w:r w:rsidRPr="00465E90">
        <w:rPr>
          <w:rFonts w:asciiTheme="minorHAnsi" w:hAnsiTheme="minorHAnsi" w:cstheme="minorHAnsi"/>
          <w:sz w:val="24"/>
          <w:szCs w:val="24"/>
        </w:rPr>
        <w:t xml:space="preserve"> (absolventi bez praxe, mladí </w:t>
      </w:r>
      <w:r w:rsidRPr="00465E90">
        <w:rPr>
          <w:rFonts w:asciiTheme="minorHAnsi" w:hAnsiTheme="minorHAnsi" w:cstheme="minorHAnsi"/>
          <w:b/>
          <w:bCs/>
          <w:sz w:val="24"/>
          <w:szCs w:val="24"/>
        </w:rPr>
        <w:t>do 25 let</w:t>
      </w:r>
      <w:r w:rsidRPr="00465E90">
        <w:rPr>
          <w:rFonts w:asciiTheme="minorHAnsi" w:hAnsiTheme="minorHAnsi" w:cstheme="minorHAnsi"/>
          <w:sz w:val="24"/>
          <w:szCs w:val="24"/>
        </w:rPr>
        <w:t xml:space="preserve"> a </w:t>
      </w:r>
      <w:r w:rsidRPr="00465E90">
        <w:rPr>
          <w:rFonts w:asciiTheme="minorHAnsi" w:hAnsiTheme="minorHAnsi" w:cstheme="minorHAnsi"/>
          <w:b/>
          <w:bCs/>
          <w:sz w:val="24"/>
          <w:szCs w:val="24"/>
        </w:rPr>
        <w:t>osoby nad 5</w:t>
      </w:r>
      <w:r>
        <w:rPr>
          <w:rFonts w:asciiTheme="minorHAnsi" w:hAnsiTheme="minorHAnsi" w:cstheme="minorHAnsi"/>
          <w:b/>
          <w:bCs/>
          <w:sz w:val="24"/>
          <w:szCs w:val="24"/>
        </w:rPr>
        <w:t>0</w:t>
      </w:r>
      <w:r w:rsidRPr="00465E90">
        <w:rPr>
          <w:rFonts w:asciiTheme="minorHAnsi" w:hAnsiTheme="minorHAnsi" w:cstheme="minorHAnsi"/>
          <w:b/>
          <w:bCs/>
          <w:sz w:val="24"/>
          <w:szCs w:val="24"/>
        </w:rPr>
        <w:t xml:space="preserve"> let</w:t>
      </w:r>
      <w:r w:rsidRPr="00465E90">
        <w:rPr>
          <w:rFonts w:asciiTheme="minorHAnsi" w:hAnsiTheme="minorHAnsi" w:cstheme="minorHAnsi"/>
          <w:sz w:val="24"/>
          <w:szCs w:val="24"/>
        </w:rPr>
        <w:t xml:space="preserve">) či </w:t>
      </w:r>
      <w:r w:rsidRPr="00465E90">
        <w:rPr>
          <w:rFonts w:asciiTheme="minorHAnsi" w:hAnsiTheme="minorHAnsi" w:cstheme="minorHAnsi"/>
          <w:b/>
          <w:bCs/>
          <w:sz w:val="24"/>
          <w:szCs w:val="24"/>
        </w:rPr>
        <w:t>péči o dítě</w:t>
      </w:r>
      <w:r w:rsidRPr="00465E90">
        <w:rPr>
          <w:rFonts w:asciiTheme="minorHAnsi" w:hAnsiTheme="minorHAnsi" w:cstheme="minorHAnsi"/>
          <w:sz w:val="24"/>
          <w:szCs w:val="24"/>
        </w:rPr>
        <w:t xml:space="preserve"> věnována při zprostředkování práce zvýšená péče, či uchazeče o zaměstnání, u nichž existuje důvodný předpoklad dlouhodobého setrvání v evidenci ÚP,</w:t>
      </w:r>
    </w:p>
    <w:p w:rsidR="00DC5CF9" w:rsidRPr="00A54B56" w:rsidRDefault="00DC5CF9" w:rsidP="00DC5CF9">
      <w:pPr>
        <w:pStyle w:val="Odstavecseseznamem"/>
        <w:numPr>
          <w:ilvl w:val="0"/>
          <w:numId w:val="29"/>
        </w:numPr>
        <w:ind w:left="425" w:hanging="425"/>
        <w:contextualSpacing w:val="0"/>
        <w:jc w:val="both"/>
        <w:rPr>
          <w:rFonts w:asciiTheme="minorHAnsi" w:hAnsiTheme="minorHAnsi" w:cstheme="minorHAnsi"/>
          <w:b/>
          <w:bCs/>
          <w:sz w:val="24"/>
          <w:szCs w:val="24"/>
        </w:rPr>
      </w:pPr>
      <w:r w:rsidRPr="00465E90">
        <w:rPr>
          <w:rFonts w:asciiTheme="minorHAnsi" w:hAnsiTheme="minorHAnsi" w:cstheme="minorHAnsi"/>
          <w:sz w:val="24"/>
          <w:szCs w:val="24"/>
        </w:rPr>
        <w:t xml:space="preserve">jimž je potřeba věnovat zvýšenou péči z jiného důvodu bránícího jejich vstupu na volný trh práce. Za jiný závažný důvod je rovněž považováno ohrožení sociálním vyloučením vlivem </w:t>
      </w:r>
      <w:r w:rsidRPr="00A54B56">
        <w:rPr>
          <w:rFonts w:asciiTheme="minorHAnsi" w:hAnsiTheme="minorHAnsi" w:cstheme="minorHAnsi"/>
          <w:sz w:val="24"/>
          <w:szCs w:val="24"/>
        </w:rPr>
        <w:t>setrvávání v dlouhodobé nezaměstnanosti.</w:t>
      </w:r>
    </w:p>
    <w:p w:rsidR="00DC5CF9" w:rsidRPr="002C796A" w:rsidRDefault="00DC5CF9" w:rsidP="00DC5CF9">
      <w:pPr>
        <w:jc w:val="both"/>
        <w:rPr>
          <w:rFonts w:asciiTheme="minorHAnsi" w:hAnsiTheme="minorHAnsi" w:cstheme="minorHAnsi"/>
          <w:b/>
          <w:bCs/>
          <w:sz w:val="24"/>
          <w:szCs w:val="24"/>
        </w:rPr>
      </w:pPr>
    </w:p>
    <w:p w:rsidR="00DC5CF9" w:rsidRPr="00A54B56" w:rsidRDefault="00DC5CF9" w:rsidP="00DC5CF9">
      <w:pPr>
        <w:ind w:firstLine="709"/>
        <w:jc w:val="both"/>
        <w:rPr>
          <w:rFonts w:asciiTheme="minorHAnsi" w:hAnsiTheme="minorHAnsi" w:cstheme="minorHAnsi"/>
          <w:sz w:val="24"/>
          <w:szCs w:val="24"/>
        </w:rPr>
      </w:pPr>
      <w:r w:rsidRPr="00A54B56">
        <w:rPr>
          <w:rFonts w:asciiTheme="minorHAnsi" w:hAnsiTheme="minorHAnsi" w:cstheme="minorHAnsi"/>
          <w:sz w:val="24"/>
          <w:szCs w:val="24"/>
        </w:rPr>
        <w:t>Uvedenými nástroji APZ nelze bez vážného důvodu opakovaně podpořit téhož uchazeče o zaměstnání, přičemž vážným důvodem je zejména nutnost podpořit uchazeče výše uvedené. Za něj je v případě VPP rovněž považován nedostatek jiných vhodných uchazečů a opakovaná podpora téhož uchazeče z důvodu „postupu uchazeče mezi nástroji VPP a SÚPM“ - jestliže tento postup povede k plynulému začlenění uchazeče na volný trh práce ve smyslu „prostupného zaměstnávání“. K tomuto postupu mezi nástroji VPP a SÚPM budou vybíráni uchazeči o zaměstnání, kteří jsou dlouhodobě nebo opakovaně vedeni v evidenci ÚP a u nichž došlo nejen ke ztrátě pracovních návyků, ale i motivace k uplatnění na trhu práce.</w:t>
      </w:r>
    </w:p>
    <w:p w:rsidR="00DC5CF9" w:rsidRPr="000B5A5D" w:rsidRDefault="00DC5CF9" w:rsidP="00DC5CF9">
      <w:pPr>
        <w:ind w:firstLine="709"/>
        <w:jc w:val="both"/>
        <w:rPr>
          <w:rFonts w:asciiTheme="minorHAnsi" w:hAnsiTheme="minorHAnsi" w:cstheme="minorHAnsi"/>
          <w:b/>
          <w:bCs/>
          <w:sz w:val="24"/>
          <w:szCs w:val="24"/>
        </w:rPr>
      </w:pPr>
    </w:p>
    <w:p w:rsidR="00DC5CF9" w:rsidRDefault="00DC5CF9" w:rsidP="00DC5CF9">
      <w:pPr>
        <w:ind w:firstLine="709"/>
        <w:jc w:val="both"/>
        <w:rPr>
          <w:rFonts w:asciiTheme="minorHAnsi" w:hAnsiTheme="minorHAnsi" w:cstheme="minorHAnsi"/>
          <w:sz w:val="24"/>
          <w:szCs w:val="24"/>
        </w:rPr>
      </w:pPr>
      <w:r w:rsidRPr="000B5A5D">
        <w:rPr>
          <w:rFonts w:asciiTheme="minorHAnsi" w:hAnsiTheme="minorHAnsi" w:cstheme="minorHAnsi"/>
          <w:sz w:val="24"/>
          <w:szCs w:val="24"/>
        </w:rPr>
        <w:t>Nástroje SÚPM bud</w:t>
      </w:r>
      <w:r>
        <w:rPr>
          <w:rFonts w:asciiTheme="minorHAnsi" w:hAnsiTheme="minorHAnsi" w:cstheme="minorHAnsi"/>
          <w:sz w:val="24"/>
          <w:szCs w:val="24"/>
        </w:rPr>
        <w:t>eme</w:t>
      </w:r>
      <w:r w:rsidRPr="000B5A5D">
        <w:rPr>
          <w:rFonts w:asciiTheme="minorHAnsi" w:hAnsiTheme="minorHAnsi" w:cstheme="minorHAnsi"/>
          <w:sz w:val="24"/>
          <w:szCs w:val="24"/>
        </w:rPr>
        <w:t xml:space="preserve"> rovněž využívat k podpoře vytváření pracovních míst, které umožní osobám s nedostatečnou praxí její získání, či osobám s nedostatečnou kvalifikací umožní získání nebo zvýšení kvalifikace. </w:t>
      </w:r>
    </w:p>
    <w:p w:rsidR="00DC5CF9" w:rsidRDefault="00DC5CF9" w:rsidP="00DC5CF9">
      <w:pPr>
        <w:ind w:firstLine="709"/>
        <w:jc w:val="both"/>
        <w:rPr>
          <w:rFonts w:asciiTheme="minorHAnsi" w:hAnsiTheme="minorHAnsi" w:cstheme="minorHAnsi"/>
          <w:b/>
          <w:bCs/>
          <w:sz w:val="24"/>
          <w:szCs w:val="24"/>
        </w:rPr>
      </w:pPr>
    </w:p>
    <w:p w:rsidR="00DC5CF9" w:rsidRPr="000B5A5D" w:rsidRDefault="00DC5CF9" w:rsidP="00DC5CF9">
      <w:pPr>
        <w:ind w:firstLine="709"/>
        <w:jc w:val="both"/>
        <w:rPr>
          <w:rFonts w:asciiTheme="minorHAnsi" w:hAnsiTheme="minorHAnsi" w:cstheme="minorHAnsi"/>
          <w:b/>
          <w:bCs/>
          <w:sz w:val="24"/>
          <w:szCs w:val="24"/>
        </w:rPr>
      </w:pPr>
      <w:r w:rsidRPr="000B5A5D">
        <w:rPr>
          <w:rFonts w:asciiTheme="minorHAnsi" w:hAnsiTheme="minorHAnsi" w:cstheme="minorHAnsi"/>
          <w:b/>
          <w:bCs/>
          <w:sz w:val="24"/>
          <w:szCs w:val="24"/>
        </w:rPr>
        <w:t>Na rekvalifikace budeme doporučovat</w:t>
      </w:r>
      <w:r w:rsidRPr="000B5A5D">
        <w:rPr>
          <w:rFonts w:asciiTheme="minorHAnsi" w:hAnsiTheme="minorHAnsi" w:cstheme="minorHAnsi"/>
          <w:bCs/>
          <w:sz w:val="24"/>
          <w:szCs w:val="24"/>
        </w:rPr>
        <w:t xml:space="preserve"> zejména </w:t>
      </w:r>
      <w:r w:rsidRPr="000B5A5D">
        <w:rPr>
          <w:rFonts w:asciiTheme="minorHAnsi" w:hAnsiTheme="minorHAnsi" w:cstheme="minorHAnsi"/>
          <w:b/>
          <w:bCs/>
          <w:sz w:val="24"/>
          <w:szCs w:val="24"/>
        </w:rPr>
        <w:t>uchazeče o zaměstnání</w:t>
      </w:r>
      <w:r w:rsidRPr="000B5A5D">
        <w:rPr>
          <w:rFonts w:asciiTheme="minorHAnsi" w:hAnsiTheme="minorHAnsi" w:cstheme="minorHAnsi"/>
          <w:bCs/>
          <w:sz w:val="24"/>
          <w:szCs w:val="24"/>
        </w:rPr>
        <w:t xml:space="preserve">, </w:t>
      </w:r>
      <w:r w:rsidRPr="000B5A5D">
        <w:rPr>
          <w:rFonts w:asciiTheme="minorHAnsi" w:hAnsiTheme="minorHAnsi" w:cstheme="minorHAnsi"/>
          <w:b/>
          <w:bCs/>
          <w:sz w:val="24"/>
          <w:szCs w:val="24"/>
        </w:rPr>
        <w:t>kterým je při zprostředkování zaměstnání věnována zvýšená péče podle § 33, odst. 1 ZoZ</w:t>
      </w:r>
      <w:r w:rsidRPr="000B5A5D">
        <w:rPr>
          <w:rFonts w:asciiTheme="minorHAnsi" w:hAnsiTheme="minorHAnsi" w:cstheme="minorHAnsi"/>
          <w:bCs/>
          <w:sz w:val="24"/>
          <w:szCs w:val="24"/>
        </w:rPr>
        <w:t xml:space="preserve"> </w:t>
      </w:r>
      <w:r w:rsidRPr="000B5A5D">
        <w:rPr>
          <w:rFonts w:asciiTheme="minorHAnsi" w:hAnsiTheme="minorHAnsi" w:cstheme="minorHAnsi"/>
          <w:b/>
          <w:bCs/>
          <w:sz w:val="24"/>
          <w:szCs w:val="24"/>
        </w:rPr>
        <w:t>a</w:t>
      </w:r>
      <w:r w:rsidRPr="000B5A5D">
        <w:rPr>
          <w:rFonts w:asciiTheme="minorHAnsi" w:hAnsiTheme="minorHAnsi" w:cstheme="minorHAnsi"/>
          <w:bCs/>
          <w:sz w:val="24"/>
          <w:szCs w:val="24"/>
        </w:rPr>
        <w:t xml:space="preserve"> dále </w:t>
      </w:r>
      <w:r w:rsidRPr="000B5A5D">
        <w:rPr>
          <w:rFonts w:asciiTheme="minorHAnsi" w:hAnsiTheme="minorHAnsi" w:cstheme="minorHAnsi"/>
          <w:b/>
          <w:bCs/>
          <w:sz w:val="24"/>
          <w:szCs w:val="24"/>
        </w:rPr>
        <w:t>UoZ</w:t>
      </w:r>
      <w:r w:rsidRPr="000B5A5D">
        <w:rPr>
          <w:rFonts w:asciiTheme="minorHAnsi" w:hAnsiTheme="minorHAnsi" w:cstheme="minorHAnsi"/>
          <w:bCs/>
          <w:sz w:val="24"/>
          <w:szCs w:val="24"/>
        </w:rPr>
        <w:t xml:space="preserve">, </w:t>
      </w:r>
      <w:r w:rsidRPr="000B5A5D">
        <w:rPr>
          <w:rFonts w:asciiTheme="minorHAnsi" w:hAnsiTheme="minorHAnsi" w:cstheme="minorHAnsi"/>
          <w:b/>
          <w:bCs/>
          <w:sz w:val="24"/>
          <w:szCs w:val="24"/>
        </w:rPr>
        <w:t>jimž je</w:t>
      </w:r>
      <w:r w:rsidRPr="000B5A5D">
        <w:rPr>
          <w:rFonts w:asciiTheme="minorHAnsi" w:hAnsiTheme="minorHAnsi" w:cstheme="minorHAnsi"/>
          <w:bCs/>
          <w:sz w:val="24"/>
          <w:szCs w:val="24"/>
        </w:rPr>
        <w:t xml:space="preserve"> z důvodu nízké či neuplatnitelné kvalifikace </w:t>
      </w:r>
      <w:r w:rsidRPr="000B5A5D">
        <w:rPr>
          <w:rFonts w:asciiTheme="minorHAnsi" w:hAnsiTheme="minorHAnsi" w:cstheme="minorHAnsi"/>
          <w:b/>
          <w:bCs/>
          <w:sz w:val="24"/>
          <w:szCs w:val="24"/>
        </w:rPr>
        <w:t>ztížen vstup na trh práce</w:t>
      </w:r>
      <w:r w:rsidRPr="000B5A5D">
        <w:rPr>
          <w:rFonts w:asciiTheme="minorHAnsi" w:hAnsiTheme="minorHAnsi" w:cstheme="minorHAnsi"/>
          <w:bCs/>
          <w:sz w:val="24"/>
          <w:szCs w:val="24"/>
        </w:rPr>
        <w:t xml:space="preserve">. </w:t>
      </w:r>
      <w:r w:rsidRPr="000B5A5D">
        <w:rPr>
          <w:rFonts w:asciiTheme="minorHAnsi" w:hAnsiTheme="minorHAnsi" w:cstheme="minorHAnsi"/>
          <w:b/>
          <w:bCs/>
          <w:sz w:val="24"/>
          <w:szCs w:val="24"/>
        </w:rPr>
        <w:t>Týká se to</w:t>
      </w:r>
      <w:r w:rsidRPr="000B5A5D">
        <w:rPr>
          <w:rFonts w:asciiTheme="minorHAnsi" w:hAnsiTheme="minorHAnsi" w:cstheme="minorHAnsi"/>
          <w:bCs/>
          <w:sz w:val="24"/>
          <w:szCs w:val="24"/>
        </w:rPr>
        <w:t xml:space="preserve"> </w:t>
      </w:r>
      <w:r w:rsidRPr="000B5A5D">
        <w:rPr>
          <w:rFonts w:asciiTheme="minorHAnsi" w:hAnsiTheme="minorHAnsi" w:cstheme="minorHAnsi"/>
          <w:b/>
          <w:bCs/>
          <w:sz w:val="24"/>
          <w:szCs w:val="24"/>
        </w:rPr>
        <w:t>především absolventů škol a osob nad 5</w:t>
      </w:r>
      <w:r>
        <w:rPr>
          <w:rFonts w:asciiTheme="minorHAnsi" w:hAnsiTheme="minorHAnsi" w:cstheme="minorHAnsi"/>
          <w:b/>
          <w:bCs/>
          <w:sz w:val="24"/>
          <w:szCs w:val="24"/>
        </w:rPr>
        <w:t>0</w:t>
      </w:r>
      <w:r w:rsidRPr="000B5A5D">
        <w:rPr>
          <w:rFonts w:asciiTheme="minorHAnsi" w:hAnsiTheme="minorHAnsi" w:cstheme="minorHAnsi"/>
          <w:b/>
          <w:bCs/>
          <w:sz w:val="24"/>
          <w:szCs w:val="24"/>
        </w:rPr>
        <w:t xml:space="preserve"> let věku.</w:t>
      </w:r>
    </w:p>
    <w:p w:rsidR="00DC5CF9" w:rsidRDefault="00DC5CF9" w:rsidP="00DC5CF9">
      <w:pPr>
        <w:pStyle w:val="Zkladntext"/>
        <w:spacing w:after="0"/>
        <w:rPr>
          <w:rFonts w:asciiTheme="minorHAnsi" w:hAnsiTheme="minorHAnsi" w:cstheme="minorHAnsi"/>
          <w:sz w:val="24"/>
          <w:szCs w:val="24"/>
        </w:rPr>
      </w:pPr>
    </w:p>
    <w:p w:rsidR="00DC5CF9" w:rsidRDefault="00DC5CF9" w:rsidP="00DC5CF9">
      <w:pPr>
        <w:pStyle w:val="Zkladntext"/>
        <w:spacing w:after="0"/>
        <w:ind w:firstLine="708"/>
        <w:jc w:val="both"/>
        <w:rPr>
          <w:rFonts w:asciiTheme="minorHAnsi" w:hAnsiTheme="minorHAnsi" w:cstheme="minorHAnsi"/>
          <w:bCs/>
          <w:sz w:val="24"/>
          <w:szCs w:val="24"/>
        </w:rPr>
      </w:pPr>
      <w:r w:rsidRPr="00CE14AB">
        <w:rPr>
          <w:rFonts w:asciiTheme="minorHAnsi" w:hAnsiTheme="minorHAnsi" w:cstheme="minorHAnsi"/>
          <w:bCs/>
          <w:sz w:val="24"/>
          <w:szCs w:val="24"/>
        </w:rPr>
        <w:t xml:space="preserve">Pro letošní rok byla v rámci celého MSK domluvena jednotná strategie realizace APZ včetně </w:t>
      </w:r>
      <w:r>
        <w:rPr>
          <w:rFonts w:asciiTheme="minorHAnsi" w:hAnsiTheme="minorHAnsi" w:cstheme="minorHAnsi"/>
          <w:bCs/>
          <w:sz w:val="24"/>
          <w:szCs w:val="24"/>
        </w:rPr>
        <w:t>shodných kritérií a podmínek poskytování finančních příspěvků. Oproti minulým létům došlo k diferenciaci poskytovaných finančních příspěvků vybraným skupinám obtížně umístitelných UoZ (do 30 let věku, nad 50 let věku a OZP), a dále dlouhodobě evidovaným osobám.</w:t>
      </w:r>
    </w:p>
    <w:p w:rsidR="00DC5CF9" w:rsidRPr="000B5A5D" w:rsidRDefault="00DC5CF9" w:rsidP="00DC5CF9">
      <w:pPr>
        <w:ind w:firstLine="709"/>
        <w:jc w:val="both"/>
        <w:rPr>
          <w:rFonts w:asciiTheme="minorHAnsi" w:hAnsiTheme="minorHAnsi" w:cstheme="minorHAnsi"/>
          <w:sz w:val="24"/>
          <w:szCs w:val="24"/>
        </w:rPr>
      </w:pPr>
      <w:r w:rsidRPr="000B5A5D">
        <w:rPr>
          <w:rFonts w:asciiTheme="minorHAnsi" w:hAnsiTheme="minorHAnsi" w:cstheme="minorHAnsi"/>
          <w:bCs/>
          <w:sz w:val="24"/>
          <w:szCs w:val="24"/>
        </w:rPr>
        <w:t xml:space="preserve">K propagaci APZ jsou na portále MPSV vyvěšeny letáky k jednotlivým nástrojům s upřesněním aktuálních podmínek platných v MSK. </w:t>
      </w:r>
      <w:r w:rsidRPr="000B5A5D">
        <w:rPr>
          <w:rFonts w:asciiTheme="minorHAnsi" w:hAnsiTheme="minorHAnsi" w:cstheme="minorHAnsi"/>
          <w:sz w:val="24"/>
          <w:szCs w:val="24"/>
        </w:rPr>
        <w:t xml:space="preserve">O strategii realizace APZ krajské pobočky byli podrobně informováni </w:t>
      </w:r>
      <w:r>
        <w:rPr>
          <w:rFonts w:asciiTheme="minorHAnsi" w:hAnsiTheme="minorHAnsi" w:cstheme="minorHAnsi"/>
          <w:sz w:val="24"/>
          <w:szCs w:val="24"/>
        </w:rPr>
        <w:t xml:space="preserve">zaměstnanci všech </w:t>
      </w:r>
      <w:r w:rsidRPr="00D87F97">
        <w:rPr>
          <w:rFonts w:asciiTheme="minorHAnsi" w:hAnsiTheme="minorHAnsi" w:cstheme="minorHAnsi"/>
          <w:sz w:val="24"/>
          <w:szCs w:val="24"/>
        </w:rPr>
        <w:t>KoP</w:t>
      </w:r>
      <w:r w:rsidRPr="00D87F97">
        <w:rPr>
          <w:rFonts w:asciiTheme="minorHAnsi" w:hAnsiTheme="minorHAnsi" w:cstheme="minorHAnsi"/>
          <w:bCs/>
          <w:sz w:val="24"/>
          <w:szCs w:val="24"/>
        </w:rPr>
        <w:t xml:space="preserve"> v</w:t>
      </w:r>
      <w:r w:rsidRPr="00087C9A">
        <w:rPr>
          <w:rFonts w:asciiTheme="minorHAnsi" w:hAnsiTheme="minorHAnsi" w:cstheme="minorHAnsi"/>
          <w:bCs/>
          <w:sz w:val="24"/>
          <w:szCs w:val="24"/>
        </w:rPr>
        <w:t xml:space="preserve"> MSK, kteří by ji měli zaměřit na řešení specifických problémů lokálních trhů práce (mikroregionů). Podle aktuální situace na trhu práce a zájmu ze strany zaměstnavatelů budou individuálně v některých okresech MSK organizovány informační semináře pro zaměstnavatele,</w:t>
      </w:r>
      <w:r w:rsidRPr="007C76CA">
        <w:rPr>
          <w:rFonts w:asciiTheme="minorHAnsi" w:hAnsiTheme="minorHAnsi" w:cstheme="minorHAnsi"/>
          <w:bCs/>
          <w:color w:val="FF0000"/>
          <w:sz w:val="24"/>
          <w:szCs w:val="24"/>
        </w:rPr>
        <w:t xml:space="preserve"> </w:t>
      </w:r>
      <w:r w:rsidRPr="000B5A5D">
        <w:rPr>
          <w:rFonts w:asciiTheme="minorHAnsi" w:hAnsiTheme="minorHAnsi" w:cstheme="minorHAnsi"/>
          <w:bCs/>
          <w:sz w:val="24"/>
          <w:szCs w:val="24"/>
        </w:rPr>
        <w:t xml:space="preserve">současně jim budou aktuální informace předávány v rámci intenzívnějších monitorovacích návštěv našich pracovníků v terénu s cílem informovat firmy o nástrojích APZ, ale také získat co nejvíce informací o stavu a očekáváném vývoji zaměstnanosti v regionu. Během komunikace se zaměstnavateli či samosprávou jim podáme podrobné informace týkající se možností využití příspěvků v rámci APZ, hlášení volných pracovních míst nebo rekvalifikací, takže veškeré informace dostanou „přímo na stůl“, což je hlavním </w:t>
      </w:r>
      <w:r>
        <w:rPr>
          <w:rFonts w:asciiTheme="minorHAnsi" w:hAnsiTheme="minorHAnsi" w:cstheme="minorHAnsi"/>
          <w:bCs/>
          <w:sz w:val="24"/>
          <w:szCs w:val="24"/>
        </w:rPr>
        <w:t>příno</w:t>
      </w:r>
      <w:r w:rsidRPr="000B5A5D">
        <w:rPr>
          <w:rFonts w:asciiTheme="minorHAnsi" w:hAnsiTheme="minorHAnsi" w:cstheme="minorHAnsi"/>
          <w:bCs/>
          <w:sz w:val="24"/>
          <w:szCs w:val="24"/>
        </w:rPr>
        <w:t xml:space="preserve">sem této intenzívnější formy komunikace a aktivního přístupu ÚP ČR ke všem složkám trhu práce. </w:t>
      </w:r>
    </w:p>
    <w:p w:rsidR="00DC5CF9" w:rsidRPr="000B5A5D" w:rsidRDefault="00DC5CF9" w:rsidP="00DC5CF9">
      <w:pPr>
        <w:rPr>
          <w:rFonts w:asciiTheme="minorHAnsi" w:hAnsiTheme="minorHAnsi" w:cstheme="minorHAnsi"/>
          <w:sz w:val="24"/>
          <w:szCs w:val="24"/>
        </w:rPr>
      </w:pPr>
    </w:p>
    <w:p w:rsidR="00DC5CF9" w:rsidRPr="007C76CA" w:rsidRDefault="00DC5CF9" w:rsidP="00DC5CF9">
      <w:pPr>
        <w:jc w:val="both"/>
        <w:rPr>
          <w:rFonts w:asciiTheme="minorHAnsi" w:hAnsiTheme="minorHAnsi" w:cstheme="minorHAnsi"/>
          <w:sz w:val="24"/>
          <w:szCs w:val="24"/>
        </w:rPr>
      </w:pPr>
    </w:p>
    <w:p w:rsidR="00C70E74" w:rsidRPr="006D2E00" w:rsidRDefault="007214CF" w:rsidP="007214CF">
      <w:pPr>
        <w:rPr>
          <w:rFonts w:asciiTheme="minorHAnsi" w:hAnsiTheme="minorHAnsi" w:cstheme="minorHAnsi"/>
          <w:sz w:val="24"/>
          <w:szCs w:val="24"/>
        </w:rPr>
      </w:pPr>
      <w:r>
        <w:rPr>
          <w:rFonts w:asciiTheme="minorHAnsi" w:hAnsiTheme="minorHAnsi" w:cstheme="minorHAnsi"/>
          <w:sz w:val="24"/>
          <w:szCs w:val="24"/>
        </w:rPr>
        <w:br w:type="page"/>
      </w:r>
      <w:r w:rsidR="00C70E74" w:rsidRPr="006D2E00">
        <w:rPr>
          <w:rFonts w:asciiTheme="minorHAnsi" w:hAnsiTheme="minorHAnsi" w:cstheme="minorHAnsi"/>
          <w:b/>
          <w:sz w:val="28"/>
          <w:szCs w:val="28"/>
        </w:rPr>
        <w:t>VII .  PROGNÓZA  VÝVOJE  TRHU  PRÁCE  V  ROCE  201</w:t>
      </w:r>
      <w:r w:rsidR="00C70E74">
        <w:rPr>
          <w:rFonts w:asciiTheme="minorHAnsi" w:hAnsiTheme="minorHAnsi" w:cstheme="minorHAnsi"/>
          <w:b/>
          <w:sz w:val="28"/>
          <w:szCs w:val="28"/>
        </w:rPr>
        <w:t>5</w:t>
      </w:r>
    </w:p>
    <w:p w:rsidR="00C70E74" w:rsidRPr="006D2E00" w:rsidRDefault="00C70E74" w:rsidP="00C70E74">
      <w:pPr>
        <w:rPr>
          <w:rFonts w:asciiTheme="minorHAnsi" w:hAnsiTheme="minorHAnsi" w:cstheme="minorHAnsi"/>
          <w:b/>
          <w:sz w:val="24"/>
          <w:szCs w:val="24"/>
        </w:rPr>
      </w:pPr>
    </w:p>
    <w:p w:rsidR="00C70E74" w:rsidRPr="006D2E00" w:rsidRDefault="00C70E74" w:rsidP="00C70E74">
      <w:pPr>
        <w:pStyle w:val="Zkladntext"/>
        <w:spacing w:after="0"/>
        <w:ind w:firstLine="709"/>
        <w:jc w:val="both"/>
        <w:rPr>
          <w:rFonts w:asciiTheme="minorHAnsi" w:hAnsiTheme="minorHAnsi" w:cstheme="minorHAnsi"/>
          <w:sz w:val="24"/>
          <w:szCs w:val="24"/>
        </w:rPr>
      </w:pPr>
      <w:r w:rsidRPr="006D2E00">
        <w:rPr>
          <w:rFonts w:asciiTheme="minorHAnsi" w:hAnsiTheme="minorHAnsi" w:cstheme="minorHAnsi"/>
          <w:sz w:val="24"/>
          <w:szCs w:val="24"/>
        </w:rPr>
        <w:t>Situace na t</w:t>
      </w:r>
      <w:r>
        <w:rPr>
          <w:rFonts w:asciiTheme="minorHAnsi" w:hAnsiTheme="minorHAnsi" w:cstheme="minorHAnsi"/>
          <w:sz w:val="24"/>
          <w:szCs w:val="24"/>
        </w:rPr>
        <w:t>rhu práce v MSK bude v roce 2015</w:t>
      </w:r>
      <w:r w:rsidRPr="006D2E00">
        <w:rPr>
          <w:rFonts w:asciiTheme="minorHAnsi" w:hAnsiTheme="minorHAnsi" w:cstheme="minorHAnsi"/>
          <w:sz w:val="24"/>
          <w:szCs w:val="24"/>
        </w:rPr>
        <w:t xml:space="preserve"> ovlivňována nejen lokálními vlivy vyplývajícími ze specifického postavení Ostravy a celého MSK, ale především vnějším ek</w:t>
      </w:r>
      <w:r>
        <w:rPr>
          <w:rFonts w:asciiTheme="minorHAnsi" w:hAnsiTheme="minorHAnsi" w:cstheme="minorHAnsi"/>
          <w:sz w:val="24"/>
          <w:szCs w:val="24"/>
        </w:rPr>
        <w:t>onomickým prostředím. Po delším</w:t>
      </w:r>
      <w:r w:rsidRPr="006D2E00">
        <w:rPr>
          <w:rFonts w:asciiTheme="minorHAnsi" w:hAnsiTheme="minorHAnsi" w:cstheme="minorHAnsi"/>
          <w:sz w:val="24"/>
          <w:szCs w:val="24"/>
        </w:rPr>
        <w:t xml:space="preserve"> ob</w:t>
      </w:r>
      <w:r>
        <w:rPr>
          <w:rFonts w:asciiTheme="minorHAnsi" w:hAnsiTheme="minorHAnsi" w:cstheme="minorHAnsi"/>
          <w:sz w:val="24"/>
          <w:szCs w:val="24"/>
        </w:rPr>
        <w:t>dobí recese a stagnace hospodářství</w:t>
      </w:r>
      <w:r w:rsidRPr="006D2E00">
        <w:rPr>
          <w:rFonts w:asciiTheme="minorHAnsi" w:hAnsiTheme="minorHAnsi" w:cstheme="minorHAnsi"/>
          <w:sz w:val="24"/>
          <w:szCs w:val="24"/>
        </w:rPr>
        <w:t xml:space="preserve"> </w:t>
      </w:r>
      <w:r>
        <w:rPr>
          <w:rFonts w:asciiTheme="minorHAnsi" w:hAnsiTheme="minorHAnsi" w:cstheme="minorHAnsi"/>
          <w:sz w:val="24"/>
          <w:szCs w:val="24"/>
        </w:rPr>
        <w:t xml:space="preserve">došlo teprve až v roce 2014 k mírnému oživení ekonomiky, které se zároveň očekává i v následujícím období. </w:t>
      </w:r>
      <w:r w:rsidRPr="006D2E00">
        <w:rPr>
          <w:rFonts w:asciiTheme="minorHAnsi" w:hAnsiTheme="minorHAnsi" w:cstheme="minorHAnsi"/>
          <w:sz w:val="24"/>
          <w:szCs w:val="24"/>
        </w:rPr>
        <w:t xml:space="preserve">Situaci však </w:t>
      </w:r>
      <w:r>
        <w:rPr>
          <w:rFonts w:asciiTheme="minorHAnsi" w:hAnsiTheme="minorHAnsi" w:cstheme="minorHAnsi"/>
          <w:sz w:val="24"/>
          <w:szCs w:val="24"/>
        </w:rPr>
        <w:t xml:space="preserve">stále stěžuje </w:t>
      </w:r>
      <w:r w:rsidRPr="006D2E00">
        <w:rPr>
          <w:rFonts w:asciiTheme="minorHAnsi" w:hAnsiTheme="minorHAnsi" w:cstheme="minorHAnsi"/>
          <w:sz w:val="24"/>
          <w:szCs w:val="24"/>
        </w:rPr>
        <w:t>dřívější dlouhodobá jednostran</w:t>
      </w:r>
      <w:r>
        <w:rPr>
          <w:rFonts w:asciiTheme="minorHAnsi" w:hAnsiTheme="minorHAnsi" w:cstheme="minorHAnsi"/>
          <w:sz w:val="24"/>
          <w:szCs w:val="24"/>
        </w:rPr>
        <w:t>ná orientace na těžký průmysl a </w:t>
      </w:r>
      <w:r w:rsidRPr="006D2E00">
        <w:rPr>
          <w:rFonts w:asciiTheme="minorHAnsi" w:hAnsiTheme="minorHAnsi" w:cstheme="minorHAnsi"/>
          <w:sz w:val="24"/>
          <w:szCs w:val="24"/>
        </w:rPr>
        <w:t xml:space="preserve">přetrvávající ekonomické, sociální a ekologické problémy, </w:t>
      </w:r>
      <w:r>
        <w:rPr>
          <w:rFonts w:asciiTheme="minorHAnsi" w:hAnsiTheme="minorHAnsi" w:cstheme="minorHAnsi"/>
          <w:sz w:val="24"/>
          <w:szCs w:val="24"/>
        </w:rPr>
        <w:t xml:space="preserve">kdy současný stav jejichž řešení </w:t>
      </w:r>
      <w:r w:rsidRPr="006D2E00">
        <w:rPr>
          <w:rFonts w:asciiTheme="minorHAnsi" w:hAnsiTheme="minorHAnsi" w:cstheme="minorHAnsi"/>
          <w:sz w:val="24"/>
          <w:szCs w:val="24"/>
        </w:rPr>
        <w:t xml:space="preserve">v mnoha případech oddaluje. </w:t>
      </w:r>
      <w:r>
        <w:rPr>
          <w:rFonts w:asciiTheme="minorHAnsi" w:hAnsiTheme="minorHAnsi" w:cstheme="minorHAnsi"/>
          <w:sz w:val="24"/>
          <w:szCs w:val="24"/>
        </w:rPr>
        <w:t xml:space="preserve">Důležitým úkolem do budoucna je vytvořit pro celý tento region zdravé ekonomické a sociálně-kulturní přitažlivé prostředí pro nastupující mladou generaci, aby nepokračoval pokles počtu obyvatel Moravskoslezského kraje. </w:t>
      </w:r>
      <w:r w:rsidRPr="006D2E00">
        <w:rPr>
          <w:rFonts w:asciiTheme="minorHAnsi" w:hAnsiTheme="minorHAnsi" w:cstheme="minorHAnsi"/>
          <w:sz w:val="24"/>
          <w:szCs w:val="24"/>
        </w:rPr>
        <w:t>Z</w:t>
      </w:r>
      <w:r>
        <w:rPr>
          <w:rFonts w:asciiTheme="minorHAnsi" w:hAnsiTheme="minorHAnsi" w:cstheme="minorHAnsi"/>
          <w:sz w:val="24"/>
          <w:szCs w:val="24"/>
        </w:rPr>
        <w:t>da bude tento sestupný trend i </w:t>
      </w:r>
      <w:r w:rsidRPr="006D2E00">
        <w:rPr>
          <w:rFonts w:asciiTheme="minorHAnsi" w:hAnsiTheme="minorHAnsi" w:cstheme="minorHAnsi"/>
          <w:sz w:val="24"/>
          <w:szCs w:val="24"/>
        </w:rPr>
        <w:t xml:space="preserve">v následujícím období, závisí </w:t>
      </w:r>
      <w:r>
        <w:rPr>
          <w:rFonts w:asciiTheme="minorHAnsi" w:hAnsiTheme="minorHAnsi" w:cstheme="minorHAnsi"/>
          <w:sz w:val="24"/>
          <w:szCs w:val="24"/>
        </w:rPr>
        <w:t xml:space="preserve">především na pracovních možnostech a podmínkách v MSK. Trh práce zaznamenal v uplynulém roce sice určité zlepšení, protože však k němu dochází po několikaletých poklesech nebo stagnaci, není tento výsledek až tak markantní. </w:t>
      </w:r>
      <w:r w:rsidRPr="006D2E00">
        <w:rPr>
          <w:rFonts w:asciiTheme="minorHAnsi" w:hAnsiTheme="minorHAnsi" w:cstheme="minorHAnsi"/>
          <w:sz w:val="24"/>
          <w:szCs w:val="24"/>
        </w:rPr>
        <w:t>Oproti minulému roku předpokládají růstový trend především odvětví, která mají v kraji poměrně silné zastoupení. Jedná se především o výrobu motorových vozidel a komponentů pro automobilový průmysl</w:t>
      </w:r>
      <w:r>
        <w:rPr>
          <w:rFonts w:asciiTheme="minorHAnsi" w:hAnsiTheme="minorHAnsi" w:cstheme="minorHAnsi"/>
          <w:sz w:val="24"/>
          <w:szCs w:val="24"/>
        </w:rPr>
        <w:t xml:space="preserve"> a výrobu základních kovů</w:t>
      </w:r>
      <w:r w:rsidRPr="006D2E00">
        <w:rPr>
          <w:rFonts w:asciiTheme="minorHAnsi" w:hAnsiTheme="minorHAnsi" w:cstheme="minorHAnsi"/>
          <w:sz w:val="24"/>
          <w:szCs w:val="24"/>
        </w:rPr>
        <w:t xml:space="preserve">. </w:t>
      </w:r>
      <w:r>
        <w:rPr>
          <w:rFonts w:asciiTheme="minorHAnsi" w:hAnsiTheme="minorHAnsi" w:cstheme="minorHAnsi"/>
          <w:sz w:val="24"/>
          <w:szCs w:val="24"/>
        </w:rPr>
        <w:t xml:space="preserve">S výjimkou těžby a dobývání můžeme i u některých jiných oborů činnosti očekávat mírné navýšení stavů. </w:t>
      </w:r>
      <w:r w:rsidRPr="006D2E00">
        <w:rPr>
          <w:rFonts w:asciiTheme="minorHAnsi" w:hAnsiTheme="minorHAnsi" w:cstheme="minorHAnsi"/>
          <w:sz w:val="24"/>
          <w:szCs w:val="24"/>
        </w:rPr>
        <w:t xml:space="preserve">Je však nutno současně </w:t>
      </w:r>
      <w:r>
        <w:rPr>
          <w:rFonts w:asciiTheme="minorHAnsi" w:hAnsiTheme="minorHAnsi" w:cstheme="minorHAnsi"/>
          <w:sz w:val="24"/>
          <w:szCs w:val="24"/>
        </w:rPr>
        <w:t xml:space="preserve">znovu </w:t>
      </w:r>
      <w:r w:rsidRPr="006D2E00">
        <w:rPr>
          <w:rFonts w:asciiTheme="minorHAnsi" w:hAnsiTheme="minorHAnsi" w:cstheme="minorHAnsi"/>
          <w:sz w:val="24"/>
          <w:szCs w:val="24"/>
        </w:rPr>
        <w:t>zdůraznit, že tento ne</w:t>
      </w:r>
      <w:r>
        <w:rPr>
          <w:rFonts w:asciiTheme="minorHAnsi" w:hAnsiTheme="minorHAnsi" w:cstheme="minorHAnsi"/>
          <w:sz w:val="24"/>
          <w:szCs w:val="24"/>
        </w:rPr>
        <w:t xml:space="preserve">patrný případný růst možná nastane, ale až </w:t>
      </w:r>
      <w:r w:rsidRPr="006D2E00">
        <w:rPr>
          <w:rFonts w:asciiTheme="minorHAnsi" w:hAnsiTheme="minorHAnsi" w:cstheme="minorHAnsi"/>
          <w:sz w:val="24"/>
          <w:szCs w:val="24"/>
        </w:rPr>
        <w:t xml:space="preserve">po </w:t>
      </w:r>
      <w:r>
        <w:rPr>
          <w:rFonts w:asciiTheme="minorHAnsi" w:hAnsiTheme="minorHAnsi" w:cstheme="minorHAnsi"/>
          <w:sz w:val="24"/>
          <w:szCs w:val="24"/>
        </w:rPr>
        <w:t xml:space="preserve">několikaletém </w:t>
      </w:r>
      <w:r w:rsidRPr="006D2E00">
        <w:rPr>
          <w:rFonts w:asciiTheme="minorHAnsi" w:hAnsiTheme="minorHAnsi" w:cstheme="minorHAnsi"/>
          <w:sz w:val="24"/>
          <w:szCs w:val="24"/>
        </w:rPr>
        <w:t>nepřetržitém poklesu zaměstnano</w:t>
      </w:r>
      <w:r>
        <w:rPr>
          <w:rFonts w:asciiTheme="minorHAnsi" w:hAnsiTheme="minorHAnsi" w:cstheme="minorHAnsi"/>
          <w:sz w:val="24"/>
          <w:szCs w:val="24"/>
        </w:rPr>
        <w:t>sti v MSK. Od roku 2008 ubylo u </w:t>
      </w:r>
      <w:r w:rsidRPr="006D2E00">
        <w:rPr>
          <w:rFonts w:asciiTheme="minorHAnsi" w:hAnsiTheme="minorHAnsi" w:cstheme="minorHAnsi"/>
          <w:sz w:val="24"/>
          <w:szCs w:val="24"/>
        </w:rPr>
        <w:t xml:space="preserve">monitorovaných firem </w:t>
      </w:r>
      <w:r>
        <w:rPr>
          <w:rFonts w:asciiTheme="minorHAnsi" w:hAnsiTheme="minorHAnsi" w:cstheme="minorHAnsi"/>
          <w:sz w:val="24"/>
          <w:szCs w:val="24"/>
        </w:rPr>
        <w:t>Moravskoslezského kraje téměř 25</w:t>
      </w:r>
      <w:r w:rsidRPr="006D2E00">
        <w:rPr>
          <w:rFonts w:asciiTheme="minorHAnsi" w:hAnsiTheme="minorHAnsi" w:cstheme="minorHAnsi"/>
          <w:sz w:val="24"/>
          <w:szCs w:val="24"/>
        </w:rPr>
        <w:t xml:space="preserve"> tisíc zaměstnanců.</w:t>
      </w:r>
      <w:r>
        <w:rPr>
          <w:rFonts w:asciiTheme="minorHAnsi" w:hAnsiTheme="minorHAnsi" w:cstheme="minorHAnsi"/>
          <w:sz w:val="24"/>
          <w:szCs w:val="24"/>
        </w:rPr>
        <w:t xml:space="preserve"> </w:t>
      </w:r>
    </w:p>
    <w:p w:rsidR="00C70E74" w:rsidRPr="006D2E00" w:rsidRDefault="00C70E74" w:rsidP="00C70E74">
      <w:pPr>
        <w:pStyle w:val="Zkladntext"/>
        <w:rPr>
          <w:rFonts w:asciiTheme="minorHAnsi" w:hAnsiTheme="minorHAnsi" w:cstheme="minorHAnsi"/>
          <w:sz w:val="24"/>
          <w:szCs w:val="24"/>
        </w:rPr>
      </w:pPr>
    </w:p>
    <w:p w:rsidR="00C70E74" w:rsidRPr="006D2E00" w:rsidRDefault="00C70E74" w:rsidP="00C70E74">
      <w:pPr>
        <w:pStyle w:val="nadpis10"/>
        <w:rPr>
          <w:rFonts w:asciiTheme="minorHAnsi" w:hAnsiTheme="minorHAnsi" w:cstheme="minorHAnsi"/>
          <w:color w:val="auto"/>
        </w:rPr>
      </w:pPr>
      <w:r w:rsidRPr="006D2E00">
        <w:rPr>
          <w:rFonts w:asciiTheme="minorHAnsi" w:hAnsiTheme="minorHAnsi" w:cstheme="minorHAnsi"/>
          <w:color w:val="auto"/>
        </w:rPr>
        <w:t>1. Hlavní rysy světového hospodářství</w:t>
      </w:r>
    </w:p>
    <w:p w:rsidR="00C70E74" w:rsidRPr="006D2E00" w:rsidRDefault="00C70E74" w:rsidP="00C70E74">
      <w:pPr>
        <w:pStyle w:val="dka"/>
        <w:rPr>
          <w:rFonts w:asciiTheme="minorHAnsi" w:hAnsiTheme="minorHAnsi" w:cstheme="minorHAnsi"/>
          <w:color w:val="auto"/>
        </w:rPr>
      </w:pPr>
    </w:p>
    <w:p w:rsidR="00C70E74" w:rsidRPr="004E1B4C" w:rsidRDefault="00C70E74" w:rsidP="00C70E74">
      <w:pPr>
        <w:pStyle w:val="odsazen"/>
        <w:numPr>
          <w:ilvl w:val="0"/>
          <w:numId w:val="17"/>
        </w:numPr>
        <w:autoSpaceDE w:val="0"/>
        <w:autoSpaceDN w:val="0"/>
        <w:adjustRightInd w:val="0"/>
        <w:rPr>
          <w:rFonts w:asciiTheme="minorHAnsi" w:hAnsiTheme="minorHAnsi" w:cstheme="minorHAnsi"/>
        </w:rPr>
      </w:pPr>
      <w:r w:rsidRPr="004E1B4C">
        <w:rPr>
          <w:rFonts w:asciiTheme="minorHAnsi" w:hAnsiTheme="minorHAnsi" w:cstheme="minorHAnsi"/>
        </w:rPr>
        <w:t>Americká ekonomika zaznamenala během roku 2014 oživení. Růst byl tažen především spotřebou a investicemi. Domácí poptávka by přitom m</w:t>
      </w:r>
      <w:r>
        <w:rPr>
          <w:rFonts w:asciiTheme="minorHAnsi" w:hAnsiTheme="minorHAnsi" w:cstheme="minorHAnsi"/>
        </w:rPr>
        <w:t>ěla být hlavním zdrojem růstu i </w:t>
      </w:r>
      <w:r w:rsidRPr="004E1B4C">
        <w:rPr>
          <w:rFonts w:asciiTheme="minorHAnsi" w:hAnsiTheme="minorHAnsi" w:cstheme="minorHAnsi"/>
        </w:rPr>
        <w:t xml:space="preserve">v roce 2015. Míra nezaměstnanosti v druhé polovině loňského roku poprvé od vypuknutí krize klesla pod hranici 6 %. </w:t>
      </w:r>
      <w:r>
        <w:rPr>
          <w:rFonts w:asciiTheme="minorHAnsi" w:hAnsiTheme="minorHAnsi" w:cstheme="minorHAnsi"/>
        </w:rPr>
        <w:t xml:space="preserve">Podle MF ČR byl zvýšen HDP </w:t>
      </w:r>
      <w:r w:rsidRPr="004E1B4C">
        <w:rPr>
          <w:rFonts w:asciiTheme="minorHAnsi" w:hAnsiTheme="minorHAnsi" w:cstheme="minorHAnsi"/>
        </w:rPr>
        <w:t>na 2,5 % a pro rok 2015 se počítá se zrychlením růstu na 3,2 %.</w:t>
      </w:r>
      <w:r w:rsidRPr="004E1B4C">
        <w:rPr>
          <w:rFonts w:asciiTheme="minorHAnsi" w:hAnsiTheme="minorHAnsi" w:cstheme="minorHAnsi"/>
          <w:szCs w:val="24"/>
        </w:rPr>
        <w:t xml:space="preserve"> K růstu HDP by měla i nadále přispívat zejmén</w:t>
      </w:r>
      <w:r>
        <w:rPr>
          <w:rFonts w:asciiTheme="minorHAnsi" w:hAnsiTheme="minorHAnsi" w:cstheme="minorHAnsi"/>
          <w:szCs w:val="24"/>
        </w:rPr>
        <w:t>a soukromá spotřeba a investice a z</w:t>
      </w:r>
      <w:r w:rsidRPr="004E1B4C">
        <w:rPr>
          <w:rFonts w:asciiTheme="minorHAnsi" w:hAnsiTheme="minorHAnsi" w:cstheme="minorHAnsi"/>
          <w:szCs w:val="24"/>
        </w:rPr>
        <w:t xml:space="preserve">ároveň by </w:t>
      </w:r>
      <w:r>
        <w:rPr>
          <w:rFonts w:asciiTheme="minorHAnsi" w:hAnsiTheme="minorHAnsi" w:cstheme="minorHAnsi"/>
          <w:szCs w:val="24"/>
        </w:rPr>
        <w:t xml:space="preserve">se měly navýšit </w:t>
      </w:r>
      <w:r w:rsidRPr="004E1B4C">
        <w:rPr>
          <w:rFonts w:asciiTheme="minorHAnsi" w:hAnsiTheme="minorHAnsi" w:cstheme="minorHAnsi"/>
          <w:szCs w:val="24"/>
        </w:rPr>
        <w:t xml:space="preserve">i vládní výdaje. V souvislosti s poměrně dobrým ekonomickým růstem v minulém roce se </w:t>
      </w:r>
      <w:r>
        <w:rPr>
          <w:rFonts w:asciiTheme="minorHAnsi" w:hAnsiTheme="minorHAnsi" w:cstheme="minorHAnsi"/>
          <w:szCs w:val="24"/>
        </w:rPr>
        <w:t xml:space="preserve">však </w:t>
      </w:r>
      <w:r w:rsidRPr="004E1B4C">
        <w:rPr>
          <w:rFonts w:asciiTheme="minorHAnsi" w:hAnsiTheme="minorHAnsi" w:cstheme="minorHAnsi"/>
          <w:szCs w:val="24"/>
        </w:rPr>
        <w:t>zapomíná na gigantický státní d</w:t>
      </w:r>
      <w:r>
        <w:rPr>
          <w:rFonts w:asciiTheme="minorHAnsi" w:hAnsiTheme="minorHAnsi" w:cstheme="minorHAnsi"/>
          <w:szCs w:val="24"/>
        </w:rPr>
        <w:t>luh a b</w:t>
      </w:r>
      <w:r w:rsidRPr="004E1B4C">
        <w:rPr>
          <w:rFonts w:asciiTheme="minorHAnsi" w:hAnsiTheme="minorHAnsi" w:cstheme="minorHAnsi"/>
          <w:szCs w:val="24"/>
        </w:rPr>
        <w:t xml:space="preserve">ohužel se pořád vychází z předpokladu, že </w:t>
      </w:r>
      <w:r>
        <w:rPr>
          <w:rFonts w:asciiTheme="minorHAnsi" w:hAnsiTheme="minorHAnsi" w:cstheme="minorHAnsi"/>
          <w:szCs w:val="24"/>
        </w:rPr>
        <w:t xml:space="preserve">jeho </w:t>
      </w:r>
      <w:r w:rsidRPr="004E1B4C">
        <w:rPr>
          <w:rFonts w:asciiTheme="minorHAnsi" w:hAnsiTheme="minorHAnsi" w:cstheme="minorHAnsi"/>
          <w:szCs w:val="24"/>
        </w:rPr>
        <w:t xml:space="preserve">neustále rostoucí </w:t>
      </w:r>
      <w:r>
        <w:rPr>
          <w:rFonts w:asciiTheme="minorHAnsi" w:hAnsiTheme="minorHAnsi" w:cstheme="minorHAnsi"/>
          <w:szCs w:val="24"/>
        </w:rPr>
        <w:t xml:space="preserve">výše </w:t>
      </w:r>
      <w:r w:rsidRPr="004E1B4C">
        <w:rPr>
          <w:rFonts w:asciiTheme="minorHAnsi" w:hAnsiTheme="minorHAnsi" w:cstheme="minorHAnsi"/>
          <w:szCs w:val="24"/>
        </w:rPr>
        <w:t>bude dlouhodobě nějak vyřešen</w:t>
      </w:r>
      <w:r>
        <w:rPr>
          <w:rFonts w:asciiTheme="minorHAnsi" w:hAnsiTheme="minorHAnsi" w:cstheme="minorHAnsi"/>
          <w:szCs w:val="24"/>
        </w:rPr>
        <w:t>a</w:t>
      </w:r>
      <w:r w:rsidRPr="004E1B4C">
        <w:rPr>
          <w:rFonts w:asciiTheme="minorHAnsi" w:hAnsiTheme="minorHAnsi" w:cstheme="minorHAnsi"/>
          <w:szCs w:val="24"/>
        </w:rPr>
        <w:t xml:space="preserve">. </w:t>
      </w:r>
      <w:r w:rsidRPr="004E1B4C">
        <w:rPr>
          <w:rFonts w:ascii="Calibri" w:hAnsi="Calibri" w:cs="Calibri"/>
          <w:szCs w:val="24"/>
        </w:rPr>
        <w:t>Obavy ze zpomalení čínské ekonomiky se naplňují. MF předpokládá, že se růst čínské ekonomiky počínaje letošním rokem zpomalí pod hranici 7 %. Vysoká úvěrová aktivita tamějších bank totiž není dlouhodobě udržitelná a dluh regionálních vlád nebezpečně roste. V Číně pokračuje snaha o přechod k modelu růstu založeného na domácí poptávce. Zpomalení čínské ekonomiky, spolu s výrazným poklesem ceny ropy, zhoršuje situaci v mnoha dalších rozvíjejících se ekonomikách závislých na obchodu s primárními komoditami.</w:t>
      </w:r>
    </w:p>
    <w:p w:rsidR="00C70E74" w:rsidRPr="006D2E00" w:rsidRDefault="00C70E74" w:rsidP="00C70E74">
      <w:pPr>
        <w:pStyle w:val="odsazen"/>
        <w:numPr>
          <w:ilvl w:val="0"/>
          <w:numId w:val="17"/>
        </w:numPr>
        <w:autoSpaceDE w:val="0"/>
        <w:autoSpaceDN w:val="0"/>
        <w:adjustRightInd w:val="0"/>
        <w:rPr>
          <w:rFonts w:asciiTheme="minorHAnsi" w:hAnsiTheme="minorHAnsi" w:cstheme="minorHAnsi"/>
        </w:rPr>
      </w:pPr>
      <w:r>
        <w:rPr>
          <w:rFonts w:asciiTheme="minorHAnsi" w:hAnsiTheme="minorHAnsi" w:cstheme="minorHAnsi"/>
        </w:rPr>
        <w:t>MF ČR odhaduje, že se HDP v EU (v rozsahu 12 původních zemí) v roce 2014 zvýšil o 0,8 %, přitom vývoj v jednotlivých zemích zůstává velmi rozdílný. Oživení stále brzdí strukturální problémy ekonomik a nejistoty spojené s dalším výhledem. V listopadu 2014 míra nezaměstnanosti v EU činila 10,0 %, v eurozóně pak 11,5 %. Mezi jednotlivými státy přitom stále přetrvávají značné rozdíly. Nejhůře je na tom i nadále Řecko, kde v září míra nezaměstnanosti dosáhla 25,7 %. Z dalších zemí EU byla v listopadu nejvyšší míra nezaměstnanosti ve Španělsku (23,9 %), na Kypru (16,8 %) a v Chorvatsku (16,5 %), nejnižší naopak byla v Rakousku (4,9 %) a Německu (5,0 %). V druhé polovině minulého roku došlo k mírnému oživení ekonomické aktivity a její pokračování se očekává i v roce 2015. K růstu by měla přispívat především domácí poptávka podpořená nízkou mírou inflace a příznivou výší úrokových sazeb. I když vysoká nezaměstnanost působí jako překážka růstu, očekává se zlepšení situace na trhu práce. Nejsilnější ekonomika EU - Německo ke konci minulého roku pokračovalo spíše ve stagnaci. Poměrně nepříznivý výsledek byl dán zvýšenou nejistotou spojenou se slabým výkonem ekonomik hlavních obchodních partnerů a riziky eskalace geopolitických konfliktů. MF však očekává obrat tohoto vývoje v roce 2015, přičemž hlavními faktory růstu by měly být - spotřeba domácností a investice. Nepříznivá situace byla ke konci minulého roku rovněž ve Francii, kde však nic nenasvědčuje tomu, že by se ekonomická aktivita měla v budoucnu výrazněji oživovat. Situace na trhu práce se nelepší, vysoká míra nezaměstnanosti a problémy s tvorbou nových pracovních míst tlumí spotřebu domácností. Problém představuje u některých průmyslových odvětví také nízký odbyt v zahraničí.</w:t>
      </w:r>
    </w:p>
    <w:p w:rsidR="00C70E74" w:rsidRPr="00AC6724" w:rsidRDefault="00C70E74" w:rsidP="00C70E74">
      <w:pPr>
        <w:pStyle w:val="odsazen"/>
        <w:numPr>
          <w:ilvl w:val="0"/>
          <w:numId w:val="17"/>
        </w:numPr>
        <w:autoSpaceDE w:val="0"/>
        <w:autoSpaceDN w:val="0"/>
        <w:adjustRightInd w:val="0"/>
        <w:rPr>
          <w:rFonts w:asciiTheme="minorHAnsi" w:hAnsiTheme="minorHAnsi" w:cstheme="minorHAnsi"/>
          <w:bCs/>
          <w:szCs w:val="24"/>
        </w:rPr>
      </w:pPr>
      <w:r w:rsidRPr="00AC6724">
        <w:rPr>
          <w:rFonts w:asciiTheme="minorHAnsi" w:hAnsiTheme="minorHAnsi" w:cstheme="minorHAnsi"/>
          <w:bCs/>
          <w:szCs w:val="24"/>
        </w:rPr>
        <w:t>Situace v problémových ekonomi</w:t>
      </w:r>
      <w:r>
        <w:rPr>
          <w:rFonts w:asciiTheme="minorHAnsi" w:hAnsiTheme="minorHAnsi" w:cstheme="minorHAnsi"/>
          <w:bCs/>
          <w:szCs w:val="24"/>
        </w:rPr>
        <w:t xml:space="preserve">kách eurozóny ke konci </w:t>
      </w:r>
      <w:r w:rsidRPr="00AC6724">
        <w:rPr>
          <w:rFonts w:asciiTheme="minorHAnsi" w:hAnsiTheme="minorHAnsi" w:cstheme="minorHAnsi"/>
          <w:bCs/>
          <w:szCs w:val="24"/>
        </w:rPr>
        <w:t xml:space="preserve">roku </w:t>
      </w:r>
      <w:r>
        <w:rPr>
          <w:rFonts w:asciiTheme="minorHAnsi" w:hAnsiTheme="minorHAnsi" w:cstheme="minorHAnsi"/>
          <w:bCs/>
          <w:szCs w:val="24"/>
        </w:rPr>
        <w:t xml:space="preserve">2014 </w:t>
      </w:r>
      <w:r w:rsidRPr="00AC6724">
        <w:rPr>
          <w:rFonts w:asciiTheme="minorHAnsi" w:hAnsiTheme="minorHAnsi" w:cstheme="minorHAnsi"/>
          <w:bCs/>
          <w:szCs w:val="24"/>
        </w:rPr>
        <w:t>probíhala odlišně. Zatímco v Irsku, Portugalsku a Španělsku pokračovalo oživování ekonomické aktivity, tak Kypr a Itálie se nachází v recesi.</w:t>
      </w:r>
      <w:r>
        <w:rPr>
          <w:rFonts w:asciiTheme="minorHAnsi" w:hAnsiTheme="minorHAnsi" w:cstheme="minorHAnsi"/>
          <w:bCs/>
          <w:szCs w:val="24"/>
        </w:rPr>
        <w:t xml:space="preserve"> Počátek letošního roku přinesl zdramatizování vývoje v Řecku, kde ve volbách zvítězilo levicové hnutí, které se k záchranným programům a s nimi spojeným úsporným opatřením staví velmi kriticky, požaduje odpis části dluhu a slibuje vrátit mnohé výhody občanům. V Řecku tak v současné době existují výrazná politická rizika, jež by mohla v krajním případě vést až k eskalaci krize v eurozóně.</w:t>
      </w:r>
    </w:p>
    <w:p w:rsidR="00C70E74" w:rsidRDefault="00C70E74" w:rsidP="00C70E74">
      <w:pPr>
        <w:pStyle w:val="odsazen"/>
        <w:numPr>
          <w:ilvl w:val="0"/>
          <w:numId w:val="17"/>
        </w:numPr>
        <w:rPr>
          <w:rFonts w:asciiTheme="minorHAnsi" w:hAnsiTheme="minorHAnsi" w:cstheme="minorHAnsi"/>
        </w:rPr>
      </w:pPr>
      <w:r w:rsidRPr="00AC6724">
        <w:rPr>
          <w:rFonts w:asciiTheme="minorHAnsi" w:hAnsiTheme="minorHAnsi" w:cstheme="minorHAnsi"/>
        </w:rPr>
        <w:t xml:space="preserve">Kromě Německa má velký vliv na stav našeho hospodářství nejbližší středoevropské okolí. </w:t>
      </w:r>
      <w:r>
        <w:rPr>
          <w:rFonts w:asciiTheme="minorHAnsi" w:hAnsiTheme="minorHAnsi" w:cstheme="minorHAnsi"/>
        </w:rPr>
        <w:t>V Polsku nízká inflace a zlepšování situace na trhu práce podporují domácí poptávku, která je hlavním faktorem růstu a měla by pokračovat i v roce 2015. MF odhaduje růst polského HDP v roce 2014 na 3,4 %. U Slovenska jeho růst předpokládá na 2,4 % a opírá se rovněž o domácí poptávku. Situace na trhu práce se zlepšuje, míra nezaměstnanosti klesá a zaměstnanost se zvyšuje.</w:t>
      </w:r>
    </w:p>
    <w:p w:rsidR="00C70E74" w:rsidRPr="006D2E00" w:rsidRDefault="00C70E74" w:rsidP="00C70E74">
      <w:pPr>
        <w:pStyle w:val="odsazen"/>
        <w:numPr>
          <w:ilvl w:val="0"/>
          <w:numId w:val="17"/>
        </w:numPr>
        <w:rPr>
          <w:rFonts w:asciiTheme="minorHAnsi" w:hAnsiTheme="minorHAnsi" w:cstheme="minorHAnsi"/>
        </w:rPr>
      </w:pPr>
      <w:r>
        <w:rPr>
          <w:rFonts w:asciiTheme="minorHAnsi" w:hAnsiTheme="minorHAnsi" w:cstheme="minorHAnsi"/>
        </w:rPr>
        <w:t>Ekonomická spolupráce v EU je v dnešní době do určité míry ovlivněna ukrajinským konfliktem a sankčními opatřeními vůči Rusku ze strany USA a EU, objevují se však i hlasy pro jejich odstranění. Dopad sankcí na jednotlivé země EU je velmi různorodý v závislosti na míře jejich ekonomických vztahů s Ruskem.</w:t>
      </w:r>
    </w:p>
    <w:p w:rsidR="00C70E74" w:rsidRPr="006D2E00" w:rsidRDefault="00C70E74" w:rsidP="00C70E74">
      <w:pPr>
        <w:pStyle w:val="odsazen"/>
        <w:numPr>
          <w:ilvl w:val="0"/>
          <w:numId w:val="0"/>
        </w:numPr>
        <w:ind w:left="360"/>
        <w:rPr>
          <w:rFonts w:asciiTheme="minorHAnsi" w:hAnsiTheme="minorHAnsi" w:cstheme="minorHAnsi"/>
        </w:rPr>
      </w:pPr>
    </w:p>
    <w:p w:rsidR="00C70E74" w:rsidRPr="006D2E00" w:rsidRDefault="00C70E74" w:rsidP="00C70E74">
      <w:pPr>
        <w:pStyle w:val="nadpis10"/>
        <w:rPr>
          <w:rFonts w:asciiTheme="minorHAnsi" w:hAnsiTheme="minorHAnsi" w:cstheme="minorHAnsi"/>
          <w:color w:val="auto"/>
        </w:rPr>
      </w:pPr>
      <w:r w:rsidRPr="006D2E00">
        <w:rPr>
          <w:rFonts w:asciiTheme="minorHAnsi" w:hAnsiTheme="minorHAnsi" w:cstheme="minorHAnsi"/>
          <w:color w:val="auto"/>
        </w:rPr>
        <w:t>2. Předpokládaný vývoj z celorepublikového pohledu</w:t>
      </w:r>
    </w:p>
    <w:p w:rsidR="00C70E74" w:rsidRPr="006D2E00" w:rsidRDefault="00C70E74" w:rsidP="00C70E74">
      <w:pPr>
        <w:pStyle w:val="odsazen"/>
        <w:numPr>
          <w:ilvl w:val="0"/>
          <w:numId w:val="0"/>
        </w:numPr>
        <w:tabs>
          <w:tab w:val="left" w:pos="708"/>
        </w:tabs>
        <w:rPr>
          <w:rFonts w:asciiTheme="minorHAnsi" w:hAnsiTheme="minorHAnsi" w:cstheme="minorHAnsi"/>
        </w:rPr>
      </w:pPr>
    </w:p>
    <w:p w:rsidR="00C70E74" w:rsidRPr="006D2E00" w:rsidRDefault="00C70E74" w:rsidP="00C70E74">
      <w:pPr>
        <w:pStyle w:val="odsazen"/>
        <w:numPr>
          <w:ilvl w:val="0"/>
          <w:numId w:val="17"/>
        </w:numPr>
        <w:rPr>
          <w:rFonts w:asciiTheme="minorHAnsi" w:hAnsiTheme="minorHAnsi" w:cstheme="minorHAnsi"/>
          <w:szCs w:val="24"/>
        </w:rPr>
      </w:pPr>
      <w:r>
        <w:rPr>
          <w:rFonts w:asciiTheme="minorHAnsi" w:hAnsiTheme="minorHAnsi" w:cstheme="minorHAnsi"/>
        </w:rPr>
        <w:t xml:space="preserve">S </w:t>
      </w:r>
      <w:r w:rsidRPr="006D2E00">
        <w:rPr>
          <w:rFonts w:asciiTheme="minorHAnsi" w:hAnsiTheme="minorHAnsi" w:cstheme="minorHAnsi"/>
          <w:szCs w:val="24"/>
        </w:rPr>
        <w:t>oživení</w:t>
      </w:r>
      <w:r>
        <w:rPr>
          <w:rFonts w:asciiTheme="minorHAnsi" w:hAnsiTheme="minorHAnsi" w:cstheme="minorHAnsi"/>
          <w:szCs w:val="24"/>
        </w:rPr>
        <w:t>m</w:t>
      </w:r>
      <w:r w:rsidRPr="006D2E00">
        <w:rPr>
          <w:rFonts w:asciiTheme="minorHAnsi" w:hAnsiTheme="minorHAnsi" w:cstheme="minorHAnsi"/>
          <w:szCs w:val="24"/>
        </w:rPr>
        <w:t xml:space="preserve"> ekonomické aktivity se podle o</w:t>
      </w:r>
      <w:r>
        <w:rPr>
          <w:rFonts w:asciiTheme="minorHAnsi" w:hAnsiTheme="minorHAnsi" w:cstheme="minorHAnsi"/>
          <w:szCs w:val="24"/>
        </w:rPr>
        <w:t xml:space="preserve">dhadu MF ČR zvýšil HDP za celý rok 2014 o 2,4 %. V letošním roce by naše </w:t>
      </w:r>
      <w:r w:rsidRPr="006D2E00">
        <w:rPr>
          <w:rFonts w:asciiTheme="minorHAnsi" w:hAnsiTheme="minorHAnsi" w:cstheme="minorHAnsi"/>
          <w:szCs w:val="24"/>
        </w:rPr>
        <w:t xml:space="preserve">ekonomika </w:t>
      </w:r>
      <w:r>
        <w:rPr>
          <w:rFonts w:asciiTheme="minorHAnsi" w:hAnsiTheme="minorHAnsi" w:cstheme="minorHAnsi"/>
          <w:szCs w:val="24"/>
        </w:rPr>
        <w:t>měla dále růst o 2,7 %, což by mělo být zabezpečeno výhradně domácí poptávkou. Saldo zahraničního obchodu by naopak mělo růst HDP mírně tlumit, protože domácí poptávka by měla vést ke zvýšení dovozu.</w:t>
      </w:r>
    </w:p>
    <w:p w:rsidR="00C70E74" w:rsidRPr="006D2E00" w:rsidRDefault="00C70E74" w:rsidP="00C70E74">
      <w:pPr>
        <w:pStyle w:val="Zkladntext"/>
        <w:numPr>
          <w:ilvl w:val="0"/>
          <w:numId w:val="17"/>
        </w:numPr>
        <w:spacing w:after="0"/>
        <w:jc w:val="both"/>
        <w:rPr>
          <w:rFonts w:asciiTheme="minorHAnsi" w:hAnsiTheme="minorHAnsi" w:cstheme="minorHAnsi"/>
          <w:sz w:val="24"/>
          <w:szCs w:val="24"/>
        </w:rPr>
      </w:pPr>
      <w:r w:rsidRPr="006D2E00">
        <w:rPr>
          <w:rFonts w:asciiTheme="minorHAnsi" w:hAnsiTheme="minorHAnsi" w:cstheme="minorHAnsi"/>
          <w:sz w:val="24"/>
          <w:szCs w:val="24"/>
        </w:rPr>
        <w:t>Podle MF ČR p</w:t>
      </w:r>
      <w:r>
        <w:rPr>
          <w:rFonts w:asciiTheme="minorHAnsi" w:hAnsiTheme="minorHAnsi" w:cstheme="minorHAnsi"/>
          <w:sz w:val="24"/>
          <w:szCs w:val="24"/>
        </w:rPr>
        <w:t xml:space="preserve">růměrná míra inflace v roce 2014 dosáhla 0,4 %. I v letošním roce by spotřebitelské ceny měly růst velmi pomalu, a to zejména kvůli výraznému </w:t>
      </w:r>
      <w:r w:rsidR="00CB7472">
        <w:rPr>
          <w:rFonts w:asciiTheme="minorHAnsi" w:hAnsiTheme="minorHAnsi" w:cstheme="minorHAnsi"/>
          <w:sz w:val="24"/>
          <w:szCs w:val="24"/>
        </w:rPr>
        <w:t>propadu ceny ropy. Průměrná míra</w:t>
      </w:r>
      <w:r>
        <w:rPr>
          <w:rFonts w:asciiTheme="minorHAnsi" w:hAnsiTheme="minorHAnsi" w:cstheme="minorHAnsi"/>
          <w:sz w:val="24"/>
          <w:szCs w:val="24"/>
        </w:rPr>
        <w:t xml:space="preserve"> inflace by se tak letos mohla snížit na 0,3 %.</w:t>
      </w:r>
    </w:p>
    <w:p w:rsidR="00C70E74" w:rsidRPr="005C543F" w:rsidRDefault="00C70E74" w:rsidP="00C70E74">
      <w:pPr>
        <w:pStyle w:val="Zkladntext"/>
        <w:numPr>
          <w:ilvl w:val="0"/>
          <w:numId w:val="17"/>
        </w:numPr>
        <w:spacing w:after="0"/>
        <w:jc w:val="both"/>
        <w:rPr>
          <w:rFonts w:asciiTheme="minorHAnsi" w:hAnsiTheme="minorHAnsi" w:cstheme="minorHAnsi"/>
          <w:sz w:val="24"/>
          <w:szCs w:val="24"/>
        </w:rPr>
      </w:pPr>
      <w:r w:rsidRPr="006D2E00">
        <w:rPr>
          <w:rFonts w:asciiTheme="minorHAnsi" w:hAnsiTheme="minorHAnsi" w:cstheme="minorHAnsi"/>
          <w:sz w:val="24"/>
          <w:szCs w:val="24"/>
        </w:rPr>
        <w:t>Bankovní rada ČNB rozhodla v listopadu 2013 o používání měnového kurzu jako další</w:t>
      </w:r>
      <w:r>
        <w:rPr>
          <w:rFonts w:asciiTheme="minorHAnsi" w:hAnsiTheme="minorHAnsi" w:cstheme="minorHAnsi"/>
          <w:sz w:val="24"/>
          <w:szCs w:val="24"/>
        </w:rPr>
        <w:t xml:space="preserve">ho nástroje monetární politiky a od té doby udržuje kurz nad hladinou 27 CZK/1 EUR. </w:t>
      </w:r>
      <w:r w:rsidRPr="006D2E00">
        <w:rPr>
          <w:rFonts w:asciiTheme="minorHAnsi" w:hAnsiTheme="minorHAnsi" w:cstheme="minorHAnsi"/>
          <w:sz w:val="24"/>
          <w:szCs w:val="24"/>
        </w:rPr>
        <w:t xml:space="preserve">Rozhodnutí ČNB ohledně oslabení koruny sice pozitivně působí na náš export; negativní vliv se však může projevit </w:t>
      </w:r>
      <w:r>
        <w:rPr>
          <w:rFonts w:asciiTheme="minorHAnsi" w:hAnsiTheme="minorHAnsi" w:cstheme="minorHAnsi"/>
          <w:sz w:val="24"/>
          <w:szCs w:val="24"/>
        </w:rPr>
        <w:t xml:space="preserve">v dovozu a </w:t>
      </w:r>
      <w:r w:rsidRPr="006D2E00">
        <w:rPr>
          <w:rFonts w:asciiTheme="minorHAnsi" w:hAnsiTheme="minorHAnsi" w:cstheme="minorHAnsi"/>
          <w:sz w:val="24"/>
          <w:szCs w:val="24"/>
        </w:rPr>
        <w:t>ve spotřebě domácností.</w:t>
      </w:r>
    </w:p>
    <w:p w:rsidR="00C70E74" w:rsidRPr="006D2E00" w:rsidRDefault="00C70E74" w:rsidP="00C70E74">
      <w:pPr>
        <w:pStyle w:val="odsazen"/>
        <w:numPr>
          <w:ilvl w:val="0"/>
          <w:numId w:val="17"/>
        </w:numPr>
        <w:rPr>
          <w:rFonts w:asciiTheme="minorHAnsi" w:hAnsiTheme="minorHAnsi" w:cstheme="minorHAnsi"/>
        </w:rPr>
      </w:pPr>
      <w:r>
        <w:rPr>
          <w:rFonts w:asciiTheme="minorHAnsi" w:hAnsiTheme="minorHAnsi" w:cstheme="minorHAnsi"/>
          <w:szCs w:val="24"/>
        </w:rPr>
        <w:t>Díky pozvolnému oživení ekonomické aktivity by se podíl nezaměstnanosti měl postupně snižovat, zatímco zaměstnanost by měla mírně růst.</w:t>
      </w:r>
    </w:p>
    <w:p w:rsidR="00C70E74" w:rsidRPr="006D2E00" w:rsidRDefault="00C70E74" w:rsidP="00C70E74">
      <w:pPr>
        <w:pStyle w:val="odsazen"/>
        <w:numPr>
          <w:ilvl w:val="0"/>
          <w:numId w:val="17"/>
        </w:numPr>
        <w:rPr>
          <w:rFonts w:asciiTheme="minorHAnsi" w:hAnsiTheme="minorHAnsi" w:cstheme="minorHAnsi"/>
        </w:rPr>
      </w:pPr>
      <w:r>
        <w:rPr>
          <w:rFonts w:asciiTheme="minorHAnsi" w:hAnsiTheme="minorHAnsi" w:cstheme="minorHAnsi"/>
        </w:rPr>
        <w:t>Podle MF ČR došlo, po dlouhodobém narůstání vládního dluhu, v roce 2014 k jeho snížení na 43,2 % HDP (1 852 mld. Kč). Další stabilizací zadlužení státního rozpočtu by se měl poměr dluhu vládního sektoru k HDP i nadále snižovat, a to až na hodnotu 41,3 % HDP v roce 2015.</w:t>
      </w:r>
    </w:p>
    <w:p w:rsidR="00C70E74" w:rsidRPr="006D2E00" w:rsidRDefault="00C70E74" w:rsidP="00C70E74">
      <w:pPr>
        <w:pStyle w:val="odsazen"/>
        <w:numPr>
          <w:ilvl w:val="0"/>
          <w:numId w:val="17"/>
        </w:numPr>
        <w:rPr>
          <w:rFonts w:asciiTheme="minorHAnsi" w:hAnsiTheme="minorHAnsi" w:cstheme="minorHAnsi"/>
        </w:rPr>
      </w:pPr>
      <w:r>
        <w:rPr>
          <w:rFonts w:asciiTheme="minorHAnsi" w:hAnsiTheme="minorHAnsi" w:cstheme="minorHAnsi"/>
        </w:rPr>
        <w:t>Zahraniční obchod navázal od počátku roku 2014 na solidní růst z roku 2013. Podle MF tempa růstu vývozu a dovozu přesahovala 10 %. Při vyšším vývozu než dovozu se dále zvyšoval přebytek obchodní bilance, do kterého se promítl i slabší kurz koruny. Dosažení lepšího výsledku v roce 2015 by mělo být dále umocněno propadem ceny ropy. MF ČR odhaduje, že v roce 2014 dosáhl přebytek bilance zboží 5,5 % HDP a pro rok 2015 se počítá se zvýšením až na 6,6 % HDP. Vzhledem ke skutečnosti, že Ukrajina ani Rusko pro ČR nepředstavují nejdůležitější exportní trhy, neměly by být přímé dopady konfliktu na Ukrajině pro českou ekonomiku zásadní. Nepřímo však na ekonomiku může mít vliv vyostřená geopolitická situace a míra nejistoty, která může vzniknout z nepředvídatelné reakce ekonomických subjektů.</w:t>
      </w:r>
    </w:p>
    <w:p w:rsidR="00C70E74" w:rsidRPr="006D2E00" w:rsidRDefault="00C70E74" w:rsidP="00C70E74">
      <w:pPr>
        <w:pStyle w:val="odsazen"/>
        <w:numPr>
          <w:ilvl w:val="0"/>
          <w:numId w:val="17"/>
        </w:numPr>
        <w:rPr>
          <w:rFonts w:asciiTheme="minorHAnsi" w:hAnsiTheme="minorHAnsi" w:cstheme="minorHAnsi"/>
        </w:rPr>
      </w:pPr>
      <w:r>
        <w:rPr>
          <w:rFonts w:asciiTheme="minorHAnsi" w:hAnsiTheme="minorHAnsi" w:cstheme="minorHAnsi"/>
        </w:rPr>
        <w:t>O</w:t>
      </w:r>
      <w:r w:rsidRPr="006D2E00">
        <w:rPr>
          <w:rFonts w:asciiTheme="minorHAnsi" w:hAnsiTheme="minorHAnsi" w:cstheme="minorHAnsi"/>
        </w:rPr>
        <w:t>d roku 2008 raza</w:t>
      </w:r>
      <w:r>
        <w:rPr>
          <w:rFonts w:asciiTheme="minorHAnsi" w:hAnsiTheme="minorHAnsi" w:cstheme="minorHAnsi"/>
        </w:rPr>
        <w:t>ntně klesá a nadále bude klesat v rámci věkové struktury</w:t>
      </w:r>
      <w:r w:rsidRPr="006D2E00">
        <w:rPr>
          <w:rFonts w:asciiTheme="minorHAnsi" w:hAnsiTheme="minorHAnsi" w:cstheme="minorHAnsi"/>
        </w:rPr>
        <w:t xml:space="preserve"> po</w:t>
      </w:r>
      <w:r>
        <w:rPr>
          <w:rFonts w:asciiTheme="minorHAnsi" w:hAnsiTheme="minorHAnsi" w:cstheme="minorHAnsi"/>
        </w:rPr>
        <w:t xml:space="preserve">díl populace ve věku 15‐64 let, přičemž ale v roce 2014 došlo, převážně díky migraci, k jejímu zpomalení. </w:t>
      </w:r>
      <w:r w:rsidRPr="006D2E00">
        <w:rPr>
          <w:rFonts w:asciiTheme="minorHAnsi" w:hAnsiTheme="minorHAnsi" w:cstheme="minorHAnsi"/>
        </w:rPr>
        <w:t>Spodní hranici této věkové kategorie totiž překračují početně velmi slabé ročníky s datem narození koncem devadesátých let, zatímco populačně silná generace narozená v polovině minulého století se postupně zařazuje mezi seniory. Počet i podíl seniorů v populaci tak v důsledku demografické struktury a dalšího pokračování intenzivního procesu prodlužování střední délky života výrazně poroste.</w:t>
      </w:r>
    </w:p>
    <w:p w:rsidR="00C70E74" w:rsidRPr="006D2E00" w:rsidRDefault="00C70E74" w:rsidP="00C70E74">
      <w:pPr>
        <w:pStyle w:val="odsazen"/>
        <w:numPr>
          <w:ilvl w:val="0"/>
          <w:numId w:val="17"/>
        </w:numPr>
        <w:autoSpaceDE w:val="0"/>
        <w:autoSpaceDN w:val="0"/>
        <w:adjustRightInd w:val="0"/>
        <w:rPr>
          <w:rFonts w:asciiTheme="minorHAnsi" w:hAnsiTheme="minorHAnsi" w:cstheme="minorHAnsi"/>
        </w:rPr>
      </w:pPr>
      <w:r w:rsidRPr="006D2E00">
        <w:rPr>
          <w:rFonts w:asciiTheme="minorHAnsi" w:hAnsiTheme="minorHAnsi" w:cstheme="minorHAnsi"/>
        </w:rPr>
        <w:t>Na trhu je dlouhodobě nedostatek kvalifikovaných pracovních sil s technickým vzděláním. Zaměstnavatelé stále požadují techniky, kvalifikované dělníky se strojírenským, elektrotechnickým a stavebním zaměřením. V posledních letech jsou velmi žádaní vysokoškoláci IT oborů.</w:t>
      </w:r>
    </w:p>
    <w:p w:rsidR="00C70E74" w:rsidRPr="006D2E00" w:rsidRDefault="00C70E74" w:rsidP="00C70E74">
      <w:pPr>
        <w:pStyle w:val="odsazen"/>
        <w:numPr>
          <w:ilvl w:val="0"/>
          <w:numId w:val="0"/>
        </w:numPr>
        <w:spacing w:after="120"/>
        <w:rPr>
          <w:rFonts w:asciiTheme="minorHAnsi" w:hAnsiTheme="minorHAnsi" w:cstheme="minorHAnsi"/>
        </w:rPr>
      </w:pPr>
    </w:p>
    <w:p w:rsidR="00C70E74" w:rsidRPr="006D2E00" w:rsidRDefault="00C70E74" w:rsidP="00C70E74">
      <w:pPr>
        <w:pStyle w:val="nadpis10"/>
        <w:rPr>
          <w:rFonts w:asciiTheme="minorHAnsi" w:hAnsiTheme="minorHAnsi" w:cstheme="minorHAnsi"/>
          <w:color w:val="auto"/>
        </w:rPr>
      </w:pPr>
      <w:r w:rsidRPr="006D2E00">
        <w:rPr>
          <w:rFonts w:asciiTheme="minorHAnsi" w:hAnsiTheme="minorHAnsi" w:cstheme="minorHAnsi"/>
          <w:color w:val="auto"/>
        </w:rPr>
        <w:t>3. Předpokládaný vývoj na poptávkové straně moravskoslezského trhu práce</w:t>
      </w:r>
    </w:p>
    <w:p w:rsidR="00C70E74" w:rsidRPr="006D2E00" w:rsidRDefault="00C70E74" w:rsidP="00C70E74">
      <w:pPr>
        <w:pStyle w:val="nadpis10"/>
        <w:spacing w:before="0"/>
        <w:ind w:firstLine="425"/>
        <w:rPr>
          <w:rFonts w:asciiTheme="minorHAnsi" w:hAnsiTheme="minorHAnsi" w:cstheme="minorHAnsi"/>
          <w:b w:val="0"/>
          <w:i w:val="0"/>
          <w:color w:val="auto"/>
        </w:rPr>
      </w:pPr>
    </w:p>
    <w:p w:rsidR="00C70E74" w:rsidRPr="006D2E00" w:rsidRDefault="00C70E74" w:rsidP="00C70E74">
      <w:pPr>
        <w:pStyle w:val="nadpis10"/>
        <w:spacing w:before="0"/>
        <w:ind w:firstLine="709"/>
        <w:jc w:val="both"/>
        <w:rPr>
          <w:rFonts w:asciiTheme="minorHAnsi" w:hAnsiTheme="minorHAnsi" w:cstheme="minorHAnsi"/>
          <w:b w:val="0"/>
          <w:i w:val="0"/>
          <w:color w:val="auto"/>
        </w:rPr>
      </w:pPr>
      <w:r w:rsidRPr="006D2E00">
        <w:rPr>
          <w:rFonts w:asciiTheme="minorHAnsi" w:hAnsiTheme="minorHAnsi" w:cstheme="minorHAnsi"/>
          <w:b w:val="0"/>
          <w:i w:val="0"/>
          <w:color w:val="auto"/>
        </w:rPr>
        <w:t>Větší monitorované firmy MSK (nejsou zahrnuty menší podniky se stavem do 25 zaměstnanců) očekávají, že by se u nich během první poloviny letošního roku měla zaměs</w:t>
      </w:r>
      <w:r>
        <w:rPr>
          <w:rFonts w:asciiTheme="minorHAnsi" w:hAnsiTheme="minorHAnsi" w:cstheme="minorHAnsi"/>
          <w:b w:val="0"/>
          <w:i w:val="0"/>
          <w:color w:val="auto"/>
        </w:rPr>
        <w:t>tnanost celkově zvýšit cca o 3 435</w:t>
      </w:r>
      <w:r w:rsidRPr="006D2E00">
        <w:rPr>
          <w:rFonts w:asciiTheme="minorHAnsi" w:hAnsiTheme="minorHAnsi" w:cstheme="minorHAnsi"/>
          <w:b w:val="0"/>
          <w:i w:val="0"/>
          <w:color w:val="auto"/>
        </w:rPr>
        <w:t xml:space="preserve"> osob, což opro</w:t>
      </w:r>
      <w:r>
        <w:rPr>
          <w:rFonts w:asciiTheme="minorHAnsi" w:hAnsiTheme="minorHAnsi" w:cstheme="minorHAnsi"/>
          <w:b w:val="0"/>
          <w:i w:val="0"/>
          <w:color w:val="auto"/>
        </w:rPr>
        <w:t>ti skutečnému stavu k 31.12.2014 představuje nárůst o 1,2</w:t>
      </w:r>
      <w:r w:rsidRPr="006D2E00">
        <w:rPr>
          <w:rFonts w:asciiTheme="minorHAnsi" w:hAnsiTheme="minorHAnsi" w:cstheme="minorHAnsi"/>
          <w:b w:val="0"/>
          <w:i w:val="0"/>
          <w:color w:val="auto"/>
        </w:rPr>
        <w:t> %.</w:t>
      </w:r>
    </w:p>
    <w:p w:rsidR="00C70E74" w:rsidRPr="006D2E00" w:rsidRDefault="00C70E74" w:rsidP="00C70E74">
      <w:pPr>
        <w:pStyle w:val="nadpis10"/>
        <w:spacing w:before="0"/>
        <w:ind w:firstLine="709"/>
        <w:jc w:val="both"/>
        <w:rPr>
          <w:rFonts w:asciiTheme="minorHAnsi" w:hAnsiTheme="minorHAnsi" w:cstheme="minorHAnsi"/>
          <w:b w:val="0"/>
          <w:i w:val="0"/>
          <w:color w:val="auto"/>
        </w:rPr>
      </w:pPr>
      <w:r w:rsidRPr="006D2E00">
        <w:rPr>
          <w:rFonts w:asciiTheme="minorHAnsi" w:hAnsiTheme="minorHAnsi" w:cstheme="minorHAnsi"/>
          <w:b w:val="0"/>
          <w:i w:val="0"/>
          <w:color w:val="auto"/>
        </w:rPr>
        <w:t xml:space="preserve">Na avizovaném celokrajském navýšení personálních stavů u větších zaměstnavatelských subjektů s počtem 26 a více zaměstnanců by se měly podílet všechny okresy MSK, nejvíce pak okresy </w:t>
      </w:r>
      <w:r>
        <w:rPr>
          <w:rFonts w:asciiTheme="minorHAnsi" w:hAnsiTheme="minorHAnsi" w:cstheme="minorHAnsi"/>
          <w:b w:val="0"/>
          <w:i w:val="0"/>
          <w:color w:val="auto"/>
        </w:rPr>
        <w:t>Frýdek-Místek (+1 015), Ostrava (+</w:t>
      </w:r>
      <w:r w:rsidRPr="006D2E00">
        <w:rPr>
          <w:rFonts w:asciiTheme="minorHAnsi" w:hAnsiTheme="minorHAnsi" w:cstheme="minorHAnsi"/>
          <w:b w:val="0"/>
          <w:i w:val="0"/>
          <w:color w:val="auto"/>
        </w:rPr>
        <w:t>7</w:t>
      </w:r>
      <w:r>
        <w:rPr>
          <w:rFonts w:asciiTheme="minorHAnsi" w:hAnsiTheme="minorHAnsi" w:cstheme="minorHAnsi"/>
          <w:b w:val="0"/>
          <w:i w:val="0"/>
          <w:color w:val="auto"/>
        </w:rPr>
        <w:t>02</w:t>
      </w:r>
      <w:r w:rsidRPr="006D2E00">
        <w:rPr>
          <w:rFonts w:asciiTheme="minorHAnsi" w:hAnsiTheme="minorHAnsi" w:cstheme="minorHAnsi"/>
          <w:b w:val="0"/>
          <w:i w:val="0"/>
          <w:color w:val="auto"/>
        </w:rPr>
        <w:t xml:space="preserve">), </w:t>
      </w:r>
      <w:r>
        <w:rPr>
          <w:rFonts w:asciiTheme="minorHAnsi" w:hAnsiTheme="minorHAnsi" w:cstheme="minorHAnsi"/>
          <w:b w:val="0"/>
          <w:i w:val="0"/>
          <w:color w:val="auto"/>
        </w:rPr>
        <w:t>Bruntál (+678</w:t>
      </w:r>
      <w:r w:rsidRPr="006D2E00">
        <w:rPr>
          <w:rFonts w:asciiTheme="minorHAnsi" w:hAnsiTheme="minorHAnsi" w:cstheme="minorHAnsi"/>
          <w:b w:val="0"/>
          <w:i w:val="0"/>
          <w:color w:val="auto"/>
        </w:rPr>
        <w:t xml:space="preserve">) a </w:t>
      </w:r>
      <w:r>
        <w:rPr>
          <w:rFonts w:asciiTheme="minorHAnsi" w:hAnsiTheme="minorHAnsi" w:cstheme="minorHAnsi"/>
          <w:b w:val="0"/>
          <w:i w:val="0"/>
          <w:color w:val="auto"/>
        </w:rPr>
        <w:t>Nový Jičín (+541</w:t>
      </w:r>
      <w:r w:rsidRPr="006D2E00">
        <w:rPr>
          <w:rFonts w:asciiTheme="minorHAnsi" w:hAnsiTheme="minorHAnsi" w:cstheme="minorHAnsi"/>
          <w:b w:val="0"/>
          <w:i w:val="0"/>
          <w:color w:val="auto"/>
        </w:rPr>
        <w:t xml:space="preserve">). </w:t>
      </w:r>
    </w:p>
    <w:p w:rsidR="00C70E74" w:rsidRPr="006D2E00" w:rsidRDefault="00C70E74" w:rsidP="00C70E74">
      <w:pPr>
        <w:pStyle w:val="dka"/>
        <w:rPr>
          <w:rFonts w:asciiTheme="minorHAnsi" w:hAnsiTheme="minorHAnsi" w:cstheme="minorHAnsi"/>
          <w:color w:val="auto"/>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sz w:val="24"/>
          <w:szCs w:val="24"/>
        </w:rPr>
      </w:pPr>
      <w:r w:rsidRPr="006D2E00">
        <w:rPr>
          <w:rFonts w:asciiTheme="minorHAnsi" w:hAnsiTheme="minorHAnsi" w:cstheme="minorHAnsi"/>
          <w:b/>
          <w:sz w:val="24"/>
          <w:szCs w:val="24"/>
        </w:rPr>
        <w:t>Tabulka VII/1</w:t>
      </w:r>
      <w:r w:rsidRPr="006D2E00">
        <w:rPr>
          <w:rFonts w:asciiTheme="minorHAnsi" w:hAnsiTheme="minorHAnsi" w:cstheme="minorHAnsi"/>
          <w:sz w:val="24"/>
          <w:szCs w:val="24"/>
        </w:rPr>
        <w:t xml:space="preserve"> - Prognóza pohybu pracovních sil v jednotlivých odvětvích podle CZ-</w:t>
      </w:r>
      <w:r>
        <w:rPr>
          <w:rFonts w:asciiTheme="minorHAnsi" w:hAnsiTheme="minorHAnsi" w:cstheme="minorHAnsi"/>
          <w:sz w:val="24"/>
          <w:szCs w:val="24"/>
        </w:rPr>
        <w:t>NACE během prvního pololetí 2015</w:t>
      </w:r>
      <w:r w:rsidRPr="006D2E00">
        <w:rPr>
          <w:rFonts w:asciiTheme="minorHAnsi" w:hAnsiTheme="minorHAnsi" w:cstheme="minorHAnsi"/>
          <w:sz w:val="24"/>
          <w:szCs w:val="24"/>
        </w:rPr>
        <w:t xml:space="preserve"> (monitorované organizace se stavem </w:t>
      </w:r>
      <w:smartTag w:uri="urn:schemas-microsoft-com:office:smarttags" w:element="metricconverter">
        <w:smartTagPr>
          <w:attr w:name="ProductID" w:val="26 a"/>
        </w:smartTagPr>
        <w:r w:rsidRPr="006D2E00">
          <w:rPr>
            <w:rFonts w:asciiTheme="minorHAnsi" w:hAnsiTheme="minorHAnsi" w:cstheme="minorHAnsi"/>
            <w:sz w:val="24"/>
            <w:szCs w:val="24"/>
          </w:rPr>
          <w:t>26 a</w:t>
        </w:r>
      </w:smartTag>
      <w:r w:rsidRPr="006D2E00">
        <w:rPr>
          <w:rFonts w:asciiTheme="minorHAnsi" w:hAnsiTheme="minorHAnsi" w:cstheme="minorHAnsi"/>
          <w:sz w:val="24"/>
          <w:szCs w:val="24"/>
        </w:rPr>
        <w:t xml:space="preserve"> více zaměstnanců)</w:t>
      </w:r>
    </w:p>
    <w:tbl>
      <w:tblPr>
        <w:tblW w:w="9356" w:type="dxa"/>
        <w:tblInd w:w="30" w:type="dxa"/>
        <w:tblLayout w:type="fixed"/>
        <w:tblCellMar>
          <w:left w:w="30" w:type="dxa"/>
          <w:right w:w="30" w:type="dxa"/>
        </w:tblCellMar>
        <w:tblLook w:val="0000" w:firstRow="0" w:lastRow="0" w:firstColumn="0" w:lastColumn="0" w:noHBand="0" w:noVBand="0"/>
      </w:tblPr>
      <w:tblGrid>
        <w:gridCol w:w="689"/>
        <w:gridCol w:w="5265"/>
        <w:gridCol w:w="1559"/>
        <w:gridCol w:w="1134"/>
        <w:gridCol w:w="709"/>
      </w:tblGrid>
      <w:tr w:rsidR="00C70E74" w:rsidRPr="006D2E00" w:rsidTr="00DC5CF9">
        <w:trPr>
          <w:cantSplit/>
          <w:trHeight w:val="307"/>
        </w:trPr>
        <w:tc>
          <w:tcPr>
            <w:tcW w:w="5954" w:type="dxa"/>
            <w:gridSpan w:val="2"/>
            <w:vMerge w:val="restart"/>
            <w:tcBorders>
              <w:top w:val="single" w:sz="12" w:space="0" w:color="auto"/>
              <w:left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z w:val="24"/>
                <w:szCs w:val="24"/>
              </w:rPr>
              <w:t>Ekonomické činnosti</w:t>
            </w:r>
          </w:p>
        </w:tc>
        <w:tc>
          <w:tcPr>
            <w:tcW w:w="1559" w:type="dxa"/>
            <w:vMerge w:val="restart"/>
            <w:tcBorders>
              <w:top w:val="single" w:sz="12" w:space="0" w:color="auto"/>
              <w:left w:val="single" w:sz="12" w:space="0" w:color="auto"/>
              <w:bottom w:val="nil"/>
              <w:right w:val="single" w:sz="12" w:space="0" w:color="auto"/>
            </w:tcBorders>
            <w:vAlign w:val="center"/>
          </w:tcPr>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napToGrid w:val="0"/>
                <w:sz w:val="24"/>
              </w:rPr>
              <w:t xml:space="preserve">stav zaměstnanosti </w:t>
            </w:r>
          </w:p>
          <w:p w:rsidR="00C70E74" w:rsidRPr="006D2E00" w:rsidRDefault="00C70E74" w:rsidP="00DC5CF9">
            <w:pPr>
              <w:jc w:val="center"/>
              <w:rPr>
                <w:rFonts w:asciiTheme="minorHAnsi" w:hAnsiTheme="minorHAnsi" w:cstheme="minorHAnsi"/>
                <w:snapToGrid w:val="0"/>
                <w:sz w:val="24"/>
              </w:rPr>
            </w:pPr>
            <w:r>
              <w:rPr>
                <w:rFonts w:asciiTheme="minorHAnsi" w:hAnsiTheme="minorHAnsi" w:cstheme="minorHAnsi"/>
                <w:snapToGrid w:val="0"/>
                <w:sz w:val="24"/>
              </w:rPr>
              <w:t>k 31.12.2014</w:t>
            </w:r>
            <w:r w:rsidRPr="006D2E00">
              <w:rPr>
                <w:rFonts w:asciiTheme="minorHAnsi" w:hAnsiTheme="minorHAnsi" w:cstheme="minorHAnsi"/>
                <w:snapToGrid w:val="0"/>
                <w:sz w:val="24"/>
              </w:rPr>
              <w:t xml:space="preserve"> </w:t>
            </w:r>
          </w:p>
        </w:tc>
        <w:tc>
          <w:tcPr>
            <w:tcW w:w="1843" w:type="dxa"/>
            <w:gridSpan w:val="2"/>
            <w:tcBorders>
              <w:top w:val="single" w:sz="12" w:space="0" w:color="auto"/>
              <w:left w:val="nil"/>
              <w:bottom w:val="single" w:sz="6" w:space="0" w:color="auto"/>
              <w:right w:val="single" w:sz="12" w:space="0" w:color="auto"/>
            </w:tcBorders>
            <w:vAlign w:val="center"/>
          </w:tcPr>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napToGrid w:val="0"/>
                <w:sz w:val="24"/>
              </w:rPr>
              <w:t xml:space="preserve">nárůst/úbytek </w:t>
            </w:r>
          </w:p>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napToGrid w:val="0"/>
                <w:sz w:val="24"/>
              </w:rPr>
              <w:t>k 30.06.201</w:t>
            </w:r>
            <w:r>
              <w:rPr>
                <w:rFonts w:asciiTheme="minorHAnsi" w:hAnsiTheme="minorHAnsi" w:cstheme="minorHAnsi"/>
                <w:snapToGrid w:val="0"/>
                <w:sz w:val="24"/>
              </w:rPr>
              <w:t>5</w:t>
            </w:r>
          </w:p>
        </w:tc>
      </w:tr>
      <w:tr w:rsidR="00C70E74" w:rsidRPr="006D2E00" w:rsidTr="00DC5CF9">
        <w:trPr>
          <w:cantSplit/>
          <w:trHeight w:val="354"/>
        </w:trPr>
        <w:tc>
          <w:tcPr>
            <w:tcW w:w="5954" w:type="dxa"/>
            <w:gridSpan w:val="2"/>
            <w:vMerge/>
            <w:tcBorders>
              <w:left w:val="single" w:sz="12" w:space="0" w:color="auto"/>
              <w:bottom w:val="single" w:sz="12" w:space="0" w:color="auto"/>
              <w:right w:val="single" w:sz="12" w:space="0" w:color="auto"/>
            </w:tcBorders>
          </w:tcPr>
          <w:p w:rsidR="00C70E74" w:rsidRPr="006D2E00" w:rsidRDefault="00C70E74" w:rsidP="00DC5CF9">
            <w:pPr>
              <w:jc w:val="center"/>
              <w:rPr>
                <w:rFonts w:asciiTheme="minorHAnsi" w:hAnsiTheme="minorHAnsi" w:cstheme="minorHAnsi"/>
                <w:snapToGrid w:val="0"/>
                <w:sz w:val="24"/>
              </w:rPr>
            </w:pPr>
          </w:p>
        </w:tc>
        <w:tc>
          <w:tcPr>
            <w:tcW w:w="1559" w:type="dxa"/>
            <w:vMerge/>
            <w:tcBorders>
              <w:top w:val="nil"/>
              <w:left w:val="single" w:sz="12" w:space="0" w:color="auto"/>
              <w:bottom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snapToGrid w:val="0"/>
                <w:sz w:val="24"/>
              </w:rPr>
            </w:pPr>
          </w:p>
        </w:tc>
        <w:tc>
          <w:tcPr>
            <w:tcW w:w="1134" w:type="dxa"/>
            <w:tcBorders>
              <w:top w:val="single" w:sz="6" w:space="0" w:color="auto"/>
              <w:left w:val="nil"/>
              <w:bottom w:val="single" w:sz="12" w:space="0" w:color="auto"/>
              <w:right w:val="single" w:sz="4" w:space="0" w:color="auto"/>
            </w:tcBorders>
            <w:vAlign w:val="center"/>
          </w:tcPr>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napToGrid w:val="0"/>
                <w:sz w:val="24"/>
              </w:rPr>
              <w:t>absolutně</w:t>
            </w:r>
          </w:p>
        </w:tc>
        <w:tc>
          <w:tcPr>
            <w:tcW w:w="709" w:type="dxa"/>
            <w:tcBorders>
              <w:top w:val="single" w:sz="6" w:space="0" w:color="auto"/>
              <w:left w:val="nil"/>
              <w:bottom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snapToGrid w:val="0"/>
                <w:sz w:val="24"/>
              </w:rPr>
            </w:pPr>
            <w:r w:rsidRPr="006D2E00">
              <w:rPr>
                <w:rFonts w:asciiTheme="minorHAnsi" w:hAnsiTheme="minorHAnsi" w:cstheme="minorHAnsi"/>
                <w:snapToGrid w:val="0"/>
                <w:sz w:val="24"/>
              </w:rPr>
              <w:t>v %</w:t>
            </w:r>
          </w:p>
        </w:tc>
      </w:tr>
      <w:tr w:rsidR="00C70E74" w:rsidRPr="006D2E00" w:rsidTr="00DC5CF9">
        <w:trPr>
          <w:trHeight w:val="170"/>
        </w:trPr>
        <w:tc>
          <w:tcPr>
            <w:tcW w:w="5954" w:type="dxa"/>
            <w:gridSpan w:val="2"/>
            <w:tcBorders>
              <w:top w:val="single" w:sz="12"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Zemědělství, lesnictví a rybářství</w:t>
            </w:r>
          </w:p>
        </w:tc>
        <w:tc>
          <w:tcPr>
            <w:tcW w:w="1559" w:type="dxa"/>
            <w:tcBorders>
              <w:top w:val="single" w:sz="12"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3 598</w:t>
            </w:r>
          </w:p>
        </w:tc>
        <w:tc>
          <w:tcPr>
            <w:tcW w:w="1134" w:type="dxa"/>
            <w:tcBorders>
              <w:top w:val="single" w:sz="12"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25</w:t>
            </w:r>
          </w:p>
        </w:tc>
        <w:tc>
          <w:tcPr>
            <w:tcW w:w="709" w:type="dxa"/>
            <w:tcBorders>
              <w:top w:val="single" w:sz="12"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0,7</w:t>
            </w:r>
          </w:p>
        </w:tc>
      </w:tr>
      <w:tr w:rsidR="00C70E74" w:rsidRPr="006D2E00" w:rsidTr="00DC5CF9">
        <w:trPr>
          <w:trHeight w:val="162"/>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Těžba a dobývání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13 328</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-595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-4,5</w:t>
            </w:r>
          </w:p>
        </w:tc>
      </w:tr>
      <w:tr w:rsidR="00C70E74" w:rsidRPr="006D2E00" w:rsidTr="00DC5CF9">
        <w:trPr>
          <w:trHeight w:val="223"/>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Zpracovatelský průmysl</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111 444</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w:t>
            </w:r>
            <w:r>
              <w:rPr>
                <w:rFonts w:asciiTheme="minorHAnsi" w:hAnsiTheme="minorHAnsi" w:cstheme="minorHAnsi"/>
                <w:sz w:val="24"/>
                <w:szCs w:val="24"/>
              </w:rPr>
              <w:t xml:space="preserve"> </w:t>
            </w:r>
            <w:r w:rsidRPr="002E16DB">
              <w:rPr>
                <w:rFonts w:asciiTheme="minorHAnsi" w:hAnsiTheme="minorHAnsi" w:cstheme="minorHAnsi"/>
                <w:sz w:val="24"/>
                <w:szCs w:val="24"/>
              </w:rPr>
              <w:t>410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2,2</w:t>
            </w:r>
          </w:p>
        </w:tc>
      </w:tr>
      <w:tr w:rsidR="00C70E74" w:rsidRPr="006D2E00" w:rsidTr="00DC5CF9">
        <w:trPr>
          <w:trHeight w:val="258"/>
        </w:trPr>
        <w:tc>
          <w:tcPr>
            <w:tcW w:w="689" w:type="dxa"/>
            <w:vMerge w:val="restart"/>
            <w:tcBorders>
              <w:top w:val="single" w:sz="6" w:space="0" w:color="auto"/>
              <w:left w:val="single" w:sz="12" w:space="0" w:color="auto"/>
              <w:right w:val="single" w:sz="6" w:space="0" w:color="auto"/>
            </w:tcBorders>
          </w:tcPr>
          <w:p w:rsidR="00C70E74" w:rsidRPr="006D2E00" w:rsidRDefault="00C70E74" w:rsidP="00DC5CF9">
            <w:pPr>
              <w:rPr>
                <w:rFonts w:asciiTheme="minorHAnsi" w:hAnsiTheme="minorHAnsi" w:cstheme="minorHAnsi"/>
                <w:i/>
                <w:snapToGrid w:val="0"/>
              </w:rPr>
            </w:pPr>
            <w:r w:rsidRPr="006D2E00">
              <w:rPr>
                <w:rFonts w:asciiTheme="minorHAnsi" w:hAnsiTheme="minorHAnsi" w:cstheme="minorHAnsi"/>
                <w:i/>
                <w:snapToGrid w:val="0"/>
              </w:rPr>
              <w:t>z toho</w:t>
            </w: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potravinářských výrobků, nápojů a tabákových výrobků</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7 608</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60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0,8</w:t>
            </w:r>
          </w:p>
        </w:tc>
      </w:tr>
      <w:tr w:rsidR="00C70E74" w:rsidRPr="006D2E00" w:rsidTr="00DC5CF9">
        <w:trPr>
          <w:trHeight w:val="233"/>
        </w:trPr>
        <w:tc>
          <w:tcPr>
            <w:tcW w:w="689" w:type="dxa"/>
            <w:vMerge/>
            <w:tcBorders>
              <w:left w:val="single" w:sz="12" w:space="0" w:color="auto"/>
              <w:right w:val="single" w:sz="6" w:space="0" w:color="auto"/>
            </w:tcBorders>
            <w:vAlign w:val="center"/>
          </w:tcPr>
          <w:p w:rsidR="00C70E74" w:rsidRPr="006D2E00" w:rsidRDefault="00C70E74" w:rsidP="00DC5CF9">
            <w:pPr>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textilií, oděvů, usní a souvisejících výrobků</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2 063</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55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2,7</w:t>
            </w:r>
          </w:p>
        </w:tc>
      </w:tr>
      <w:tr w:rsidR="00C70E74" w:rsidRPr="006D2E00" w:rsidTr="00DC5CF9">
        <w:trPr>
          <w:trHeight w:val="337"/>
        </w:trPr>
        <w:tc>
          <w:tcPr>
            <w:tcW w:w="689" w:type="dxa"/>
            <w:vMerge/>
            <w:tcBorders>
              <w:left w:val="single" w:sz="12" w:space="0" w:color="auto"/>
              <w:right w:val="single" w:sz="6" w:space="0" w:color="auto"/>
            </w:tcBorders>
            <w:vAlign w:val="center"/>
          </w:tcPr>
          <w:p w:rsidR="00C70E74" w:rsidRPr="006D2E00" w:rsidRDefault="00C70E74" w:rsidP="00DC5CF9">
            <w:pPr>
              <w:rPr>
                <w:rFonts w:asciiTheme="minorHAnsi" w:hAnsiTheme="minorHAnsi" w:cstheme="minorHAnsi"/>
                <w:i/>
                <w:snapToGrid w:val="0"/>
              </w:rPr>
            </w:pPr>
          </w:p>
        </w:tc>
        <w:tc>
          <w:tcPr>
            <w:tcW w:w="5265" w:type="dxa"/>
            <w:tcBorders>
              <w:top w:val="single" w:sz="6" w:space="0" w:color="auto"/>
              <w:left w:val="single" w:sz="6" w:space="0" w:color="auto"/>
              <w:bottom w:val="single" w:sz="4"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zpracování dřeva, výroba papíru a výrobků papíru, tisk a rozmnožování nahraných nosičů</w:t>
            </w:r>
          </w:p>
        </w:tc>
        <w:tc>
          <w:tcPr>
            <w:tcW w:w="1559" w:type="dxa"/>
            <w:tcBorders>
              <w:top w:val="single" w:sz="6" w:space="0" w:color="auto"/>
              <w:left w:val="single" w:sz="12" w:space="0" w:color="auto"/>
              <w:bottom w:val="single" w:sz="4"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4 455</w:t>
            </w:r>
          </w:p>
        </w:tc>
        <w:tc>
          <w:tcPr>
            <w:tcW w:w="1134" w:type="dxa"/>
            <w:tcBorders>
              <w:top w:val="single" w:sz="6" w:space="0" w:color="auto"/>
              <w:left w:val="nil"/>
              <w:bottom w:val="single" w:sz="4"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sidRPr="002E16DB">
              <w:rPr>
                <w:rFonts w:asciiTheme="minorHAnsi" w:hAnsiTheme="minorHAnsi" w:cstheme="minorHAnsi"/>
                <w:i/>
                <w:sz w:val="24"/>
                <w:szCs w:val="24"/>
              </w:rPr>
              <w:t>-45</w:t>
            </w:r>
          </w:p>
        </w:tc>
        <w:tc>
          <w:tcPr>
            <w:tcW w:w="709" w:type="dxa"/>
            <w:tcBorders>
              <w:top w:val="single" w:sz="6" w:space="0" w:color="auto"/>
              <w:left w:val="single" w:sz="6" w:space="0" w:color="auto"/>
              <w:bottom w:val="single" w:sz="4"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-1,0</w:t>
            </w:r>
          </w:p>
        </w:tc>
      </w:tr>
      <w:tr w:rsidR="00C70E74" w:rsidRPr="006D2E00" w:rsidTr="00DC5CF9">
        <w:trPr>
          <w:trHeight w:val="151"/>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4"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koksu a rafinovaných ropných produktů</w:t>
            </w:r>
          </w:p>
        </w:tc>
        <w:tc>
          <w:tcPr>
            <w:tcW w:w="1559" w:type="dxa"/>
            <w:tcBorders>
              <w:top w:val="single" w:sz="4"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604</w:t>
            </w:r>
          </w:p>
        </w:tc>
        <w:tc>
          <w:tcPr>
            <w:tcW w:w="1134" w:type="dxa"/>
            <w:tcBorders>
              <w:top w:val="single" w:sz="4"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sidRPr="002E16DB">
              <w:rPr>
                <w:rFonts w:asciiTheme="minorHAnsi" w:hAnsiTheme="minorHAnsi" w:cstheme="minorHAnsi"/>
                <w:i/>
                <w:sz w:val="24"/>
                <w:szCs w:val="24"/>
              </w:rPr>
              <w:t>-5</w:t>
            </w:r>
          </w:p>
        </w:tc>
        <w:tc>
          <w:tcPr>
            <w:tcW w:w="709" w:type="dxa"/>
            <w:tcBorders>
              <w:top w:val="single" w:sz="4"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-0,8</w:t>
            </w:r>
          </w:p>
        </w:tc>
      </w:tr>
      <w:tr w:rsidR="00C70E74" w:rsidRPr="006D2E00" w:rsidTr="00DC5CF9">
        <w:trPr>
          <w:trHeight w:val="121"/>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chemických látek a chemických přípravků</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2 075</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sidRPr="002E16DB">
              <w:rPr>
                <w:rFonts w:asciiTheme="minorHAnsi" w:hAnsiTheme="minorHAnsi" w:cstheme="minorHAnsi"/>
                <w:i/>
                <w:sz w:val="24"/>
                <w:szCs w:val="24"/>
              </w:rPr>
              <w:t>-20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-1,0</w:t>
            </w:r>
          </w:p>
        </w:tc>
      </w:tr>
      <w:tr w:rsidR="00C70E74" w:rsidRPr="006D2E00" w:rsidTr="00DC5CF9">
        <w:trPr>
          <w:trHeight w:val="226"/>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základních farmaceutických výrobků a přípravků</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1 718</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150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8,7</w:t>
            </w:r>
          </w:p>
        </w:tc>
      </w:tr>
      <w:tr w:rsidR="00C70E74" w:rsidRPr="006D2E00" w:rsidTr="00DC5CF9">
        <w:trPr>
          <w:trHeight w:val="307"/>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pryžových, plastových výrobků a ostatních nekovových minerálních výrobků</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7 696</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330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4,3</w:t>
            </w:r>
          </w:p>
        </w:tc>
      </w:tr>
      <w:tr w:rsidR="00C70E74" w:rsidRPr="006D2E00" w:rsidTr="00DC5CF9">
        <w:trPr>
          <w:trHeight w:val="307"/>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základních kovů, hutní zpracování kovů a slévárenství, výroba kovových konstrukcí a kovodělných výrobků, kromě strojů a zařízení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41 743</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800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1,9</w:t>
            </w:r>
          </w:p>
        </w:tc>
      </w:tr>
      <w:tr w:rsidR="00C70E74" w:rsidRPr="006D2E00" w:rsidTr="00DC5CF9">
        <w:trPr>
          <w:trHeight w:val="276"/>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počítačů, elektronických a optických přístrojů a zařízení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1 859</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20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1,1</w:t>
            </w:r>
          </w:p>
        </w:tc>
      </w:tr>
      <w:tr w:rsidR="00C70E74" w:rsidRPr="006D2E00" w:rsidTr="00DC5CF9">
        <w:trPr>
          <w:trHeight w:val="225"/>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elektrických zařízení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5 912</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35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0,6</w:t>
            </w:r>
          </w:p>
        </w:tc>
      </w:tr>
      <w:tr w:rsidR="00C70E74" w:rsidRPr="006D2E00" w:rsidTr="00DC5CF9">
        <w:trPr>
          <w:trHeight w:val="244"/>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4"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strojů a zařízení jinde nezařazených</w:t>
            </w:r>
          </w:p>
        </w:tc>
        <w:tc>
          <w:tcPr>
            <w:tcW w:w="1559" w:type="dxa"/>
            <w:tcBorders>
              <w:top w:val="single" w:sz="6" w:space="0" w:color="auto"/>
              <w:left w:val="single" w:sz="12" w:space="0" w:color="auto"/>
              <w:bottom w:val="single" w:sz="4"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11 020</w:t>
            </w:r>
          </w:p>
        </w:tc>
        <w:tc>
          <w:tcPr>
            <w:tcW w:w="1134" w:type="dxa"/>
            <w:tcBorders>
              <w:top w:val="single" w:sz="6" w:space="0" w:color="auto"/>
              <w:left w:val="nil"/>
              <w:bottom w:val="single" w:sz="4"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135</w:t>
            </w:r>
          </w:p>
        </w:tc>
        <w:tc>
          <w:tcPr>
            <w:tcW w:w="709" w:type="dxa"/>
            <w:tcBorders>
              <w:top w:val="single" w:sz="6" w:space="0" w:color="auto"/>
              <w:left w:val="single" w:sz="6" w:space="0" w:color="auto"/>
              <w:bottom w:val="single" w:sz="4"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1,2</w:t>
            </w:r>
          </w:p>
        </w:tc>
      </w:tr>
      <w:tr w:rsidR="00C70E74" w:rsidRPr="006D2E00" w:rsidTr="00DC5CF9">
        <w:trPr>
          <w:trHeight w:val="292"/>
        </w:trPr>
        <w:tc>
          <w:tcPr>
            <w:tcW w:w="689" w:type="dxa"/>
            <w:vMerge/>
            <w:tcBorders>
              <w:left w:val="single" w:sz="12"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motorových vozidel (kromě motocyklů), přívěsů a návěsů, výroba ostatních dopravních prostředků a zařízení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22 729</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875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3,8</w:t>
            </w:r>
          </w:p>
        </w:tc>
      </w:tr>
      <w:tr w:rsidR="00C70E74" w:rsidRPr="006D2E00" w:rsidTr="00DC5CF9">
        <w:trPr>
          <w:trHeight w:val="307"/>
        </w:trPr>
        <w:tc>
          <w:tcPr>
            <w:tcW w:w="689" w:type="dxa"/>
            <w:vMerge/>
            <w:tcBorders>
              <w:left w:val="single" w:sz="12" w:space="0" w:color="auto"/>
              <w:bottom w:val="single" w:sz="6" w:space="0" w:color="auto"/>
              <w:right w:val="single" w:sz="6" w:space="0" w:color="auto"/>
            </w:tcBorders>
            <w:vAlign w:val="center"/>
          </w:tcPr>
          <w:p w:rsidR="00C70E74" w:rsidRPr="006D2E00" w:rsidRDefault="00C70E74" w:rsidP="00DC5CF9">
            <w:pPr>
              <w:jc w:val="right"/>
              <w:rPr>
                <w:rFonts w:asciiTheme="minorHAnsi" w:hAnsiTheme="minorHAnsi" w:cstheme="minorHAnsi"/>
                <w:i/>
                <w:snapToGrid w:val="0"/>
              </w:rPr>
            </w:pPr>
          </w:p>
        </w:tc>
        <w:tc>
          <w:tcPr>
            <w:tcW w:w="5265" w:type="dxa"/>
            <w:tcBorders>
              <w:top w:val="single" w:sz="6" w:space="0" w:color="auto"/>
              <w:left w:val="single" w:sz="6" w:space="0" w:color="auto"/>
              <w:bottom w:val="single" w:sz="6" w:space="0" w:color="auto"/>
              <w:right w:val="single" w:sz="12" w:space="0" w:color="auto"/>
            </w:tcBorders>
            <w:vAlign w:val="center"/>
          </w:tcPr>
          <w:p w:rsidR="00C70E74" w:rsidRPr="006D2E00" w:rsidRDefault="00C70E74" w:rsidP="00DC5CF9">
            <w:pPr>
              <w:pStyle w:val="dka"/>
              <w:rPr>
                <w:rFonts w:asciiTheme="minorHAnsi" w:hAnsiTheme="minorHAnsi" w:cstheme="minorHAnsi"/>
                <w:i/>
                <w:color w:val="auto"/>
                <w:sz w:val="20"/>
              </w:rPr>
            </w:pPr>
            <w:r w:rsidRPr="006D2E00">
              <w:rPr>
                <w:rFonts w:asciiTheme="minorHAnsi" w:hAnsiTheme="minorHAnsi" w:cstheme="minorHAnsi"/>
                <w:i/>
                <w:color w:val="auto"/>
                <w:sz w:val="20"/>
              </w:rPr>
              <w:t>výroba nábytku, ostatní zpracovatelský průmysl a opravy a instalace strojů a zařízení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sidRPr="002E16DB">
              <w:rPr>
                <w:rFonts w:asciiTheme="minorHAnsi" w:hAnsiTheme="minorHAnsi" w:cstheme="minorHAnsi"/>
                <w:i/>
                <w:iCs/>
                <w:sz w:val="24"/>
                <w:szCs w:val="24"/>
              </w:rPr>
              <w:t>1 962</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i/>
                <w:sz w:val="24"/>
                <w:szCs w:val="24"/>
              </w:rPr>
            </w:pPr>
            <w:r>
              <w:rPr>
                <w:rFonts w:asciiTheme="minorHAnsi" w:hAnsiTheme="minorHAnsi" w:cstheme="minorHAnsi"/>
                <w:i/>
                <w:sz w:val="24"/>
                <w:szCs w:val="24"/>
              </w:rPr>
              <w:t>+</w:t>
            </w:r>
            <w:r w:rsidRPr="002E16DB">
              <w:rPr>
                <w:rFonts w:asciiTheme="minorHAnsi" w:hAnsiTheme="minorHAnsi" w:cstheme="minorHAnsi"/>
                <w:i/>
                <w:sz w:val="24"/>
                <w:szCs w:val="24"/>
              </w:rPr>
              <w:t>20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i/>
                <w:iCs/>
                <w:sz w:val="24"/>
                <w:szCs w:val="24"/>
              </w:rPr>
            </w:pPr>
            <w:r>
              <w:rPr>
                <w:rFonts w:asciiTheme="minorHAnsi" w:hAnsiTheme="minorHAnsi" w:cstheme="minorHAnsi"/>
                <w:i/>
                <w:iCs/>
                <w:sz w:val="24"/>
                <w:szCs w:val="24"/>
              </w:rPr>
              <w:t>+</w:t>
            </w:r>
            <w:r w:rsidRPr="002E16DB">
              <w:rPr>
                <w:rFonts w:asciiTheme="minorHAnsi" w:hAnsiTheme="minorHAnsi" w:cstheme="minorHAnsi"/>
                <w:i/>
                <w:iCs/>
                <w:sz w:val="24"/>
                <w:szCs w:val="24"/>
              </w:rPr>
              <w:t>1,0</w:t>
            </w:r>
          </w:p>
        </w:tc>
      </w:tr>
      <w:tr w:rsidR="00C70E74" w:rsidRPr="006D2E00" w:rsidTr="00DC5CF9">
        <w:trPr>
          <w:trHeight w:val="230"/>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Výroba a rozvod elektřiny, plynu, tepla a klimatizovaného vzduchu</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4 272</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0,2</w:t>
            </w:r>
          </w:p>
        </w:tc>
      </w:tr>
      <w:tr w:rsidR="00C70E74" w:rsidRPr="006D2E00" w:rsidTr="00DC5CF9">
        <w:trPr>
          <w:trHeight w:val="375"/>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Zásobování vodou, činnosti související s odpadními vodami, odpady a sanacemi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4 822</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0,4</w:t>
            </w:r>
          </w:p>
        </w:tc>
      </w:tr>
      <w:tr w:rsidR="00C70E74" w:rsidRPr="006D2E00" w:rsidTr="00DC5CF9">
        <w:trPr>
          <w:trHeight w:val="169"/>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Stavebnictví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7 755</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230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3,0</w:t>
            </w:r>
          </w:p>
        </w:tc>
      </w:tr>
      <w:tr w:rsidR="00C70E74" w:rsidRPr="006D2E00" w:rsidTr="00DC5CF9">
        <w:trPr>
          <w:trHeight w:val="174"/>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Velkoobchod a maloobchod, opravy a údržba motorových vozidel</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17 129</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260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1,5</w:t>
            </w:r>
          </w:p>
        </w:tc>
      </w:tr>
      <w:tr w:rsidR="00C70E74" w:rsidRPr="006D2E00" w:rsidTr="00DC5CF9">
        <w:trPr>
          <w:trHeight w:val="149"/>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Doprava a skladování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18 522</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145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0,8</w:t>
            </w:r>
          </w:p>
        </w:tc>
      </w:tr>
      <w:tr w:rsidR="00C70E74" w:rsidRPr="006D2E00" w:rsidTr="00DC5CF9">
        <w:trPr>
          <w:trHeight w:val="65"/>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Ubytování, stravování a pohostinství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1 636</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-0,3</w:t>
            </w:r>
          </w:p>
        </w:tc>
      </w:tr>
      <w:tr w:rsidR="00C70E74" w:rsidRPr="006D2E00" w:rsidTr="00DC5CF9">
        <w:trPr>
          <w:trHeight w:val="158"/>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Informační a komunikační činnosti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4 998</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90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1,8</w:t>
            </w:r>
          </w:p>
        </w:tc>
      </w:tr>
      <w:tr w:rsidR="00C70E74" w:rsidRPr="006D2E00" w:rsidTr="00DC5CF9">
        <w:trPr>
          <w:trHeight w:val="134"/>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Peněžnictví a pojišťovnictví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3 375</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30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0,9</w:t>
            </w:r>
          </w:p>
        </w:tc>
      </w:tr>
      <w:tr w:rsidR="00C70E74" w:rsidRPr="006D2E00" w:rsidTr="00DC5CF9">
        <w:trPr>
          <w:trHeight w:val="137"/>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Činnosti v oblasti nemovitostí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1 311</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0,0</w:t>
            </w:r>
          </w:p>
        </w:tc>
      </w:tr>
      <w:tr w:rsidR="00C70E74" w:rsidRPr="006D2E00" w:rsidTr="00DC5CF9">
        <w:trPr>
          <w:trHeight w:val="114"/>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Profesní, vědecké a technické činnosti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4 066</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40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1,0</w:t>
            </w:r>
          </w:p>
        </w:tc>
      </w:tr>
      <w:tr w:rsidR="00C70E74" w:rsidRPr="006D2E00" w:rsidTr="00DC5CF9">
        <w:trPr>
          <w:trHeight w:val="118"/>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Administrativní a podpůrné činnosti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11 527</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345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3,0</w:t>
            </w:r>
          </w:p>
        </w:tc>
      </w:tr>
      <w:tr w:rsidR="00C70E74" w:rsidRPr="006D2E00" w:rsidTr="00DC5CF9">
        <w:trPr>
          <w:trHeight w:val="122"/>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Veřejná správa a obrana, povinné sociální zabezpečení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18 577</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165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0,9</w:t>
            </w:r>
          </w:p>
        </w:tc>
      </w:tr>
      <w:tr w:rsidR="00C70E74" w:rsidRPr="006D2E00" w:rsidTr="00DC5CF9">
        <w:trPr>
          <w:trHeight w:val="97"/>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Vzdělávání</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27 224</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-10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w:t>
            </w:r>
            <w:r>
              <w:rPr>
                <w:rFonts w:asciiTheme="minorHAnsi" w:hAnsiTheme="minorHAnsi" w:cstheme="minorHAnsi"/>
                <w:sz w:val="24"/>
                <w:szCs w:val="24"/>
              </w:rPr>
              <w:t>1</w:t>
            </w:r>
          </w:p>
        </w:tc>
      </w:tr>
      <w:tr w:rsidR="00C70E74" w:rsidRPr="006D2E00" w:rsidTr="00DC5CF9">
        <w:trPr>
          <w:trHeight w:val="244"/>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Zdravotní a sociální péče</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27 949</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40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0,1</w:t>
            </w:r>
          </w:p>
        </w:tc>
      </w:tr>
      <w:tr w:rsidR="00C70E74" w:rsidRPr="006D2E00" w:rsidTr="00DC5CF9">
        <w:trPr>
          <w:trHeight w:val="219"/>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Kulturní, zábavní a rekreační činnosti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3 220</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85</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2,6</w:t>
            </w:r>
          </w:p>
        </w:tc>
      </w:tr>
      <w:tr w:rsidR="00C70E74" w:rsidRPr="006D2E00" w:rsidTr="00DC5CF9">
        <w:trPr>
          <w:trHeight w:val="224"/>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Ostatní činnosti</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2 205</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150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Pr>
                <w:rFonts w:asciiTheme="minorHAnsi" w:hAnsiTheme="minorHAnsi" w:cstheme="minorHAnsi"/>
                <w:sz w:val="24"/>
                <w:szCs w:val="24"/>
              </w:rPr>
              <w:t>+</w:t>
            </w:r>
            <w:r w:rsidRPr="002E16DB">
              <w:rPr>
                <w:rFonts w:asciiTheme="minorHAnsi" w:hAnsiTheme="minorHAnsi" w:cstheme="minorHAnsi"/>
                <w:sz w:val="24"/>
                <w:szCs w:val="24"/>
              </w:rPr>
              <w:t>6,8</w:t>
            </w:r>
          </w:p>
        </w:tc>
      </w:tr>
      <w:tr w:rsidR="00C70E74" w:rsidRPr="006D2E00" w:rsidTr="00DC5CF9">
        <w:trPr>
          <w:trHeight w:val="213"/>
        </w:trPr>
        <w:tc>
          <w:tcPr>
            <w:tcW w:w="5954" w:type="dxa"/>
            <w:gridSpan w:val="2"/>
            <w:tcBorders>
              <w:top w:val="single" w:sz="6" w:space="0" w:color="auto"/>
              <w:left w:val="single" w:sz="12" w:space="0" w:color="auto"/>
              <w:bottom w:val="single" w:sz="6" w:space="0" w:color="auto"/>
              <w:right w:val="single" w:sz="6"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Činnosti domácností jako zaměstnavatelů, činností domácností produkující blíže neurčené výrobky a služby pro vlastní potřebu</w:t>
            </w:r>
          </w:p>
        </w:tc>
        <w:tc>
          <w:tcPr>
            <w:tcW w:w="1559" w:type="dxa"/>
            <w:tcBorders>
              <w:top w:val="single" w:sz="6" w:space="0" w:color="auto"/>
              <w:left w:val="single" w:sz="12"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w:t>
            </w:r>
          </w:p>
        </w:tc>
        <w:tc>
          <w:tcPr>
            <w:tcW w:w="1134" w:type="dxa"/>
            <w:tcBorders>
              <w:top w:val="single" w:sz="6" w:space="0" w:color="auto"/>
              <w:left w:val="nil"/>
              <w:bottom w:val="single" w:sz="6" w:space="0" w:color="auto"/>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w:t>
            </w:r>
          </w:p>
        </w:tc>
        <w:tc>
          <w:tcPr>
            <w:tcW w:w="709" w:type="dxa"/>
            <w:tcBorders>
              <w:top w:val="single" w:sz="6" w:space="0" w:color="auto"/>
              <w:left w:val="single" w:sz="6" w:space="0" w:color="auto"/>
              <w:bottom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0,0</w:t>
            </w:r>
          </w:p>
        </w:tc>
      </w:tr>
      <w:tr w:rsidR="00C70E74" w:rsidRPr="006D2E00" w:rsidTr="00DC5CF9">
        <w:trPr>
          <w:trHeight w:val="305"/>
        </w:trPr>
        <w:tc>
          <w:tcPr>
            <w:tcW w:w="5954" w:type="dxa"/>
            <w:gridSpan w:val="2"/>
            <w:tcBorders>
              <w:top w:val="single" w:sz="6" w:space="0" w:color="auto"/>
              <w:left w:val="single" w:sz="12" w:space="0" w:color="auto"/>
            </w:tcBorders>
            <w:vAlign w:val="center"/>
          </w:tcPr>
          <w:p w:rsidR="00C70E74" w:rsidRPr="006D2E00" w:rsidRDefault="00C70E74" w:rsidP="00DC5CF9">
            <w:pPr>
              <w:rPr>
                <w:rFonts w:asciiTheme="minorHAnsi" w:hAnsiTheme="minorHAnsi" w:cstheme="minorHAnsi"/>
              </w:rPr>
            </w:pPr>
            <w:r w:rsidRPr="006D2E00">
              <w:rPr>
                <w:rFonts w:asciiTheme="minorHAnsi" w:hAnsiTheme="minorHAnsi" w:cstheme="minorHAnsi"/>
              </w:rPr>
              <w:t>Činnosti exteritoriálních organizací a orgánů</w:t>
            </w:r>
          </w:p>
        </w:tc>
        <w:tc>
          <w:tcPr>
            <w:tcW w:w="1559" w:type="dxa"/>
            <w:tcBorders>
              <w:top w:val="single" w:sz="6" w:space="0" w:color="auto"/>
              <w:left w:val="single" w:sz="12"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w:t>
            </w:r>
          </w:p>
        </w:tc>
        <w:tc>
          <w:tcPr>
            <w:tcW w:w="1134" w:type="dxa"/>
            <w:tcBorders>
              <w:top w:val="single" w:sz="6" w:space="0" w:color="auto"/>
              <w:left w:val="nil"/>
              <w:right w:val="single" w:sz="6"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w:t>
            </w:r>
          </w:p>
        </w:tc>
        <w:tc>
          <w:tcPr>
            <w:tcW w:w="709" w:type="dxa"/>
            <w:tcBorders>
              <w:top w:val="single" w:sz="6" w:space="0" w:color="auto"/>
              <w:left w:val="single" w:sz="6" w:space="0" w:color="auto"/>
              <w:right w:val="single" w:sz="12" w:space="0" w:color="auto"/>
            </w:tcBorders>
            <w:vAlign w:val="center"/>
          </w:tcPr>
          <w:p w:rsidR="00C70E74" w:rsidRPr="002E16DB" w:rsidRDefault="00C70E74" w:rsidP="00DC5CF9">
            <w:pPr>
              <w:jc w:val="center"/>
              <w:rPr>
                <w:rFonts w:asciiTheme="minorHAnsi" w:hAnsiTheme="minorHAnsi" w:cstheme="minorHAnsi"/>
                <w:sz w:val="24"/>
                <w:szCs w:val="24"/>
              </w:rPr>
            </w:pPr>
            <w:r w:rsidRPr="002E16DB">
              <w:rPr>
                <w:rFonts w:asciiTheme="minorHAnsi" w:hAnsiTheme="minorHAnsi" w:cstheme="minorHAnsi"/>
                <w:sz w:val="24"/>
                <w:szCs w:val="24"/>
              </w:rPr>
              <w:t>0,0</w:t>
            </w:r>
          </w:p>
        </w:tc>
      </w:tr>
      <w:tr w:rsidR="00C70E74" w:rsidRPr="006D2E00" w:rsidTr="00DC5CF9">
        <w:trPr>
          <w:trHeight w:val="267"/>
        </w:trPr>
        <w:tc>
          <w:tcPr>
            <w:tcW w:w="5954" w:type="dxa"/>
            <w:gridSpan w:val="2"/>
            <w:tcBorders>
              <w:top w:val="single" w:sz="12" w:space="0" w:color="auto"/>
              <w:left w:val="single" w:sz="12" w:space="0" w:color="auto"/>
              <w:bottom w:val="single" w:sz="12" w:space="0" w:color="auto"/>
              <w:right w:val="single" w:sz="12" w:space="0" w:color="auto"/>
            </w:tcBorders>
            <w:vAlign w:val="center"/>
          </w:tcPr>
          <w:p w:rsidR="00C70E74" w:rsidRPr="006D2E00" w:rsidRDefault="00C70E74" w:rsidP="00DC5CF9">
            <w:pPr>
              <w:pStyle w:val="dka"/>
              <w:rPr>
                <w:rFonts w:asciiTheme="minorHAnsi" w:hAnsiTheme="minorHAnsi" w:cstheme="minorHAnsi"/>
                <w:b/>
                <w:color w:val="auto"/>
                <w:szCs w:val="24"/>
              </w:rPr>
            </w:pPr>
            <w:r w:rsidRPr="006D2E00">
              <w:rPr>
                <w:rFonts w:asciiTheme="minorHAnsi" w:hAnsiTheme="minorHAnsi" w:cstheme="minorHAnsi"/>
                <w:b/>
                <w:color w:val="auto"/>
                <w:szCs w:val="24"/>
              </w:rPr>
              <w:t>celkem</w:t>
            </w:r>
          </w:p>
        </w:tc>
        <w:tc>
          <w:tcPr>
            <w:tcW w:w="1559" w:type="dxa"/>
            <w:tcBorders>
              <w:top w:val="single" w:sz="12" w:space="0" w:color="auto"/>
              <w:left w:val="single" w:sz="12" w:space="0" w:color="auto"/>
              <w:bottom w:val="single" w:sz="12" w:space="0" w:color="auto"/>
              <w:right w:val="single" w:sz="12" w:space="0" w:color="auto"/>
            </w:tcBorders>
            <w:vAlign w:val="center"/>
          </w:tcPr>
          <w:p w:rsidR="00C70E74" w:rsidRPr="002E16DB" w:rsidRDefault="00C70E74" w:rsidP="00DC5CF9">
            <w:pPr>
              <w:jc w:val="center"/>
              <w:rPr>
                <w:rFonts w:asciiTheme="minorHAnsi" w:hAnsiTheme="minorHAnsi" w:cstheme="minorHAnsi"/>
                <w:b/>
                <w:bCs/>
                <w:sz w:val="24"/>
                <w:szCs w:val="24"/>
              </w:rPr>
            </w:pPr>
            <w:r w:rsidRPr="002E16DB">
              <w:rPr>
                <w:rFonts w:asciiTheme="minorHAnsi" w:hAnsiTheme="minorHAnsi" w:cstheme="minorHAnsi"/>
                <w:b/>
                <w:bCs/>
                <w:sz w:val="24"/>
                <w:szCs w:val="24"/>
              </w:rPr>
              <w:t>286 958</w:t>
            </w:r>
          </w:p>
        </w:tc>
        <w:tc>
          <w:tcPr>
            <w:tcW w:w="1134" w:type="dxa"/>
            <w:tcBorders>
              <w:top w:val="single" w:sz="12" w:space="0" w:color="auto"/>
              <w:left w:val="nil"/>
              <w:bottom w:val="single" w:sz="12" w:space="0" w:color="auto"/>
              <w:right w:val="single" w:sz="6" w:space="0" w:color="auto"/>
            </w:tcBorders>
            <w:vAlign w:val="center"/>
          </w:tcPr>
          <w:p w:rsidR="00C70E74" w:rsidRPr="002E16DB" w:rsidRDefault="00C70E74" w:rsidP="00DC5CF9">
            <w:pPr>
              <w:jc w:val="center"/>
              <w:rPr>
                <w:rFonts w:asciiTheme="minorHAnsi" w:hAnsiTheme="minorHAnsi" w:cstheme="minorHAnsi"/>
                <w:b/>
                <w:bCs/>
                <w:sz w:val="24"/>
                <w:szCs w:val="24"/>
              </w:rPr>
            </w:pPr>
            <w:r>
              <w:rPr>
                <w:rFonts w:asciiTheme="minorHAnsi" w:hAnsiTheme="minorHAnsi" w:cstheme="minorHAnsi"/>
                <w:b/>
                <w:bCs/>
                <w:sz w:val="24"/>
                <w:szCs w:val="24"/>
              </w:rPr>
              <w:t>+</w:t>
            </w:r>
            <w:r w:rsidRPr="002E16DB">
              <w:rPr>
                <w:rFonts w:asciiTheme="minorHAnsi" w:hAnsiTheme="minorHAnsi" w:cstheme="minorHAnsi"/>
                <w:b/>
                <w:bCs/>
                <w:sz w:val="24"/>
                <w:szCs w:val="24"/>
              </w:rPr>
              <w:t>3 435</w:t>
            </w:r>
          </w:p>
        </w:tc>
        <w:tc>
          <w:tcPr>
            <w:tcW w:w="709" w:type="dxa"/>
            <w:tcBorders>
              <w:top w:val="single" w:sz="12" w:space="0" w:color="auto"/>
              <w:left w:val="single" w:sz="6" w:space="0" w:color="auto"/>
              <w:bottom w:val="single" w:sz="12" w:space="0" w:color="auto"/>
              <w:right w:val="single" w:sz="12" w:space="0" w:color="auto"/>
            </w:tcBorders>
            <w:vAlign w:val="center"/>
          </w:tcPr>
          <w:p w:rsidR="00C70E74" w:rsidRPr="002E16DB" w:rsidRDefault="00C70E74" w:rsidP="00DC5CF9">
            <w:pPr>
              <w:jc w:val="center"/>
              <w:rPr>
                <w:rFonts w:asciiTheme="minorHAnsi" w:hAnsiTheme="minorHAnsi" w:cstheme="minorHAnsi"/>
                <w:b/>
                <w:bCs/>
                <w:sz w:val="24"/>
                <w:szCs w:val="24"/>
              </w:rPr>
            </w:pPr>
            <w:r>
              <w:rPr>
                <w:rFonts w:asciiTheme="minorHAnsi" w:hAnsiTheme="minorHAnsi" w:cstheme="minorHAnsi"/>
                <w:b/>
                <w:bCs/>
                <w:sz w:val="24"/>
                <w:szCs w:val="24"/>
              </w:rPr>
              <w:t>+</w:t>
            </w:r>
            <w:r w:rsidRPr="002E16DB">
              <w:rPr>
                <w:rFonts w:asciiTheme="minorHAnsi" w:hAnsiTheme="minorHAnsi" w:cstheme="minorHAnsi"/>
                <w:b/>
                <w:bCs/>
                <w:sz w:val="24"/>
                <w:szCs w:val="24"/>
              </w:rPr>
              <w:t>1,2</w:t>
            </w:r>
          </w:p>
        </w:tc>
      </w:tr>
    </w:tbl>
    <w:p w:rsidR="00C70E74" w:rsidRPr="006D2E00" w:rsidRDefault="00C70E74" w:rsidP="00C70E74">
      <w:pPr>
        <w:pStyle w:val="Nadpis6"/>
        <w:spacing w:after="120"/>
        <w:ind w:left="284" w:hanging="284"/>
        <w:jc w:val="both"/>
        <w:rPr>
          <w:rFonts w:asciiTheme="minorHAnsi" w:hAnsiTheme="minorHAnsi" w:cstheme="minorHAnsi"/>
        </w:rPr>
      </w:pPr>
      <w:r w:rsidRPr="006D2E00">
        <w:rPr>
          <w:rFonts w:asciiTheme="minorHAnsi" w:hAnsiTheme="minorHAnsi" w:cstheme="minorHAnsi"/>
        </w:rPr>
        <w:t>4. Vý</w:t>
      </w:r>
      <w:r>
        <w:rPr>
          <w:rFonts w:asciiTheme="minorHAnsi" w:hAnsiTheme="minorHAnsi" w:cstheme="minorHAnsi"/>
        </w:rPr>
        <w:t>hled na první pololetí roku 2015</w:t>
      </w:r>
      <w:r w:rsidRPr="006D2E00">
        <w:rPr>
          <w:rFonts w:asciiTheme="minorHAnsi" w:hAnsiTheme="minorHAnsi" w:cstheme="minorHAnsi"/>
        </w:rPr>
        <w:t xml:space="preserve"> ve vybraných odvětvích s očekávaným nejvýraznějším pohybem pracovních sil</w:t>
      </w:r>
    </w:p>
    <w:p w:rsidR="00C70E74" w:rsidRDefault="00C70E74" w:rsidP="00C70E74">
      <w:pPr>
        <w:rPr>
          <w:rFonts w:asciiTheme="minorHAnsi" w:hAnsiTheme="minorHAnsi" w:cstheme="minorHAnsi"/>
          <w:sz w:val="24"/>
          <w:szCs w:val="24"/>
        </w:rPr>
      </w:pPr>
    </w:p>
    <w:p w:rsidR="00C70E74" w:rsidRPr="00527DCB" w:rsidRDefault="00C70E74" w:rsidP="00C70E74">
      <w:pPr>
        <w:pStyle w:val="Nadpis5"/>
        <w:ind w:right="425"/>
        <w:rPr>
          <w:rFonts w:asciiTheme="minorHAnsi" w:hAnsiTheme="minorHAnsi" w:cstheme="minorHAnsi"/>
          <w:szCs w:val="24"/>
        </w:rPr>
      </w:pPr>
      <w:r>
        <w:rPr>
          <w:rFonts w:asciiTheme="minorHAnsi" w:hAnsiTheme="minorHAnsi" w:cstheme="minorHAnsi"/>
          <w:szCs w:val="24"/>
        </w:rPr>
        <w:t>Těžba a dobývání</w:t>
      </w:r>
    </w:p>
    <w:p w:rsidR="00C70E74" w:rsidRPr="00527DCB" w:rsidRDefault="00C70E74" w:rsidP="00C70E74">
      <w:pPr>
        <w:ind w:firstLine="709"/>
        <w:jc w:val="both"/>
        <w:rPr>
          <w:rFonts w:asciiTheme="minorHAnsi" w:hAnsiTheme="minorHAnsi" w:cstheme="minorHAnsi"/>
          <w:sz w:val="24"/>
          <w:szCs w:val="24"/>
        </w:rPr>
      </w:pPr>
      <w:r>
        <w:rPr>
          <w:rFonts w:asciiTheme="minorHAnsi" w:hAnsiTheme="minorHAnsi" w:cstheme="minorHAnsi"/>
          <w:sz w:val="24"/>
          <w:szCs w:val="24"/>
        </w:rPr>
        <w:t>Během prvního pololetí 2015 očekávají podnikatelské subjekty zařazené do tohoto odvětví celkový pokles cca o 595 (-4,5 %) zaměstnanců. Podstatnou část tohoto snížení předpokládá okres Karviná. Hromadné propouštění z důvodů organizačních změn se týká většiny důlních závodů. Menší úbytky se předpokládají i v okrese Frýdek-Místek, kde by se mělo jednat o zdravotní důvody a přirozené odchody do důchodu.</w:t>
      </w:r>
    </w:p>
    <w:p w:rsidR="00C70E74" w:rsidRPr="00527DCB" w:rsidRDefault="00C70E74" w:rsidP="00C70E74">
      <w:pPr>
        <w:rPr>
          <w:rFonts w:asciiTheme="minorHAnsi" w:hAnsiTheme="minorHAnsi" w:cstheme="minorHAnsi"/>
          <w:sz w:val="24"/>
          <w:szCs w:val="24"/>
        </w:rPr>
      </w:pPr>
    </w:p>
    <w:p w:rsidR="00C70E74" w:rsidRPr="006D2E00" w:rsidRDefault="00C70E74" w:rsidP="00C70E74">
      <w:pPr>
        <w:pStyle w:val="Nadpis5"/>
        <w:ind w:right="425"/>
        <w:rPr>
          <w:rFonts w:asciiTheme="minorHAnsi" w:hAnsiTheme="minorHAnsi" w:cstheme="minorHAnsi"/>
        </w:rPr>
      </w:pPr>
      <w:r w:rsidRPr="006D2E00">
        <w:rPr>
          <w:rFonts w:asciiTheme="minorHAnsi" w:hAnsiTheme="minorHAnsi" w:cstheme="minorHAnsi"/>
        </w:rPr>
        <w:t>Zpracovatelský průmysl</w:t>
      </w:r>
    </w:p>
    <w:p w:rsidR="00C70E74" w:rsidRDefault="00C70E74" w:rsidP="00C70E74">
      <w:pPr>
        <w:pStyle w:val="Zkladntextodsazen"/>
        <w:ind w:right="-2"/>
        <w:rPr>
          <w:rFonts w:asciiTheme="minorHAnsi" w:hAnsiTheme="minorHAnsi" w:cstheme="minorHAnsi"/>
        </w:rPr>
      </w:pPr>
      <w:r w:rsidRPr="006D2E00">
        <w:rPr>
          <w:rFonts w:asciiTheme="minorHAnsi" w:hAnsiTheme="minorHAnsi" w:cstheme="minorHAnsi"/>
        </w:rPr>
        <w:t>V první polovině letošního roku avizují firmy zpracovatelského</w:t>
      </w:r>
      <w:r>
        <w:rPr>
          <w:rFonts w:asciiTheme="minorHAnsi" w:hAnsiTheme="minorHAnsi" w:cstheme="minorHAnsi"/>
        </w:rPr>
        <w:t xml:space="preserve"> průmyslu nárůst stavů cca o 2 410 (+2,2</w:t>
      </w:r>
      <w:r w:rsidRPr="006D2E00">
        <w:rPr>
          <w:rFonts w:asciiTheme="minorHAnsi" w:hAnsiTheme="minorHAnsi" w:cstheme="minorHAnsi"/>
        </w:rPr>
        <w:t xml:space="preserve"> %) pracovníků. Všechny okresy</w:t>
      </w:r>
      <w:r>
        <w:rPr>
          <w:rFonts w:asciiTheme="minorHAnsi" w:hAnsiTheme="minorHAnsi" w:cstheme="minorHAnsi"/>
        </w:rPr>
        <w:t xml:space="preserve"> </w:t>
      </w:r>
      <w:r w:rsidRPr="006D2E00">
        <w:rPr>
          <w:rFonts w:asciiTheme="minorHAnsi" w:hAnsiTheme="minorHAnsi" w:cstheme="minorHAnsi"/>
        </w:rPr>
        <w:t xml:space="preserve">avizují navýšení </w:t>
      </w:r>
      <w:r>
        <w:rPr>
          <w:rFonts w:asciiTheme="minorHAnsi" w:hAnsiTheme="minorHAnsi" w:cstheme="minorHAnsi"/>
        </w:rPr>
        <w:t>zaměstnanosti</w:t>
      </w:r>
      <w:r w:rsidRPr="006D2E00">
        <w:rPr>
          <w:rFonts w:asciiTheme="minorHAnsi" w:hAnsiTheme="minorHAnsi" w:cstheme="minorHAnsi"/>
        </w:rPr>
        <w:t xml:space="preserve">, nejvíce </w:t>
      </w:r>
      <w:r>
        <w:rPr>
          <w:rFonts w:asciiTheme="minorHAnsi" w:hAnsiTheme="minorHAnsi" w:cstheme="minorHAnsi"/>
        </w:rPr>
        <w:t xml:space="preserve">frýdecko-místecký (+605 osob), karvinský (+453 osob) a </w:t>
      </w:r>
      <w:r w:rsidRPr="006D2E00">
        <w:rPr>
          <w:rFonts w:asciiTheme="minorHAnsi" w:hAnsiTheme="minorHAnsi" w:cstheme="minorHAnsi"/>
        </w:rPr>
        <w:t>ostravský (+</w:t>
      </w:r>
      <w:r>
        <w:rPr>
          <w:rFonts w:asciiTheme="minorHAnsi" w:hAnsiTheme="minorHAnsi" w:cstheme="minorHAnsi"/>
        </w:rPr>
        <w:t>4</w:t>
      </w:r>
      <w:r w:rsidRPr="006D2E00">
        <w:rPr>
          <w:rFonts w:asciiTheme="minorHAnsi" w:hAnsiTheme="minorHAnsi" w:cstheme="minorHAnsi"/>
        </w:rPr>
        <w:t>26 osob)</w:t>
      </w:r>
      <w:r>
        <w:rPr>
          <w:rFonts w:asciiTheme="minorHAnsi" w:hAnsiTheme="minorHAnsi" w:cstheme="minorHAnsi"/>
        </w:rPr>
        <w:t xml:space="preserve">. </w:t>
      </w:r>
      <w:r w:rsidRPr="006D2E00">
        <w:rPr>
          <w:rFonts w:asciiTheme="minorHAnsi" w:hAnsiTheme="minorHAnsi" w:cstheme="minorHAnsi"/>
        </w:rPr>
        <w:t>Z jednotlivých odvětví by mělo dojít k největšímu nárůs</w:t>
      </w:r>
      <w:r>
        <w:rPr>
          <w:rFonts w:asciiTheme="minorHAnsi" w:hAnsiTheme="minorHAnsi" w:cstheme="minorHAnsi"/>
        </w:rPr>
        <w:t xml:space="preserve">tu ve výrobě motorových vozidel, výrobě základních kovů, hutního zpracování kovů a slévárenství </w:t>
      </w:r>
      <w:r w:rsidRPr="006D2E00">
        <w:rPr>
          <w:rFonts w:asciiTheme="minorHAnsi" w:hAnsiTheme="minorHAnsi" w:cstheme="minorHAnsi"/>
        </w:rPr>
        <w:t>a dále ve výrobě pryžových, plastových výrobků. Naopak mírný pokles pracovníků předpokládá</w:t>
      </w:r>
      <w:r>
        <w:rPr>
          <w:rFonts w:asciiTheme="minorHAnsi" w:hAnsiTheme="minorHAnsi" w:cstheme="minorHAnsi"/>
        </w:rPr>
        <w:t xml:space="preserve"> zpracování dřeva, výroba papíru a výrobků papíru</w:t>
      </w:r>
      <w:r w:rsidRPr="006D2E00">
        <w:rPr>
          <w:rFonts w:asciiTheme="minorHAnsi" w:hAnsiTheme="minorHAnsi" w:cstheme="minorHAnsi"/>
        </w:rPr>
        <w:t>.</w:t>
      </w:r>
    </w:p>
    <w:p w:rsidR="00C70E74" w:rsidRDefault="00C70E74" w:rsidP="00C70E74">
      <w:pPr>
        <w:pStyle w:val="Zkladntextodsazen"/>
        <w:ind w:right="-2" w:firstLine="0"/>
        <w:rPr>
          <w:rFonts w:asciiTheme="minorHAnsi" w:hAnsiTheme="minorHAnsi" w:cstheme="minorHAnsi"/>
        </w:rPr>
      </w:pPr>
    </w:p>
    <w:p w:rsidR="00C70E74" w:rsidRPr="006D2E00" w:rsidRDefault="00C70E74" w:rsidP="00C70E74">
      <w:pPr>
        <w:pStyle w:val="Nadpis4"/>
        <w:numPr>
          <w:ilvl w:val="0"/>
          <w:numId w:val="18"/>
        </w:numPr>
        <w:ind w:left="714" w:hanging="357"/>
        <w:jc w:val="both"/>
        <w:rPr>
          <w:rFonts w:asciiTheme="minorHAnsi" w:hAnsiTheme="minorHAnsi" w:cstheme="minorHAnsi"/>
        </w:rPr>
      </w:pPr>
      <w:r>
        <w:rPr>
          <w:rFonts w:asciiTheme="minorHAnsi" w:hAnsiTheme="minorHAnsi" w:cstheme="minorHAnsi"/>
        </w:rPr>
        <w:t>Výroba základních farmaceutických výrobků a přípravků</w:t>
      </w:r>
    </w:p>
    <w:p w:rsidR="00C70E74" w:rsidRPr="006D2E00" w:rsidRDefault="00C70E74" w:rsidP="00C70E74">
      <w:pPr>
        <w:pStyle w:val="Zkladntextodsazen"/>
        <w:ind w:right="-2"/>
        <w:rPr>
          <w:rFonts w:asciiTheme="minorHAnsi" w:hAnsiTheme="minorHAnsi" w:cstheme="minorHAnsi"/>
        </w:rPr>
      </w:pPr>
      <w:r>
        <w:rPr>
          <w:rFonts w:asciiTheme="minorHAnsi" w:hAnsiTheme="minorHAnsi" w:cstheme="minorHAnsi"/>
          <w:szCs w:val="24"/>
        </w:rPr>
        <w:t>Do poloviny letošního roku se předpokládá v MSK navýšení stavů cca o 150 (+8,7</w:t>
      </w:r>
      <w:r w:rsidRPr="006D2E00">
        <w:rPr>
          <w:rFonts w:asciiTheme="minorHAnsi" w:hAnsiTheme="minorHAnsi" w:cstheme="minorHAnsi"/>
          <w:szCs w:val="24"/>
        </w:rPr>
        <w:t xml:space="preserve"> %) osob. </w:t>
      </w:r>
      <w:r>
        <w:rPr>
          <w:rFonts w:asciiTheme="minorHAnsi" w:hAnsiTheme="minorHAnsi" w:cstheme="minorHAnsi"/>
          <w:szCs w:val="24"/>
        </w:rPr>
        <w:t>O tento nárůst se má postarat okres Opava a firmy Teva Czech Industries s. r. o. a MEDIS INTERNATIONAL a. s.</w:t>
      </w:r>
    </w:p>
    <w:p w:rsidR="00C70E74" w:rsidRPr="006D2E00" w:rsidRDefault="00C70E74" w:rsidP="00C70E74">
      <w:pPr>
        <w:pStyle w:val="Zkladntextodsazen"/>
        <w:ind w:right="-2" w:firstLine="0"/>
        <w:rPr>
          <w:rFonts w:asciiTheme="minorHAnsi" w:hAnsiTheme="minorHAnsi" w:cstheme="minorHAnsi"/>
        </w:rPr>
      </w:pPr>
    </w:p>
    <w:p w:rsidR="00C70E74" w:rsidRPr="006D2E00" w:rsidRDefault="00C70E74" w:rsidP="00C70E74">
      <w:pPr>
        <w:pStyle w:val="Nadpis4"/>
        <w:numPr>
          <w:ilvl w:val="0"/>
          <w:numId w:val="18"/>
        </w:numPr>
        <w:ind w:left="714" w:hanging="357"/>
        <w:jc w:val="both"/>
        <w:rPr>
          <w:rFonts w:asciiTheme="minorHAnsi" w:hAnsiTheme="minorHAnsi" w:cstheme="minorHAnsi"/>
        </w:rPr>
      </w:pPr>
      <w:r w:rsidRPr="006D2E00">
        <w:rPr>
          <w:rFonts w:asciiTheme="minorHAnsi" w:hAnsiTheme="minorHAnsi" w:cstheme="minorHAnsi"/>
        </w:rPr>
        <w:t>Výroba pryžových, plastových výrobků a ostatních nekovových minerálních výrobků</w:t>
      </w:r>
    </w:p>
    <w:p w:rsidR="00C70E74" w:rsidRDefault="00C70E74" w:rsidP="00C70E74">
      <w:pPr>
        <w:pStyle w:val="Zkladntextodsazen"/>
        <w:ind w:right="-2"/>
        <w:rPr>
          <w:rFonts w:asciiTheme="minorHAnsi" w:hAnsiTheme="minorHAnsi" w:cstheme="minorHAnsi"/>
          <w:szCs w:val="24"/>
        </w:rPr>
      </w:pPr>
      <w:r w:rsidRPr="006D2E00">
        <w:rPr>
          <w:rFonts w:asciiTheme="minorHAnsi" w:hAnsiTheme="minorHAnsi" w:cstheme="minorHAnsi"/>
          <w:szCs w:val="24"/>
        </w:rPr>
        <w:t>Firmy tohoto odvětví v MSK předpokládají za prvních šest m</w:t>
      </w:r>
      <w:r>
        <w:rPr>
          <w:rFonts w:asciiTheme="minorHAnsi" w:hAnsiTheme="minorHAnsi" w:cstheme="minorHAnsi"/>
          <w:szCs w:val="24"/>
        </w:rPr>
        <w:t>ěsíců t. r. zvýšení stavů cca o 330 (+4,3</w:t>
      </w:r>
      <w:r w:rsidRPr="006D2E00">
        <w:rPr>
          <w:rFonts w:asciiTheme="minorHAnsi" w:hAnsiTheme="minorHAnsi" w:cstheme="minorHAnsi"/>
          <w:szCs w:val="24"/>
        </w:rPr>
        <w:t xml:space="preserve"> %) osob. Při</w:t>
      </w:r>
      <w:r>
        <w:rPr>
          <w:rFonts w:asciiTheme="minorHAnsi" w:hAnsiTheme="minorHAnsi" w:cstheme="minorHAnsi"/>
          <w:szCs w:val="24"/>
        </w:rPr>
        <w:t>spějí k tomu všechny okresy MSK, nejvíce</w:t>
      </w:r>
      <w:r w:rsidRPr="006D2E00">
        <w:rPr>
          <w:rFonts w:asciiTheme="minorHAnsi" w:hAnsiTheme="minorHAnsi" w:cstheme="minorHAnsi"/>
          <w:szCs w:val="24"/>
        </w:rPr>
        <w:t xml:space="preserve"> </w:t>
      </w:r>
      <w:r>
        <w:rPr>
          <w:rFonts w:asciiTheme="minorHAnsi" w:hAnsiTheme="minorHAnsi" w:cstheme="minorHAnsi"/>
          <w:szCs w:val="24"/>
        </w:rPr>
        <w:t>bruntálský (+89 osob), ostravský (+77 osob) a karvinský (+66 osob). Na navýšení by se měly podílet např. společnosti Husqvarna Manufacturing CZ s. r. o., Garsys, s. r. o., ROCKWOOL, a. s., Stant Manufacturing s. r. o. a Gates Hydraulics s. r. o.</w:t>
      </w:r>
    </w:p>
    <w:p w:rsidR="00C70E74" w:rsidRDefault="00C70E74" w:rsidP="00C70E74">
      <w:pPr>
        <w:pStyle w:val="Zkladntextodsazen"/>
        <w:ind w:right="-2"/>
        <w:rPr>
          <w:rFonts w:asciiTheme="minorHAnsi" w:hAnsiTheme="minorHAnsi" w:cstheme="minorHAnsi"/>
          <w:szCs w:val="24"/>
        </w:rPr>
      </w:pPr>
    </w:p>
    <w:p w:rsidR="00C70E74" w:rsidRPr="006D2E00" w:rsidRDefault="00C70E74" w:rsidP="00C70E74">
      <w:pPr>
        <w:pStyle w:val="Nadpis4"/>
        <w:numPr>
          <w:ilvl w:val="0"/>
          <w:numId w:val="18"/>
        </w:numPr>
        <w:ind w:left="714" w:hanging="357"/>
        <w:jc w:val="both"/>
        <w:rPr>
          <w:rFonts w:asciiTheme="minorHAnsi" w:hAnsiTheme="minorHAnsi" w:cstheme="minorHAnsi"/>
        </w:rPr>
      </w:pPr>
      <w:r w:rsidRPr="006D2E00">
        <w:rPr>
          <w:rFonts w:asciiTheme="minorHAnsi" w:hAnsiTheme="minorHAnsi" w:cstheme="minorHAnsi"/>
        </w:rPr>
        <w:t>Výroba</w:t>
      </w:r>
      <w:r>
        <w:rPr>
          <w:rFonts w:asciiTheme="minorHAnsi" w:hAnsiTheme="minorHAnsi" w:cstheme="minorHAnsi"/>
        </w:rPr>
        <w:t xml:space="preserve"> základních kovů, hutní zpracování kovů a slévárenství, výroba kovových konstrukcí a kovodělných výrobků, kromě strojů a zařízení</w:t>
      </w:r>
    </w:p>
    <w:p w:rsidR="00C70E74" w:rsidRDefault="00C70E74" w:rsidP="00C70E74">
      <w:pPr>
        <w:pStyle w:val="Zkladntextodsazen"/>
        <w:ind w:right="-2"/>
        <w:rPr>
          <w:rFonts w:asciiTheme="minorHAnsi" w:hAnsiTheme="minorHAnsi" w:cstheme="minorHAnsi"/>
          <w:szCs w:val="24"/>
        </w:rPr>
      </w:pPr>
      <w:r>
        <w:rPr>
          <w:rFonts w:asciiTheme="minorHAnsi" w:hAnsiTheme="minorHAnsi" w:cstheme="minorHAnsi"/>
          <w:szCs w:val="24"/>
        </w:rPr>
        <w:t xml:space="preserve">Během prvního pololetí letošního roku </w:t>
      </w:r>
      <w:r w:rsidRPr="006D2E00">
        <w:rPr>
          <w:rFonts w:asciiTheme="minorHAnsi" w:hAnsiTheme="minorHAnsi" w:cstheme="minorHAnsi"/>
          <w:szCs w:val="24"/>
        </w:rPr>
        <w:t xml:space="preserve">se počítá se zvýšením zaměstnanosti cca o </w:t>
      </w:r>
      <w:r>
        <w:rPr>
          <w:rFonts w:asciiTheme="minorHAnsi" w:hAnsiTheme="minorHAnsi" w:cstheme="minorHAnsi"/>
          <w:szCs w:val="24"/>
        </w:rPr>
        <w:t>800 (+1,9</w:t>
      </w:r>
      <w:r w:rsidRPr="006D2E00">
        <w:rPr>
          <w:rFonts w:asciiTheme="minorHAnsi" w:hAnsiTheme="minorHAnsi" w:cstheme="minorHAnsi"/>
          <w:szCs w:val="24"/>
        </w:rPr>
        <w:t xml:space="preserve"> %) osob. </w:t>
      </w:r>
      <w:r>
        <w:rPr>
          <w:rFonts w:asciiTheme="minorHAnsi" w:hAnsiTheme="minorHAnsi" w:cstheme="minorHAnsi"/>
          <w:szCs w:val="24"/>
        </w:rPr>
        <w:t xml:space="preserve">Růst personálních stavů se předpokládá ve všech okresech, nejvíce </w:t>
      </w:r>
      <w:r w:rsidRPr="006D2E00">
        <w:rPr>
          <w:rFonts w:asciiTheme="minorHAnsi" w:hAnsiTheme="minorHAnsi" w:cstheme="minorHAnsi"/>
          <w:szCs w:val="24"/>
        </w:rPr>
        <w:t>v </w:t>
      </w:r>
      <w:r>
        <w:rPr>
          <w:rFonts w:asciiTheme="minorHAnsi" w:hAnsiTheme="minorHAnsi" w:cstheme="minorHAnsi"/>
          <w:szCs w:val="24"/>
        </w:rPr>
        <w:t>karvinském (+25</w:t>
      </w:r>
      <w:r w:rsidRPr="006D2E00">
        <w:rPr>
          <w:rFonts w:asciiTheme="minorHAnsi" w:hAnsiTheme="minorHAnsi" w:cstheme="minorHAnsi"/>
          <w:szCs w:val="24"/>
        </w:rPr>
        <w:t xml:space="preserve">0 osob), </w:t>
      </w:r>
      <w:r>
        <w:rPr>
          <w:rFonts w:asciiTheme="minorHAnsi" w:hAnsiTheme="minorHAnsi" w:cstheme="minorHAnsi"/>
          <w:szCs w:val="24"/>
        </w:rPr>
        <w:t>a to především u společností Gesomont, s. r. o. a Jan Hefner a také v okresech Frýdek-Místek (+170 osob) a Bruntál (+150 osob) - nejvíce by se to mělo týkat firmy Bosch Termotechnika s. r. o., především v souvislosti s náborem sezónních pracovníků.</w:t>
      </w:r>
    </w:p>
    <w:p w:rsidR="00C70E74" w:rsidRPr="006D2E00" w:rsidRDefault="00C70E74" w:rsidP="00C70E74">
      <w:pPr>
        <w:rPr>
          <w:rFonts w:asciiTheme="minorHAnsi" w:hAnsiTheme="minorHAnsi" w:cstheme="minorHAnsi"/>
          <w:sz w:val="24"/>
          <w:szCs w:val="24"/>
        </w:rPr>
      </w:pPr>
    </w:p>
    <w:p w:rsidR="00C70E74" w:rsidRPr="006D2E00" w:rsidRDefault="00C70E74" w:rsidP="00C70E74">
      <w:pPr>
        <w:pStyle w:val="Nadpis4"/>
        <w:numPr>
          <w:ilvl w:val="0"/>
          <w:numId w:val="18"/>
        </w:numPr>
        <w:ind w:left="714" w:hanging="357"/>
        <w:jc w:val="both"/>
        <w:rPr>
          <w:rFonts w:asciiTheme="minorHAnsi" w:hAnsiTheme="minorHAnsi" w:cstheme="minorHAnsi"/>
        </w:rPr>
      </w:pPr>
      <w:r w:rsidRPr="006D2E00">
        <w:rPr>
          <w:rFonts w:asciiTheme="minorHAnsi" w:hAnsiTheme="minorHAnsi" w:cstheme="minorHAnsi"/>
        </w:rPr>
        <w:t xml:space="preserve">Výroba motorových vozidel (kromě motocyklů), přívěsů a návěsů, výroba </w:t>
      </w:r>
      <w:r w:rsidRPr="006D2E00">
        <w:rPr>
          <w:rFonts w:asciiTheme="minorHAnsi" w:hAnsiTheme="minorHAnsi" w:cstheme="minorHAnsi"/>
          <w:spacing w:val="-20"/>
        </w:rPr>
        <w:t>o</w:t>
      </w:r>
      <w:r w:rsidRPr="006D2E00">
        <w:rPr>
          <w:rFonts w:asciiTheme="minorHAnsi" w:hAnsiTheme="minorHAnsi" w:cstheme="minorHAnsi"/>
        </w:rPr>
        <w:t>statních dopravních prostředků a zařízení</w:t>
      </w:r>
    </w:p>
    <w:p w:rsidR="00C70E74" w:rsidRPr="006D2E00" w:rsidRDefault="00C70E74" w:rsidP="00C70E74">
      <w:pPr>
        <w:ind w:firstLine="708"/>
        <w:jc w:val="both"/>
        <w:rPr>
          <w:rFonts w:asciiTheme="minorHAnsi" w:hAnsiTheme="minorHAnsi" w:cstheme="minorHAnsi"/>
          <w:sz w:val="24"/>
          <w:szCs w:val="24"/>
        </w:rPr>
      </w:pPr>
      <w:r>
        <w:rPr>
          <w:rFonts w:asciiTheme="minorHAnsi" w:hAnsiTheme="minorHAnsi" w:cstheme="minorHAnsi"/>
          <w:sz w:val="24"/>
          <w:szCs w:val="24"/>
        </w:rPr>
        <w:t>Do konce června 2015</w:t>
      </w:r>
      <w:r w:rsidRPr="006D2E00">
        <w:rPr>
          <w:rFonts w:asciiTheme="minorHAnsi" w:hAnsiTheme="minorHAnsi" w:cstheme="minorHAnsi"/>
          <w:sz w:val="24"/>
          <w:szCs w:val="24"/>
        </w:rPr>
        <w:t xml:space="preserve"> se počítá se </w:t>
      </w:r>
      <w:r>
        <w:rPr>
          <w:rFonts w:asciiTheme="minorHAnsi" w:hAnsiTheme="minorHAnsi" w:cstheme="minorHAnsi"/>
          <w:sz w:val="24"/>
          <w:szCs w:val="24"/>
        </w:rPr>
        <w:t>zvýšením zaměstnanosti cca o 875 (+3,8</w:t>
      </w:r>
      <w:r w:rsidRPr="006D2E00">
        <w:rPr>
          <w:rFonts w:asciiTheme="minorHAnsi" w:hAnsiTheme="minorHAnsi" w:cstheme="minorHAnsi"/>
          <w:sz w:val="24"/>
          <w:szCs w:val="24"/>
        </w:rPr>
        <w:t xml:space="preserve"> %) osob. Největší nárůsty očekáváme v okrese</w:t>
      </w:r>
      <w:r>
        <w:rPr>
          <w:rFonts w:asciiTheme="minorHAnsi" w:hAnsiTheme="minorHAnsi" w:cstheme="minorHAnsi"/>
          <w:sz w:val="24"/>
          <w:szCs w:val="24"/>
        </w:rPr>
        <w:t>ch</w:t>
      </w:r>
      <w:r w:rsidRPr="006D2E00">
        <w:rPr>
          <w:rFonts w:asciiTheme="minorHAnsi" w:hAnsiTheme="minorHAnsi" w:cstheme="minorHAnsi"/>
          <w:sz w:val="24"/>
          <w:szCs w:val="24"/>
        </w:rPr>
        <w:t xml:space="preserve"> </w:t>
      </w:r>
      <w:r>
        <w:rPr>
          <w:rFonts w:asciiTheme="minorHAnsi" w:hAnsiTheme="minorHAnsi" w:cstheme="minorHAnsi"/>
          <w:sz w:val="24"/>
          <w:szCs w:val="24"/>
        </w:rPr>
        <w:t xml:space="preserve">Frýdek-Místek (+325 osob) a Ostrava (+236 </w:t>
      </w:r>
      <w:r w:rsidRPr="006D2E00">
        <w:rPr>
          <w:rFonts w:asciiTheme="minorHAnsi" w:hAnsiTheme="minorHAnsi" w:cstheme="minorHAnsi"/>
          <w:sz w:val="24"/>
          <w:szCs w:val="24"/>
        </w:rPr>
        <w:t xml:space="preserve">osob), </w:t>
      </w:r>
      <w:r>
        <w:rPr>
          <w:rFonts w:asciiTheme="minorHAnsi" w:hAnsiTheme="minorHAnsi" w:cstheme="minorHAnsi"/>
          <w:sz w:val="24"/>
          <w:szCs w:val="24"/>
        </w:rPr>
        <w:t xml:space="preserve">pozitivně by měly v prvním pololetí ovlivnit zaměstnanost firmy ŠKODA VAGONKA a. s. a Brembo Czech s. r. o. </w:t>
      </w:r>
      <w:r w:rsidRPr="006D2E00">
        <w:rPr>
          <w:rFonts w:asciiTheme="minorHAnsi" w:hAnsiTheme="minorHAnsi" w:cstheme="minorHAnsi"/>
          <w:sz w:val="24"/>
          <w:szCs w:val="24"/>
        </w:rPr>
        <w:t>Mírně vyšší zaměstnanost se oče</w:t>
      </w:r>
      <w:r>
        <w:rPr>
          <w:rFonts w:asciiTheme="minorHAnsi" w:hAnsiTheme="minorHAnsi" w:cstheme="minorHAnsi"/>
          <w:sz w:val="24"/>
          <w:szCs w:val="24"/>
        </w:rPr>
        <w:t>kává i v okresech Nový Jičín (+150</w:t>
      </w:r>
      <w:r w:rsidRPr="006D2E00">
        <w:rPr>
          <w:rFonts w:asciiTheme="minorHAnsi" w:hAnsiTheme="minorHAnsi" w:cstheme="minorHAnsi"/>
          <w:sz w:val="24"/>
          <w:szCs w:val="24"/>
        </w:rPr>
        <w:t xml:space="preserve"> osob) a </w:t>
      </w:r>
      <w:r>
        <w:rPr>
          <w:rFonts w:asciiTheme="minorHAnsi" w:hAnsiTheme="minorHAnsi" w:cstheme="minorHAnsi"/>
          <w:sz w:val="24"/>
          <w:szCs w:val="24"/>
        </w:rPr>
        <w:t>Karviná (+130</w:t>
      </w:r>
      <w:r w:rsidRPr="006D2E00">
        <w:rPr>
          <w:rFonts w:asciiTheme="minorHAnsi" w:hAnsiTheme="minorHAnsi" w:cstheme="minorHAnsi"/>
          <w:sz w:val="24"/>
          <w:szCs w:val="24"/>
        </w:rPr>
        <w:t xml:space="preserve"> osob).</w:t>
      </w:r>
    </w:p>
    <w:p w:rsidR="00C70E74" w:rsidRPr="006D2E00" w:rsidRDefault="00C70E74" w:rsidP="00C70E74">
      <w:pPr>
        <w:pStyle w:val="Nadpis5"/>
        <w:rPr>
          <w:rFonts w:asciiTheme="minorHAnsi" w:hAnsiTheme="minorHAnsi" w:cstheme="minorHAnsi"/>
        </w:rPr>
      </w:pPr>
      <w:r w:rsidRPr="006D2E00">
        <w:rPr>
          <w:rFonts w:asciiTheme="minorHAnsi" w:hAnsiTheme="minorHAnsi" w:cstheme="minorHAnsi"/>
        </w:rPr>
        <w:t>Stavebnictví</w:t>
      </w:r>
    </w:p>
    <w:p w:rsidR="00C70E74" w:rsidRDefault="00C70E74" w:rsidP="00C70E74">
      <w:pPr>
        <w:ind w:firstLine="709"/>
        <w:jc w:val="both"/>
        <w:rPr>
          <w:rFonts w:asciiTheme="minorHAnsi" w:hAnsiTheme="minorHAnsi" w:cstheme="minorHAnsi"/>
          <w:sz w:val="24"/>
          <w:szCs w:val="24"/>
        </w:rPr>
      </w:pPr>
      <w:r w:rsidRPr="006D2E00">
        <w:rPr>
          <w:rFonts w:asciiTheme="minorHAnsi" w:hAnsiTheme="minorHAnsi" w:cstheme="minorHAnsi"/>
          <w:sz w:val="24"/>
          <w:szCs w:val="24"/>
        </w:rPr>
        <w:t>Do poloviny letošního roku se předpokládá v MSK vyšší zaměstnano</w:t>
      </w:r>
      <w:r>
        <w:rPr>
          <w:rFonts w:asciiTheme="minorHAnsi" w:hAnsiTheme="minorHAnsi" w:cstheme="minorHAnsi"/>
          <w:sz w:val="24"/>
          <w:szCs w:val="24"/>
        </w:rPr>
        <w:t>st cca o 230 (+3,0</w:t>
      </w:r>
      <w:r w:rsidRPr="006D2E00">
        <w:rPr>
          <w:rFonts w:asciiTheme="minorHAnsi" w:hAnsiTheme="minorHAnsi" w:cstheme="minorHAnsi"/>
          <w:sz w:val="24"/>
          <w:szCs w:val="24"/>
        </w:rPr>
        <w:t> %) osob. Podstatnou čá</w:t>
      </w:r>
      <w:r>
        <w:rPr>
          <w:rFonts w:asciiTheme="minorHAnsi" w:hAnsiTheme="minorHAnsi" w:cstheme="minorHAnsi"/>
          <w:sz w:val="24"/>
          <w:szCs w:val="24"/>
        </w:rPr>
        <w:t xml:space="preserve">st tohoto navýšení předpokládá </w:t>
      </w:r>
      <w:r w:rsidRPr="006D2E00">
        <w:rPr>
          <w:rFonts w:asciiTheme="minorHAnsi" w:hAnsiTheme="minorHAnsi" w:cstheme="minorHAnsi"/>
          <w:sz w:val="24"/>
          <w:szCs w:val="24"/>
        </w:rPr>
        <w:t>okr</w:t>
      </w:r>
      <w:r>
        <w:rPr>
          <w:rFonts w:asciiTheme="minorHAnsi" w:hAnsiTheme="minorHAnsi" w:cstheme="minorHAnsi"/>
          <w:sz w:val="24"/>
          <w:szCs w:val="24"/>
        </w:rPr>
        <w:t>es Bruntál (124 osob), v souvislosti se zvýšením stavů především o sezónní pracovníky u firem KARETA s. r. o. Bruntál, Aleš Fousek Krnov a SILNICE CZ s. r. o. Krnov, a okres Frýdek-Místek (+90 osob).</w:t>
      </w:r>
    </w:p>
    <w:p w:rsidR="00C70E74" w:rsidRDefault="00C70E74" w:rsidP="00C70E74">
      <w:pPr>
        <w:jc w:val="both"/>
        <w:rPr>
          <w:rFonts w:asciiTheme="minorHAnsi" w:hAnsiTheme="minorHAnsi" w:cstheme="minorHAnsi"/>
          <w:sz w:val="24"/>
          <w:szCs w:val="24"/>
        </w:rPr>
      </w:pPr>
    </w:p>
    <w:p w:rsidR="00C70E74" w:rsidRPr="006D2E00" w:rsidRDefault="00C70E74" w:rsidP="00C70E74">
      <w:pPr>
        <w:pStyle w:val="Nadpis5"/>
        <w:rPr>
          <w:rFonts w:asciiTheme="minorHAnsi" w:hAnsiTheme="minorHAnsi" w:cstheme="minorHAnsi"/>
        </w:rPr>
      </w:pPr>
      <w:r>
        <w:rPr>
          <w:rFonts w:asciiTheme="minorHAnsi" w:hAnsiTheme="minorHAnsi" w:cstheme="minorHAnsi"/>
        </w:rPr>
        <w:t>Velkoobchod a maloobchod, opravy a údržba motorových vozidel</w:t>
      </w:r>
    </w:p>
    <w:p w:rsidR="00C70E74" w:rsidRDefault="00C70E74" w:rsidP="00C70E74">
      <w:pPr>
        <w:ind w:firstLine="709"/>
        <w:jc w:val="both"/>
        <w:rPr>
          <w:rFonts w:asciiTheme="minorHAnsi" w:hAnsiTheme="minorHAnsi" w:cstheme="minorHAnsi"/>
          <w:sz w:val="24"/>
          <w:szCs w:val="24"/>
        </w:rPr>
      </w:pPr>
      <w:r w:rsidRPr="006D2E00">
        <w:rPr>
          <w:rFonts w:asciiTheme="minorHAnsi" w:hAnsiTheme="minorHAnsi" w:cstheme="minorHAnsi"/>
          <w:sz w:val="24"/>
          <w:szCs w:val="24"/>
        </w:rPr>
        <w:t xml:space="preserve">Do </w:t>
      </w:r>
      <w:r>
        <w:rPr>
          <w:rFonts w:asciiTheme="minorHAnsi" w:hAnsiTheme="minorHAnsi" w:cstheme="minorHAnsi"/>
          <w:sz w:val="24"/>
          <w:szCs w:val="24"/>
        </w:rPr>
        <w:t xml:space="preserve">konce června 2015 </w:t>
      </w:r>
      <w:r w:rsidRPr="006D2E00">
        <w:rPr>
          <w:rFonts w:asciiTheme="minorHAnsi" w:hAnsiTheme="minorHAnsi" w:cstheme="minorHAnsi"/>
          <w:sz w:val="24"/>
          <w:szCs w:val="24"/>
        </w:rPr>
        <w:t xml:space="preserve">se </w:t>
      </w:r>
      <w:r>
        <w:rPr>
          <w:rFonts w:asciiTheme="minorHAnsi" w:hAnsiTheme="minorHAnsi" w:cstheme="minorHAnsi"/>
          <w:sz w:val="24"/>
          <w:szCs w:val="24"/>
        </w:rPr>
        <w:t xml:space="preserve">počítá </w:t>
      </w:r>
      <w:r w:rsidRPr="006D2E00">
        <w:rPr>
          <w:rFonts w:asciiTheme="minorHAnsi" w:hAnsiTheme="minorHAnsi" w:cstheme="minorHAnsi"/>
          <w:sz w:val="24"/>
          <w:szCs w:val="24"/>
        </w:rPr>
        <w:t xml:space="preserve">v MSK </w:t>
      </w:r>
      <w:r>
        <w:rPr>
          <w:rFonts w:asciiTheme="minorHAnsi" w:hAnsiTheme="minorHAnsi" w:cstheme="minorHAnsi"/>
          <w:sz w:val="24"/>
          <w:szCs w:val="24"/>
        </w:rPr>
        <w:t xml:space="preserve">se zvýšením </w:t>
      </w:r>
      <w:r w:rsidRPr="006D2E00">
        <w:rPr>
          <w:rFonts w:asciiTheme="minorHAnsi" w:hAnsiTheme="minorHAnsi" w:cstheme="minorHAnsi"/>
          <w:sz w:val="24"/>
          <w:szCs w:val="24"/>
        </w:rPr>
        <w:t>zaměstnano</w:t>
      </w:r>
      <w:r>
        <w:rPr>
          <w:rFonts w:asciiTheme="minorHAnsi" w:hAnsiTheme="minorHAnsi" w:cstheme="minorHAnsi"/>
          <w:sz w:val="24"/>
          <w:szCs w:val="24"/>
        </w:rPr>
        <w:t>sti cca o 260 (+1,5 %) osob. Navýšení předpokládají</w:t>
      </w:r>
      <w:r w:rsidRPr="006D2E00">
        <w:rPr>
          <w:rFonts w:asciiTheme="minorHAnsi" w:hAnsiTheme="minorHAnsi" w:cstheme="minorHAnsi"/>
          <w:sz w:val="24"/>
          <w:szCs w:val="24"/>
        </w:rPr>
        <w:t xml:space="preserve"> </w:t>
      </w:r>
      <w:r>
        <w:rPr>
          <w:rFonts w:asciiTheme="minorHAnsi" w:hAnsiTheme="minorHAnsi" w:cstheme="minorHAnsi"/>
          <w:sz w:val="24"/>
          <w:szCs w:val="24"/>
        </w:rPr>
        <w:t xml:space="preserve">všechny </w:t>
      </w:r>
      <w:r w:rsidRPr="006D2E00">
        <w:rPr>
          <w:rFonts w:asciiTheme="minorHAnsi" w:hAnsiTheme="minorHAnsi" w:cstheme="minorHAnsi"/>
          <w:sz w:val="24"/>
          <w:szCs w:val="24"/>
        </w:rPr>
        <w:t>okr</w:t>
      </w:r>
      <w:r>
        <w:rPr>
          <w:rFonts w:asciiTheme="minorHAnsi" w:hAnsiTheme="minorHAnsi" w:cstheme="minorHAnsi"/>
          <w:sz w:val="24"/>
          <w:szCs w:val="24"/>
        </w:rPr>
        <w:t>esy, nejvíce Opava (+93 osob) a Frýdek-Místek       (+65 osob).</w:t>
      </w:r>
    </w:p>
    <w:p w:rsidR="00C70E74" w:rsidRPr="00415FAC" w:rsidRDefault="00C70E74" w:rsidP="00C70E74">
      <w:pPr>
        <w:jc w:val="both"/>
        <w:rPr>
          <w:rFonts w:asciiTheme="minorHAnsi" w:hAnsiTheme="minorHAnsi" w:cstheme="minorHAnsi"/>
          <w:sz w:val="24"/>
          <w:szCs w:val="24"/>
        </w:rPr>
      </w:pPr>
    </w:p>
    <w:p w:rsidR="00C70E74" w:rsidRPr="006D2E00" w:rsidRDefault="00C70E74" w:rsidP="00C70E74">
      <w:pPr>
        <w:pStyle w:val="Nadpis5"/>
        <w:rPr>
          <w:rFonts w:asciiTheme="minorHAnsi" w:hAnsiTheme="minorHAnsi" w:cstheme="minorHAnsi"/>
        </w:rPr>
      </w:pPr>
      <w:r w:rsidRPr="006D2E00">
        <w:rPr>
          <w:rFonts w:asciiTheme="minorHAnsi" w:hAnsiTheme="minorHAnsi" w:cstheme="minorHAnsi"/>
        </w:rPr>
        <w:t>Administrativní a podpůrné činnosti</w:t>
      </w:r>
    </w:p>
    <w:p w:rsidR="00C70E74" w:rsidRPr="006D2E00" w:rsidRDefault="00C70E74" w:rsidP="00C70E74">
      <w:pPr>
        <w:pStyle w:val="Zkladntextodsazen"/>
        <w:ind w:right="-2"/>
        <w:rPr>
          <w:rFonts w:asciiTheme="minorHAnsi" w:hAnsiTheme="minorHAnsi" w:cstheme="minorHAnsi"/>
        </w:rPr>
      </w:pPr>
      <w:r w:rsidRPr="006D2E00">
        <w:rPr>
          <w:rFonts w:asciiTheme="minorHAnsi" w:hAnsiTheme="minorHAnsi" w:cstheme="minorHAnsi"/>
        </w:rPr>
        <w:t>Tato nesourodá skupina zaměstnavatelů širokého spektra činností a služeb (zahrnuje subjekty zabývající se pronájmem, úklidovými, bezpečnostními a pátracími činnostmi, součástí jsou i cestovní a pracovní agentury) avizuje během prvních šesti měsíců letošního roku nárůs</w:t>
      </w:r>
      <w:r>
        <w:rPr>
          <w:rFonts w:asciiTheme="minorHAnsi" w:hAnsiTheme="minorHAnsi" w:cstheme="minorHAnsi"/>
        </w:rPr>
        <w:t>t celkové zaměstnanosti cca o 345 (+3,0</w:t>
      </w:r>
      <w:r w:rsidRPr="006D2E00">
        <w:rPr>
          <w:rFonts w:asciiTheme="minorHAnsi" w:hAnsiTheme="minorHAnsi" w:cstheme="minorHAnsi"/>
        </w:rPr>
        <w:t> %) osob, ne</w:t>
      </w:r>
      <w:r>
        <w:rPr>
          <w:rFonts w:asciiTheme="minorHAnsi" w:hAnsiTheme="minorHAnsi" w:cstheme="minorHAnsi"/>
        </w:rPr>
        <w:t>jvíce v okresech Frýdek-Místek (+</w:t>
      </w:r>
      <w:r w:rsidRPr="006D2E00">
        <w:rPr>
          <w:rFonts w:asciiTheme="minorHAnsi" w:hAnsiTheme="minorHAnsi" w:cstheme="minorHAnsi"/>
        </w:rPr>
        <w:t>2</w:t>
      </w:r>
      <w:r>
        <w:rPr>
          <w:rFonts w:asciiTheme="minorHAnsi" w:hAnsiTheme="minorHAnsi" w:cstheme="minorHAnsi"/>
        </w:rPr>
        <w:t>0</w:t>
      </w:r>
      <w:r w:rsidRPr="006D2E00">
        <w:rPr>
          <w:rFonts w:asciiTheme="minorHAnsi" w:hAnsiTheme="minorHAnsi" w:cstheme="minorHAnsi"/>
        </w:rPr>
        <w:t>0 osob) a </w:t>
      </w:r>
      <w:r>
        <w:rPr>
          <w:rFonts w:asciiTheme="minorHAnsi" w:hAnsiTheme="minorHAnsi" w:cstheme="minorHAnsi"/>
        </w:rPr>
        <w:t>Nový Jičín (+77 osob).</w:t>
      </w:r>
    </w:p>
    <w:p w:rsidR="00C70E74" w:rsidRPr="00FD17BC" w:rsidRDefault="00C70E74" w:rsidP="00C70E74">
      <w:pPr>
        <w:pStyle w:val="Zkladntextodsazen"/>
        <w:spacing w:after="120"/>
        <w:ind w:firstLine="0"/>
        <w:rPr>
          <w:rFonts w:asciiTheme="minorHAnsi" w:hAnsiTheme="minorHAnsi" w:cstheme="minorHAnsi"/>
        </w:rPr>
      </w:pPr>
    </w:p>
    <w:p w:rsidR="00C70E74" w:rsidRPr="00FD17BC" w:rsidRDefault="00C70E74" w:rsidP="00C70E74">
      <w:pPr>
        <w:pStyle w:val="Nadpis6"/>
        <w:spacing w:before="120"/>
        <w:rPr>
          <w:rFonts w:asciiTheme="minorHAnsi" w:hAnsiTheme="minorHAnsi" w:cstheme="minorHAnsi"/>
        </w:rPr>
      </w:pPr>
      <w:r w:rsidRPr="00FD17BC">
        <w:rPr>
          <w:rFonts w:asciiTheme="minorHAnsi" w:hAnsiTheme="minorHAnsi" w:cstheme="minorHAnsi"/>
        </w:rPr>
        <w:t>5. Předpokládaný vliv průmyslových zón</w:t>
      </w:r>
    </w:p>
    <w:p w:rsidR="00C70E74" w:rsidRPr="00FD17BC" w:rsidRDefault="00C70E74" w:rsidP="00C70E74">
      <w:pPr>
        <w:rPr>
          <w:rFonts w:asciiTheme="minorHAnsi" w:hAnsiTheme="minorHAnsi" w:cstheme="minorHAnsi"/>
          <w:sz w:val="24"/>
          <w:szCs w:val="24"/>
        </w:rPr>
      </w:pPr>
    </w:p>
    <w:p w:rsidR="00C70E74" w:rsidRDefault="00C70E74" w:rsidP="00C70E74">
      <w:pPr>
        <w:ind w:firstLine="709"/>
        <w:jc w:val="both"/>
        <w:rPr>
          <w:rFonts w:asciiTheme="minorHAnsi" w:hAnsiTheme="minorHAnsi" w:cstheme="minorHAnsi"/>
          <w:sz w:val="24"/>
          <w:szCs w:val="24"/>
        </w:rPr>
      </w:pPr>
      <w:r w:rsidRPr="00FD17BC">
        <w:rPr>
          <w:rFonts w:asciiTheme="minorHAnsi" w:hAnsiTheme="minorHAnsi" w:cstheme="minorHAnsi"/>
          <w:sz w:val="24"/>
          <w:szCs w:val="24"/>
        </w:rPr>
        <w:t>Díky novele zákona o investičních pobídkách z roku 2012 je mohou v České republice čerpat nově nejen investoři zavádějící výrobu nebo rozšiřující produkci ve zpracovatelském průmyslu, ale také technologická centra a centra strategických služeb. V současné době probíhá proces schvalo</w:t>
      </w:r>
      <w:r>
        <w:rPr>
          <w:rFonts w:asciiTheme="minorHAnsi" w:hAnsiTheme="minorHAnsi" w:cstheme="minorHAnsi"/>
          <w:sz w:val="24"/>
          <w:szCs w:val="24"/>
        </w:rPr>
        <w:t xml:space="preserve">vání další novely tohoto zákona, v níž se </w:t>
      </w:r>
      <w:r w:rsidRPr="00FD17BC">
        <w:rPr>
          <w:rFonts w:asciiTheme="minorHAnsi" w:hAnsiTheme="minorHAnsi" w:cstheme="minorHAnsi"/>
          <w:sz w:val="24"/>
          <w:szCs w:val="24"/>
        </w:rPr>
        <w:t>např. zavádí podmínka vytvoření minimálně 20 nových pracovních míst ve zpracovatelském průmyslu, odpadá podmínka financování investice z vlastních zdrojů, zavádí se další typy center strategických služeb (datová centra a centra zákaznické podpory). Navrhováno je také zavedení institutu tzv. zvýhodněných průmyslových zón, které určí Vláda ČR a ve kterých budou poskytovány atraktivnější formy podpor (300 tis. Kč na nové pracovní místo a osvobození od daně z nemovitých věcí), dále rozšíření regionů, ve kterých bude poskytována hmotná podpora</w:t>
      </w:r>
      <w:r>
        <w:rPr>
          <w:rFonts w:asciiTheme="minorHAnsi" w:hAnsiTheme="minorHAnsi" w:cstheme="minorHAnsi"/>
          <w:sz w:val="24"/>
          <w:szCs w:val="24"/>
        </w:rPr>
        <w:t xml:space="preserve"> na vytváření pracovních míst a </w:t>
      </w:r>
      <w:r w:rsidRPr="00FD17BC">
        <w:rPr>
          <w:rFonts w:asciiTheme="minorHAnsi" w:hAnsiTheme="minorHAnsi" w:cstheme="minorHAnsi"/>
          <w:sz w:val="24"/>
          <w:szCs w:val="24"/>
        </w:rPr>
        <w:t>na školení a rekvalifikaci atd.</w:t>
      </w:r>
    </w:p>
    <w:p w:rsidR="00C70E74" w:rsidRDefault="00C70E74" w:rsidP="00C70E74">
      <w:pPr>
        <w:ind w:firstLine="709"/>
        <w:jc w:val="both"/>
        <w:rPr>
          <w:rFonts w:asciiTheme="minorHAnsi" w:hAnsiTheme="minorHAnsi" w:cstheme="minorHAnsi"/>
          <w:sz w:val="24"/>
          <w:szCs w:val="24"/>
        </w:rPr>
      </w:pPr>
      <w:r w:rsidRPr="00FD17BC">
        <w:rPr>
          <w:rFonts w:asciiTheme="minorHAnsi" w:hAnsiTheme="minorHAnsi" w:cstheme="minorHAnsi"/>
          <w:sz w:val="24"/>
          <w:szCs w:val="24"/>
        </w:rPr>
        <w:t>Cílem těchto připravovaných změn zákona o investičních pobídkách i nové koncepce podpory investic agentury CzechInvest, tzv. Akčního plánu České republiky k podpoře přílivu investic 2014-2017,</w:t>
      </w:r>
      <w:r w:rsidRPr="00FD17BC">
        <w:rPr>
          <w:rFonts w:asciiTheme="minorHAnsi" w:hAnsiTheme="minorHAnsi" w:cstheme="minorHAnsi"/>
        </w:rPr>
        <w:t xml:space="preserve"> </w:t>
      </w:r>
      <w:r w:rsidRPr="00FD17BC">
        <w:rPr>
          <w:rFonts w:asciiTheme="minorHAnsi" w:hAnsiTheme="minorHAnsi" w:cstheme="minorHAnsi"/>
          <w:sz w:val="24"/>
          <w:szCs w:val="24"/>
        </w:rPr>
        <w:t xml:space="preserve">který řeší slabá místa i v dalších oblastech podpory </w:t>
      </w:r>
      <w:r w:rsidRPr="00FD17BC">
        <w:rPr>
          <w:rFonts w:asciiTheme="minorHAnsi" w:hAnsiTheme="minorHAnsi" w:cstheme="minorHAnsi"/>
          <w:bCs/>
          <w:sz w:val="24"/>
          <w:szCs w:val="24"/>
        </w:rPr>
        <w:t>investic</w:t>
      </w:r>
      <w:r w:rsidRPr="00FD17BC">
        <w:rPr>
          <w:rFonts w:asciiTheme="minorHAnsi" w:hAnsiTheme="minorHAnsi" w:cstheme="minorHAnsi"/>
          <w:sz w:val="24"/>
          <w:szCs w:val="24"/>
        </w:rPr>
        <w:t xml:space="preserve">, například infrastruktury či lidských zdrojů, je přilákat větší počet nových investorů do existujících i připravovaných průmyslových zón České republiky. </w:t>
      </w:r>
    </w:p>
    <w:p w:rsidR="00C70E74" w:rsidRPr="00FD17BC" w:rsidRDefault="00C70E74" w:rsidP="00C70E74">
      <w:pPr>
        <w:ind w:firstLine="709"/>
        <w:jc w:val="both"/>
        <w:rPr>
          <w:rFonts w:asciiTheme="minorHAnsi" w:hAnsiTheme="minorHAnsi" w:cstheme="minorHAnsi"/>
          <w:sz w:val="24"/>
          <w:szCs w:val="24"/>
        </w:rPr>
      </w:pPr>
      <w:r w:rsidRPr="00FD17BC">
        <w:rPr>
          <w:rFonts w:asciiTheme="minorHAnsi" w:hAnsiTheme="minorHAnsi" w:cstheme="minorHAnsi"/>
          <w:sz w:val="24"/>
          <w:szCs w:val="24"/>
        </w:rPr>
        <w:t>Během prvního pololetí 2015 očekávají zaměstnavatelé působící v průmyslových zónách Moravskoslezského kraje navýšení svých personálních stavů dohromady cca o 830 osob. Nejvíce se tento nárůst bude týkat průmyslových zón v okrese Frýdek Místek (celkem cca +420 zaměstnanců), a to především zóny Třinec (cca +180) a Nošovice (+135).</w:t>
      </w:r>
    </w:p>
    <w:p w:rsidR="00C70E74" w:rsidRDefault="00C70E74" w:rsidP="00C70E74">
      <w:pPr>
        <w:spacing w:after="120"/>
        <w:rPr>
          <w:rFonts w:asciiTheme="minorHAnsi" w:hAnsiTheme="minorHAnsi" w:cstheme="minorHAnsi"/>
          <w:b/>
          <w:i/>
          <w:sz w:val="24"/>
          <w:szCs w:val="24"/>
        </w:rPr>
      </w:pPr>
    </w:p>
    <w:p w:rsidR="00C70E74" w:rsidRPr="006D2E00" w:rsidRDefault="00C70E74" w:rsidP="00C70E74">
      <w:pPr>
        <w:spacing w:before="120"/>
        <w:rPr>
          <w:rFonts w:asciiTheme="minorHAnsi" w:hAnsiTheme="minorHAnsi" w:cstheme="minorHAnsi"/>
          <w:i/>
          <w:sz w:val="24"/>
          <w:szCs w:val="24"/>
        </w:rPr>
      </w:pPr>
      <w:r w:rsidRPr="006D2E00">
        <w:rPr>
          <w:rFonts w:asciiTheme="minorHAnsi" w:hAnsiTheme="minorHAnsi" w:cstheme="minorHAnsi"/>
          <w:b/>
          <w:i/>
          <w:sz w:val="24"/>
          <w:szCs w:val="24"/>
        </w:rPr>
        <w:t>6. Nejvíce ohrožené skupiny UoZ, situace v nejproblémovějších mikroregionech</w:t>
      </w:r>
      <w:r w:rsidRPr="006D2E00">
        <w:rPr>
          <w:rFonts w:asciiTheme="minorHAnsi" w:hAnsiTheme="minorHAnsi" w:cstheme="minorHAnsi"/>
          <w:i/>
          <w:sz w:val="24"/>
          <w:szCs w:val="24"/>
        </w:rPr>
        <w:t xml:space="preserve"> </w:t>
      </w:r>
    </w:p>
    <w:p w:rsidR="00C70E74" w:rsidRPr="006D2E00" w:rsidRDefault="00C70E74" w:rsidP="00C70E74">
      <w:pPr>
        <w:rPr>
          <w:rFonts w:asciiTheme="minorHAnsi" w:hAnsiTheme="minorHAnsi" w:cstheme="minorHAnsi"/>
          <w:sz w:val="24"/>
          <w:szCs w:val="24"/>
        </w:rPr>
      </w:pPr>
    </w:p>
    <w:p w:rsidR="00C70E74" w:rsidRPr="006D2E00" w:rsidRDefault="00C70E74" w:rsidP="00C70E74">
      <w:pPr>
        <w:pStyle w:val="odsazen"/>
        <w:numPr>
          <w:ilvl w:val="0"/>
          <w:numId w:val="0"/>
        </w:numPr>
        <w:ind w:firstLine="709"/>
        <w:rPr>
          <w:rFonts w:asciiTheme="minorHAnsi" w:hAnsiTheme="minorHAnsi" w:cstheme="minorHAnsi"/>
        </w:rPr>
      </w:pPr>
      <w:r>
        <w:rPr>
          <w:rFonts w:asciiTheme="minorHAnsi" w:hAnsiTheme="minorHAnsi" w:cstheme="minorHAnsi"/>
        </w:rPr>
        <w:t>Rok 2014</w:t>
      </w:r>
      <w:r w:rsidRPr="006D2E00">
        <w:rPr>
          <w:rFonts w:asciiTheme="minorHAnsi" w:hAnsiTheme="minorHAnsi" w:cstheme="minorHAnsi"/>
        </w:rPr>
        <w:t xml:space="preserve"> byl charakteristický vysokým počte</w:t>
      </w:r>
      <w:r>
        <w:rPr>
          <w:rFonts w:asciiTheme="minorHAnsi" w:hAnsiTheme="minorHAnsi" w:cstheme="minorHAnsi"/>
        </w:rPr>
        <w:t xml:space="preserve">m uchazečů o zaměstnání a stále nedostatečným </w:t>
      </w:r>
      <w:r w:rsidRPr="006D2E00">
        <w:rPr>
          <w:rFonts w:asciiTheme="minorHAnsi" w:hAnsiTheme="minorHAnsi" w:cstheme="minorHAnsi"/>
        </w:rPr>
        <w:t>množstvím nabízených volných pracovních míst</w:t>
      </w:r>
      <w:r>
        <w:rPr>
          <w:rFonts w:asciiTheme="minorHAnsi" w:hAnsiTheme="minorHAnsi" w:cstheme="minorHAnsi"/>
        </w:rPr>
        <w:t xml:space="preserve"> po většinu roku</w:t>
      </w:r>
      <w:r w:rsidRPr="006D2E00">
        <w:rPr>
          <w:rFonts w:asciiTheme="minorHAnsi" w:hAnsiTheme="minorHAnsi" w:cstheme="minorHAnsi"/>
        </w:rPr>
        <w:t>, navíc i co do struktury (k tomu od začátku roku 2012</w:t>
      </w:r>
      <w:r>
        <w:rPr>
          <w:rFonts w:asciiTheme="minorHAnsi" w:hAnsiTheme="minorHAnsi" w:cstheme="minorHAnsi"/>
        </w:rPr>
        <w:t xml:space="preserve"> </w:t>
      </w:r>
      <w:r w:rsidRPr="006D2E00">
        <w:rPr>
          <w:rFonts w:asciiTheme="minorHAnsi" w:hAnsiTheme="minorHAnsi" w:cstheme="minorHAnsi"/>
        </w:rPr>
        <w:t xml:space="preserve">novela ZoZ zrušila subjektům povinnost hlásit úřadu práce </w:t>
      </w:r>
      <w:r>
        <w:rPr>
          <w:rFonts w:asciiTheme="minorHAnsi" w:hAnsiTheme="minorHAnsi" w:cstheme="minorHAnsi"/>
        </w:rPr>
        <w:t xml:space="preserve">VPM). Nadále </w:t>
      </w:r>
      <w:r w:rsidRPr="006D2E00">
        <w:rPr>
          <w:rFonts w:asciiTheme="minorHAnsi" w:hAnsiTheme="minorHAnsi" w:cstheme="minorHAnsi"/>
        </w:rPr>
        <w:t>přetrvávají obtíže s pracovním uplatněním nejohroženějších skupin obyvatelstva s ohrožením sociálního vyloučení, a to zejména:</w:t>
      </w:r>
    </w:p>
    <w:p w:rsidR="00C70E74" w:rsidRPr="006D2E00" w:rsidRDefault="00C70E74" w:rsidP="00C70E74">
      <w:pPr>
        <w:pStyle w:val="odsazen"/>
        <w:rPr>
          <w:rFonts w:asciiTheme="minorHAnsi" w:hAnsiTheme="minorHAnsi" w:cstheme="minorHAnsi"/>
        </w:rPr>
      </w:pPr>
      <w:r w:rsidRPr="006D2E00">
        <w:rPr>
          <w:rFonts w:asciiTheme="minorHAnsi" w:hAnsiTheme="minorHAnsi" w:cstheme="minorHAnsi"/>
          <w:b/>
        </w:rPr>
        <w:t>osob se zdravotním postižením</w:t>
      </w:r>
      <w:r w:rsidRPr="006D2E00">
        <w:rPr>
          <w:rFonts w:asciiTheme="minorHAnsi" w:hAnsiTheme="minorHAnsi" w:cstheme="minorHAnsi"/>
        </w:rPr>
        <w:t xml:space="preserve">, jejichž počet je v MSK </w:t>
      </w:r>
      <w:r>
        <w:rPr>
          <w:rFonts w:asciiTheme="minorHAnsi" w:hAnsiTheme="minorHAnsi" w:cstheme="minorHAnsi"/>
        </w:rPr>
        <w:t xml:space="preserve">i přes mírný meziroční pokles            (-94 osob) </w:t>
      </w:r>
      <w:r w:rsidRPr="006D2E00">
        <w:rPr>
          <w:rFonts w:asciiTheme="minorHAnsi" w:hAnsiTheme="minorHAnsi" w:cstheme="minorHAnsi"/>
        </w:rPr>
        <w:t>dlouhodobě nejvyšší ze všech krajů republiky - v závěru roku 201</w:t>
      </w:r>
      <w:r>
        <w:rPr>
          <w:rFonts w:asciiTheme="minorHAnsi" w:hAnsiTheme="minorHAnsi" w:cstheme="minorHAnsi"/>
        </w:rPr>
        <w:t>4</w:t>
      </w:r>
      <w:r w:rsidRPr="006D2E00">
        <w:rPr>
          <w:rFonts w:asciiTheme="minorHAnsi" w:hAnsiTheme="minorHAnsi" w:cstheme="minorHAnsi"/>
        </w:rPr>
        <w:t xml:space="preserve"> byl</w:t>
      </w:r>
      <w:r>
        <w:rPr>
          <w:rFonts w:asciiTheme="minorHAnsi" w:hAnsiTheme="minorHAnsi" w:cstheme="minorHAnsi"/>
        </w:rPr>
        <w:t>o registrováno 8 759</w:t>
      </w:r>
      <w:r w:rsidRPr="006D2E00">
        <w:rPr>
          <w:rFonts w:asciiTheme="minorHAnsi" w:hAnsiTheme="minorHAnsi" w:cstheme="minorHAnsi"/>
        </w:rPr>
        <w:t xml:space="preserve"> těchto o</w:t>
      </w:r>
      <w:r>
        <w:rPr>
          <w:rFonts w:asciiTheme="minorHAnsi" w:hAnsiTheme="minorHAnsi" w:cstheme="minorHAnsi"/>
        </w:rPr>
        <w:t>sob. Tento počet představuje 10,4</w:t>
      </w:r>
      <w:r w:rsidRPr="006D2E00">
        <w:rPr>
          <w:rFonts w:asciiTheme="minorHAnsi" w:hAnsiTheme="minorHAnsi" w:cstheme="minorHAnsi"/>
        </w:rPr>
        <w:t xml:space="preserve"> % z celkového stavu uchazečů, </w:t>
      </w:r>
    </w:p>
    <w:p w:rsidR="00C70E74" w:rsidRPr="006D2E00" w:rsidRDefault="00C70E74" w:rsidP="00C70E74">
      <w:pPr>
        <w:pStyle w:val="odsazen"/>
        <w:rPr>
          <w:rFonts w:asciiTheme="minorHAnsi" w:hAnsiTheme="minorHAnsi" w:cstheme="minorHAnsi"/>
        </w:rPr>
      </w:pPr>
      <w:r w:rsidRPr="006D2E00">
        <w:rPr>
          <w:rFonts w:asciiTheme="minorHAnsi" w:hAnsiTheme="minorHAnsi" w:cstheme="minorHAnsi"/>
          <w:b/>
        </w:rPr>
        <w:t>nezaměstnaných osob bez kvalifikace, popřípadě málo kvalifikovaných</w:t>
      </w:r>
      <w:r>
        <w:rPr>
          <w:rFonts w:asciiTheme="minorHAnsi" w:hAnsiTheme="minorHAnsi" w:cstheme="minorHAnsi"/>
        </w:rPr>
        <w:t>. Počet se během roku 2014 absolutně snížil o 1 451</w:t>
      </w:r>
      <w:r w:rsidRPr="006D2E00">
        <w:rPr>
          <w:rFonts w:asciiTheme="minorHAnsi" w:hAnsiTheme="minorHAnsi" w:cstheme="minorHAnsi"/>
        </w:rPr>
        <w:t>,</w:t>
      </w:r>
      <w:r>
        <w:rPr>
          <w:rFonts w:asciiTheme="minorHAnsi" w:hAnsiTheme="minorHAnsi" w:cstheme="minorHAnsi"/>
        </w:rPr>
        <w:t xml:space="preserve"> jejich podíl v důsledku poklesu</w:t>
      </w:r>
      <w:r w:rsidRPr="006D2E00">
        <w:rPr>
          <w:rFonts w:asciiTheme="minorHAnsi" w:hAnsiTheme="minorHAnsi" w:cstheme="minorHAnsi"/>
        </w:rPr>
        <w:t xml:space="preserve"> celkového stavu evidovaných neza</w:t>
      </w:r>
      <w:r>
        <w:rPr>
          <w:rFonts w:asciiTheme="minorHAnsi" w:hAnsiTheme="minorHAnsi" w:cstheme="minorHAnsi"/>
        </w:rPr>
        <w:t>městnaných osob nepatrně vzrostl o 0,4 procentního bodu na hodnotu 30,3</w:t>
      </w:r>
      <w:r w:rsidRPr="006D2E00">
        <w:rPr>
          <w:rFonts w:asciiTheme="minorHAnsi" w:hAnsiTheme="minorHAnsi" w:cstheme="minorHAnsi"/>
        </w:rPr>
        <w:t xml:space="preserve"> %, </w:t>
      </w:r>
    </w:p>
    <w:p w:rsidR="00C70E74" w:rsidRPr="006D2E00" w:rsidRDefault="00C70E74" w:rsidP="00C70E74">
      <w:pPr>
        <w:pStyle w:val="odsazen"/>
        <w:rPr>
          <w:rFonts w:asciiTheme="minorHAnsi" w:hAnsiTheme="minorHAnsi" w:cstheme="minorHAnsi"/>
        </w:rPr>
      </w:pPr>
      <w:r w:rsidRPr="006D2E00">
        <w:rPr>
          <w:rFonts w:asciiTheme="minorHAnsi" w:hAnsiTheme="minorHAnsi" w:cstheme="minorHAnsi"/>
          <w:b/>
        </w:rPr>
        <w:t>osob starších 50 let věku</w:t>
      </w:r>
      <w:r w:rsidRPr="006D2E00">
        <w:rPr>
          <w:rFonts w:asciiTheme="minorHAnsi" w:hAnsiTheme="minorHAnsi" w:cstheme="minorHAnsi"/>
        </w:rPr>
        <w:t>, jejichž počet v průběhu sledo</w:t>
      </w:r>
      <w:r>
        <w:rPr>
          <w:rFonts w:asciiTheme="minorHAnsi" w:hAnsiTheme="minorHAnsi" w:cstheme="minorHAnsi"/>
        </w:rPr>
        <w:t>vaných 12 měsíců vzrostl o 147</w:t>
      </w:r>
      <w:r w:rsidRPr="006D2E00">
        <w:rPr>
          <w:rFonts w:asciiTheme="minorHAnsi" w:hAnsiTheme="minorHAnsi" w:cstheme="minorHAnsi"/>
        </w:rPr>
        <w:t xml:space="preserve"> a jejich podíl na celkové nezaměstnanosti v MSK je stále velmi vysoký;</w:t>
      </w:r>
      <w:r>
        <w:rPr>
          <w:rFonts w:asciiTheme="minorHAnsi" w:hAnsiTheme="minorHAnsi" w:cstheme="minorHAnsi"/>
        </w:rPr>
        <w:t xml:space="preserve"> v prosinci 2014 dosahoval 30,8</w:t>
      </w:r>
      <w:r w:rsidRPr="006D2E00">
        <w:rPr>
          <w:rFonts w:asciiTheme="minorHAnsi" w:hAnsiTheme="minorHAnsi" w:cstheme="minorHAnsi"/>
        </w:rPr>
        <w:t xml:space="preserve"> %,</w:t>
      </w:r>
    </w:p>
    <w:p w:rsidR="00C70E74" w:rsidRPr="006D2E00" w:rsidRDefault="00C70E74" w:rsidP="00C70E74">
      <w:pPr>
        <w:pStyle w:val="odsazen"/>
        <w:rPr>
          <w:rFonts w:asciiTheme="minorHAnsi" w:hAnsiTheme="minorHAnsi" w:cstheme="minorHAnsi"/>
        </w:rPr>
      </w:pPr>
      <w:r w:rsidRPr="006D2E00">
        <w:rPr>
          <w:rFonts w:asciiTheme="minorHAnsi" w:hAnsiTheme="minorHAnsi" w:cstheme="minorHAnsi"/>
          <w:b/>
        </w:rPr>
        <w:t>fyzických osob pečujících o dítě do 15 let věku</w:t>
      </w:r>
      <w:r>
        <w:rPr>
          <w:rFonts w:asciiTheme="minorHAnsi" w:hAnsiTheme="minorHAnsi" w:cstheme="minorHAnsi"/>
        </w:rPr>
        <w:t xml:space="preserve"> (7 156, tj. 8,5</w:t>
      </w:r>
      <w:r w:rsidRPr="006D2E00">
        <w:rPr>
          <w:rFonts w:asciiTheme="minorHAnsi" w:hAnsiTheme="minorHAnsi" w:cstheme="minorHAnsi"/>
        </w:rPr>
        <w:t xml:space="preserve"> % z celkového po</w:t>
      </w:r>
      <w:r>
        <w:rPr>
          <w:rFonts w:asciiTheme="minorHAnsi" w:hAnsiTheme="minorHAnsi" w:cstheme="minorHAnsi"/>
        </w:rPr>
        <w:t>čtu UoZ evidovaných k 31.12.2014</w:t>
      </w:r>
      <w:r w:rsidRPr="006D2E00">
        <w:rPr>
          <w:rFonts w:asciiTheme="minorHAnsi" w:hAnsiTheme="minorHAnsi" w:cstheme="minorHAnsi"/>
        </w:rPr>
        <w:t>), které zpravidla mohou pracovat s omezením jen na ranní směny. Jejich poč</w:t>
      </w:r>
      <w:r>
        <w:rPr>
          <w:rFonts w:asciiTheme="minorHAnsi" w:hAnsiTheme="minorHAnsi" w:cstheme="minorHAnsi"/>
        </w:rPr>
        <w:t>et se meziročně absolutně zvýšil</w:t>
      </w:r>
      <w:r w:rsidRPr="006D2E00">
        <w:rPr>
          <w:rFonts w:asciiTheme="minorHAnsi" w:hAnsiTheme="minorHAnsi" w:cstheme="minorHAnsi"/>
        </w:rPr>
        <w:t xml:space="preserve"> o</w:t>
      </w:r>
      <w:r>
        <w:rPr>
          <w:rFonts w:asciiTheme="minorHAnsi" w:hAnsiTheme="minorHAnsi" w:cstheme="minorHAnsi"/>
        </w:rPr>
        <w:t xml:space="preserve"> 651</w:t>
      </w:r>
      <w:r w:rsidRPr="006D2E00">
        <w:rPr>
          <w:rFonts w:asciiTheme="minorHAnsi" w:hAnsiTheme="minorHAnsi" w:cstheme="minorHAnsi"/>
        </w:rPr>
        <w:t>.</w:t>
      </w:r>
    </w:p>
    <w:p w:rsidR="00C70E74" w:rsidRDefault="00C70E74" w:rsidP="00C70E74">
      <w:pPr>
        <w:pStyle w:val="Zkladntextodsazen"/>
        <w:rPr>
          <w:rFonts w:asciiTheme="minorHAnsi" w:hAnsiTheme="minorHAnsi" w:cstheme="minorHAnsi"/>
        </w:rPr>
      </w:pPr>
      <w:r w:rsidRPr="006D2E00">
        <w:rPr>
          <w:rFonts w:asciiTheme="minorHAnsi" w:hAnsiTheme="minorHAnsi" w:cstheme="minorHAnsi"/>
        </w:rPr>
        <w:t xml:space="preserve">Zároveň dochází ke značné kumulaci handicapů, které závažným způsobem omezují vstup ohrožených skupin obyvatelstva na trh práce. S celkovým nízkým počtem volných pracovních míst souvisí i nedostatek vhodných pracovních uplatnění pro skupiny uchazečů vyžadujících zvýšenou péči při zprostředkování zaměstnání (např. jejich počet pro OZP ke konci </w:t>
      </w:r>
      <w:r>
        <w:rPr>
          <w:rFonts w:asciiTheme="minorHAnsi" w:hAnsiTheme="minorHAnsi" w:cstheme="minorHAnsi"/>
        </w:rPr>
        <w:t>prosince 2014 byl jen 517, tj. 9,6</w:t>
      </w:r>
      <w:r w:rsidRPr="006D2E00">
        <w:rPr>
          <w:rFonts w:asciiTheme="minorHAnsi" w:hAnsiTheme="minorHAnsi" w:cstheme="minorHAnsi"/>
        </w:rPr>
        <w:t xml:space="preserve"> % ze všech VPM</w:t>
      </w:r>
      <w:r>
        <w:rPr>
          <w:rFonts w:asciiTheme="minorHAnsi" w:hAnsiTheme="minorHAnsi" w:cstheme="minorHAnsi"/>
        </w:rPr>
        <w:t xml:space="preserve"> a téměř 17 OZP na jedno VPM</w:t>
      </w:r>
      <w:r w:rsidRPr="006D2E00">
        <w:rPr>
          <w:rFonts w:asciiTheme="minorHAnsi" w:hAnsiTheme="minorHAnsi" w:cstheme="minorHAnsi"/>
        </w:rPr>
        <w:t>). Tyto osoby pak většinou přecházejí mezi dlouhodobě nezaměstnané a pokud „problémový“ uchazeč, i přes své handi</w:t>
      </w:r>
      <w:r>
        <w:rPr>
          <w:rFonts w:asciiTheme="minorHAnsi" w:hAnsiTheme="minorHAnsi" w:cstheme="minorHAnsi"/>
        </w:rPr>
        <w:t xml:space="preserve">capy, nalezne pracovní umístění, </w:t>
      </w:r>
      <w:r w:rsidRPr="006D2E00">
        <w:rPr>
          <w:rFonts w:asciiTheme="minorHAnsi" w:hAnsiTheme="minorHAnsi" w:cstheme="minorHAnsi"/>
        </w:rPr>
        <w:t>je velká pravděpodobnost, že ne na dlouho - po určité době se opět vrací zpět do evidence úřadu práce.</w:t>
      </w: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Default="00C70E74" w:rsidP="00C70E74">
      <w:pPr>
        <w:pStyle w:val="Zkladntextodsazen"/>
        <w:spacing w:after="120"/>
        <w:rPr>
          <w:rFonts w:asciiTheme="minorHAnsi" w:hAnsiTheme="minorHAnsi" w:cstheme="minorHAnsi"/>
        </w:rPr>
      </w:pPr>
    </w:p>
    <w:p w:rsidR="00C70E74" w:rsidRPr="006D2E00" w:rsidRDefault="00C70E74" w:rsidP="00C70E74">
      <w:pPr>
        <w:pStyle w:val="Zkladntextodsazen"/>
        <w:spacing w:after="120"/>
        <w:rPr>
          <w:rFonts w:asciiTheme="minorHAnsi" w:hAnsiTheme="minorHAnsi" w:cstheme="minorHAnsi"/>
        </w:rPr>
      </w:pPr>
    </w:p>
    <w:p w:rsidR="00C70E74" w:rsidRPr="00826670" w:rsidRDefault="00C70E74" w:rsidP="00C70E74">
      <w:pPr>
        <w:jc w:val="both"/>
        <w:rPr>
          <w:rFonts w:asciiTheme="minorHAnsi" w:hAnsiTheme="minorHAnsi" w:cstheme="minorHAnsi"/>
          <w:i/>
          <w:sz w:val="24"/>
          <w:szCs w:val="24"/>
        </w:rPr>
      </w:pPr>
      <w:r w:rsidRPr="006D2E00">
        <w:rPr>
          <w:rFonts w:asciiTheme="minorHAnsi" w:hAnsiTheme="minorHAnsi" w:cstheme="minorHAnsi"/>
          <w:b/>
          <w:sz w:val="24"/>
          <w:szCs w:val="24"/>
        </w:rPr>
        <w:t>Tabulka VII/2</w:t>
      </w:r>
      <w:r w:rsidRPr="006D2E00">
        <w:rPr>
          <w:rFonts w:asciiTheme="minorHAnsi" w:hAnsiTheme="minorHAnsi" w:cstheme="minorHAnsi"/>
          <w:sz w:val="24"/>
          <w:szCs w:val="24"/>
        </w:rPr>
        <w:t xml:space="preserve"> - Nejvíce ohrožené mikroregiony (s podílem nezaměstnaných osob vyšší</w:t>
      </w:r>
      <w:r>
        <w:rPr>
          <w:rFonts w:asciiTheme="minorHAnsi" w:hAnsiTheme="minorHAnsi" w:cstheme="minorHAnsi"/>
          <w:sz w:val="24"/>
          <w:szCs w:val="24"/>
        </w:rPr>
        <w:t>m</w:t>
      </w:r>
      <w:r w:rsidRPr="006D2E00">
        <w:rPr>
          <w:rFonts w:asciiTheme="minorHAnsi" w:hAnsiTheme="minorHAnsi" w:cstheme="minorHAnsi"/>
          <w:sz w:val="24"/>
          <w:szCs w:val="24"/>
        </w:rPr>
        <w:t xml:space="preserve"> než 13 %).</w:t>
      </w:r>
    </w:p>
    <w:tbl>
      <w:tblPr>
        <w:tblW w:w="9356"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992"/>
        <w:gridCol w:w="1559"/>
        <w:gridCol w:w="4111"/>
      </w:tblGrid>
      <w:tr w:rsidR="00C70E74" w:rsidRPr="006D2E00" w:rsidTr="00DC5CF9">
        <w:tc>
          <w:tcPr>
            <w:tcW w:w="1560" w:type="dxa"/>
            <w:tcBorders>
              <w:bottom w:val="single" w:sz="12" w:space="0" w:color="auto"/>
              <w:right w:val="single" w:sz="12" w:space="0" w:color="auto"/>
            </w:tcBorders>
            <w:vAlign w:val="center"/>
          </w:tcPr>
          <w:p w:rsidR="00C70E74" w:rsidRPr="00FC668E" w:rsidRDefault="00C70E74" w:rsidP="00DC5CF9">
            <w:pPr>
              <w:jc w:val="center"/>
              <w:rPr>
                <w:rFonts w:asciiTheme="minorHAnsi" w:hAnsiTheme="minorHAnsi" w:cstheme="minorHAnsi"/>
                <w:b/>
                <w:sz w:val="24"/>
              </w:rPr>
            </w:pPr>
            <w:r w:rsidRPr="006D2E00">
              <w:rPr>
                <w:rFonts w:asciiTheme="minorHAnsi" w:hAnsiTheme="minorHAnsi" w:cstheme="minorHAnsi"/>
                <w:b/>
                <w:sz w:val="24"/>
              </w:rPr>
              <w:t>mikroregion</w:t>
            </w:r>
            <w:r w:rsidRPr="006D2E00">
              <w:rPr>
                <w:rFonts w:asciiTheme="minorHAnsi" w:hAnsiTheme="minorHAnsi" w:cstheme="minorHAnsi"/>
                <w:sz w:val="24"/>
              </w:rPr>
              <w:t>/(okres)</w:t>
            </w:r>
          </w:p>
        </w:tc>
        <w:tc>
          <w:tcPr>
            <w:tcW w:w="1134" w:type="dxa"/>
            <w:tcBorders>
              <w:top w:val="single" w:sz="12" w:space="0" w:color="auto"/>
              <w:left w:val="single" w:sz="12" w:space="0" w:color="auto"/>
              <w:bottom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celkový počet obyvatel</w:t>
            </w:r>
          </w:p>
        </w:tc>
        <w:tc>
          <w:tcPr>
            <w:tcW w:w="992" w:type="dxa"/>
            <w:tcBorders>
              <w:bottom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obyv. 15 - 64 let</w:t>
            </w:r>
          </w:p>
        </w:tc>
        <w:tc>
          <w:tcPr>
            <w:tcW w:w="1559" w:type="dxa"/>
            <w:tcBorders>
              <w:bottom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podíl nezam.</w:t>
            </w:r>
          </w:p>
          <w:p w:rsidR="00C70E74" w:rsidRPr="006D2E00" w:rsidRDefault="00C70E74" w:rsidP="00DC5CF9">
            <w:pPr>
              <w:jc w:val="center"/>
              <w:rPr>
                <w:rFonts w:asciiTheme="minorHAnsi" w:hAnsiTheme="minorHAnsi" w:cstheme="minorHAnsi"/>
                <w:b/>
                <w:sz w:val="24"/>
              </w:rPr>
            </w:pPr>
            <w:r>
              <w:rPr>
                <w:rFonts w:asciiTheme="minorHAnsi" w:hAnsiTheme="minorHAnsi" w:cstheme="minorHAnsi"/>
                <w:b/>
                <w:sz w:val="24"/>
              </w:rPr>
              <w:t>k 31.12.2014</w:t>
            </w:r>
            <w:r w:rsidRPr="006D2E00">
              <w:rPr>
                <w:rFonts w:asciiTheme="minorHAnsi" w:hAnsiTheme="minorHAnsi" w:cstheme="minorHAnsi"/>
                <w:b/>
                <w:sz w:val="24"/>
              </w:rPr>
              <w:t>v %</w:t>
            </w:r>
          </w:p>
        </w:tc>
        <w:tc>
          <w:tcPr>
            <w:tcW w:w="4111" w:type="dxa"/>
            <w:tcBorders>
              <w:bottom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důvody problémové situace</w:t>
            </w:r>
          </w:p>
        </w:tc>
      </w:tr>
      <w:tr w:rsidR="00C70E74" w:rsidRPr="006D2E00" w:rsidTr="00DC5CF9">
        <w:tc>
          <w:tcPr>
            <w:tcW w:w="1560" w:type="dxa"/>
            <w:tcBorders>
              <w:top w:val="single" w:sz="12" w:space="0" w:color="auto"/>
              <w:bottom w:val="single" w:sz="12" w:space="0" w:color="auto"/>
              <w:right w:val="single" w:sz="12" w:space="0" w:color="auto"/>
            </w:tcBorders>
            <w:vAlign w:val="center"/>
          </w:tcPr>
          <w:p w:rsidR="00C70E74" w:rsidRDefault="00C70E74" w:rsidP="00DC5CF9">
            <w:pPr>
              <w:jc w:val="center"/>
              <w:rPr>
                <w:rFonts w:asciiTheme="minorHAnsi" w:hAnsiTheme="minorHAnsi" w:cstheme="minorHAnsi"/>
                <w:b/>
                <w:sz w:val="24"/>
              </w:rPr>
            </w:pPr>
            <w:r>
              <w:rPr>
                <w:rFonts w:asciiTheme="minorHAnsi" w:hAnsiTheme="minorHAnsi" w:cstheme="minorHAnsi"/>
                <w:b/>
                <w:sz w:val="24"/>
              </w:rPr>
              <w:t>Osoblažsko</w:t>
            </w:r>
          </w:p>
          <w:p w:rsidR="00C70E74" w:rsidRPr="00FC668E" w:rsidRDefault="00C70E74" w:rsidP="00DC5CF9">
            <w:pPr>
              <w:jc w:val="center"/>
              <w:rPr>
                <w:rFonts w:asciiTheme="minorHAnsi" w:hAnsiTheme="minorHAnsi" w:cstheme="minorHAnsi"/>
                <w:sz w:val="24"/>
              </w:rPr>
            </w:pPr>
            <w:r w:rsidRPr="00FC668E">
              <w:rPr>
                <w:rFonts w:asciiTheme="minorHAnsi" w:hAnsiTheme="minorHAnsi" w:cstheme="minorHAnsi"/>
                <w:sz w:val="24"/>
              </w:rPr>
              <w:t>(Bruntál)</w:t>
            </w:r>
          </w:p>
        </w:tc>
        <w:tc>
          <w:tcPr>
            <w:tcW w:w="1134" w:type="dxa"/>
            <w:tcBorders>
              <w:top w:val="single" w:sz="12" w:space="0" w:color="auto"/>
              <w:left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2 879</w:t>
            </w:r>
          </w:p>
        </w:tc>
        <w:tc>
          <w:tcPr>
            <w:tcW w:w="992" w:type="dxa"/>
            <w:tcBorders>
              <w:top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1 969</w:t>
            </w:r>
          </w:p>
        </w:tc>
        <w:tc>
          <w:tcPr>
            <w:tcW w:w="1559" w:type="dxa"/>
            <w:tcBorders>
              <w:top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17,6</w:t>
            </w:r>
          </w:p>
        </w:tc>
        <w:tc>
          <w:tcPr>
            <w:tcW w:w="4111" w:type="dxa"/>
            <w:tcBorders>
              <w:top w:val="single" w:sz="12" w:space="0" w:color="auto"/>
              <w:bottom w:val="single" w:sz="12" w:space="0" w:color="auto"/>
            </w:tcBorders>
          </w:tcPr>
          <w:p w:rsidR="00C70E74" w:rsidRPr="00FC668E" w:rsidRDefault="00C70E74" w:rsidP="00DC5CF9">
            <w:pPr>
              <w:jc w:val="both"/>
              <w:rPr>
                <w:rFonts w:asciiTheme="minorHAnsi" w:hAnsiTheme="minorHAnsi" w:cstheme="minorHAnsi"/>
              </w:rPr>
            </w:pPr>
            <w:r>
              <w:rPr>
                <w:rFonts w:asciiTheme="minorHAnsi" w:hAnsiTheme="minorHAnsi" w:cstheme="minorHAnsi"/>
              </w:rPr>
              <w:t xml:space="preserve">Jde </w:t>
            </w:r>
            <w:r w:rsidRPr="00FC668E">
              <w:rPr>
                <w:rFonts w:ascii="Calibri" w:hAnsi="Calibri" w:cs="Calibri"/>
              </w:rPr>
              <w:t>o zemědělskou příhraniční oblast, kde není rozvinutá infrastruktura a j</w:t>
            </w:r>
            <w:r>
              <w:rPr>
                <w:rFonts w:asciiTheme="minorHAnsi" w:hAnsiTheme="minorHAnsi" w:cstheme="minorHAnsi"/>
              </w:rPr>
              <w:t xml:space="preserve">e naprostý nedostatek pracovních možností, </w:t>
            </w:r>
            <w:r w:rsidRPr="00FC668E">
              <w:rPr>
                <w:rFonts w:ascii="Calibri" w:hAnsi="Calibri" w:cs="Calibri"/>
              </w:rPr>
              <w:t xml:space="preserve">zaměstnanost příznivě ovlivňují pouze sezónní práce </w:t>
            </w:r>
            <w:r>
              <w:rPr>
                <w:rFonts w:ascii="Calibri" w:hAnsi="Calibri" w:cs="Calibri"/>
              </w:rPr>
              <w:t>v zemědělství a lesnictví, a to formou VPP.</w:t>
            </w:r>
          </w:p>
        </w:tc>
      </w:tr>
      <w:tr w:rsidR="00C70E74" w:rsidRPr="006D2E00" w:rsidTr="00DC5CF9">
        <w:tc>
          <w:tcPr>
            <w:tcW w:w="1560" w:type="dxa"/>
            <w:tcBorders>
              <w:top w:val="single" w:sz="12" w:space="0" w:color="auto"/>
              <w:bottom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Bruntál</w:t>
            </w:r>
            <w:r>
              <w:rPr>
                <w:rFonts w:asciiTheme="minorHAnsi" w:hAnsiTheme="minorHAnsi" w:cstheme="minorHAnsi"/>
                <w:b/>
                <w:sz w:val="24"/>
              </w:rPr>
              <w:t>sko</w:t>
            </w:r>
          </w:p>
          <w:p w:rsidR="00C70E74" w:rsidRPr="006D2E00" w:rsidRDefault="00C70E74" w:rsidP="00DC5CF9">
            <w:pPr>
              <w:jc w:val="center"/>
              <w:rPr>
                <w:rFonts w:asciiTheme="minorHAnsi" w:hAnsiTheme="minorHAnsi" w:cstheme="minorHAnsi"/>
                <w:sz w:val="24"/>
              </w:rPr>
            </w:pPr>
            <w:r w:rsidRPr="006D2E00">
              <w:rPr>
                <w:rFonts w:asciiTheme="minorHAnsi" w:hAnsiTheme="minorHAnsi" w:cstheme="minorHAnsi"/>
                <w:sz w:val="24"/>
              </w:rPr>
              <w:t>(Bruntál)</w:t>
            </w:r>
          </w:p>
        </w:tc>
        <w:tc>
          <w:tcPr>
            <w:tcW w:w="1134" w:type="dxa"/>
            <w:tcBorders>
              <w:top w:val="single" w:sz="12" w:space="0" w:color="auto"/>
              <w:left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30 120</w:t>
            </w:r>
          </w:p>
        </w:tc>
        <w:tc>
          <w:tcPr>
            <w:tcW w:w="992"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21 107</w:t>
            </w:r>
          </w:p>
        </w:tc>
        <w:tc>
          <w:tcPr>
            <w:tcW w:w="1559"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14,9</w:t>
            </w:r>
          </w:p>
        </w:tc>
        <w:tc>
          <w:tcPr>
            <w:tcW w:w="4111" w:type="dxa"/>
            <w:tcBorders>
              <w:top w:val="single" w:sz="12" w:space="0" w:color="auto"/>
              <w:bottom w:val="single" w:sz="12" w:space="0" w:color="auto"/>
            </w:tcBorders>
          </w:tcPr>
          <w:p w:rsidR="00C70E74" w:rsidRPr="00C45894" w:rsidRDefault="00C70E74" w:rsidP="00DC5CF9">
            <w:pPr>
              <w:jc w:val="both"/>
              <w:rPr>
                <w:rFonts w:asciiTheme="minorHAnsi" w:hAnsiTheme="minorHAnsi" w:cstheme="minorHAnsi"/>
              </w:rPr>
            </w:pPr>
            <w:r>
              <w:rPr>
                <w:rFonts w:asciiTheme="minorHAnsi" w:hAnsiTheme="minorHAnsi" w:cstheme="minorHAnsi"/>
                <w:snapToGrid w:val="0"/>
              </w:rPr>
              <w:t xml:space="preserve">Jedná se o oblast </w:t>
            </w:r>
            <w:r w:rsidRPr="00C45894">
              <w:rPr>
                <w:rFonts w:ascii="Calibri" w:hAnsi="Calibri" w:cs="Calibri"/>
                <w:snapToGrid w:val="0"/>
              </w:rPr>
              <w:t>s</w:t>
            </w:r>
            <w:r>
              <w:rPr>
                <w:rFonts w:asciiTheme="minorHAnsi" w:hAnsiTheme="minorHAnsi" w:cstheme="minorHAnsi"/>
                <w:snapToGrid w:val="0"/>
              </w:rPr>
              <w:t xml:space="preserve"> nedostatečně </w:t>
            </w:r>
            <w:r w:rsidRPr="00C45894">
              <w:rPr>
                <w:rFonts w:ascii="Calibri" w:hAnsi="Calibri" w:cs="Calibri"/>
                <w:snapToGrid w:val="0"/>
              </w:rPr>
              <w:t>rozvinutou infrastrukturou a nedostatkem pracovních příležitostí.</w:t>
            </w:r>
            <w:r>
              <w:rPr>
                <w:rFonts w:asciiTheme="minorHAnsi" w:hAnsiTheme="minorHAnsi" w:cstheme="minorHAnsi"/>
                <w:snapToGrid w:val="0"/>
              </w:rPr>
              <w:t xml:space="preserve"> Firmy </w:t>
            </w:r>
            <w:r w:rsidRPr="00C45894">
              <w:rPr>
                <w:rFonts w:ascii="Calibri" w:hAnsi="Calibri" w:cs="Calibri"/>
                <w:snapToGrid w:val="0"/>
              </w:rPr>
              <w:t xml:space="preserve">většinou reagují na aktuální objem zakázek a uzavírají pracovní poměry </w:t>
            </w:r>
            <w:r>
              <w:rPr>
                <w:rFonts w:ascii="Calibri" w:hAnsi="Calibri" w:cs="Calibri"/>
                <w:snapToGrid w:val="0"/>
              </w:rPr>
              <w:t>na dobu určitou, které končí</w:t>
            </w:r>
            <w:r w:rsidRPr="00C45894">
              <w:rPr>
                <w:rFonts w:ascii="Calibri" w:hAnsi="Calibri" w:cs="Calibri"/>
                <w:snapToGrid w:val="0"/>
              </w:rPr>
              <w:t xml:space="preserve"> většinou ke konci roku. Nemalý vliv na nárůst nezaměstnanosti ke k</w:t>
            </w:r>
            <w:r>
              <w:rPr>
                <w:rFonts w:asciiTheme="minorHAnsi" w:hAnsiTheme="minorHAnsi" w:cstheme="minorHAnsi"/>
                <w:snapToGrid w:val="0"/>
              </w:rPr>
              <w:t>onci roku má i sezónnost prací</w:t>
            </w:r>
            <w:r w:rsidRPr="00C45894">
              <w:rPr>
                <w:rFonts w:asciiTheme="minorHAnsi" w:hAnsiTheme="minorHAnsi" w:cstheme="minorHAnsi"/>
                <w:snapToGrid w:val="0"/>
              </w:rPr>
              <w:t>.</w:t>
            </w:r>
          </w:p>
        </w:tc>
      </w:tr>
      <w:tr w:rsidR="00C70E74" w:rsidRPr="006D2E00" w:rsidTr="00DC5CF9">
        <w:tc>
          <w:tcPr>
            <w:tcW w:w="1560" w:type="dxa"/>
            <w:tcBorders>
              <w:top w:val="single" w:sz="12" w:space="0" w:color="auto"/>
              <w:bottom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Karvinsko</w:t>
            </w:r>
          </w:p>
          <w:p w:rsidR="00C70E74" w:rsidRPr="006D2E00" w:rsidRDefault="00C70E74" w:rsidP="00DC5CF9">
            <w:pPr>
              <w:jc w:val="center"/>
              <w:rPr>
                <w:rFonts w:asciiTheme="minorHAnsi" w:hAnsiTheme="minorHAnsi" w:cstheme="minorHAnsi"/>
                <w:sz w:val="24"/>
              </w:rPr>
            </w:pPr>
            <w:r w:rsidRPr="006D2E00">
              <w:rPr>
                <w:rFonts w:asciiTheme="minorHAnsi" w:hAnsiTheme="minorHAnsi" w:cstheme="minorHAnsi"/>
                <w:sz w:val="24"/>
              </w:rPr>
              <w:t>(Karviná)</w:t>
            </w:r>
          </w:p>
        </w:tc>
        <w:tc>
          <w:tcPr>
            <w:tcW w:w="1134" w:type="dxa"/>
            <w:tcBorders>
              <w:top w:val="single" w:sz="12" w:space="0" w:color="auto"/>
              <w:left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68 249</w:t>
            </w:r>
          </w:p>
        </w:tc>
        <w:tc>
          <w:tcPr>
            <w:tcW w:w="992"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46 567</w:t>
            </w:r>
          </w:p>
        </w:tc>
        <w:tc>
          <w:tcPr>
            <w:tcW w:w="1559"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14,1</w:t>
            </w:r>
          </w:p>
        </w:tc>
        <w:tc>
          <w:tcPr>
            <w:tcW w:w="4111" w:type="dxa"/>
            <w:tcBorders>
              <w:top w:val="single" w:sz="12" w:space="0" w:color="auto"/>
              <w:bottom w:val="single" w:sz="12" w:space="0" w:color="auto"/>
            </w:tcBorders>
          </w:tcPr>
          <w:p w:rsidR="00C70E74" w:rsidRPr="006D2E00" w:rsidRDefault="00C70E74" w:rsidP="00DC5CF9">
            <w:pPr>
              <w:jc w:val="both"/>
              <w:rPr>
                <w:rFonts w:asciiTheme="minorHAnsi" w:hAnsiTheme="minorHAnsi" w:cstheme="minorHAnsi"/>
              </w:rPr>
            </w:pPr>
            <w:r w:rsidRPr="006D2E00">
              <w:rPr>
                <w:rFonts w:asciiTheme="minorHAnsi" w:hAnsiTheme="minorHAnsi" w:cstheme="minorHAnsi"/>
              </w:rPr>
              <w:t>Dlouhodobě nejvyšší podíl nezaměstnaných v celém okrese. Je zde soustředěn nejvyšší počet zaměstnavatelů, a proto zde probíhají největší změny jak v oblasti nabídky, tak i poptávky po pracovní síle. Situaci ovlivnil v 90. letech vysoký pokles zaměstnanosti, a to především v odvětví těžby nerostných surovin, který nebyl od té doby adekvátně nahrazen novými pracovními místy.</w:t>
            </w:r>
          </w:p>
        </w:tc>
      </w:tr>
      <w:tr w:rsidR="00C70E74" w:rsidRPr="006D2E00" w:rsidTr="00DC5CF9">
        <w:tc>
          <w:tcPr>
            <w:tcW w:w="1560" w:type="dxa"/>
            <w:tcBorders>
              <w:top w:val="single" w:sz="12" w:space="0" w:color="auto"/>
              <w:bottom w:val="single" w:sz="12" w:space="0" w:color="auto"/>
              <w:right w:val="single" w:sz="12" w:space="0" w:color="auto"/>
            </w:tcBorders>
            <w:vAlign w:val="center"/>
          </w:tcPr>
          <w:p w:rsidR="00C70E74" w:rsidRPr="006D2E00" w:rsidRDefault="00C70E74" w:rsidP="00DC5CF9">
            <w:pPr>
              <w:jc w:val="center"/>
              <w:rPr>
                <w:rFonts w:asciiTheme="minorHAnsi" w:hAnsiTheme="minorHAnsi" w:cstheme="minorHAnsi"/>
                <w:b/>
                <w:sz w:val="24"/>
              </w:rPr>
            </w:pPr>
            <w:r w:rsidRPr="006D2E00">
              <w:rPr>
                <w:rFonts w:asciiTheme="minorHAnsi" w:hAnsiTheme="minorHAnsi" w:cstheme="minorHAnsi"/>
                <w:b/>
                <w:sz w:val="24"/>
              </w:rPr>
              <w:t>Vítkovsko</w:t>
            </w:r>
          </w:p>
          <w:p w:rsidR="00C70E74" w:rsidRPr="006D2E00" w:rsidRDefault="00C70E74" w:rsidP="00DC5CF9">
            <w:pPr>
              <w:jc w:val="center"/>
              <w:rPr>
                <w:rFonts w:asciiTheme="minorHAnsi" w:hAnsiTheme="minorHAnsi" w:cstheme="minorHAnsi"/>
                <w:sz w:val="24"/>
              </w:rPr>
            </w:pPr>
            <w:r w:rsidRPr="006D2E00">
              <w:rPr>
                <w:rFonts w:asciiTheme="minorHAnsi" w:hAnsiTheme="minorHAnsi" w:cstheme="minorHAnsi"/>
                <w:sz w:val="24"/>
              </w:rPr>
              <w:t>(Opava)</w:t>
            </w:r>
          </w:p>
        </w:tc>
        <w:tc>
          <w:tcPr>
            <w:tcW w:w="1134" w:type="dxa"/>
            <w:tcBorders>
              <w:top w:val="single" w:sz="12" w:space="0" w:color="auto"/>
              <w:left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13 696</w:t>
            </w:r>
          </w:p>
        </w:tc>
        <w:tc>
          <w:tcPr>
            <w:tcW w:w="992"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9 291</w:t>
            </w:r>
          </w:p>
        </w:tc>
        <w:tc>
          <w:tcPr>
            <w:tcW w:w="1559" w:type="dxa"/>
            <w:tcBorders>
              <w:top w:val="single" w:sz="12" w:space="0" w:color="auto"/>
              <w:bottom w:val="single" w:sz="12" w:space="0" w:color="auto"/>
            </w:tcBorders>
            <w:vAlign w:val="center"/>
          </w:tcPr>
          <w:p w:rsidR="00C70E74" w:rsidRPr="006D2E00"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13,4</w:t>
            </w:r>
          </w:p>
        </w:tc>
        <w:tc>
          <w:tcPr>
            <w:tcW w:w="4111" w:type="dxa"/>
            <w:tcBorders>
              <w:top w:val="single" w:sz="12" w:space="0" w:color="auto"/>
              <w:bottom w:val="single" w:sz="12" w:space="0" w:color="auto"/>
            </w:tcBorders>
          </w:tcPr>
          <w:p w:rsidR="00C70E74" w:rsidRPr="006D2E00" w:rsidRDefault="00C70E74" w:rsidP="00DC5CF9">
            <w:pPr>
              <w:pStyle w:val="Odstavecseseznamem"/>
              <w:ind w:left="0"/>
              <w:jc w:val="both"/>
              <w:rPr>
                <w:rFonts w:asciiTheme="minorHAnsi" w:hAnsiTheme="minorHAnsi" w:cstheme="minorHAnsi"/>
              </w:rPr>
            </w:pPr>
            <w:r w:rsidRPr="006D2E00">
              <w:rPr>
                <w:rFonts w:asciiTheme="minorHAnsi" w:hAnsiTheme="minorHAnsi" w:cstheme="minorHAnsi"/>
              </w:rPr>
              <w:t>Oblast rozkládající se na ¼ území okresu, s nízkou hustotou osídlení, malým zastoupením průmyslu a s tím souvisejícím trvalým nedostatkem volných pracovních míst, nízkou vzdělan</w:t>
            </w:r>
            <w:r>
              <w:rPr>
                <w:rFonts w:asciiTheme="minorHAnsi" w:hAnsiTheme="minorHAnsi" w:cstheme="minorHAnsi"/>
              </w:rPr>
              <w:t xml:space="preserve">ostní strukturou obyvatelstva, vysokým procentem dlouhodobé </w:t>
            </w:r>
            <w:r w:rsidRPr="006D2E00">
              <w:rPr>
                <w:rFonts w:asciiTheme="minorHAnsi" w:hAnsiTheme="minorHAnsi" w:cstheme="minorHAnsi"/>
              </w:rPr>
              <w:t xml:space="preserve">nezaměstnanosti. </w:t>
            </w:r>
          </w:p>
        </w:tc>
      </w:tr>
      <w:tr w:rsidR="00C70E74" w:rsidRPr="006D2E00" w:rsidTr="00DC5CF9">
        <w:tc>
          <w:tcPr>
            <w:tcW w:w="1560" w:type="dxa"/>
            <w:tcBorders>
              <w:top w:val="single" w:sz="12" w:space="0" w:color="auto"/>
              <w:bottom w:val="single" w:sz="12" w:space="0" w:color="auto"/>
              <w:right w:val="single" w:sz="12" w:space="0" w:color="auto"/>
            </w:tcBorders>
            <w:vAlign w:val="center"/>
          </w:tcPr>
          <w:p w:rsidR="00C70E74" w:rsidRDefault="00C70E74" w:rsidP="00DC5CF9">
            <w:pPr>
              <w:jc w:val="center"/>
              <w:rPr>
                <w:rFonts w:asciiTheme="minorHAnsi" w:hAnsiTheme="minorHAnsi" w:cstheme="minorHAnsi"/>
                <w:b/>
                <w:sz w:val="24"/>
              </w:rPr>
            </w:pPr>
            <w:r>
              <w:rPr>
                <w:rFonts w:asciiTheme="minorHAnsi" w:hAnsiTheme="minorHAnsi" w:cstheme="minorHAnsi"/>
                <w:b/>
                <w:sz w:val="24"/>
              </w:rPr>
              <w:t>Vrbensko</w:t>
            </w:r>
          </w:p>
          <w:p w:rsidR="00C70E74" w:rsidRPr="00C45894" w:rsidRDefault="00C70E74" w:rsidP="00DC5CF9">
            <w:pPr>
              <w:jc w:val="center"/>
              <w:rPr>
                <w:rFonts w:asciiTheme="minorHAnsi" w:hAnsiTheme="minorHAnsi" w:cstheme="minorHAnsi"/>
                <w:sz w:val="24"/>
              </w:rPr>
            </w:pPr>
            <w:r w:rsidRPr="00C45894">
              <w:rPr>
                <w:rFonts w:asciiTheme="minorHAnsi" w:hAnsiTheme="minorHAnsi" w:cstheme="minorHAnsi"/>
                <w:sz w:val="24"/>
              </w:rPr>
              <w:t>(Bruntál)</w:t>
            </w:r>
          </w:p>
        </w:tc>
        <w:tc>
          <w:tcPr>
            <w:tcW w:w="1134" w:type="dxa"/>
            <w:tcBorders>
              <w:top w:val="single" w:sz="12" w:space="0" w:color="auto"/>
              <w:left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7 666</w:t>
            </w:r>
          </w:p>
        </w:tc>
        <w:tc>
          <w:tcPr>
            <w:tcW w:w="992" w:type="dxa"/>
            <w:tcBorders>
              <w:top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5 280</w:t>
            </w:r>
          </w:p>
        </w:tc>
        <w:tc>
          <w:tcPr>
            <w:tcW w:w="1559" w:type="dxa"/>
            <w:tcBorders>
              <w:top w:val="single" w:sz="12" w:space="0" w:color="auto"/>
              <w:bottom w:val="single" w:sz="12" w:space="0" w:color="auto"/>
            </w:tcBorders>
            <w:vAlign w:val="center"/>
          </w:tcPr>
          <w:p w:rsidR="00C70E74" w:rsidRDefault="00C70E74" w:rsidP="00DC5CF9">
            <w:pPr>
              <w:pStyle w:val="Texttabulky"/>
              <w:jc w:val="center"/>
              <w:rPr>
                <w:rFonts w:asciiTheme="minorHAnsi" w:hAnsiTheme="minorHAnsi" w:cstheme="minorHAnsi"/>
                <w:color w:val="auto"/>
              </w:rPr>
            </w:pPr>
            <w:r>
              <w:rPr>
                <w:rFonts w:asciiTheme="minorHAnsi" w:hAnsiTheme="minorHAnsi" w:cstheme="minorHAnsi"/>
                <w:color w:val="auto"/>
              </w:rPr>
              <w:t>13,1</w:t>
            </w:r>
          </w:p>
        </w:tc>
        <w:tc>
          <w:tcPr>
            <w:tcW w:w="4111" w:type="dxa"/>
            <w:tcBorders>
              <w:top w:val="single" w:sz="12" w:space="0" w:color="auto"/>
              <w:bottom w:val="single" w:sz="12" w:space="0" w:color="auto"/>
            </w:tcBorders>
          </w:tcPr>
          <w:p w:rsidR="00C70E74" w:rsidRPr="006D2E00" w:rsidRDefault="00C70E74" w:rsidP="00DC5CF9">
            <w:pPr>
              <w:jc w:val="both"/>
              <w:rPr>
                <w:rFonts w:asciiTheme="minorHAnsi" w:hAnsiTheme="minorHAnsi" w:cstheme="minorHAnsi"/>
              </w:rPr>
            </w:pPr>
            <w:r>
              <w:rPr>
                <w:rFonts w:asciiTheme="minorHAnsi" w:hAnsiTheme="minorHAnsi" w:cstheme="minorHAnsi"/>
                <w:snapToGrid w:val="0"/>
              </w:rPr>
              <w:t xml:space="preserve">Jedná se o </w:t>
            </w:r>
            <w:r w:rsidRPr="00C45894">
              <w:rPr>
                <w:rFonts w:ascii="Calibri" w:hAnsi="Calibri" w:cs="Calibri"/>
                <w:snapToGrid w:val="0"/>
              </w:rPr>
              <w:t>oblast s nedostatečně rozvinutou infrastrukturou a nedostatkem pracovních příležitostí.</w:t>
            </w:r>
            <w:r>
              <w:rPr>
                <w:rFonts w:asciiTheme="minorHAnsi" w:hAnsiTheme="minorHAnsi" w:cstheme="minorHAnsi"/>
                <w:snapToGrid w:val="0"/>
              </w:rPr>
              <w:t xml:space="preserve"> Firmy </w:t>
            </w:r>
            <w:r w:rsidRPr="00C45894">
              <w:rPr>
                <w:rFonts w:ascii="Calibri" w:hAnsi="Calibri" w:cs="Calibri"/>
                <w:snapToGrid w:val="0"/>
              </w:rPr>
              <w:t xml:space="preserve">většinou reagují na aktuální objem </w:t>
            </w:r>
            <w:r>
              <w:rPr>
                <w:rFonts w:ascii="Calibri" w:hAnsi="Calibri" w:cs="Calibri"/>
                <w:snapToGrid w:val="0"/>
              </w:rPr>
              <w:t xml:space="preserve">zakázek, </w:t>
            </w:r>
            <w:r w:rsidRPr="00C45894">
              <w:rPr>
                <w:rFonts w:ascii="Calibri" w:hAnsi="Calibri" w:cs="Calibri"/>
                <w:snapToGrid w:val="0"/>
              </w:rPr>
              <w:t xml:space="preserve">a </w:t>
            </w:r>
            <w:r>
              <w:rPr>
                <w:rFonts w:ascii="Calibri" w:hAnsi="Calibri" w:cs="Calibri"/>
                <w:snapToGrid w:val="0"/>
              </w:rPr>
              <w:t xml:space="preserve">proto </w:t>
            </w:r>
            <w:r w:rsidRPr="00C45894">
              <w:rPr>
                <w:rFonts w:ascii="Calibri" w:hAnsi="Calibri" w:cs="Calibri"/>
                <w:snapToGrid w:val="0"/>
              </w:rPr>
              <w:t xml:space="preserve">uzavírají pracovní </w:t>
            </w:r>
            <w:r>
              <w:rPr>
                <w:rFonts w:ascii="Calibri" w:hAnsi="Calibri" w:cs="Calibri"/>
                <w:snapToGrid w:val="0"/>
              </w:rPr>
              <w:t>poměry na dobu určitou, které končí</w:t>
            </w:r>
            <w:r w:rsidRPr="00C45894">
              <w:rPr>
                <w:rFonts w:ascii="Calibri" w:hAnsi="Calibri" w:cs="Calibri"/>
                <w:snapToGrid w:val="0"/>
              </w:rPr>
              <w:t xml:space="preserve"> většinou ke konci roku. Nemalý vliv na nárůst nezaměstnanosti ke k</w:t>
            </w:r>
            <w:r>
              <w:rPr>
                <w:rFonts w:asciiTheme="minorHAnsi" w:hAnsiTheme="minorHAnsi" w:cstheme="minorHAnsi"/>
                <w:snapToGrid w:val="0"/>
              </w:rPr>
              <w:t>onci roku má i sezónnost prací</w:t>
            </w:r>
            <w:r w:rsidRPr="00C45894">
              <w:rPr>
                <w:rFonts w:asciiTheme="minorHAnsi" w:hAnsiTheme="minorHAnsi" w:cstheme="minorHAnsi"/>
                <w:snapToGrid w:val="0"/>
              </w:rPr>
              <w:t>.</w:t>
            </w:r>
          </w:p>
        </w:tc>
      </w:tr>
    </w:tbl>
    <w:p w:rsidR="00C70E74" w:rsidRPr="006D2E00" w:rsidRDefault="00C70E74" w:rsidP="00C70E74">
      <w:pPr>
        <w:pStyle w:val="dka"/>
        <w:rPr>
          <w:rFonts w:asciiTheme="minorHAnsi" w:hAnsiTheme="minorHAnsi" w:cstheme="minorHAnsi"/>
          <w:i/>
          <w:iCs/>
          <w:color w:val="auto"/>
          <w:sz w:val="20"/>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Default="00C70E74" w:rsidP="00C70E74">
      <w:pPr>
        <w:jc w:val="both"/>
        <w:rPr>
          <w:rFonts w:asciiTheme="minorHAnsi" w:hAnsiTheme="minorHAnsi" w:cstheme="minorHAnsi"/>
          <w:b/>
          <w:sz w:val="24"/>
          <w:szCs w:val="24"/>
        </w:rPr>
      </w:pPr>
    </w:p>
    <w:p w:rsidR="00C70E74" w:rsidRPr="006D2E00" w:rsidRDefault="00C70E74" w:rsidP="00C70E74">
      <w:pPr>
        <w:jc w:val="both"/>
        <w:rPr>
          <w:rFonts w:asciiTheme="minorHAnsi" w:hAnsiTheme="minorHAnsi" w:cstheme="minorHAnsi"/>
          <w:b/>
          <w:sz w:val="24"/>
          <w:szCs w:val="24"/>
        </w:rPr>
      </w:pPr>
    </w:p>
    <w:p w:rsidR="00C70E74" w:rsidRPr="008E1C5D" w:rsidRDefault="00C70E74" w:rsidP="00C70E74">
      <w:pPr>
        <w:jc w:val="both"/>
        <w:rPr>
          <w:i/>
          <w:sz w:val="24"/>
          <w:szCs w:val="24"/>
        </w:rPr>
      </w:pPr>
      <w:r>
        <w:rPr>
          <w:rFonts w:asciiTheme="minorHAnsi" w:hAnsiTheme="minorHAnsi" w:cstheme="minorHAnsi"/>
          <w:b/>
          <w:noProof/>
          <w:sz w:val="24"/>
          <w:szCs w:val="24"/>
        </w:rPr>
        <w:drawing>
          <wp:anchor distT="0" distB="0" distL="114300" distR="114300" simplePos="0" relativeHeight="251670528" behindDoc="1" locked="0" layoutInCell="1" allowOverlap="1">
            <wp:simplePos x="0" y="0"/>
            <wp:positionH relativeFrom="column">
              <wp:posOffset>-109855</wp:posOffset>
            </wp:positionH>
            <wp:positionV relativeFrom="paragraph">
              <wp:posOffset>394335</wp:posOffset>
            </wp:positionV>
            <wp:extent cx="6203950" cy="5621020"/>
            <wp:effectExtent l="190500" t="152400" r="177800" b="132080"/>
            <wp:wrapTight wrapText="bothSides">
              <wp:wrapPolygon edited="0">
                <wp:start x="0" y="-586"/>
                <wp:lineTo x="-398" y="-366"/>
                <wp:lineTo x="-663" y="73"/>
                <wp:lineTo x="-531" y="21668"/>
                <wp:lineTo x="-66" y="22108"/>
                <wp:lineTo x="0" y="22108"/>
                <wp:lineTo x="21556" y="22108"/>
                <wp:lineTo x="21622" y="22108"/>
                <wp:lineTo x="22086" y="21742"/>
                <wp:lineTo x="22086" y="21668"/>
                <wp:lineTo x="22219" y="20570"/>
                <wp:lineTo x="22219" y="220"/>
                <wp:lineTo x="21887" y="-439"/>
                <wp:lineTo x="21556" y="-586"/>
                <wp:lineTo x="0" y="-586"/>
              </wp:wrapPolygon>
            </wp:wrapTight>
            <wp:docPr id="14" name="Obrázek 0" descr="MNZ podle U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Z podle UP 2014.jpg"/>
                    <pic:cNvPicPr/>
                  </pic:nvPicPr>
                  <pic:blipFill>
                    <a:blip r:embed="rId29" cstate="print"/>
                    <a:stretch>
                      <a:fillRect/>
                    </a:stretch>
                  </pic:blipFill>
                  <pic:spPr>
                    <a:xfrm>
                      <a:off x="0" y="0"/>
                      <a:ext cx="6203950" cy="5621020"/>
                    </a:xfrm>
                    <a:prstGeom prst="rect">
                      <a:avLst/>
                    </a:prstGeom>
                    <a:ln>
                      <a:noFill/>
                    </a:ln>
                    <a:effectLst>
                      <a:outerShdw blurRad="190500" algn="tl" rotWithShape="0">
                        <a:srgbClr val="000000">
                          <a:alpha val="70000"/>
                        </a:srgbClr>
                      </a:outerShdw>
                    </a:effectLst>
                  </pic:spPr>
                </pic:pic>
              </a:graphicData>
            </a:graphic>
          </wp:anchor>
        </w:drawing>
      </w:r>
      <w:r w:rsidRPr="006D2E00">
        <w:rPr>
          <w:rFonts w:asciiTheme="minorHAnsi" w:hAnsiTheme="minorHAnsi" w:cstheme="minorHAnsi"/>
          <w:b/>
          <w:sz w:val="24"/>
          <w:szCs w:val="24"/>
        </w:rPr>
        <w:t xml:space="preserve">Mapa VII/1 </w:t>
      </w:r>
      <w:r w:rsidRPr="006D2E00">
        <w:rPr>
          <w:rFonts w:asciiTheme="minorHAnsi" w:hAnsiTheme="minorHAnsi" w:cstheme="minorHAnsi"/>
          <w:sz w:val="24"/>
          <w:szCs w:val="24"/>
        </w:rPr>
        <w:t xml:space="preserve">- Podíl nezaměstnaných osob (v </w:t>
      </w:r>
      <w:r>
        <w:rPr>
          <w:rFonts w:asciiTheme="minorHAnsi" w:hAnsiTheme="minorHAnsi" w:cstheme="minorHAnsi"/>
          <w:sz w:val="24"/>
          <w:szCs w:val="24"/>
        </w:rPr>
        <w:t>%) mikroregionů MSK k 31.12.2014</w:t>
      </w:r>
      <w:r w:rsidRPr="006D2E00">
        <w:rPr>
          <w:rFonts w:asciiTheme="minorHAnsi" w:hAnsiTheme="minorHAnsi" w:cstheme="minorHAnsi"/>
          <w:sz w:val="24"/>
          <w:szCs w:val="24"/>
        </w:rPr>
        <w:t>.</w:t>
      </w:r>
    </w:p>
    <w:p w:rsidR="00C70E74" w:rsidRPr="006D2E00" w:rsidRDefault="00C70E74" w:rsidP="00C70E74">
      <w:pPr>
        <w:rPr>
          <w:rFonts w:asciiTheme="minorHAnsi" w:hAnsiTheme="minorHAnsi" w:cstheme="minorHAnsi"/>
          <w:sz w:val="24"/>
          <w:szCs w:val="24"/>
        </w:rPr>
      </w:pPr>
    </w:p>
    <w:p w:rsidR="00C70E74" w:rsidRPr="006D2E00" w:rsidRDefault="00C70E74" w:rsidP="00C70E74">
      <w:pPr>
        <w:rPr>
          <w:rFonts w:asciiTheme="minorHAnsi" w:hAnsiTheme="minorHAnsi" w:cstheme="minorHAnsi"/>
          <w:sz w:val="24"/>
          <w:szCs w:val="24"/>
        </w:rPr>
      </w:pPr>
    </w:p>
    <w:p w:rsidR="00C70E74" w:rsidRPr="006D2E00" w:rsidRDefault="00C70E74" w:rsidP="00C70E74">
      <w:pPr>
        <w:pStyle w:val="Nadpis9"/>
        <w:spacing w:before="120"/>
        <w:rPr>
          <w:rFonts w:asciiTheme="minorHAnsi" w:hAnsiTheme="minorHAnsi" w:cstheme="minorHAnsi"/>
        </w:rPr>
      </w:pPr>
      <w:r w:rsidRPr="006D2E00">
        <w:rPr>
          <w:rFonts w:asciiTheme="minorHAnsi" w:hAnsiTheme="minorHAnsi" w:cstheme="minorHAnsi"/>
        </w:rPr>
        <w:t>7. Dvě varianty dalšího možného vývoje nezaměstnanosti</w:t>
      </w:r>
    </w:p>
    <w:p w:rsidR="00C70E74" w:rsidRPr="006D2E00" w:rsidRDefault="00C70E74" w:rsidP="00C70E74">
      <w:pPr>
        <w:rPr>
          <w:rFonts w:asciiTheme="minorHAnsi" w:hAnsiTheme="minorHAnsi" w:cstheme="minorHAnsi"/>
          <w:sz w:val="24"/>
          <w:szCs w:val="24"/>
        </w:rPr>
      </w:pPr>
    </w:p>
    <w:p w:rsidR="00C70E74" w:rsidRPr="006D2E00" w:rsidRDefault="00C70E74" w:rsidP="00C70E74">
      <w:pPr>
        <w:pStyle w:val="Prosttext"/>
        <w:ind w:firstLine="709"/>
        <w:jc w:val="both"/>
        <w:rPr>
          <w:rFonts w:asciiTheme="minorHAnsi" w:hAnsiTheme="minorHAnsi" w:cstheme="minorHAnsi"/>
          <w:sz w:val="24"/>
          <w:szCs w:val="24"/>
        </w:rPr>
      </w:pPr>
      <w:r w:rsidRPr="006D2E00">
        <w:rPr>
          <w:rFonts w:asciiTheme="minorHAnsi" w:hAnsiTheme="minorHAnsi" w:cstheme="minorHAnsi"/>
          <w:sz w:val="24"/>
          <w:szCs w:val="24"/>
        </w:rPr>
        <w:t xml:space="preserve">Hospodářské poměry v naší zemi budou nadále ovlivňovány vnějším ekonomickým prostředím, zejména sousedním Německem a ostatními středoevropskými státy, tzn. zeměmi, se kterými jsme nejvíce a dlouhodobě obchodně propojeni. Podle podkladů z jednotlivých okresů MSK předpokládáme v oblasti nezaměstnanosti do poloviny roku </w:t>
      </w:r>
      <w:r>
        <w:rPr>
          <w:rFonts w:asciiTheme="minorHAnsi" w:hAnsiTheme="minorHAnsi" w:cstheme="minorHAnsi"/>
          <w:sz w:val="24"/>
          <w:szCs w:val="24"/>
        </w:rPr>
        <w:t xml:space="preserve">v případě zlepšeného ekonomického vývoje další postupný pokles nezaměstnanosti nebo v případě horšího vývoje počítáme </w:t>
      </w:r>
      <w:r w:rsidRPr="006D2E00">
        <w:rPr>
          <w:rFonts w:asciiTheme="minorHAnsi" w:hAnsiTheme="minorHAnsi" w:cstheme="minorHAnsi"/>
          <w:sz w:val="24"/>
          <w:szCs w:val="24"/>
        </w:rPr>
        <w:t xml:space="preserve">spíše </w:t>
      </w:r>
      <w:r>
        <w:rPr>
          <w:rFonts w:asciiTheme="minorHAnsi" w:hAnsiTheme="minorHAnsi" w:cstheme="minorHAnsi"/>
          <w:sz w:val="24"/>
          <w:szCs w:val="24"/>
        </w:rPr>
        <w:t xml:space="preserve">se </w:t>
      </w:r>
      <w:r w:rsidRPr="006D2E00">
        <w:rPr>
          <w:rFonts w:asciiTheme="minorHAnsi" w:hAnsiTheme="minorHAnsi" w:cstheme="minorHAnsi"/>
          <w:sz w:val="24"/>
          <w:szCs w:val="24"/>
        </w:rPr>
        <w:t>st</w:t>
      </w:r>
      <w:r w:rsidR="008503D0">
        <w:rPr>
          <w:rFonts w:asciiTheme="minorHAnsi" w:hAnsiTheme="minorHAnsi" w:cstheme="minorHAnsi"/>
          <w:sz w:val="24"/>
          <w:szCs w:val="24"/>
        </w:rPr>
        <w:t>agnací</w:t>
      </w:r>
      <w:r>
        <w:rPr>
          <w:rFonts w:asciiTheme="minorHAnsi" w:hAnsiTheme="minorHAnsi" w:cstheme="minorHAnsi"/>
          <w:sz w:val="24"/>
          <w:szCs w:val="24"/>
        </w:rPr>
        <w:t xml:space="preserve"> stavu z konce roku 2014.</w:t>
      </w:r>
    </w:p>
    <w:p w:rsidR="00C70E74" w:rsidRPr="006D2E00" w:rsidRDefault="00C70E74" w:rsidP="00C70E74">
      <w:pPr>
        <w:pStyle w:val="Zkladntext"/>
        <w:spacing w:after="0"/>
        <w:ind w:firstLine="709"/>
        <w:jc w:val="both"/>
        <w:rPr>
          <w:rFonts w:asciiTheme="minorHAnsi" w:hAnsiTheme="minorHAnsi" w:cstheme="minorHAnsi"/>
          <w:sz w:val="24"/>
          <w:szCs w:val="24"/>
        </w:rPr>
      </w:pPr>
      <w:r w:rsidRPr="006D2E00">
        <w:rPr>
          <w:rFonts w:asciiTheme="minorHAnsi" w:hAnsiTheme="minorHAnsi" w:cstheme="minorHAnsi"/>
          <w:sz w:val="24"/>
          <w:szCs w:val="24"/>
        </w:rPr>
        <w:t>Po výrazném snížení celkové zaměstnanosti MSK u zaměstnavatelů monit</w:t>
      </w:r>
      <w:r>
        <w:rPr>
          <w:rFonts w:asciiTheme="minorHAnsi" w:hAnsiTheme="minorHAnsi" w:cstheme="minorHAnsi"/>
          <w:sz w:val="24"/>
          <w:szCs w:val="24"/>
        </w:rPr>
        <w:t>orovaných KrP v Ostravě cca o 30</w:t>
      </w:r>
      <w:r w:rsidRPr="006D2E00">
        <w:rPr>
          <w:rFonts w:asciiTheme="minorHAnsi" w:hAnsiTheme="minorHAnsi" w:cstheme="minorHAnsi"/>
          <w:sz w:val="24"/>
          <w:szCs w:val="24"/>
        </w:rPr>
        <w:t xml:space="preserve"> tisíc</w:t>
      </w:r>
      <w:r>
        <w:rPr>
          <w:rFonts w:asciiTheme="minorHAnsi" w:hAnsiTheme="minorHAnsi" w:cstheme="minorHAnsi"/>
          <w:sz w:val="24"/>
          <w:szCs w:val="24"/>
        </w:rPr>
        <w:t xml:space="preserve"> osob od roku 2008 se situace </w:t>
      </w:r>
      <w:r w:rsidRPr="006D2E00">
        <w:rPr>
          <w:rFonts w:asciiTheme="minorHAnsi" w:hAnsiTheme="minorHAnsi" w:cstheme="minorHAnsi"/>
          <w:sz w:val="24"/>
          <w:szCs w:val="24"/>
        </w:rPr>
        <w:t xml:space="preserve">během minulého roku </w:t>
      </w:r>
      <w:r>
        <w:rPr>
          <w:rFonts w:asciiTheme="minorHAnsi" w:hAnsiTheme="minorHAnsi" w:cstheme="minorHAnsi"/>
          <w:sz w:val="24"/>
          <w:szCs w:val="24"/>
        </w:rPr>
        <w:t>stabilizovala. Po tříletém nepřetržitém poklesu došlo k opětovnému nárůstu zaměstnanosti, a to o více než 6 </w:t>
      </w:r>
      <w:r w:rsidRPr="006D2E00">
        <w:rPr>
          <w:rFonts w:asciiTheme="minorHAnsi" w:hAnsiTheme="minorHAnsi" w:cstheme="minorHAnsi"/>
          <w:sz w:val="24"/>
          <w:szCs w:val="24"/>
        </w:rPr>
        <w:t xml:space="preserve">000 osob. </w:t>
      </w:r>
      <w:r>
        <w:rPr>
          <w:rFonts w:asciiTheme="minorHAnsi" w:hAnsiTheme="minorHAnsi" w:cstheme="minorHAnsi"/>
          <w:sz w:val="24"/>
          <w:szCs w:val="24"/>
        </w:rPr>
        <w:t>Do konce června 2015</w:t>
      </w:r>
      <w:r w:rsidRPr="006D2E00">
        <w:rPr>
          <w:rFonts w:asciiTheme="minorHAnsi" w:hAnsiTheme="minorHAnsi" w:cstheme="minorHAnsi"/>
          <w:sz w:val="24"/>
          <w:szCs w:val="24"/>
        </w:rPr>
        <w:t xml:space="preserve"> předpoklá</w:t>
      </w:r>
      <w:r>
        <w:rPr>
          <w:rFonts w:asciiTheme="minorHAnsi" w:hAnsiTheme="minorHAnsi" w:cstheme="minorHAnsi"/>
          <w:sz w:val="24"/>
          <w:szCs w:val="24"/>
        </w:rPr>
        <w:t xml:space="preserve">dáme spíše </w:t>
      </w:r>
      <w:r w:rsidRPr="006D2E00">
        <w:rPr>
          <w:rFonts w:asciiTheme="minorHAnsi" w:hAnsiTheme="minorHAnsi" w:cstheme="minorHAnsi"/>
          <w:sz w:val="24"/>
          <w:szCs w:val="24"/>
        </w:rPr>
        <w:t>mírné navýšení stavů, persona</w:t>
      </w:r>
      <w:r>
        <w:rPr>
          <w:rFonts w:asciiTheme="minorHAnsi" w:hAnsiTheme="minorHAnsi" w:cstheme="minorHAnsi"/>
          <w:sz w:val="24"/>
          <w:szCs w:val="24"/>
        </w:rPr>
        <w:t>listé těchto firem avizují nárůst zaměstnanosti (+3 435</w:t>
      </w:r>
      <w:r w:rsidRPr="006D2E00">
        <w:rPr>
          <w:rFonts w:asciiTheme="minorHAnsi" w:hAnsiTheme="minorHAnsi" w:cstheme="minorHAnsi"/>
          <w:sz w:val="24"/>
          <w:szCs w:val="24"/>
        </w:rPr>
        <w:t xml:space="preserve"> osob). I přes pozitivní obrat v zaměstnanosti je současná personální polit</w:t>
      </w:r>
      <w:r>
        <w:rPr>
          <w:rFonts w:asciiTheme="minorHAnsi" w:hAnsiTheme="minorHAnsi" w:cstheme="minorHAnsi"/>
          <w:sz w:val="24"/>
          <w:szCs w:val="24"/>
        </w:rPr>
        <w:t xml:space="preserve">ika zaměstnavatelů stále poměrně </w:t>
      </w:r>
      <w:r w:rsidRPr="006D2E00">
        <w:rPr>
          <w:rFonts w:asciiTheme="minorHAnsi" w:hAnsiTheme="minorHAnsi" w:cstheme="minorHAnsi"/>
          <w:sz w:val="24"/>
          <w:szCs w:val="24"/>
        </w:rPr>
        <w:t xml:space="preserve">opatrná, mnozí dávají přednost zaměstnávání na dobu určitou nebo častěji využívají formu agenturního zaměstnávání podle </w:t>
      </w:r>
      <w:r>
        <w:rPr>
          <w:rFonts w:asciiTheme="minorHAnsi" w:hAnsiTheme="minorHAnsi" w:cstheme="minorHAnsi"/>
          <w:sz w:val="24"/>
          <w:szCs w:val="24"/>
        </w:rPr>
        <w:t xml:space="preserve">aktuálního </w:t>
      </w:r>
      <w:r w:rsidRPr="006D2E00">
        <w:rPr>
          <w:rFonts w:asciiTheme="minorHAnsi" w:hAnsiTheme="minorHAnsi" w:cstheme="minorHAnsi"/>
          <w:sz w:val="24"/>
          <w:szCs w:val="24"/>
        </w:rPr>
        <w:t xml:space="preserve">množství zakázek a termínů jejich zhotovení. </w:t>
      </w:r>
    </w:p>
    <w:p w:rsidR="00C70E74" w:rsidRPr="006D2E00" w:rsidRDefault="00C70E74" w:rsidP="00C70E74">
      <w:pPr>
        <w:pStyle w:val="Zkladntext"/>
        <w:spacing w:after="0"/>
        <w:ind w:firstLine="709"/>
        <w:jc w:val="both"/>
        <w:rPr>
          <w:rFonts w:asciiTheme="minorHAnsi" w:hAnsiTheme="minorHAnsi" w:cstheme="minorHAnsi"/>
          <w:sz w:val="24"/>
          <w:szCs w:val="24"/>
        </w:rPr>
      </w:pPr>
      <w:r w:rsidRPr="006D2E00">
        <w:rPr>
          <w:rFonts w:asciiTheme="minorHAnsi" w:hAnsiTheme="minorHAnsi" w:cstheme="minorHAnsi"/>
          <w:sz w:val="24"/>
          <w:szCs w:val="24"/>
        </w:rPr>
        <w:t>V letních měsících tradičně očekáváme příchod „čerstvých“ absolventů škol do evidence úřadu práce, kteří bud</w:t>
      </w:r>
      <w:r>
        <w:rPr>
          <w:rFonts w:asciiTheme="minorHAnsi" w:hAnsiTheme="minorHAnsi" w:cstheme="minorHAnsi"/>
          <w:sz w:val="24"/>
          <w:szCs w:val="24"/>
        </w:rPr>
        <w:t>ou hledat svá první zaměstnání. Přes u</w:t>
      </w:r>
      <w:r w:rsidR="00104B03">
        <w:rPr>
          <w:rFonts w:asciiTheme="minorHAnsi" w:hAnsiTheme="minorHAnsi" w:cstheme="minorHAnsi"/>
          <w:sz w:val="24"/>
          <w:szCs w:val="24"/>
        </w:rPr>
        <w:t xml:space="preserve">rčité zlepšení situace a zvýšenou snahu </w:t>
      </w:r>
      <w:r>
        <w:rPr>
          <w:rFonts w:asciiTheme="minorHAnsi" w:hAnsiTheme="minorHAnsi" w:cstheme="minorHAnsi"/>
          <w:sz w:val="24"/>
          <w:szCs w:val="24"/>
        </w:rPr>
        <w:t>ÚP pomoci těmto mladým lidem uplatnit se na trhu práce, bude j</w:t>
      </w:r>
      <w:r w:rsidRPr="006D2E00">
        <w:rPr>
          <w:rFonts w:asciiTheme="minorHAnsi" w:hAnsiTheme="minorHAnsi" w:cstheme="minorHAnsi"/>
          <w:sz w:val="24"/>
          <w:szCs w:val="24"/>
        </w:rPr>
        <w:t>ejich schopnost</w:t>
      </w:r>
      <w:r>
        <w:rPr>
          <w:rFonts w:asciiTheme="minorHAnsi" w:hAnsiTheme="minorHAnsi" w:cstheme="minorHAnsi"/>
          <w:sz w:val="24"/>
          <w:szCs w:val="24"/>
        </w:rPr>
        <w:t xml:space="preserve"> nalézt zaměstnání i </w:t>
      </w:r>
      <w:r w:rsidRPr="006D2E00">
        <w:rPr>
          <w:rFonts w:asciiTheme="minorHAnsi" w:hAnsiTheme="minorHAnsi" w:cstheme="minorHAnsi"/>
          <w:sz w:val="24"/>
          <w:szCs w:val="24"/>
        </w:rPr>
        <w:t xml:space="preserve">letos </w:t>
      </w:r>
      <w:r>
        <w:rPr>
          <w:rFonts w:asciiTheme="minorHAnsi" w:hAnsiTheme="minorHAnsi" w:cstheme="minorHAnsi"/>
          <w:sz w:val="24"/>
          <w:szCs w:val="24"/>
        </w:rPr>
        <w:t>ztížena, a to vzhledem k celkově</w:t>
      </w:r>
      <w:r w:rsidRPr="006D2E00">
        <w:rPr>
          <w:rFonts w:asciiTheme="minorHAnsi" w:hAnsiTheme="minorHAnsi" w:cstheme="minorHAnsi"/>
          <w:sz w:val="24"/>
          <w:szCs w:val="24"/>
        </w:rPr>
        <w:t xml:space="preserve"> </w:t>
      </w:r>
      <w:r>
        <w:rPr>
          <w:rFonts w:asciiTheme="minorHAnsi" w:hAnsiTheme="minorHAnsi" w:cstheme="minorHAnsi"/>
          <w:sz w:val="24"/>
          <w:szCs w:val="24"/>
        </w:rPr>
        <w:t xml:space="preserve">stále </w:t>
      </w:r>
      <w:r w:rsidRPr="006D2E00">
        <w:rPr>
          <w:rFonts w:asciiTheme="minorHAnsi" w:hAnsiTheme="minorHAnsi" w:cstheme="minorHAnsi"/>
          <w:sz w:val="24"/>
          <w:szCs w:val="24"/>
        </w:rPr>
        <w:t xml:space="preserve">nedostatečné poptávce po nových pracovnících a dále proto, že struktura absolventů plně nekoresponduje s potřebami zaměstnavatelů, kteří v současné době poptávají především kvalifikované techniky různého zaměření a absolventy vybraných učňovských oborů. </w:t>
      </w:r>
    </w:p>
    <w:p w:rsidR="00C70E74" w:rsidRPr="006D2E00" w:rsidRDefault="00C70E74" w:rsidP="00C70E74">
      <w:pPr>
        <w:pStyle w:val="Zkladntext"/>
        <w:spacing w:after="0"/>
        <w:ind w:firstLine="709"/>
        <w:jc w:val="both"/>
        <w:rPr>
          <w:rFonts w:asciiTheme="minorHAnsi" w:hAnsiTheme="minorHAnsi" w:cstheme="minorHAnsi"/>
          <w:sz w:val="24"/>
          <w:szCs w:val="24"/>
        </w:rPr>
      </w:pPr>
      <w:r w:rsidRPr="006D2E00">
        <w:rPr>
          <w:rFonts w:asciiTheme="minorHAnsi" w:hAnsiTheme="minorHAnsi" w:cstheme="minorHAnsi"/>
          <w:sz w:val="24"/>
          <w:szCs w:val="24"/>
        </w:rPr>
        <w:t xml:space="preserve">Dalšími limitujícími a jen stěží ovlivnitelnými faktory zaměstnanosti jsou klimatické podmínky, </w:t>
      </w:r>
      <w:r>
        <w:rPr>
          <w:rFonts w:asciiTheme="minorHAnsi" w:hAnsiTheme="minorHAnsi" w:cstheme="minorHAnsi"/>
          <w:sz w:val="24"/>
          <w:szCs w:val="24"/>
        </w:rPr>
        <w:t xml:space="preserve">horší </w:t>
      </w:r>
      <w:r w:rsidRPr="006D2E00">
        <w:rPr>
          <w:rFonts w:asciiTheme="minorHAnsi" w:hAnsiTheme="minorHAnsi" w:cstheme="minorHAnsi"/>
          <w:sz w:val="24"/>
          <w:szCs w:val="24"/>
        </w:rPr>
        <w:t>struktura evidovaných uchazečů o zaměstnání, která se výrazně nemění, ale zejména jejich ochota a možnost pracovat.</w:t>
      </w:r>
    </w:p>
    <w:p w:rsidR="00C70E74" w:rsidRPr="006D2E00" w:rsidRDefault="00C70E74" w:rsidP="00C70E74">
      <w:pPr>
        <w:pStyle w:val="Zkladntext"/>
        <w:spacing w:after="0"/>
        <w:ind w:firstLine="709"/>
        <w:jc w:val="both"/>
        <w:rPr>
          <w:rFonts w:asciiTheme="minorHAnsi" w:hAnsiTheme="minorHAnsi" w:cstheme="minorHAnsi"/>
          <w:sz w:val="24"/>
          <w:szCs w:val="24"/>
        </w:rPr>
      </w:pPr>
      <w:r w:rsidRPr="006D2E00">
        <w:rPr>
          <w:rFonts w:asciiTheme="minorHAnsi" w:hAnsiTheme="minorHAnsi" w:cstheme="minorHAnsi"/>
          <w:sz w:val="24"/>
          <w:szCs w:val="24"/>
        </w:rPr>
        <w:t xml:space="preserve">Kladně opět přispěje jarní „rozjezd“ sezónních prací, zejména v zemědělství, lesnictví a stavebnictví, ale také v posledních letech velice často zmiňovaný demografický vývoj charakteristický stárnutím populace. Současně očekáváme v tomto roce, stejně jako vloni, velmi pozitivní dopady </w:t>
      </w:r>
      <w:r>
        <w:rPr>
          <w:rFonts w:asciiTheme="minorHAnsi" w:hAnsiTheme="minorHAnsi" w:cstheme="minorHAnsi"/>
          <w:sz w:val="24"/>
          <w:szCs w:val="24"/>
        </w:rPr>
        <w:t xml:space="preserve">z maximální </w:t>
      </w:r>
      <w:r w:rsidRPr="006D2E00">
        <w:rPr>
          <w:rFonts w:asciiTheme="minorHAnsi" w:hAnsiTheme="minorHAnsi" w:cstheme="minorHAnsi"/>
          <w:sz w:val="24"/>
          <w:szCs w:val="24"/>
        </w:rPr>
        <w:t xml:space="preserve">realizace nástrojů a opatření APZ, které budou také letos financovány jak z „národního“ rozpočtu, tak </w:t>
      </w:r>
      <w:r>
        <w:rPr>
          <w:rFonts w:asciiTheme="minorHAnsi" w:hAnsiTheme="minorHAnsi" w:cstheme="minorHAnsi"/>
          <w:sz w:val="24"/>
          <w:szCs w:val="24"/>
        </w:rPr>
        <w:t xml:space="preserve">prioritně </w:t>
      </w:r>
      <w:r w:rsidRPr="006D2E00">
        <w:rPr>
          <w:rFonts w:asciiTheme="minorHAnsi" w:hAnsiTheme="minorHAnsi" w:cstheme="minorHAnsi"/>
          <w:sz w:val="24"/>
          <w:szCs w:val="24"/>
        </w:rPr>
        <w:t>z prostředků ESF</w:t>
      </w:r>
      <w:r>
        <w:rPr>
          <w:rFonts w:asciiTheme="minorHAnsi" w:hAnsiTheme="minorHAnsi" w:cstheme="minorHAnsi"/>
          <w:sz w:val="24"/>
          <w:szCs w:val="24"/>
        </w:rPr>
        <w:t>, přičemž mnohé finanční příspěvky pro žadatele budou vyšší než v loňském roce.</w:t>
      </w:r>
    </w:p>
    <w:p w:rsidR="00C70E74" w:rsidRPr="006D2E00" w:rsidRDefault="00C70E74" w:rsidP="00C70E74">
      <w:pPr>
        <w:spacing w:before="120"/>
        <w:ind w:firstLine="709"/>
        <w:jc w:val="both"/>
        <w:rPr>
          <w:rFonts w:asciiTheme="minorHAnsi" w:hAnsiTheme="minorHAnsi" w:cstheme="minorHAnsi"/>
          <w:b/>
          <w:i/>
          <w:sz w:val="24"/>
          <w:szCs w:val="24"/>
        </w:rPr>
      </w:pPr>
      <w:r w:rsidRPr="006D2E00">
        <w:rPr>
          <w:rFonts w:asciiTheme="minorHAnsi" w:hAnsiTheme="minorHAnsi" w:cstheme="minorHAnsi"/>
          <w:b/>
          <w:i/>
          <w:sz w:val="24"/>
          <w:szCs w:val="24"/>
        </w:rPr>
        <w:t>Vzhledem k výše uvedeným f</w:t>
      </w:r>
      <w:r>
        <w:rPr>
          <w:rFonts w:asciiTheme="minorHAnsi" w:hAnsiTheme="minorHAnsi" w:cstheme="minorHAnsi"/>
          <w:b/>
          <w:i/>
          <w:sz w:val="24"/>
          <w:szCs w:val="24"/>
        </w:rPr>
        <w:t>aktorům, tzn. spíše mírnému růstu české ekonomiky a </w:t>
      </w:r>
      <w:r w:rsidRPr="006D2E00">
        <w:rPr>
          <w:rFonts w:asciiTheme="minorHAnsi" w:hAnsiTheme="minorHAnsi" w:cstheme="minorHAnsi"/>
          <w:b/>
          <w:i/>
          <w:sz w:val="24"/>
          <w:szCs w:val="24"/>
        </w:rPr>
        <w:t>av</w:t>
      </w:r>
      <w:r>
        <w:rPr>
          <w:rFonts w:asciiTheme="minorHAnsi" w:hAnsiTheme="minorHAnsi" w:cstheme="minorHAnsi"/>
          <w:b/>
          <w:i/>
          <w:sz w:val="24"/>
          <w:szCs w:val="24"/>
        </w:rPr>
        <w:t xml:space="preserve">izovanému celkovému navýšení personálních stavů u </w:t>
      </w:r>
      <w:r w:rsidRPr="006D2E00">
        <w:rPr>
          <w:rFonts w:asciiTheme="minorHAnsi" w:hAnsiTheme="minorHAnsi" w:cstheme="minorHAnsi"/>
          <w:b/>
          <w:i/>
          <w:sz w:val="24"/>
          <w:szCs w:val="24"/>
        </w:rPr>
        <w:t xml:space="preserve">zaměstnavatelů MSK monitorovaných KrP v Ostravě, ale i s ohledem na jejich </w:t>
      </w:r>
      <w:r>
        <w:rPr>
          <w:rFonts w:asciiTheme="minorHAnsi" w:hAnsiTheme="minorHAnsi" w:cstheme="minorHAnsi"/>
          <w:b/>
          <w:i/>
          <w:sz w:val="24"/>
          <w:szCs w:val="24"/>
        </w:rPr>
        <w:t xml:space="preserve">stále ještě </w:t>
      </w:r>
      <w:r w:rsidRPr="006D2E00">
        <w:rPr>
          <w:rFonts w:asciiTheme="minorHAnsi" w:hAnsiTheme="minorHAnsi" w:cstheme="minorHAnsi"/>
          <w:b/>
          <w:i/>
          <w:sz w:val="24"/>
          <w:szCs w:val="24"/>
        </w:rPr>
        <w:t xml:space="preserve">opatrnou a „racionální“ personální politiku, očekáváme v letošním roce </w:t>
      </w:r>
      <w:r>
        <w:rPr>
          <w:rFonts w:asciiTheme="minorHAnsi" w:hAnsiTheme="minorHAnsi" w:cstheme="minorHAnsi"/>
          <w:b/>
          <w:i/>
          <w:sz w:val="24"/>
          <w:szCs w:val="24"/>
        </w:rPr>
        <w:t xml:space="preserve">v oblasti nezaměstnanosti mírný pokles nebo </w:t>
      </w:r>
      <w:r w:rsidRPr="006D2E00">
        <w:rPr>
          <w:rFonts w:asciiTheme="minorHAnsi" w:hAnsiTheme="minorHAnsi" w:cstheme="minorHAnsi"/>
          <w:b/>
          <w:i/>
          <w:sz w:val="24"/>
          <w:szCs w:val="24"/>
        </w:rPr>
        <w:t xml:space="preserve">její stagnaci. </w:t>
      </w:r>
    </w:p>
    <w:p w:rsidR="00C70E74" w:rsidRPr="006D2E00" w:rsidRDefault="00C70E74" w:rsidP="00C70E74">
      <w:pPr>
        <w:ind w:firstLine="708"/>
        <w:jc w:val="both"/>
        <w:rPr>
          <w:rFonts w:asciiTheme="minorHAnsi" w:hAnsiTheme="minorHAnsi" w:cstheme="minorHAnsi"/>
          <w:b/>
          <w:i/>
          <w:sz w:val="24"/>
          <w:szCs w:val="24"/>
        </w:rPr>
      </w:pPr>
      <w:r w:rsidRPr="006D2E00">
        <w:rPr>
          <w:rFonts w:asciiTheme="minorHAnsi" w:hAnsiTheme="minorHAnsi" w:cstheme="minorHAnsi"/>
          <w:b/>
          <w:i/>
          <w:sz w:val="24"/>
          <w:szCs w:val="24"/>
        </w:rPr>
        <w:t>V případě lepšího vý</w:t>
      </w:r>
      <w:r>
        <w:rPr>
          <w:rFonts w:asciiTheme="minorHAnsi" w:hAnsiTheme="minorHAnsi" w:cstheme="minorHAnsi"/>
          <w:b/>
          <w:i/>
          <w:sz w:val="24"/>
          <w:szCs w:val="24"/>
        </w:rPr>
        <w:t>voje by v MSK koncem června 2015 mohlo být evidováno cca 78 tisíc</w:t>
      </w:r>
      <w:r w:rsidRPr="006D2E00">
        <w:rPr>
          <w:rFonts w:asciiTheme="minorHAnsi" w:hAnsiTheme="minorHAnsi" w:cstheme="minorHAnsi"/>
          <w:b/>
          <w:i/>
          <w:sz w:val="24"/>
          <w:szCs w:val="24"/>
        </w:rPr>
        <w:t xml:space="preserve"> uchazečů o zaměstnání, což by představovalo podí</w:t>
      </w:r>
      <w:r>
        <w:rPr>
          <w:rFonts w:asciiTheme="minorHAnsi" w:hAnsiTheme="minorHAnsi" w:cstheme="minorHAnsi"/>
          <w:b/>
          <w:i/>
          <w:sz w:val="24"/>
          <w:szCs w:val="24"/>
        </w:rPr>
        <w:t>l nezaměstnaných osob ve výši 9,2</w:t>
      </w:r>
      <w:r w:rsidRPr="006D2E00">
        <w:rPr>
          <w:rFonts w:asciiTheme="minorHAnsi" w:hAnsiTheme="minorHAnsi" w:cstheme="minorHAnsi"/>
          <w:b/>
          <w:i/>
          <w:sz w:val="24"/>
          <w:szCs w:val="24"/>
        </w:rPr>
        <w:t> %. Při horší variantě by počet nezaměs</w:t>
      </w:r>
      <w:r>
        <w:rPr>
          <w:rFonts w:asciiTheme="minorHAnsi" w:hAnsiTheme="minorHAnsi" w:cstheme="minorHAnsi"/>
          <w:b/>
          <w:i/>
          <w:sz w:val="24"/>
          <w:szCs w:val="24"/>
        </w:rPr>
        <w:t>tnaných osob mohl přesáhnout i 8</w:t>
      </w:r>
      <w:r w:rsidRPr="006D2E00">
        <w:rPr>
          <w:rFonts w:asciiTheme="minorHAnsi" w:hAnsiTheme="minorHAnsi" w:cstheme="minorHAnsi"/>
          <w:b/>
          <w:i/>
          <w:sz w:val="24"/>
          <w:szCs w:val="24"/>
        </w:rPr>
        <w:t xml:space="preserve">2 tisíc </w:t>
      </w:r>
      <w:r>
        <w:rPr>
          <w:rFonts w:asciiTheme="minorHAnsi" w:hAnsiTheme="minorHAnsi" w:cstheme="minorHAnsi"/>
          <w:b/>
          <w:i/>
          <w:sz w:val="24"/>
          <w:szCs w:val="24"/>
        </w:rPr>
        <w:t>s podílem nezaměstnaných osob 9</w:t>
      </w:r>
      <w:r w:rsidRPr="006D2E00">
        <w:rPr>
          <w:rFonts w:asciiTheme="minorHAnsi" w:hAnsiTheme="minorHAnsi" w:cstheme="minorHAnsi"/>
          <w:b/>
          <w:i/>
          <w:sz w:val="24"/>
          <w:szCs w:val="24"/>
        </w:rPr>
        <w:t>,8 %.</w:t>
      </w:r>
    </w:p>
    <w:p w:rsidR="00C70E74" w:rsidRPr="006D2E00" w:rsidRDefault="00C70E74" w:rsidP="00C70E74">
      <w:pPr>
        <w:pStyle w:val="Zkladntext"/>
        <w:ind w:firstLine="708"/>
        <w:jc w:val="both"/>
        <w:rPr>
          <w:rFonts w:asciiTheme="minorHAnsi" w:hAnsiTheme="minorHAnsi" w:cstheme="minorHAnsi"/>
          <w:b/>
          <w:i/>
          <w:sz w:val="24"/>
          <w:szCs w:val="24"/>
        </w:rPr>
      </w:pPr>
      <w:r>
        <w:rPr>
          <w:rFonts w:asciiTheme="minorHAnsi" w:hAnsiTheme="minorHAnsi" w:cstheme="minorHAnsi"/>
          <w:b/>
          <w:i/>
          <w:sz w:val="24"/>
          <w:szCs w:val="24"/>
        </w:rPr>
        <w:t xml:space="preserve">Koncem prosince 2015 </w:t>
      </w:r>
      <w:r w:rsidRPr="006D2E00">
        <w:rPr>
          <w:rFonts w:asciiTheme="minorHAnsi" w:hAnsiTheme="minorHAnsi" w:cstheme="minorHAnsi"/>
          <w:b/>
          <w:i/>
          <w:sz w:val="24"/>
          <w:szCs w:val="24"/>
        </w:rPr>
        <w:t>by se při lepším vývoji mohl počet uchazečů ust</w:t>
      </w:r>
      <w:r>
        <w:rPr>
          <w:rFonts w:asciiTheme="minorHAnsi" w:hAnsiTheme="minorHAnsi" w:cstheme="minorHAnsi"/>
          <w:b/>
          <w:i/>
          <w:sz w:val="24"/>
          <w:szCs w:val="24"/>
        </w:rPr>
        <w:t xml:space="preserve">álit pod 80 tisíci </w:t>
      </w:r>
      <w:r w:rsidRPr="006D2E00">
        <w:rPr>
          <w:rFonts w:asciiTheme="minorHAnsi" w:hAnsiTheme="minorHAnsi" w:cstheme="minorHAnsi"/>
          <w:b/>
          <w:i/>
          <w:sz w:val="24"/>
          <w:szCs w:val="24"/>
        </w:rPr>
        <w:t>s podíle</w:t>
      </w:r>
      <w:r>
        <w:rPr>
          <w:rFonts w:asciiTheme="minorHAnsi" w:hAnsiTheme="minorHAnsi" w:cstheme="minorHAnsi"/>
          <w:b/>
          <w:i/>
          <w:sz w:val="24"/>
          <w:szCs w:val="24"/>
        </w:rPr>
        <w:t>m nezaměstnaných osob ve výši 9,4</w:t>
      </w:r>
      <w:r w:rsidRPr="006D2E00">
        <w:rPr>
          <w:rFonts w:asciiTheme="minorHAnsi" w:hAnsiTheme="minorHAnsi" w:cstheme="minorHAnsi"/>
          <w:b/>
          <w:i/>
          <w:sz w:val="24"/>
          <w:szCs w:val="24"/>
        </w:rPr>
        <w:t xml:space="preserve"> %; v případě horšího vývoje na t</w:t>
      </w:r>
      <w:r>
        <w:rPr>
          <w:rFonts w:asciiTheme="minorHAnsi" w:hAnsiTheme="minorHAnsi" w:cstheme="minorHAnsi"/>
          <w:b/>
          <w:i/>
          <w:sz w:val="24"/>
          <w:szCs w:val="24"/>
        </w:rPr>
        <w:t>rhu práce očekáváme překročení 8</w:t>
      </w:r>
      <w:r w:rsidRPr="006D2E00">
        <w:rPr>
          <w:rFonts w:asciiTheme="minorHAnsi" w:hAnsiTheme="minorHAnsi" w:cstheme="minorHAnsi"/>
          <w:b/>
          <w:i/>
          <w:sz w:val="24"/>
          <w:szCs w:val="24"/>
        </w:rPr>
        <w:t xml:space="preserve">3 tisíc evidovaných osob, což by představovalo podíl nezaměstnaných osob </w:t>
      </w:r>
      <w:r>
        <w:rPr>
          <w:rFonts w:asciiTheme="minorHAnsi" w:hAnsiTheme="minorHAnsi" w:cstheme="minorHAnsi"/>
          <w:b/>
          <w:i/>
          <w:sz w:val="24"/>
          <w:szCs w:val="24"/>
        </w:rPr>
        <w:t xml:space="preserve">okolo </w:t>
      </w:r>
      <w:r w:rsidRPr="006D2E00">
        <w:rPr>
          <w:rFonts w:asciiTheme="minorHAnsi" w:hAnsiTheme="minorHAnsi" w:cstheme="minorHAnsi"/>
          <w:b/>
          <w:i/>
          <w:sz w:val="24"/>
          <w:szCs w:val="24"/>
        </w:rPr>
        <w:t>1</w:t>
      </w:r>
      <w:r>
        <w:rPr>
          <w:rFonts w:asciiTheme="minorHAnsi" w:hAnsiTheme="minorHAnsi" w:cstheme="minorHAnsi"/>
          <w:b/>
          <w:i/>
          <w:sz w:val="24"/>
          <w:szCs w:val="24"/>
        </w:rPr>
        <w:t>0</w:t>
      </w:r>
      <w:r w:rsidRPr="006D2E00">
        <w:rPr>
          <w:rFonts w:asciiTheme="minorHAnsi" w:hAnsiTheme="minorHAnsi" w:cstheme="minorHAnsi"/>
          <w:b/>
          <w:i/>
          <w:sz w:val="24"/>
          <w:szCs w:val="24"/>
        </w:rPr>
        <w:t xml:space="preserve"> %.</w:t>
      </w:r>
    </w:p>
    <w:p w:rsidR="00C70E74" w:rsidRPr="006D2E00" w:rsidRDefault="00C70E74" w:rsidP="00C70E74">
      <w:pPr>
        <w:rPr>
          <w:rFonts w:asciiTheme="minorHAnsi" w:hAnsiTheme="minorHAnsi" w:cstheme="minorHAnsi"/>
        </w:rPr>
      </w:pPr>
    </w:p>
    <w:p w:rsidR="00C70E74" w:rsidRPr="006D2E00" w:rsidRDefault="00C70E74" w:rsidP="00C70E74">
      <w:pPr>
        <w:pStyle w:val="Zkladntext2"/>
        <w:rPr>
          <w:rFonts w:asciiTheme="minorHAnsi" w:hAnsiTheme="minorHAnsi" w:cstheme="minorHAnsi"/>
          <w:szCs w:val="24"/>
        </w:rPr>
      </w:pPr>
      <w:r w:rsidRPr="006D2E00">
        <w:rPr>
          <w:rFonts w:asciiTheme="minorHAnsi" w:hAnsiTheme="minorHAnsi" w:cstheme="minorHAnsi"/>
          <w:b/>
          <w:szCs w:val="24"/>
        </w:rPr>
        <w:t>Tabulka VII/3</w:t>
      </w:r>
      <w:r w:rsidRPr="006D2E00">
        <w:rPr>
          <w:rFonts w:asciiTheme="minorHAnsi" w:hAnsiTheme="minorHAnsi" w:cstheme="minorHAnsi"/>
          <w:szCs w:val="24"/>
        </w:rPr>
        <w:t xml:space="preserve"> - Předpokládaný stav n</w:t>
      </w:r>
      <w:r>
        <w:rPr>
          <w:rFonts w:asciiTheme="minorHAnsi" w:hAnsiTheme="minorHAnsi" w:cstheme="minorHAnsi"/>
          <w:szCs w:val="24"/>
        </w:rPr>
        <w:t>ezaměstnanosti v MSK v roce 2015</w:t>
      </w:r>
    </w:p>
    <w:tbl>
      <w:tblPr>
        <w:tblStyle w:val="Mkatabulky"/>
        <w:tblW w:w="9632"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11"/>
        <w:gridCol w:w="1438"/>
        <w:gridCol w:w="1545"/>
        <w:gridCol w:w="1397"/>
        <w:gridCol w:w="1438"/>
        <w:gridCol w:w="1545"/>
        <w:gridCol w:w="1397"/>
      </w:tblGrid>
      <w:tr w:rsidR="00C70E74" w:rsidRPr="006D2E00" w:rsidTr="00DC5CF9">
        <w:tc>
          <w:tcPr>
            <w:tcW w:w="1296" w:type="dxa"/>
            <w:vMerge w:val="restart"/>
            <w:tcBorders>
              <w:top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očekávaný stav k</w:t>
            </w:r>
          </w:p>
        </w:tc>
        <w:tc>
          <w:tcPr>
            <w:tcW w:w="4168" w:type="dxa"/>
            <w:gridSpan w:val="3"/>
            <w:tcBorders>
              <w:left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lepší vývoj</w:t>
            </w:r>
          </w:p>
        </w:tc>
        <w:tc>
          <w:tcPr>
            <w:tcW w:w="4168" w:type="dxa"/>
            <w:gridSpan w:val="3"/>
            <w:tcBorders>
              <w:top w:val="single" w:sz="12" w:space="0" w:color="auto"/>
              <w:left w:val="single" w:sz="12" w:space="0" w:color="auto"/>
              <w:bottom w:val="single" w:sz="4"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horší vývoj</w:t>
            </w:r>
          </w:p>
        </w:tc>
      </w:tr>
      <w:tr w:rsidR="00C70E74" w:rsidRPr="006D2E00" w:rsidTr="00DC5CF9">
        <w:tc>
          <w:tcPr>
            <w:tcW w:w="1296" w:type="dxa"/>
            <w:vMerge/>
            <w:tcBorders>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p>
        </w:tc>
        <w:tc>
          <w:tcPr>
            <w:tcW w:w="1443" w:type="dxa"/>
            <w:tcBorders>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počet evidovaných uchazečů</w:t>
            </w:r>
          </w:p>
        </w:tc>
        <w:tc>
          <w:tcPr>
            <w:tcW w:w="1536" w:type="dxa"/>
            <w:tcBorders>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z toho dosažitelných</w:t>
            </w:r>
          </w:p>
        </w:tc>
        <w:tc>
          <w:tcPr>
            <w:tcW w:w="1189" w:type="dxa"/>
            <w:tcBorders>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podíl nezam.osob</w:t>
            </w:r>
          </w:p>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 xml:space="preserve"> v %</w:t>
            </w:r>
          </w:p>
        </w:tc>
        <w:tc>
          <w:tcPr>
            <w:tcW w:w="1443" w:type="dxa"/>
            <w:tcBorders>
              <w:top w:val="single" w:sz="4" w:space="0" w:color="auto"/>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počet evidovaných uchazečů</w:t>
            </w:r>
          </w:p>
        </w:tc>
        <w:tc>
          <w:tcPr>
            <w:tcW w:w="1536" w:type="dxa"/>
            <w:tcBorders>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z toho dosažitelných</w:t>
            </w:r>
          </w:p>
        </w:tc>
        <w:tc>
          <w:tcPr>
            <w:tcW w:w="1189" w:type="dxa"/>
            <w:tcBorders>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podíl nezam.osob</w:t>
            </w:r>
          </w:p>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 xml:space="preserve"> v %</w:t>
            </w:r>
          </w:p>
        </w:tc>
      </w:tr>
      <w:tr w:rsidR="00C70E74" w:rsidRPr="006D2E00" w:rsidTr="00DC5CF9">
        <w:tc>
          <w:tcPr>
            <w:tcW w:w="1296" w:type="dxa"/>
            <w:tcBorders>
              <w:top w:val="single" w:sz="12" w:space="0" w:color="auto"/>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30.06.201</w:t>
            </w:r>
            <w:r>
              <w:rPr>
                <w:rFonts w:asciiTheme="minorHAnsi" w:hAnsiTheme="minorHAnsi" w:cstheme="minorHAnsi"/>
                <w:szCs w:val="24"/>
              </w:rPr>
              <w:t>5</w:t>
            </w:r>
          </w:p>
        </w:tc>
        <w:tc>
          <w:tcPr>
            <w:tcW w:w="1443" w:type="dxa"/>
            <w:tcBorders>
              <w:top w:val="single" w:sz="12" w:space="0" w:color="auto"/>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78 000</w:t>
            </w:r>
          </w:p>
        </w:tc>
        <w:tc>
          <w:tcPr>
            <w:tcW w:w="1536"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75 600</w:t>
            </w:r>
          </w:p>
        </w:tc>
        <w:tc>
          <w:tcPr>
            <w:tcW w:w="1189" w:type="dxa"/>
            <w:tcBorders>
              <w:top w:val="single" w:sz="12" w:space="0" w:color="auto"/>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9,2</w:t>
            </w:r>
          </w:p>
        </w:tc>
        <w:tc>
          <w:tcPr>
            <w:tcW w:w="1443" w:type="dxa"/>
            <w:tcBorders>
              <w:top w:val="single" w:sz="12" w:space="0" w:color="auto"/>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82 400</w:t>
            </w:r>
          </w:p>
        </w:tc>
        <w:tc>
          <w:tcPr>
            <w:tcW w:w="1536"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80 100</w:t>
            </w:r>
          </w:p>
        </w:tc>
        <w:tc>
          <w:tcPr>
            <w:tcW w:w="1189"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9,8</w:t>
            </w:r>
          </w:p>
        </w:tc>
      </w:tr>
      <w:tr w:rsidR="00C70E74" w:rsidRPr="006D2E00" w:rsidTr="00DC5CF9">
        <w:tc>
          <w:tcPr>
            <w:tcW w:w="1296" w:type="dxa"/>
            <w:tcBorders>
              <w:top w:val="single" w:sz="12" w:space="0" w:color="auto"/>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sidRPr="006D2E00">
              <w:rPr>
                <w:rFonts w:asciiTheme="minorHAnsi" w:hAnsiTheme="minorHAnsi" w:cstheme="minorHAnsi"/>
                <w:szCs w:val="24"/>
              </w:rPr>
              <w:t>31.12.201</w:t>
            </w:r>
            <w:r>
              <w:rPr>
                <w:rFonts w:asciiTheme="minorHAnsi" w:hAnsiTheme="minorHAnsi" w:cstheme="minorHAnsi"/>
                <w:szCs w:val="24"/>
              </w:rPr>
              <w:t>5</w:t>
            </w:r>
          </w:p>
        </w:tc>
        <w:tc>
          <w:tcPr>
            <w:tcW w:w="1443" w:type="dxa"/>
            <w:tcBorders>
              <w:top w:val="single" w:sz="12" w:space="0" w:color="auto"/>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79 700</w:t>
            </w:r>
          </w:p>
        </w:tc>
        <w:tc>
          <w:tcPr>
            <w:tcW w:w="1536"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77 200</w:t>
            </w:r>
          </w:p>
        </w:tc>
        <w:tc>
          <w:tcPr>
            <w:tcW w:w="1189" w:type="dxa"/>
            <w:tcBorders>
              <w:top w:val="single" w:sz="12" w:space="0" w:color="auto"/>
              <w:bottom w:val="single" w:sz="12" w:space="0" w:color="auto"/>
              <w:right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9,4</w:t>
            </w:r>
          </w:p>
        </w:tc>
        <w:tc>
          <w:tcPr>
            <w:tcW w:w="1443" w:type="dxa"/>
            <w:tcBorders>
              <w:top w:val="single" w:sz="12" w:space="0" w:color="auto"/>
              <w:left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83 800</w:t>
            </w:r>
          </w:p>
        </w:tc>
        <w:tc>
          <w:tcPr>
            <w:tcW w:w="1536"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81 500</w:t>
            </w:r>
          </w:p>
        </w:tc>
        <w:tc>
          <w:tcPr>
            <w:tcW w:w="1189" w:type="dxa"/>
            <w:tcBorders>
              <w:top w:val="single" w:sz="12" w:space="0" w:color="auto"/>
              <w:bottom w:val="single" w:sz="12" w:space="0" w:color="auto"/>
            </w:tcBorders>
            <w:vAlign w:val="center"/>
          </w:tcPr>
          <w:p w:rsidR="00C70E74" w:rsidRPr="006D2E00" w:rsidRDefault="00C70E74" w:rsidP="00DC5CF9">
            <w:pPr>
              <w:pStyle w:val="Zkladntext2"/>
              <w:jc w:val="center"/>
              <w:rPr>
                <w:rFonts w:asciiTheme="minorHAnsi" w:hAnsiTheme="minorHAnsi" w:cstheme="minorHAnsi"/>
                <w:szCs w:val="24"/>
              </w:rPr>
            </w:pPr>
            <w:r>
              <w:rPr>
                <w:rFonts w:asciiTheme="minorHAnsi" w:hAnsiTheme="minorHAnsi" w:cstheme="minorHAnsi"/>
                <w:szCs w:val="24"/>
              </w:rPr>
              <w:t>10,0</w:t>
            </w:r>
          </w:p>
        </w:tc>
      </w:tr>
    </w:tbl>
    <w:p w:rsidR="00C70E74" w:rsidRPr="006D2E00" w:rsidRDefault="00C70E74" w:rsidP="00C70E74">
      <w:pPr>
        <w:rPr>
          <w:rFonts w:asciiTheme="minorHAnsi" w:hAnsiTheme="minorHAnsi" w:cstheme="minorHAnsi"/>
          <w:sz w:val="24"/>
          <w:szCs w:val="24"/>
        </w:rPr>
      </w:pPr>
    </w:p>
    <w:p w:rsidR="00C723DD" w:rsidRPr="006D2E00" w:rsidRDefault="00C70E74" w:rsidP="00C723DD">
      <w:pPr>
        <w:rPr>
          <w:rFonts w:asciiTheme="minorHAnsi" w:hAnsiTheme="minorHAnsi" w:cstheme="minorHAnsi"/>
          <w:sz w:val="24"/>
          <w:szCs w:val="24"/>
        </w:rPr>
      </w:pPr>
      <w:r>
        <w:rPr>
          <w:rFonts w:asciiTheme="minorHAnsi" w:hAnsiTheme="minorHAnsi" w:cstheme="minorHAnsi"/>
          <w:sz w:val="24"/>
          <w:szCs w:val="24"/>
        </w:rPr>
        <w:br w:type="page"/>
        <w:t xml:space="preserve"> </w:t>
      </w:r>
      <w:r w:rsidR="00C723DD" w:rsidRPr="006D2E00">
        <w:rPr>
          <w:rFonts w:asciiTheme="minorHAnsi" w:hAnsiTheme="minorHAnsi" w:cstheme="minorHAnsi"/>
          <w:b/>
          <w:sz w:val="28"/>
          <w:szCs w:val="28"/>
        </w:rPr>
        <w:t>VIII.  PŘÍLOHY</w:t>
      </w:r>
    </w:p>
    <w:p w:rsidR="00C723DD" w:rsidRPr="006D2E00" w:rsidRDefault="00C723DD" w:rsidP="00C723DD">
      <w:pPr>
        <w:rPr>
          <w:rFonts w:asciiTheme="minorHAnsi" w:hAnsiTheme="minorHAnsi" w:cstheme="minorHAnsi"/>
          <w:b/>
        </w:rPr>
      </w:pPr>
    </w:p>
    <w:p w:rsidR="00C723DD" w:rsidRPr="006D2E00" w:rsidRDefault="00C723DD" w:rsidP="00C723DD">
      <w:pPr>
        <w:pStyle w:val="Nadpis3"/>
        <w:rPr>
          <w:rFonts w:asciiTheme="minorHAnsi" w:hAnsiTheme="minorHAnsi" w:cstheme="minorHAnsi"/>
        </w:rPr>
      </w:pPr>
      <w:r w:rsidRPr="006D2E00">
        <w:rPr>
          <w:rFonts w:asciiTheme="minorHAnsi" w:hAnsiTheme="minorHAnsi" w:cstheme="minorHAnsi"/>
        </w:rPr>
        <w:t>Okres Bruntál</w:t>
      </w:r>
    </w:p>
    <w:p w:rsidR="00C723DD" w:rsidRPr="006D2E00" w:rsidRDefault="00C723DD" w:rsidP="00C723DD">
      <w:pPr>
        <w:rPr>
          <w:rFonts w:asciiTheme="minorHAnsi" w:hAnsiTheme="minorHAnsi" w:cstheme="minorHAnsi"/>
          <w:b/>
          <w:bCs/>
        </w:rPr>
      </w:pPr>
    </w:p>
    <w:p w:rsidR="00C723DD" w:rsidRPr="006D2E00" w:rsidRDefault="00C723DD" w:rsidP="00C723DD">
      <w:pPr>
        <w:rPr>
          <w:rFonts w:asciiTheme="minorHAnsi" w:hAnsiTheme="minorHAnsi" w:cstheme="minorHAnsi"/>
          <w:b/>
          <w:bCs/>
          <w:sz w:val="22"/>
        </w:rPr>
      </w:pPr>
      <w:r w:rsidRPr="006D2E00">
        <w:rPr>
          <w:rFonts w:asciiTheme="minorHAnsi" w:hAnsiTheme="minorHAnsi" w:cstheme="minorHAnsi"/>
          <w:b/>
          <w:bCs/>
          <w:sz w:val="22"/>
        </w:rPr>
        <w:t>1. Celková charakteristika okresu</w:t>
      </w:r>
    </w:p>
    <w:tbl>
      <w:tblPr>
        <w:tblW w:w="8930" w:type="dxa"/>
        <w:tblInd w:w="70" w:type="dxa"/>
        <w:tblLayout w:type="fixed"/>
        <w:tblCellMar>
          <w:left w:w="70" w:type="dxa"/>
          <w:right w:w="70" w:type="dxa"/>
        </w:tblCellMar>
        <w:tblLook w:val="0000" w:firstRow="0" w:lastRow="0" w:firstColumn="0" w:lastColumn="0" w:noHBand="0" w:noVBand="0"/>
      </w:tblPr>
      <w:tblGrid>
        <w:gridCol w:w="1701"/>
        <w:gridCol w:w="7229"/>
      </w:tblGrid>
      <w:tr w:rsidR="00C723DD" w:rsidRPr="006D2E00" w:rsidTr="00C723DD">
        <w:tc>
          <w:tcPr>
            <w:tcW w:w="1701" w:type="dxa"/>
          </w:tcPr>
          <w:p w:rsidR="00C723DD" w:rsidRPr="006D2E00" w:rsidRDefault="00C723DD" w:rsidP="00C723DD">
            <w:pPr>
              <w:ind w:right="-567"/>
              <w:jc w:val="both"/>
              <w:rPr>
                <w:rFonts w:asciiTheme="minorHAnsi" w:hAnsiTheme="minorHAnsi" w:cstheme="minorHAnsi"/>
              </w:rPr>
            </w:pPr>
            <w:r w:rsidRPr="006D2E00">
              <w:rPr>
                <w:rFonts w:asciiTheme="minorHAnsi" w:hAnsiTheme="minorHAnsi" w:cstheme="minorHAnsi"/>
              </w:rPr>
              <w:t xml:space="preserve">Rozloha: </w:t>
            </w:r>
          </w:p>
          <w:p w:rsidR="00C723DD" w:rsidRPr="006D2E00" w:rsidRDefault="00C723DD" w:rsidP="00C723DD">
            <w:pPr>
              <w:ind w:right="-567"/>
              <w:jc w:val="both"/>
              <w:rPr>
                <w:rFonts w:asciiTheme="minorHAnsi" w:hAnsiTheme="minorHAnsi" w:cstheme="minorHAnsi"/>
              </w:rPr>
            </w:pPr>
            <w:r w:rsidRPr="006D2E00">
              <w:rPr>
                <w:rFonts w:asciiTheme="minorHAnsi" w:hAnsiTheme="minorHAnsi" w:cstheme="minorHAnsi"/>
              </w:rPr>
              <w:t>Počet obyvatel:</w:t>
            </w:r>
          </w:p>
          <w:p w:rsidR="00C723DD" w:rsidRPr="006D2E00" w:rsidRDefault="00C723DD" w:rsidP="00C723DD">
            <w:pPr>
              <w:ind w:right="-567"/>
              <w:jc w:val="both"/>
              <w:rPr>
                <w:rFonts w:asciiTheme="minorHAnsi" w:hAnsiTheme="minorHAnsi" w:cstheme="minorHAnsi"/>
              </w:rPr>
            </w:pPr>
            <w:r w:rsidRPr="006D2E00">
              <w:rPr>
                <w:rFonts w:asciiTheme="minorHAnsi" w:hAnsiTheme="minorHAnsi" w:cstheme="minorHAnsi"/>
              </w:rPr>
              <w:t>Hustota osídlení:</w:t>
            </w:r>
          </w:p>
          <w:p w:rsidR="00C723DD" w:rsidRPr="006D2E00" w:rsidRDefault="00C723DD" w:rsidP="00C723DD">
            <w:pPr>
              <w:ind w:right="-567"/>
              <w:jc w:val="both"/>
              <w:rPr>
                <w:rFonts w:asciiTheme="minorHAnsi" w:hAnsiTheme="minorHAnsi" w:cstheme="minorHAnsi"/>
              </w:rPr>
            </w:pPr>
            <w:r w:rsidRPr="006D2E00">
              <w:rPr>
                <w:rFonts w:asciiTheme="minorHAnsi" w:hAnsiTheme="minorHAnsi" w:cstheme="minorHAnsi"/>
              </w:rPr>
              <w:t>Charakter:</w:t>
            </w:r>
          </w:p>
        </w:tc>
        <w:tc>
          <w:tcPr>
            <w:tcW w:w="7229" w:type="dxa"/>
          </w:tcPr>
          <w:p w:rsidR="00C723DD" w:rsidRPr="006D2E00" w:rsidRDefault="00C723DD" w:rsidP="00C723DD">
            <w:pPr>
              <w:ind w:right="-567"/>
              <w:rPr>
                <w:rFonts w:asciiTheme="minorHAnsi" w:hAnsiTheme="minorHAnsi" w:cstheme="minorHAnsi"/>
                <w:vertAlign w:val="superscript"/>
              </w:rPr>
            </w:pPr>
            <w:r w:rsidRPr="006D2E00">
              <w:rPr>
                <w:rFonts w:asciiTheme="minorHAnsi" w:hAnsiTheme="minorHAnsi" w:cstheme="minorHAnsi"/>
              </w:rPr>
              <w:t>1 536 km</w:t>
            </w:r>
            <w:r w:rsidRPr="006D2E00">
              <w:rPr>
                <w:rFonts w:asciiTheme="minorHAnsi" w:hAnsiTheme="minorHAnsi" w:cstheme="minorHAnsi"/>
                <w:vertAlign w:val="superscript"/>
              </w:rPr>
              <w:t>2</w:t>
            </w:r>
          </w:p>
          <w:p w:rsidR="00C723DD" w:rsidRPr="006D2E00" w:rsidRDefault="00C723DD" w:rsidP="00C723DD">
            <w:pPr>
              <w:ind w:right="-567"/>
              <w:rPr>
                <w:rFonts w:asciiTheme="minorHAnsi" w:hAnsiTheme="minorHAnsi" w:cstheme="minorHAnsi"/>
              </w:rPr>
            </w:pPr>
            <w:r>
              <w:rPr>
                <w:rFonts w:asciiTheme="minorHAnsi" w:hAnsiTheme="minorHAnsi" w:cstheme="minorHAnsi"/>
                <w:snapToGrid w:val="0"/>
              </w:rPr>
              <w:t>95,2</w:t>
            </w:r>
            <w:r w:rsidRPr="006D2E00">
              <w:rPr>
                <w:rFonts w:asciiTheme="minorHAnsi" w:hAnsiTheme="minorHAnsi" w:cstheme="minorHAnsi"/>
                <w:snapToGrid w:val="0"/>
              </w:rPr>
              <w:t xml:space="preserve"> tis.</w:t>
            </w:r>
          </w:p>
          <w:p w:rsidR="00C723DD" w:rsidRPr="006D2E00" w:rsidRDefault="00C723DD" w:rsidP="00C723DD">
            <w:pPr>
              <w:ind w:left="-353" w:right="-567" w:firstLine="353"/>
              <w:rPr>
                <w:rFonts w:asciiTheme="minorHAnsi" w:hAnsiTheme="minorHAnsi" w:cstheme="minorHAnsi"/>
                <w:vertAlign w:val="superscript"/>
              </w:rPr>
            </w:pPr>
            <w:r w:rsidRPr="006D2E00">
              <w:rPr>
                <w:rFonts w:asciiTheme="minorHAnsi" w:hAnsiTheme="minorHAnsi" w:cstheme="minorHAnsi"/>
              </w:rPr>
              <w:t>62 obyvatel/km</w:t>
            </w:r>
            <w:r w:rsidRPr="006D2E00">
              <w:rPr>
                <w:rFonts w:asciiTheme="minorHAnsi" w:hAnsiTheme="minorHAnsi" w:cstheme="minorHAnsi"/>
                <w:vertAlign w:val="superscript"/>
              </w:rPr>
              <w:t>2</w:t>
            </w:r>
          </w:p>
          <w:p w:rsidR="00C723DD" w:rsidRPr="006D2E00" w:rsidRDefault="00C723DD" w:rsidP="00C723DD">
            <w:pPr>
              <w:tabs>
                <w:tab w:val="left" w:pos="8009"/>
              </w:tabs>
              <w:ind w:right="72"/>
              <w:jc w:val="both"/>
              <w:rPr>
                <w:rFonts w:asciiTheme="minorHAnsi" w:hAnsiTheme="minorHAnsi" w:cstheme="minorHAnsi"/>
              </w:rPr>
            </w:pPr>
            <w:r w:rsidRPr="006D2E00">
              <w:rPr>
                <w:rFonts w:asciiTheme="minorHAnsi" w:hAnsiTheme="minorHAnsi" w:cstheme="minorHAnsi"/>
              </w:rPr>
              <w:t>průmyslově zemědělská oblast, 85 % rozlohy leží v nadmořské výšce 400-</w:t>
            </w:r>
            <w:smartTag w:uri="urn:schemas-microsoft-com:office:smarttags" w:element="metricconverter">
              <w:smartTagPr>
                <w:attr w:name="ProductID" w:val="800 m"/>
              </w:smartTagPr>
              <w:r w:rsidRPr="006D2E00">
                <w:rPr>
                  <w:rFonts w:asciiTheme="minorHAnsi" w:hAnsiTheme="minorHAnsi" w:cstheme="minorHAnsi"/>
                </w:rPr>
                <w:t>800 m</w:t>
              </w:r>
            </w:smartTag>
          </w:p>
        </w:tc>
      </w:tr>
    </w:tbl>
    <w:p w:rsidR="00C723DD" w:rsidRPr="006D2E00" w:rsidRDefault="00C723DD" w:rsidP="00C723DD">
      <w:pPr>
        <w:rPr>
          <w:rFonts w:asciiTheme="minorHAnsi" w:hAnsiTheme="minorHAnsi" w:cstheme="minorHAnsi"/>
          <w:bCs/>
        </w:rPr>
      </w:pPr>
    </w:p>
    <w:p w:rsidR="00C723DD" w:rsidRPr="006D2E00" w:rsidRDefault="00C723DD" w:rsidP="00C723DD">
      <w:pPr>
        <w:spacing w:before="120"/>
        <w:ind w:right="-171"/>
        <w:jc w:val="both"/>
        <w:rPr>
          <w:rFonts w:asciiTheme="minorHAnsi" w:hAnsiTheme="minorHAnsi" w:cstheme="minorHAnsi"/>
          <w:b/>
          <w:i/>
          <w:sz w:val="22"/>
          <w:szCs w:val="22"/>
        </w:rPr>
      </w:pPr>
      <w:r w:rsidRPr="006D2E00">
        <w:rPr>
          <w:rFonts w:asciiTheme="minorHAnsi" w:hAnsiTheme="minorHAnsi" w:cstheme="minorHAnsi"/>
          <w:b/>
          <w:i/>
          <w:sz w:val="22"/>
          <w:szCs w:val="22"/>
        </w:rPr>
        <w:t>Silné stránky okresu (specifika, která nejsou obsažena v krajské analýze)</w:t>
      </w:r>
    </w:p>
    <w:p w:rsidR="00C723DD" w:rsidRPr="006D2E00" w:rsidRDefault="00C723DD" w:rsidP="00C723DD">
      <w:pPr>
        <w:numPr>
          <w:ilvl w:val="0"/>
          <w:numId w:val="7"/>
        </w:numPr>
        <w:ind w:right="-567"/>
        <w:jc w:val="both"/>
        <w:rPr>
          <w:rFonts w:asciiTheme="minorHAnsi" w:hAnsiTheme="minorHAnsi" w:cstheme="minorHAnsi"/>
        </w:rPr>
      </w:pPr>
      <w:r w:rsidRPr="006D2E00">
        <w:rPr>
          <w:rFonts w:asciiTheme="minorHAnsi" w:hAnsiTheme="minorHAnsi" w:cstheme="minorHAnsi"/>
        </w:rPr>
        <w:t>Segmenty kvalitního životního prostředí (CHKO Jeseníky), turisticky přitažlivé horské scenérie.</w:t>
      </w:r>
    </w:p>
    <w:p w:rsidR="00C723DD" w:rsidRPr="006D2E00" w:rsidRDefault="00C723DD" w:rsidP="00C723DD">
      <w:pPr>
        <w:numPr>
          <w:ilvl w:val="0"/>
          <w:numId w:val="6"/>
        </w:numPr>
        <w:ind w:right="-567"/>
        <w:jc w:val="both"/>
        <w:rPr>
          <w:rFonts w:asciiTheme="minorHAnsi" w:hAnsiTheme="minorHAnsi" w:cstheme="minorHAnsi"/>
        </w:rPr>
      </w:pPr>
      <w:r w:rsidRPr="006D2E00">
        <w:rPr>
          <w:rFonts w:asciiTheme="minorHAnsi" w:hAnsiTheme="minorHAnsi" w:cstheme="minorHAnsi"/>
        </w:rPr>
        <w:t>Výrazné využití hospodářských funkcí lesa a následné zpracování dřevní hmoty.</w:t>
      </w:r>
    </w:p>
    <w:p w:rsidR="00C723DD" w:rsidRPr="006D2E00" w:rsidRDefault="00C723DD" w:rsidP="00C723DD">
      <w:pPr>
        <w:numPr>
          <w:ilvl w:val="0"/>
          <w:numId w:val="6"/>
        </w:numPr>
        <w:ind w:right="-567"/>
        <w:jc w:val="both"/>
        <w:rPr>
          <w:rFonts w:asciiTheme="minorHAnsi" w:hAnsiTheme="minorHAnsi" w:cstheme="minorHAnsi"/>
        </w:rPr>
      </w:pPr>
      <w:r w:rsidRPr="006D2E00">
        <w:rPr>
          <w:rFonts w:asciiTheme="minorHAnsi" w:hAnsiTheme="minorHAnsi" w:cstheme="minorHAnsi"/>
        </w:rPr>
        <w:t>Víceodvětvová struktura průmyslové výroby.</w:t>
      </w:r>
    </w:p>
    <w:p w:rsidR="00C723DD" w:rsidRPr="006D2E00" w:rsidRDefault="00C723DD" w:rsidP="00C723DD">
      <w:pPr>
        <w:numPr>
          <w:ilvl w:val="0"/>
          <w:numId w:val="6"/>
        </w:numPr>
        <w:ind w:right="-171"/>
        <w:jc w:val="both"/>
        <w:rPr>
          <w:rFonts w:asciiTheme="minorHAnsi" w:hAnsiTheme="minorHAnsi" w:cstheme="minorHAnsi"/>
        </w:rPr>
      </w:pPr>
      <w:r w:rsidRPr="006D2E00">
        <w:rPr>
          <w:rFonts w:asciiTheme="minorHAnsi" w:hAnsiTheme="minorHAnsi" w:cstheme="minorHAnsi"/>
        </w:rPr>
        <w:t>Hraniční přechod s Polskou republikou na neomezenou tonáž: Vysoká, Bartultovice-Trzebina, Prudnik.</w:t>
      </w:r>
    </w:p>
    <w:p w:rsidR="00C723DD" w:rsidRPr="006D2E00" w:rsidRDefault="00C723DD" w:rsidP="00C723DD">
      <w:pPr>
        <w:numPr>
          <w:ilvl w:val="0"/>
          <w:numId w:val="6"/>
        </w:numPr>
        <w:spacing w:line="288" w:lineRule="auto"/>
        <w:jc w:val="both"/>
        <w:rPr>
          <w:rFonts w:asciiTheme="minorHAnsi" w:hAnsiTheme="minorHAnsi" w:cstheme="minorHAnsi"/>
        </w:rPr>
      </w:pPr>
      <w:r w:rsidRPr="006D2E00">
        <w:rPr>
          <w:rFonts w:asciiTheme="minorHAnsi" w:hAnsiTheme="minorHAnsi" w:cstheme="minorHAnsi"/>
        </w:rPr>
        <w:t>Vodní nádrž Slezská Harta - má význam vodárenský, protipovodňový, energetický a rekreační.</w:t>
      </w:r>
    </w:p>
    <w:p w:rsidR="00C723DD" w:rsidRPr="006D2E00" w:rsidRDefault="00C723DD" w:rsidP="00C723DD">
      <w:pPr>
        <w:spacing w:before="120"/>
        <w:ind w:right="-2"/>
        <w:jc w:val="both"/>
        <w:rPr>
          <w:rFonts w:asciiTheme="minorHAnsi" w:hAnsiTheme="minorHAnsi" w:cstheme="minorHAnsi"/>
          <w:b/>
          <w:i/>
          <w:sz w:val="22"/>
          <w:szCs w:val="22"/>
        </w:rPr>
      </w:pPr>
      <w:r w:rsidRPr="006D2E00">
        <w:rPr>
          <w:rFonts w:asciiTheme="minorHAnsi" w:hAnsiTheme="minorHAnsi" w:cstheme="minorHAnsi"/>
          <w:b/>
          <w:i/>
          <w:sz w:val="22"/>
          <w:szCs w:val="22"/>
        </w:rPr>
        <w:t>Slabé stránky okresu (specifika, která nejsou obsažena v krajské analýze)</w:t>
      </w:r>
    </w:p>
    <w:p w:rsidR="00C723DD" w:rsidRPr="006D2E00" w:rsidRDefault="00C723DD" w:rsidP="00C723DD">
      <w:pPr>
        <w:pStyle w:val="Odstavecseseznamem"/>
        <w:numPr>
          <w:ilvl w:val="0"/>
          <w:numId w:val="5"/>
        </w:numPr>
        <w:ind w:right="-2"/>
        <w:jc w:val="both"/>
        <w:rPr>
          <w:rFonts w:asciiTheme="minorHAnsi" w:hAnsiTheme="minorHAnsi" w:cstheme="minorHAnsi"/>
        </w:rPr>
      </w:pPr>
      <w:r w:rsidRPr="006D2E00">
        <w:rPr>
          <w:rFonts w:asciiTheme="minorHAnsi" w:hAnsiTheme="minorHAnsi" w:cstheme="minorHAnsi"/>
        </w:rPr>
        <w:t>Periferní poloha okresu v rámci ČR.</w:t>
      </w:r>
    </w:p>
    <w:p w:rsidR="00C723DD" w:rsidRPr="006D2E00" w:rsidRDefault="00C723DD" w:rsidP="00C723DD">
      <w:pPr>
        <w:pStyle w:val="Odstavecseseznamem"/>
        <w:numPr>
          <w:ilvl w:val="0"/>
          <w:numId w:val="5"/>
        </w:numPr>
        <w:ind w:right="-2"/>
        <w:jc w:val="both"/>
        <w:rPr>
          <w:rFonts w:asciiTheme="minorHAnsi" w:hAnsiTheme="minorHAnsi" w:cstheme="minorHAnsi"/>
        </w:rPr>
      </w:pPr>
      <w:r w:rsidRPr="006D2E00">
        <w:rPr>
          <w:rFonts w:asciiTheme="minorHAnsi" w:hAnsiTheme="minorHAnsi" w:cstheme="minorHAnsi"/>
        </w:rPr>
        <w:t>Horský charakter větší části okresu - velké nároky na údržbu dopravní sítě, zhoršená dostupnost v zimním období.</w:t>
      </w:r>
    </w:p>
    <w:p w:rsidR="00C723DD" w:rsidRPr="006D2E00" w:rsidRDefault="00C723DD" w:rsidP="00C723DD">
      <w:pPr>
        <w:pStyle w:val="Odstavecseseznamem"/>
        <w:numPr>
          <w:ilvl w:val="0"/>
          <w:numId w:val="5"/>
        </w:numPr>
        <w:ind w:right="-2"/>
        <w:jc w:val="both"/>
        <w:rPr>
          <w:rFonts w:asciiTheme="minorHAnsi" w:hAnsiTheme="minorHAnsi" w:cstheme="minorHAnsi"/>
          <w:sz w:val="16"/>
        </w:rPr>
      </w:pPr>
      <w:r w:rsidRPr="006D2E00">
        <w:rPr>
          <w:rFonts w:asciiTheme="minorHAnsi" w:hAnsiTheme="minorHAnsi" w:cstheme="minorHAnsi"/>
        </w:rPr>
        <w:t>Jedny z nejnižších mzdových úrovní v rámci ČR.</w:t>
      </w:r>
    </w:p>
    <w:p w:rsidR="00C723DD" w:rsidRPr="006D2E00" w:rsidRDefault="00C723DD" w:rsidP="00C723DD">
      <w:pPr>
        <w:pStyle w:val="Odstavecseseznamem"/>
        <w:numPr>
          <w:ilvl w:val="0"/>
          <w:numId w:val="5"/>
        </w:numPr>
        <w:ind w:right="-2"/>
        <w:jc w:val="both"/>
        <w:rPr>
          <w:rFonts w:asciiTheme="minorHAnsi" w:hAnsiTheme="minorHAnsi" w:cstheme="minorHAnsi"/>
          <w:sz w:val="16"/>
        </w:rPr>
      </w:pPr>
      <w:r w:rsidRPr="006D2E00">
        <w:rPr>
          <w:rFonts w:asciiTheme="minorHAnsi" w:hAnsiTheme="minorHAnsi" w:cstheme="minorHAnsi"/>
        </w:rPr>
        <w:t>Chybějící rychlostní komunikace - silnice I. třídy jsou jen v malém rozsahu u části okresu.</w:t>
      </w:r>
    </w:p>
    <w:p w:rsidR="00C723DD" w:rsidRPr="006D2E00" w:rsidRDefault="00C723DD" w:rsidP="00C723DD">
      <w:pPr>
        <w:ind w:right="-2"/>
        <w:jc w:val="both"/>
        <w:rPr>
          <w:rFonts w:asciiTheme="minorHAnsi" w:hAnsiTheme="minorHAnsi" w:cstheme="minorHAnsi"/>
          <w:b/>
        </w:rPr>
      </w:pPr>
    </w:p>
    <w:p w:rsidR="00C723DD" w:rsidRPr="006D2E00" w:rsidRDefault="00C723DD" w:rsidP="00C723DD">
      <w:pPr>
        <w:ind w:right="-567"/>
        <w:jc w:val="both"/>
        <w:rPr>
          <w:rFonts w:asciiTheme="minorHAnsi" w:hAnsiTheme="minorHAnsi" w:cstheme="minorHAnsi"/>
          <w:sz w:val="22"/>
        </w:rPr>
      </w:pPr>
      <w:r w:rsidRPr="006D2E00">
        <w:rPr>
          <w:rFonts w:asciiTheme="minorHAnsi" w:hAnsiTheme="minorHAnsi" w:cstheme="minorHAnsi"/>
          <w:b/>
          <w:sz w:val="22"/>
        </w:rPr>
        <w:t>2. Zaměstnanost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7"/>
        <w:gridCol w:w="1028"/>
        <w:gridCol w:w="1028"/>
        <w:gridCol w:w="1028"/>
      </w:tblGrid>
      <w:tr w:rsidR="00C723DD" w:rsidRPr="006D2E00" w:rsidTr="00C723DD">
        <w:trPr>
          <w:cantSplit/>
        </w:trPr>
        <w:tc>
          <w:tcPr>
            <w:tcW w:w="5387" w:type="dxa"/>
            <w:tcBorders>
              <w:bottom w:val="nil"/>
            </w:tcBorders>
            <w:vAlign w:val="center"/>
          </w:tcPr>
          <w:p w:rsidR="00C723DD" w:rsidRPr="006D2E00" w:rsidRDefault="00C723DD" w:rsidP="00C723DD">
            <w:pPr>
              <w:tabs>
                <w:tab w:val="left" w:pos="6946"/>
              </w:tabs>
              <w:jc w:val="center"/>
              <w:rPr>
                <w:rFonts w:asciiTheme="minorHAnsi" w:hAnsiTheme="minorHAnsi" w:cstheme="minorHAnsi"/>
                <w:b/>
                <w:i/>
                <w:sz w:val="18"/>
              </w:rPr>
            </w:pPr>
            <w:r w:rsidRPr="006D2E00">
              <w:rPr>
                <w:rFonts w:asciiTheme="minorHAnsi" w:hAnsiTheme="minorHAnsi" w:cstheme="minorHAnsi"/>
                <w:b/>
                <w:i/>
                <w:sz w:val="18"/>
              </w:rPr>
              <w:t>ukazatel</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(celkový počet)</w:t>
            </w:r>
          </w:p>
        </w:tc>
        <w:tc>
          <w:tcPr>
            <w:tcW w:w="1027" w:type="dxa"/>
            <w:tcBorders>
              <w:bottom w:val="nil"/>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stav k 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3</w:t>
            </w:r>
          </w:p>
        </w:tc>
        <w:tc>
          <w:tcPr>
            <w:tcW w:w="1028" w:type="dxa"/>
            <w:tcBorders>
              <w:bottom w:val="nil"/>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stav k 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4</w:t>
            </w:r>
          </w:p>
        </w:tc>
        <w:tc>
          <w:tcPr>
            <w:tcW w:w="1028" w:type="dxa"/>
            <w:tcBorders>
              <w:bottom w:val="nil"/>
            </w:tcBorders>
          </w:tcPr>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meziroční rozdíl</w:t>
            </w:r>
          </w:p>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absolutně</w:t>
            </w:r>
          </w:p>
        </w:tc>
        <w:tc>
          <w:tcPr>
            <w:tcW w:w="1028" w:type="dxa"/>
            <w:tcBorders>
              <w:bottom w:val="nil"/>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index</w:t>
            </w:r>
          </w:p>
          <w:p w:rsidR="00C723DD" w:rsidRPr="006D2E0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v %</w:t>
            </w:r>
          </w:p>
        </w:tc>
      </w:tr>
      <w:tr w:rsidR="00C723DD" w:rsidRPr="006D2E00" w:rsidTr="00C723DD">
        <w:trPr>
          <w:cantSplit/>
        </w:trPr>
        <w:tc>
          <w:tcPr>
            <w:tcW w:w="5387" w:type="dxa"/>
            <w:tcBorders>
              <w:top w:val="double" w:sz="4" w:space="0" w:color="auto"/>
              <w:bottom w:val="single" w:sz="4" w:space="0" w:color="auto"/>
            </w:tcBorders>
            <w:vAlign w:val="center"/>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 xml:space="preserve">zaměstnavatelé se stavem </w:t>
            </w:r>
            <w:smartTag w:uri="urn:schemas-microsoft-com:office:smarttags" w:element="metricconverter">
              <w:smartTagPr>
                <w:attr w:name="ProductID" w:val="26 a"/>
              </w:smartTagPr>
              <w:r w:rsidRPr="006D2E00">
                <w:rPr>
                  <w:rFonts w:asciiTheme="minorHAnsi" w:hAnsiTheme="minorHAnsi" w:cstheme="minorHAnsi"/>
                  <w:sz w:val="18"/>
                </w:rPr>
                <w:t>26 a</w:t>
              </w:r>
            </w:smartTag>
            <w:r w:rsidRPr="006D2E00">
              <w:rPr>
                <w:rFonts w:asciiTheme="minorHAnsi" w:hAnsiTheme="minorHAnsi" w:cstheme="minorHAnsi"/>
                <w:sz w:val="18"/>
              </w:rPr>
              <w:t xml:space="preserve"> více osob (monitorované firmy)</w:t>
            </w:r>
          </w:p>
        </w:tc>
        <w:tc>
          <w:tcPr>
            <w:tcW w:w="1027" w:type="dxa"/>
            <w:tcBorders>
              <w:top w:val="double" w:sz="4" w:space="0" w:color="auto"/>
              <w:bottom w:val="single" w:sz="4" w:space="0" w:color="auto"/>
            </w:tcBorders>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179</w:t>
            </w:r>
          </w:p>
        </w:tc>
        <w:tc>
          <w:tcPr>
            <w:tcW w:w="1028" w:type="dxa"/>
            <w:tcBorders>
              <w:top w:val="double" w:sz="4" w:space="0" w:color="auto"/>
              <w:bottom w:val="single" w:sz="4" w:space="0" w:color="auto"/>
            </w:tcBorders>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187</w:t>
            </w:r>
          </w:p>
        </w:tc>
        <w:tc>
          <w:tcPr>
            <w:tcW w:w="1028" w:type="dxa"/>
            <w:tcBorders>
              <w:top w:val="double" w:sz="4" w:space="0" w:color="auto"/>
              <w:bottom w:val="sing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+8</w:t>
            </w:r>
          </w:p>
        </w:tc>
        <w:tc>
          <w:tcPr>
            <w:tcW w:w="1028" w:type="dxa"/>
            <w:tcBorders>
              <w:top w:val="double" w:sz="4" w:space="0" w:color="auto"/>
              <w:bottom w:val="sing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104,5</w:t>
            </w:r>
          </w:p>
        </w:tc>
      </w:tr>
      <w:tr w:rsidR="00C723DD" w:rsidRPr="006D2E00" w:rsidTr="00C723DD">
        <w:trPr>
          <w:cantSplit/>
        </w:trPr>
        <w:tc>
          <w:tcPr>
            <w:tcW w:w="5387" w:type="dxa"/>
            <w:vAlign w:val="center"/>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 xml:space="preserve">zaměstnanci u monitorovaných firem (se stavem </w:t>
            </w:r>
            <w:smartTag w:uri="urn:schemas-microsoft-com:office:smarttags" w:element="metricconverter">
              <w:smartTagPr>
                <w:attr w:name="ProductID" w:val="26 a"/>
              </w:smartTagPr>
              <w:r w:rsidRPr="006D2E00">
                <w:rPr>
                  <w:rFonts w:asciiTheme="minorHAnsi" w:hAnsiTheme="minorHAnsi" w:cstheme="minorHAnsi"/>
                  <w:sz w:val="18"/>
                </w:rPr>
                <w:t>26 a</w:t>
              </w:r>
            </w:smartTag>
            <w:r w:rsidRPr="006D2E00">
              <w:rPr>
                <w:rFonts w:asciiTheme="minorHAnsi" w:hAnsiTheme="minorHAnsi" w:cstheme="minorHAnsi"/>
                <w:sz w:val="18"/>
              </w:rPr>
              <w:t xml:space="preserve"> více osob)</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16 048</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16 534</w:t>
            </w:r>
          </w:p>
        </w:tc>
        <w:tc>
          <w:tcPr>
            <w:tcW w:w="1028" w:type="dxa"/>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+486</w:t>
            </w:r>
          </w:p>
        </w:tc>
        <w:tc>
          <w:tcPr>
            <w:tcW w:w="1028" w:type="dxa"/>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103,0</w:t>
            </w:r>
          </w:p>
        </w:tc>
      </w:tr>
      <w:tr w:rsidR="00C723DD" w:rsidRPr="006D2E00" w:rsidTr="00C723DD">
        <w:trPr>
          <w:cantSplit/>
        </w:trPr>
        <w:tc>
          <w:tcPr>
            <w:tcW w:w="5387" w:type="dxa"/>
            <w:vAlign w:val="center"/>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OSVČ (vykonávající činnost)</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7 334</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7 293</w:t>
            </w:r>
          </w:p>
        </w:tc>
        <w:tc>
          <w:tcPr>
            <w:tcW w:w="1028" w:type="dxa"/>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-41</w:t>
            </w:r>
          </w:p>
        </w:tc>
        <w:tc>
          <w:tcPr>
            <w:tcW w:w="1028" w:type="dxa"/>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99,4</w:t>
            </w:r>
          </w:p>
        </w:tc>
      </w:tr>
    </w:tbl>
    <w:p w:rsidR="00C723DD" w:rsidRPr="006D2E00" w:rsidRDefault="00C723DD" w:rsidP="00C723DD">
      <w:pPr>
        <w:rPr>
          <w:rFonts w:asciiTheme="minorHAnsi" w:hAnsiTheme="minorHAnsi" w:cstheme="minorHAnsi"/>
          <w:b/>
        </w:rPr>
      </w:pPr>
    </w:p>
    <w:p w:rsidR="00C723DD" w:rsidRPr="006D2E00" w:rsidRDefault="00C723DD" w:rsidP="00C723DD">
      <w:pPr>
        <w:rPr>
          <w:rFonts w:asciiTheme="minorHAnsi" w:hAnsiTheme="minorHAnsi" w:cstheme="minorHAnsi"/>
          <w:sz w:val="22"/>
        </w:rPr>
      </w:pPr>
      <w:r w:rsidRPr="006D2E00">
        <w:rPr>
          <w:rFonts w:asciiTheme="minorHAnsi" w:hAnsiTheme="minorHAnsi" w:cstheme="minorHAnsi"/>
          <w:b/>
          <w:sz w:val="22"/>
        </w:rPr>
        <w:t>3. Evidovaná nezaměstnanost a volná pracovní místa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7"/>
        <w:gridCol w:w="1028"/>
        <w:gridCol w:w="1028"/>
        <w:gridCol w:w="1028"/>
      </w:tblGrid>
      <w:tr w:rsidR="00C723DD" w:rsidRPr="006D2E00" w:rsidTr="00C723DD">
        <w:trPr>
          <w:cantSplit/>
        </w:trPr>
        <w:tc>
          <w:tcPr>
            <w:tcW w:w="5387" w:type="dxa"/>
            <w:tcBorders>
              <w:top w:val="double" w:sz="4" w:space="0" w:color="auto"/>
              <w:left w:val="double" w:sz="4" w:space="0" w:color="auto"/>
              <w:bottom w:val="nil"/>
            </w:tcBorders>
            <w:vAlign w:val="center"/>
          </w:tcPr>
          <w:p w:rsidR="00C723DD" w:rsidRPr="006D2E00" w:rsidRDefault="00C723DD" w:rsidP="00C723DD">
            <w:pPr>
              <w:tabs>
                <w:tab w:val="left" w:pos="6946"/>
              </w:tabs>
              <w:jc w:val="center"/>
              <w:rPr>
                <w:rFonts w:asciiTheme="minorHAnsi" w:hAnsiTheme="minorHAnsi" w:cstheme="minorHAnsi"/>
                <w:b/>
                <w:i/>
                <w:sz w:val="18"/>
              </w:rPr>
            </w:pPr>
            <w:r w:rsidRPr="006D2E00">
              <w:rPr>
                <w:rFonts w:asciiTheme="minorHAnsi" w:hAnsiTheme="minorHAnsi" w:cstheme="minorHAnsi"/>
                <w:b/>
                <w:i/>
                <w:sz w:val="18"/>
              </w:rPr>
              <w:t>ukazatel</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(celkový počet)</w:t>
            </w:r>
          </w:p>
        </w:tc>
        <w:tc>
          <w:tcPr>
            <w:tcW w:w="1027" w:type="dxa"/>
            <w:tcBorders>
              <w:top w:val="double" w:sz="4" w:space="0" w:color="auto"/>
              <w:bottom w:val="nil"/>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stav k 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3</w:t>
            </w:r>
          </w:p>
        </w:tc>
        <w:tc>
          <w:tcPr>
            <w:tcW w:w="1028" w:type="dxa"/>
            <w:tcBorders>
              <w:top w:val="double" w:sz="4" w:space="0" w:color="auto"/>
              <w:bottom w:val="nil"/>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stav k 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4</w:t>
            </w:r>
          </w:p>
        </w:tc>
        <w:tc>
          <w:tcPr>
            <w:tcW w:w="1028" w:type="dxa"/>
            <w:tcBorders>
              <w:top w:val="double" w:sz="4" w:space="0" w:color="auto"/>
              <w:bottom w:val="nil"/>
            </w:tcBorders>
          </w:tcPr>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meziroční rozdíl</w:t>
            </w:r>
          </w:p>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absolutně</w:t>
            </w:r>
          </w:p>
        </w:tc>
        <w:tc>
          <w:tcPr>
            <w:tcW w:w="1028" w:type="dxa"/>
            <w:tcBorders>
              <w:top w:val="double" w:sz="4" w:space="0" w:color="auto"/>
              <w:bottom w:val="nil"/>
              <w:right w:val="double" w:sz="4" w:space="0" w:color="auto"/>
            </w:tcBorders>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index</w:t>
            </w:r>
          </w:p>
          <w:p w:rsidR="00C723DD" w:rsidRPr="006D2E0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v %</w:t>
            </w:r>
          </w:p>
        </w:tc>
      </w:tr>
      <w:tr w:rsidR="00C723DD" w:rsidRPr="006D2E00" w:rsidTr="00C723DD">
        <w:trPr>
          <w:cantSplit/>
        </w:trPr>
        <w:tc>
          <w:tcPr>
            <w:tcW w:w="5387" w:type="dxa"/>
            <w:tcBorders>
              <w:top w:val="double" w:sz="4" w:space="0" w:color="auto"/>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evidovaní uchazeči o zaměstnání</w:t>
            </w:r>
          </w:p>
        </w:tc>
        <w:tc>
          <w:tcPr>
            <w:tcW w:w="1027" w:type="dxa"/>
            <w:tcBorders>
              <w:top w:val="double" w:sz="4" w:space="0" w:color="auto"/>
            </w:tcBorders>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9 741</w:t>
            </w:r>
          </w:p>
        </w:tc>
        <w:tc>
          <w:tcPr>
            <w:tcW w:w="1028" w:type="dxa"/>
            <w:tcBorders>
              <w:top w:val="double" w:sz="4" w:space="0" w:color="auto"/>
            </w:tcBorders>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9 085</w:t>
            </w:r>
          </w:p>
        </w:tc>
        <w:tc>
          <w:tcPr>
            <w:tcW w:w="1028" w:type="dxa"/>
            <w:tcBorders>
              <w:top w:val="double" w:sz="4" w:space="0" w:color="auto"/>
            </w:tcBorders>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-656</w:t>
            </w:r>
          </w:p>
        </w:tc>
        <w:tc>
          <w:tcPr>
            <w:tcW w:w="1028" w:type="dxa"/>
            <w:tcBorders>
              <w:top w:val="double" w:sz="4" w:space="0" w:color="auto"/>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93,3</w:t>
            </w:r>
          </w:p>
        </w:tc>
      </w:tr>
      <w:tr w:rsidR="00C723DD" w:rsidRPr="006D2E00" w:rsidTr="00C723DD">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 toho    - ženy</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4 573</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4 396</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-177</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96,1</w:t>
            </w:r>
          </w:p>
        </w:tc>
      </w:tr>
      <w:tr w:rsidR="00C723DD" w:rsidRPr="006D2E00" w:rsidTr="00C723DD">
        <w:tc>
          <w:tcPr>
            <w:tcW w:w="5387" w:type="dxa"/>
            <w:tcBorders>
              <w:left w:val="double" w:sz="4" w:space="0" w:color="auto"/>
            </w:tcBorders>
          </w:tcPr>
          <w:p w:rsidR="00C723DD" w:rsidRPr="006D2E00" w:rsidRDefault="00C723DD" w:rsidP="00C723DD">
            <w:pPr>
              <w:ind w:left="639"/>
              <w:rPr>
                <w:rFonts w:asciiTheme="minorHAnsi" w:hAnsiTheme="minorHAnsi" w:cstheme="minorHAnsi"/>
                <w:sz w:val="18"/>
              </w:rPr>
            </w:pPr>
            <w:r w:rsidRPr="006D2E00">
              <w:rPr>
                <w:rFonts w:asciiTheme="minorHAnsi" w:hAnsiTheme="minorHAnsi" w:cstheme="minorHAnsi"/>
                <w:sz w:val="18"/>
              </w:rPr>
              <w:t>- osoby se zdravotním postižením</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1 153</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1 136</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-17</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98,5</w:t>
            </w:r>
          </w:p>
        </w:tc>
      </w:tr>
      <w:tr w:rsidR="00C723DD" w:rsidRPr="006D2E00" w:rsidTr="00C723DD">
        <w:tc>
          <w:tcPr>
            <w:tcW w:w="5387" w:type="dxa"/>
            <w:tcBorders>
              <w:left w:val="double" w:sz="4" w:space="0" w:color="auto"/>
            </w:tcBorders>
          </w:tcPr>
          <w:p w:rsidR="00C723DD" w:rsidRPr="006D2E00" w:rsidRDefault="00C723DD" w:rsidP="00C723DD">
            <w:pPr>
              <w:ind w:left="639"/>
              <w:rPr>
                <w:rFonts w:asciiTheme="minorHAnsi" w:hAnsiTheme="minorHAnsi" w:cstheme="minorHAnsi"/>
                <w:sz w:val="18"/>
              </w:rPr>
            </w:pPr>
            <w:r w:rsidRPr="006D2E00">
              <w:rPr>
                <w:rFonts w:asciiTheme="minorHAnsi" w:hAnsiTheme="minorHAnsi" w:cstheme="minorHAnsi"/>
                <w:sz w:val="18"/>
              </w:rPr>
              <w:t>- absolventi škol a mladiství</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610</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411</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-199</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67,4</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evidovaní déle než 6 měsíců</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6 164</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5 921</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-243</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96,1</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evidovaní déle než 12 měsíců</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4 588</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4 623</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+35</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100,8</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průměrná délka evidence evidovaných uchazečů (ve dnech)</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701</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797</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+96</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113,7</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průměrná délka evidence vyřazených uchazečů (ve dnech)</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484</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397</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-87</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82,0</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do 19 let věku</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393</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302</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-91</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76,8</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ve věku 50 let a starší</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2 759</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2 770</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+11</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100,4</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bez vzdělání, s neúplným základním a se základním vzděláním</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2 939</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2 776</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-163</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94,5</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podíl nezaměstnaných osob (v %)</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14,3</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13,5</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-0,8</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94,4</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volná pracovní místa</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146</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264</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+118</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180,8</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měsíční průměr volných pracovních míst od začátku roku</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148</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241</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+93</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162,8</w:t>
            </w:r>
          </w:p>
        </w:tc>
      </w:tr>
      <w:tr w:rsidR="00C723DD" w:rsidRPr="006D2E00" w:rsidTr="00C723DD">
        <w:trPr>
          <w:cantSplit/>
        </w:trPr>
        <w:tc>
          <w:tcPr>
            <w:tcW w:w="5387" w:type="dxa"/>
            <w:tcBorders>
              <w:left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připadající na 1 volné pracovní místo</w:t>
            </w:r>
          </w:p>
        </w:tc>
        <w:tc>
          <w:tcPr>
            <w:tcW w:w="1027" w:type="dxa"/>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66,7</w:t>
            </w:r>
          </w:p>
        </w:tc>
        <w:tc>
          <w:tcPr>
            <w:tcW w:w="1028" w:type="dxa"/>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34,4</w:t>
            </w:r>
          </w:p>
        </w:tc>
        <w:tc>
          <w:tcPr>
            <w:tcW w:w="1028" w:type="dxa"/>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-32,3</w:t>
            </w:r>
          </w:p>
        </w:tc>
        <w:tc>
          <w:tcPr>
            <w:tcW w:w="1028" w:type="dxa"/>
            <w:tcBorders>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51,6</w:t>
            </w:r>
          </w:p>
        </w:tc>
      </w:tr>
      <w:tr w:rsidR="00C723DD" w:rsidRPr="006D2E00" w:rsidTr="00C723DD">
        <w:trPr>
          <w:cantSplit/>
        </w:trPr>
        <w:tc>
          <w:tcPr>
            <w:tcW w:w="5387" w:type="dxa"/>
            <w:tcBorders>
              <w:left w:val="double" w:sz="4" w:space="0" w:color="auto"/>
              <w:bottom w:val="doub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měsíční průměr uchazečů připadajících na 1 VPM v roce</w:t>
            </w:r>
          </w:p>
        </w:tc>
        <w:tc>
          <w:tcPr>
            <w:tcW w:w="1027" w:type="dxa"/>
            <w:tcBorders>
              <w:bottom w:val="double" w:sz="4" w:space="0" w:color="auto"/>
            </w:tcBorders>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62,1</w:t>
            </w:r>
          </w:p>
        </w:tc>
        <w:tc>
          <w:tcPr>
            <w:tcW w:w="1028" w:type="dxa"/>
            <w:tcBorders>
              <w:bottom w:val="double" w:sz="4" w:space="0" w:color="auto"/>
            </w:tcBorders>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40,9</w:t>
            </w:r>
          </w:p>
        </w:tc>
        <w:tc>
          <w:tcPr>
            <w:tcW w:w="1028" w:type="dxa"/>
            <w:tcBorders>
              <w:bottom w:val="double" w:sz="4" w:space="0" w:color="auto"/>
            </w:tcBorders>
            <w:vAlign w:val="center"/>
          </w:tcPr>
          <w:p w:rsidR="00C723DD" w:rsidRPr="006D2E00" w:rsidRDefault="00C723DD" w:rsidP="00C723DD">
            <w:pPr>
              <w:ind w:left="-70"/>
              <w:jc w:val="center"/>
              <w:rPr>
                <w:rFonts w:asciiTheme="minorHAnsi" w:hAnsiTheme="minorHAnsi" w:cstheme="minorHAnsi"/>
                <w:sz w:val="18"/>
              </w:rPr>
            </w:pPr>
            <w:r>
              <w:rPr>
                <w:rFonts w:asciiTheme="minorHAnsi" w:hAnsiTheme="minorHAnsi" w:cstheme="minorHAnsi"/>
                <w:sz w:val="18"/>
              </w:rPr>
              <w:t>-21,2</w:t>
            </w:r>
          </w:p>
        </w:tc>
        <w:tc>
          <w:tcPr>
            <w:tcW w:w="1028" w:type="dxa"/>
            <w:tcBorders>
              <w:bottom w:val="double" w:sz="4" w:space="0" w:color="auto"/>
              <w:right w:val="double" w:sz="4" w:space="0" w:color="auto"/>
            </w:tcBorders>
            <w:vAlign w:val="center"/>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65,9</w:t>
            </w:r>
          </w:p>
        </w:tc>
      </w:tr>
    </w:tbl>
    <w:p w:rsidR="00C723DD" w:rsidRPr="006D2E00" w:rsidRDefault="00C723DD" w:rsidP="00C723DD">
      <w:pPr>
        <w:spacing w:before="120"/>
        <w:rPr>
          <w:rFonts w:asciiTheme="minorHAnsi" w:hAnsiTheme="minorHAnsi" w:cstheme="minorHAnsi"/>
          <w:sz w:val="22"/>
        </w:rPr>
      </w:pPr>
    </w:p>
    <w:p w:rsidR="00C723DD" w:rsidRPr="006D2E00" w:rsidRDefault="00C723DD" w:rsidP="00C723DD">
      <w:pPr>
        <w:rPr>
          <w:rFonts w:asciiTheme="minorHAnsi" w:hAnsiTheme="minorHAnsi" w:cstheme="minorHAnsi"/>
          <w:sz w:val="22"/>
        </w:rPr>
      </w:pPr>
      <w:r w:rsidRPr="006D2E00">
        <w:rPr>
          <w:rFonts w:asciiTheme="minorHAnsi" w:hAnsiTheme="minorHAnsi" w:cstheme="minorHAnsi"/>
        </w:rPr>
        <w:br w:type="page"/>
      </w:r>
      <w:r w:rsidRPr="006D2E00">
        <w:rPr>
          <w:rFonts w:asciiTheme="minorHAnsi" w:hAnsiTheme="minorHAnsi" w:cstheme="minorHAnsi"/>
          <w:b/>
          <w:sz w:val="22"/>
        </w:rPr>
        <w:t>4. Tok nezaměstnanosti</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6D2E00" w:rsidTr="00C723DD">
        <w:trPr>
          <w:cantSplit/>
        </w:trPr>
        <w:tc>
          <w:tcPr>
            <w:tcW w:w="4536" w:type="dxa"/>
            <w:tcBorders>
              <w:bottom w:val="nil"/>
            </w:tcBorders>
            <w:vAlign w:val="center"/>
          </w:tcPr>
          <w:p w:rsidR="00C723DD" w:rsidRPr="006D2E00" w:rsidRDefault="00C723DD" w:rsidP="00C723DD">
            <w:pPr>
              <w:tabs>
                <w:tab w:val="left" w:pos="6946"/>
              </w:tabs>
              <w:jc w:val="center"/>
              <w:rPr>
                <w:rFonts w:asciiTheme="minorHAnsi" w:hAnsiTheme="minorHAnsi" w:cstheme="minorHAnsi"/>
                <w:b/>
                <w:i/>
                <w:sz w:val="18"/>
              </w:rPr>
            </w:pPr>
            <w:r w:rsidRPr="006D2E00">
              <w:rPr>
                <w:rFonts w:asciiTheme="minorHAnsi" w:hAnsiTheme="minorHAnsi" w:cstheme="minorHAnsi"/>
                <w:b/>
                <w:i/>
                <w:sz w:val="18"/>
              </w:rPr>
              <w:t>ukazatel</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(celkový počet)</w:t>
            </w:r>
          </w:p>
        </w:tc>
        <w:tc>
          <w:tcPr>
            <w:tcW w:w="1240" w:type="dxa"/>
            <w:tcBorders>
              <w:bottom w:val="nil"/>
            </w:tcBorders>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 xml:space="preserve">stav k </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3</w:t>
            </w:r>
          </w:p>
        </w:tc>
        <w:tc>
          <w:tcPr>
            <w:tcW w:w="1241" w:type="dxa"/>
            <w:tcBorders>
              <w:bottom w:val="nil"/>
            </w:tcBorders>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 xml:space="preserve">stav k </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4</w:t>
            </w:r>
          </w:p>
        </w:tc>
        <w:tc>
          <w:tcPr>
            <w:tcW w:w="1240" w:type="dxa"/>
            <w:tcBorders>
              <w:bottom w:val="nil"/>
            </w:tcBorders>
            <w:vAlign w:val="center"/>
          </w:tcPr>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meziroční rozdíl</w:t>
            </w:r>
          </w:p>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absolutně</w:t>
            </w:r>
          </w:p>
        </w:tc>
        <w:tc>
          <w:tcPr>
            <w:tcW w:w="1241" w:type="dxa"/>
            <w:tcBorders>
              <w:bottom w:val="nil"/>
            </w:tcBorders>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index</w:t>
            </w:r>
          </w:p>
          <w:p w:rsidR="00C723DD" w:rsidRPr="006D2E0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v %</w:t>
            </w:r>
          </w:p>
        </w:tc>
      </w:tr>
      <w:tr w:rsidR="00C723DD" w:rsidRPr="006D2E00" w:rsidTr="00C723DD">
        <w:trPr>
          <w:cantSplit/>
        </w:trPr>
        <w:tc>
          <w:tcPr>
            <w:tcW w:w="4536" w:type="dxa"/>
            <w:tcBorders>
              <w:top w:val="double" w:sz="4" w:space="0" w:color="auto"/>
              <w:bottom w:val="single" w:sz="4" w:space="0" w:color="auto"/>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měsíční průměr evidenčního stavu uchazečů v roce</w:t>
            </w:r>
          </w:p>
        </w:tc>
        <w:tc>
          <w:tcPr>
            <w:tcW w:w="1240" w:type="dxa"/>
            <w:tcBorders>
              <w:top w:val="double" w:sz="4" w:space="0" w:color="auto"/>
              <w:bottom w:val="single" w:sz="4" w:space="0" w:color="auto"/>
            </w:tcBorders>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9 005</w:t>
            </w:r>
          </w:p>
        </w:tc>
        <w:tc>
          <w:tcPr>
            <w:tcW w:w="1241" w:type="dxa"/>
            <w:tcBorders>
              <w:top w:val="double" w:sz="4" w:space="0" w:color="auto"/>
              <w:bottom w:val="single" w:sz="4" w:space="0" w:color="auto"/>
            </w:tcBorders>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8 944</w:t>
            </w:r>
          </w:p>
        </w:tc>
        <w:tc>
          <w:tcPr>
            <w:tcW w:w="1240" w:type="dxa"/>
            <w:tcBorders>
              <w:top w:val="double" w:sz="4" w:space="0" w:color="auto"/>
              <w:bottom w:val="single" w:sz="4" w:space="0" w:color="auto"/>
            </w:tcBorders>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-61</w:t>
            </w:r>
          </w:p>
        </w:tc>
        <w:tc>
          <w:tcPr>
            <w:tcW w:w="1241" w:type="dxa"/>
            <w:tcBorders>
              <w:top w:val="double" w:sz="4" w:space="0" w:color="auto"/>
              <w:bottom w:val="single" w:sz="4" w:space="0" w:color="auto"/>
            </w:tcBorders>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99,3</w:t>
            </w:r>
          </w:p>
        </w:tc>
      </w:tr>
      <w:tr w:rsidR="00C723DD" w:rsidRPr="006D2E00" w:rsidTr="00C723DD">
        <w:trPr>
          <w:cantSplit/>
        </w:trPr>
        <w:tc>
          <w:tcPr>
            <w:tcW w:w="4536" w:type="dxa"/>
            <w:tcBorders>
              <w:top w:val="nil"/>
            </w:tcBorders>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 xml:space="preserve">uchazeči nově evidovaní v roce </w:t>
            </w:r>
          </w:p>
        </w:tc>
        <w:tc>
          <w:tcPr>
            <w:tcW w:w="1240" w:type="dxa"/>
            <w:tcBorders>
              <w:top w:val="nil"/>
            </w:tcBorders>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7 792</w:t>
            </w:r>
          </w:p>
        </w:tc>
        <w:tc>
          <w:tcPr>
            <w:tcW w:w="1241" w:type="dxa"/>
            <w:tcBorders>
              <w:top w:val="nil"/>
            </w:tcBorders>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8 048</w:t>
            </w:r>
          </w:p>
        </w:tc>
        <w:tc>
          <w:tcPr>
            <w:tcW w:w="1240" w:type="dxa"/>
            <w:tcBorders>
              <w:top w:val="nil"/>
            </w:tcBorders>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+256</w:t>
            </w:r>
          </w:p>
        </w:tc>
        <w:tc>
          <w:tcPr>
            <w:tcW w:w="1241" w:type="dxa"/>
            <w:tcBorders>
              <w:top w:val="nil"/>
            </w:tcBorders>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103,3</w:t>
            </w:r>
          </w:p>
        </w:tc>
      </w:tr>
      <w:tr w:rsidR="00C723DD" w:rsidRPr="006D2E00" w:rsidTr="00C723DD">
        <w:trPr>
          <w:cantSplit/>
        </w:trPr>
        <w:tc>
          <w:tcPr>
            <w:tcW w:w="4536" w:type="dxa"/>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měsíční průměr nově evidovaných uchazečů v roce</w:t>
            </w:r>
          </w:p>
        </w:tc>
        <w:tc>
          <w:tcPr>
            <w:tcW w:w="1240" w:type="dxa"/>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649</w:t>
            </w:r>
          </w:p>
        </w:tc>
        <w:tc>
          <w:tcPr>
            <w:tcW w:w="1241" w:type="dxa"/>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671</w:t>
            </w:r>
          </w:p>
        </w:tc>
        <w:tc>
          <w:tcPr>
            <w:tcW w:w="1240"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+22</w:t>
            </w:r>
          </w:p>
        </w:tc>
        <w:tc>
          <w:tcPr>
            <w:tcW w:w="1241"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103,4</w:t>
            </w:r>
          </w:p>
        </w:tc>
      </w:tr>
      <w:tr w:rsidR="00C723DD" w:rsidRPr="006D2E00" w:rsidTr="00C723DD">
        <w:trPr>
          <w:cantSplit/>
        </w:trPr>
        <w:tc>
          <w:tcPr>
            <w:tcW w:w="4536" w:type="dxa"/>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uchazeči vyřazení z evidence v roce</w:t>
            </w:r>
          </w:p>
        </w:tc>
        <w:tc>
          <w:tcPr>
            <w:tcW w:w="1240" w:type="dxa"/>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7 247</w:t>
            </w:r>
          </w:p>
        </w:tc>
        <w:tc>
          <w:tcPr>
            <w:tcW w:w="1241" w:type="dxa"/>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8 704</w:t>
            </w:r>
          </w:p>
        </w:tc>
        <w:tc>
          <w:tcPr>
            <w:tcW w:w="1240"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+1 457</w:t>
            </w:r>
          </w:p>
        </w:tc>
        <w:tc>
          <w:tcPr>
            <w:tcW w:w="1241"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120,1</w:t>
            </w:r>
          </w:p>
        </w:tc>
      </w:tr>
      <w:tr w:rsidR="00C723DD" w:rsidRPr="006D2E00" w:rsidTr="00C723DD">
        <w:trPr>
          <w:cantSplit/>
        </w:trPr>
        <w:tc>
          <w:tcPr>
            <w:tcW w:w="4536" w:type="dxa"/>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 toho   - umístění (ÚP + jinak)</w:t>
            </w:r>
          </w:p>
        </w:tc>
        <w:tc>
          <w:tcPr>
            <w:tcW w:w="1240" w:type="dxa"/>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4 282</w:t>
            </w:r>
          </w:p>
        </w:tc>
        <w:tc>
          <w:tcPr>
            <w:tcW w:w="1241" w:type="dxa"/>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5 812</w:t>
            </w:r>
          </w:p>
        </w:tc>
        <w:tc>
          <w:tcPr>
            <w:tcW w:w="1240"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+1 530</w:t>
            </w:r>
          </w:p>
        </w:tc>
        <w:tc>
          <w:tcPr>
            <w:tcW w:w="1241"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135,7</w:t>
            </w:r>
          </w:p>
        </w:tc>
      </w:tr>
      <w:tr w:rsidR="00C723DD" w:rsidRPr="006D2E00" w:rsidTr="00C723DD">
        <w:trPr>
          <w:cantSplit/>
        </w:trPr>
        <w:tc>
          <w:tcPr>
            <w:tcW w:w="4536" w:type="dxa"/>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měsíční průměr uchazečů vyřazených z evidence v roce</w:t>
            </w:r>
          </w:p>
        </w:tc>
        <w:tc>
          <w:tcPr>
            <w:tcW w:w="1240" w:type="dxa"/>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604</w:t>
            </w:r>
          </w:p>
        </w:tc>
        <w:tc>
          <w:tcPr>
            <w:tcW w:w="1241" w:type="dxa"/>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725</w:t>
            </w:r>
          </w:p>
        </w:tc>
        <w:tc>
          <w:tcPr>
            <w:tcW w:w="1240"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+121</w:t>
            </w:r>
          </w:p>
        </w:tc>
        <w:tc>
          <w:tcPr>
            <w:tcW w:w="1241"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120,0</w:t>
            </w:r>
          </w:p>
        </w:tc>
      </w:tr>
      <w:tr w:rsidR="00C723DD" w:rsidRPr="006D2E00" w:rsidTr="00C723DD">
        <w:trPr>
          <w:cantSplit/>
        </w:trPr>
        <w:tc>
          <w:tcPr>
            <w:tcW w:w="4536" w:type="dxa"/>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 toho   - umístění (ÚP + jinak)</w:t>
            </w:r>
          </w:p>
        </w:tc>
        <w:tc>
          <w:tcPr>
            <w:tcW w:w="1240" w:type="dxa"/>
            <w:vAlign w:val="bottom"/>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357</w:t>
            </w:r>
          </w:p>
        </w:tc>
        <w:tc>
          <w:tcPr>
            <w:tcW w:w="1241" w:type="dxa"/>
            <w:vAlign w:val="bottom"/>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484</w:t>
            </w:r>
          </w:p>
        </w:tc>
        <w:tc>
          <w:tcPr>
            <w:tcW w:w="1240"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+127</w:t>
            </w:r>
          </w:p>
        </w:tc>
        <w:tc>
          <w:tcPr>
            <w:tcW w:w="1241" w:type="dxa"/>
            <w:vAlign w:val="bottom"/>
          </w:tcPr>
          <w:p w:rsidR="00C723DD" w:rsidRPr="006D2E00" w:rsidRDefault="00C723DD" w:rsidP="00C723DD">
            <w:pPr>
              <w:jc w:val="center"/>
              <w:rPr>
                <w:rFonts w:asciiTheme="minorHAnsi" w:hAnsiTheme="minorHAnsi" w:cstheme="minorHAnsi"/>
                <w:sz w:val="18"/>
              </w:rPr>
            </w:pPr>
            <w:r>
              <w:rPr>
                <w:rFonts w:asciiTheme="minorHAnsi" w:hAnsiTheme="minorHAnsi" w:cstheme="minorHAnsi"/>
                <w:sz w:val="18"/>
              </w:rPr>
              <w:t>135,6</w:t>
            </w:r>
          </w:p>
        </w:tc>
      </w:tr>
    </w:tbl>
    <w:p w:rsidR="00C723DD" w:rsidRPr="006D2E00" w:rsidRDefault="00C723DD" w:rsidP="00C723DD">
      <w:pPr>
        <w:ind w:right="-567"/>
        <w:jc w:val="both"/>
        <w:rPr>
          <w:rFonts w:asciiTheme="minorHAnsi" w:hAnsiTheme="minorHAnsi" w:cstheme="minorHAnsi"/>
          <w:b/>
        </w:rPr>
      </w:pPr>
    </w:p>
    <w:p w:rsidR="00C723DD" w:rsidRPr="006D2E00" w:rsidRDefault="00C723DD" w:rsidP="00C723DD">
      <w:pPr>
        <w:ind w:right="-567"/>
        <w:jc w:val="both"/>
        <w:rPr>
          <w:rFonts w:asciiTheme="minorHAnsi" w:hAnsiTheme="minorHAnsi" w:cstheme="minorHAnsi"/>
        </w:rPr>
      </w:pPr>
      <w:r w:rsidRPr="006D2E00">
        <w:rPr>
          <w:rFonts w:asciiTheme="minorHAnsi" w:hAnsiTheme="minorHAnsi" w:cstheme="minorHAnsi"/>
          <w:b/>
          <w:sz w:val="22"/>
        </w:rPr>
        <w:t xml:space="preserve">5. Charakteristika </w:t>
      </w:r>
      <w:r w:rsidRPr="006D2E00">
        <w:rPr>
          <w:rFonts w:asciiTheme="minorHAnsi" w:hAnsiTheme="minorHAnsi" w:cstheme="minorHAnsi"/>
          <w:b/>
        </w:rPr>
        <w:t xml:space="preserve">KoPů </w:t>
      </w:r>
      <w:r>
        <w:rPr>
          <w:rFonts w:asciiTheme="minorHAnsi" w:hAnsiTheme="minorHAnsi" w:cstheme="minorHAnsi"/>
          <w:b/>
          <w:sz w:val="18"/>
          <w:szCs w:val="18"/>
        </w:rPr>
        <w:t>(stav k 31.12.2014</w:t>
      </w:r>
      <w:r w:rsidRPr="006D2E00">
        <w:rPr>
          <w:rFonts w:asciiTheme="minorHAnsi" w:hAnsiTheme="minorHAnsi" w:cstheme="minorHAnsi"/>
          <w:b/>
          <w:sz w:val="18"/>
          <w:szCs w:val="18"/>
        </w:rPr>
        <w: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063"/>
        <w:gridCol w:w="1418"/>
      </w:tblGrid>
      <w:tr w:rsidR="00C723DD" w:rsidRPr="006D2E00" w:rsidTr="00C723DD">
        <w:tc>
          <w:tcPr>
            <w:tcW w:w="4536" w:type="dxa"/>
            <w:tcBorders>
              <w:top w:val="double" w:sz="4" w:space="0" w:color="auto"/>
              <w:bottom w:val="double" w:sz="4" w:space="0" w:color="auto"/>
            </w:tcBorders>
            <w:vAlign w:val="center"/>
          </w:tcPr>
          <w:p w:rsidR="00C723DD" w:rsidRPr="006D2E00" w:rsidRDefault="00C723DD" w:rsidP="00C723DD">
            <w:pPr>
              <w:jc w:val="center"/>
              <w:rPr>
                <w:rFonts w:asciiTheme="minorHAnsi" w:hAnsiTheme="minorHAnsi" w:cstheme="minorHAnsi"/>
                <w:sz w:val="18"/>
                <w:szCs w:val="18"/>
              </w:rPr>
            </w:pPr>
            <w:r w:rsidRPr="006D2E00">
              <w:rPr>
                <w:rFonts w:asciiTheme="minorHAnsi" w:hAnsiTheme="minorHAnsi" w:cstheme="minorHAnsi"/>
                <w:sz w:val="18"/>
                <w:szCs w:val="18"/>
              </w:rPr>
              <w:t>název KoPů</w:t>
            </w:r>
          </w:p>
        </w:tc>
        <w:tc>
          <w:tcPr>
            <w:tcW w:w="1240" w:type="dxa"/>
            <w:tcBorders>
              <w:top w:val="double" w:sz="4" w:space="0" w:color="auto"/>
              <w:bottom w:val="double" w:sz="4" w:space="0" w:color="auto"/>
            </w:tcBorders>
            <w:vAlign w:val="center"/>
          </w:tcPr>
          <w:p w:rsidR="00C723DD" w:rsidRPr="006D2E00" w:rsidRDefault="00C723DD" w:rsidP="00C723DD">
            <w:pPr>
              <w:jc w:val="center"/>
              <w:rPr>
                <w:rFonts w:asciiTheme="minorHAnsi" w:hAnsiTheme="minorHAnsi" w:cstheme="minorHAnsi"/>
                <w:b/>
                <w:i/>
                <w:iCs/>
                <w:sz w:val="18"/>
                <w:szCs w:val="18"/>
              </w:rPr>
            </w:pPr>
            <w:r w:rsidRPr="006D2E00">
              <w:rPr>
                <w:rFonts w:asciiTheme="minorHAnsi" w:hAnsiTheme="minorHAnsi" w:cstheme="minorHAnsi"/>
                <w:b/>
                <w:i/>
                <w:iCs/>
                <w:sz w:val="18"/>
                <w:szCs w:val="18"/>
              </w:rPr>
              <w:t>počet obyvatel</w:t>
            </w:r>
          </w:p>
        </w:tc>
        <w:tc>
          <w:tcPr>
            <w:tcW w:w="1241" w:type="dxa"/>
            <w:tcBorders>
              <w:top w:val="double" w:sz="4" w:space="0" w:color="auto"/>
              <w:bottom w:val="double" w:sz="4" w:space="0" w:color="auto"/>
            </w:tcBorders>
            <w:vAlign w:val="center"/>
          </w:tcPr>
          <w:p w:rsidR="00C723DD" w:rsidRPr="006D2E00" w:rsidRDefault="00C723DD" w:rsidP="00C723DD">
            <w:pPr>
              <w:jc w:val="center"/>
              <w:rPr>
                <w:rFonts w:asciiTheme="minorHAnsi" w:hAnsiTheme="minorHAnsi" w:cstheme="minorHAnsi"/>
                <w:b/>
                <w:i/>
                <w:iCs/>
                <w:sz w:val="18"/>
                <w:szCs w:val="18"/>
              </w:rPr>
            </w:pPr>
            <w:r w:rsidRPr="006D2E00">
              <w:rPr>
                <w:rFonts w:asciiTheme="minorHAnsi" w:hAnsiTheme="minorHAnsi" w:cstheme="minorHAnsi"/>
                <w:b/>
                <w:i/>
                <w:iCs/>
                <w:sz w:val="18"/>
                <w:szCs w:val="18"/>
              </w:rPr>
              <w:t>obyv. 15-64 let</w:t>
            </w:r>
          </w:p>
        </w:tc>
        <w:tc>
          <w:tcPr>
            <w:tcW w:w="1063" w:type="dxa"/>
            <w:tcBorders>
              <w:top w:val="double" w:sz="4" w:space="0" w:color="auto"/>
              <w:bottom w:val="double" w:sz="4" w:space="0" w:color="auto"/>
            </w:tcBorders>
            <w:vAlign w:val="center"/>
          </w:tcPr>
          <w:p w:rsidR="00C723DD" w:rsidRPr="006D2E00" w:rsidRDefault="00C723DD" w:rsidP="00C723DD">
            <w:pPr>
              <w:jc w:val="center"/>
              <w:rPr>
                <w:rFonts w:asciiTheme="minorHAnsi" w:hAnsiTheme="minorHAnsi" w:cstheme="minorHAnsi"/>
                <w:b/>
                <w:i/>
                <w:iCs/>
                <w:sz w:val="18"/>
                <w:szCs w:val="18"/>
              </w:rPr>
            </w:pPr>
            <w:r w:rsidRPr="006D2E00">
              <w:rPr>
                <w:rFonts w:asciiTheme="minorHAnsi" w:hAnsiTheme="minorHAnsi" w:cstheme="minorHAnsi"/>
                <w:b/>
                <w:i/>
                <w:iCs/>
                <w:sz w:val="18"/>
                <w:szCs w:val="18"/>
              </w:rPr>
              <w:t>počet uchazečů</w:t>
            </w:r>
          </w:p>
        </w:tc>
        <w:tc>
          <w:tcPr>
            <w:tcW w:w="1418" w:type="dxa"/>
            <w:tcBorders>
              <w:top w:val="double" w:sz="4" w:space="0" w:color="auto"/>
              <w:bottom w:val="double" w:sz="4" w:space="0" w:color="auto"/>
            </w:tcBorders>
            <w:vAlign w:val="center"/>
          </w:tcPr>
          <w:p w:rsidR="00C723DD" w:rsidRPr="006D2E00" w:rsidRDefault="00C723DD" w:rsidP="00C723DD">
            <w:pPr>
              <w:jc w:val="center"/>
              <w:rPr>
                <w:rFonts w:asciiTheme="minorHAnsi" w:hAnsiTheme="minorHAnsi" w:cstheme="minorHAnsi"/>
                <w:b/>
                <w:i/>
                <w:iCs/>
                <w:sz w:val="18"/>
                <w:szCs w:val="18"/>
              </w:rPr>
            </w:pPr>
            <w:r w:rsidRPr="006D2E00">
              <w:rPr>
                <w:rFonts w:asciiTheme="minorHAnsi" w:hAnsiTheme="minorHAnsi" w:cstheme="minorHAnsi"/>
                <w:b/>
                <w:i/>
                <w:iCs/>
                <w:sz w:val="18"/>
                <w:szCs w:val="18"/>
              </w:rPr>
              <w:t>podíl nezaměstnaných osob v %</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Bruntálsko</w:t>
            </w:r>
          </w:p>
        </w:tc>
        <w:tc>
          <w:tcPr>
            <w:tcW w:w="1240" w:type="dxa"/>
            <w:vAlign w:val="bottom"/>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30 120</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21 107</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3 2</w:t>
            </w:r>
            <w:r w:rsidR="00A3510E">
              <w:rPr>
                <w:rFonts w:asciiTheme="minorHAnsi" w:hAnsiTheme="minorHAnsi" w:cstheme="minorHAnsi"/>
                <w:sz w:val="18"/>
                <w:szCs w:val="18"/>
              </w:rPr>
              <w:t>87</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14,9</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Krnovsko</w:t>
            </w:r>
          </w:p>
        </w:tc>
        <w:tc>
          <w:tcPr>
            <w:tcW w:w="1240" w:type="dxa"/>
            <w:vAlign w:val="bottom"/>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30 384</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20 608</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2 625</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12,4</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Rýmařovské</w:t>
            </w:r>
          </w:p>
        </w:tc>
        <w:tc>
          <w:tcPr>
            <w:tcW w:w="1240" w:type="dxa"/>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16 016</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11 000</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1 408</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12,0</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Osoblažsko</w:t>
            </w:r>
          </w:p>
        </w:tc>
        <w:tc>
          <w:tcPr>
            <w:tcW w:w="1240" w:type="dxa"/>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2 879</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1 969</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359</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17,6</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Albrechticko</w:t>
            </w:r>
          </w:p>
        </w:tc>
        <w:tc>
          <w:tcPr>
            <w:tcW w:w="1240" w:type="dxa"/>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8 107</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5 581</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708</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12,0</w:t>
            </w:r>
          </w:p>
        </w:tc>
      </w:tr>
      <w:tr w:rsidR="00C723DD" w:rsidRPr="006D2E00" w:rsidTr="00C723DD">
        <w:tc>
          <w:tcPr>
            <w:tcW w:w="4536" w:type="dxa"/>
          </w:tcPr>
          <w:p w:rsidR="00C723DD" w:rsidRPr="006C31DF" w:rsidRDefault="00C723DD" w:rsidP="00C723DD">
            <w:pPr>
              <w:rPr>
                <w:rFonts w:asciiTheme="minorHAnsi" w:hAnsiTheme="minorHAnsi" w:cstheme="minorHAnsi"/>
                <w:sz w:val="18"/>
                <w:szCs w:val="18"/>
              </w:rPr>
            </w:pPr>
            <w:r w:rsidRPr="006C31DF">
              <w:rPr>
                <w:rFonts w:asciiTheme="minorHAnsi" w:hAnsiTheme="minorHAnsi" w:cstheme="minorHAnsi"/>
                <w:sz w:val="18"/>
                <w:szCs w:val="18"/>
              </w:rPr>
              <w:t>Vrbensko</w:t>
            </w:r>
          </w:p>
        </w:tc>
        <w:tc>
          <w:tcPr>
            <w:tcW w:w="1240" w:type="dxa"/>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7 666</w:t>
            </w:r>
          </w:p>
        </w:tc>
        <w:tc>
          <w:tcPr>
            <w:tcW w:w="1241"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5 280</w:t>
            </w:r>
          </w:p>
        </w:tc>
        <w:tc>
          <w:tcPr>
            <w:tcW w:w="1063"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698</w:t>
            </w:r>
          </w:p>
        </w:tc>
        <w:tc>
          <w:tcPr>
            <w:tcW w:w="1418" w:type="dxa"/>
            <w:vAlign w:val="center"/>
          </w:tcPr>
          <w:p w:rsidR="00C723DD" w:rsidRPr="006C31DF" w:rsidRDefault="00C723DD" w:rsidP="00C723DD">
            <w:pPr>
              <w:jc w:val="center"/>
              <w:rPr>
                <w:rFonts w:asciiTheme="minorHAnsi" w:hAnsiTheme="minorHAnsi" w:cstheme="minorHAnsi"/>
                <w:sz w:val="18"/>
                <w:szCs w:val="18"/>
              </w:rPr>
            </w:pPr>
            <w:r w:rsidRPr="006C31DF">
              <w:rPr>
                <w:rFonts w:asciiTheme="minorHAnsi" w:hAnsiTheme="minorHAnsi" w:cstheme="minorHAnsi"/>
                <w:sz w:val="18"/>
                <w:szCs w:val="18"/>
              </w:rPr>
              <w:t>13,1</w:t>
            </w:r>
          </w:p>
        </w:tc>
      </w:tr>
    </w:tbl>
    <w:p w:rsidR="00C723DD" w:rsidRPr="006D2E00" w:rsidRDefault="00C723DD" w:rsidP="00C723DD">
      <w:pPr>
        <w:rPr>
          <w:rFonts w:asciiTheme="minorHAnsi" w:hAnsiTheme="minorHAnsi" w:cstheme="minorHAnsi"/>
          <w:b/>
        </w:rPr>
      </w:pPr>
    </w:p>
    <w:p w:rsidR="00C723DD" w:rsidRPr="006D2E00" w:rsidRDefault="00C723DD" w:rsidP="00C723DD">
      <w:pPr>
        <w:rPr>
          <w:rFonts w:asciiTheme="minorHAnsi" w:hAnsiTheme="minorHAnsi" w:cstheme="minorHAnsi"/>
          <w:sz w:val="22"/>
        </w:rPr>
      </w:pPr>
      <w:r w:rsidRPr="006D2E00">
        <w:rPr>
          <w:rFonts w:asciiTheme="minorHAnsi" w:hAnsiTheme="minorHAnsi" w:cstheme="minorHAnsi"/>
          <w:b/>
          <w:sz w:val="22"/>
        </w:rPr>
        <w:t>6. Aktivní politika zaměstnanosti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6D2E00" w:rsidTr="00C723DD">
        <w:trPr>
          <w:cantSplit/>
        </w:trPr>
        <w:tc>
          <w:tcPr>
            <w:tcW w:w="4536" w:type="dxa"/>
            <w:tcBorders>
              <w:top w:val="double" w:sz="4" w:space="0" w:color="auto"/>
              <w:left w:val="double" w:sz="4" w:space="0" w:color="auto"/>
              <w:bottom w:val="double" w:sz="4" w:space="0" w:color="auto"/>
            </w:tcBorders>
            <w:shd w:val="clear" w:color="auto" w:fill="auto"/>
            <w:vAlign w:val="center"/>
          </w:tcPr>
          <w:p w:rsidR="00C723DD" w:rsidRPr="006D2E00" w:rsidRDefault="00C723DD" w:rsidP="00C723DD">
            <w:pPr>
              <w:tabs>
                <w:tab w:val="left" w:pos="6946"/>
              </w:tabs>
              <w:jc w:val="center"/>
              <w:rPr>
                <w:rFonts w:asciiTheme="minorHAnsi" w:hAnsiTheme="minorHAnsi" w:cstheme="minorHAnsi"/>
                <w:b/>
                <w:i/>
                <w:sz w:val="18"/>
              </w:rPr>
            </w:pPr>
            <w:r w:rsidRPr="006D2E00">
              <w:rPr>
                <w:rFonts w:asciiTheme="minorHAnsi" w:hAnsiTheme="minorHAnsi" w:cstheme="minorHAnsi"/>
                <w:b/>
                <w:i/>
                <w:sz w:val="18"/>
              </w:rPr>
              <w:t>ukazatel</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(celkový počet)</w:t>
            </w:r>
          </w:p>
        </w:tc>
        <w:tc>
          <w:tcPr>
            <w:tcW w:w="1240" w:type="dxa"/>
            <w:tcBorders>
              <w:top w:val="double" w:sz="4" w:space="0" w:color="auto"/>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 xml:space="preserve">stav k </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3</w:t>
            </w:r>
          </w:p>
        </w:tc>
        <w:tc>
          <w:tcPr>
            <w:tcW w:w="1241" w:type="dxa"/>
            <w:tcBorders>
              <w:top w:val="double" w:sz="4" w:space="0" w:color="auto"/>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 xml:space="preserve">stav k </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31.12.</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201</w:t>
            </w:r>
            <w:r>
              <w:rPr>
                <w:rFonts w:asciiTheme="minorHAnsi" w:hAnsiTheme="minorHAnsi" w:cstheme="minorHAnsi"/>
                <w:b/>
                <w:i/>
                <w:sz w:val="18"/>
              </w:rPr>
              <w:t>4</w:t>
            </w:r>
          </w:p>
        </w:tc>
        <w:tc>
          <w:tcPr>
            <w:tcW w:w="1240" w:type="dxa"/>
            <w:tcBorders>
              <w:top w:val="double" w:sz="4" w:space="0" w:color="auto"/>
              <w:bottom w:val="double" w:sz="4" w:space="0" w:color="auto"/>
            </w:tcBorders>
            <w:shd w:val="clear" w:color="auto" w:fill="auto"/>
            <w:vAlign w:val="center"/>
          </w:tcPr>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meziroční rozdíl</w:t>
            </w:r>
          </w:p>
          <w:p w:rsidR="00C723DD" w:rsidRPr="006D2E00" w:rsidRDefault="00C723DD" w:rsidP="00C723DD">
            <w:pPr>
              <w:ind w:left="-70"/>
              <w:jc w:val="center"/>
              <w:rPr>
                <w:rFonts w:asciiTheme="minorHAnsi" w:hAnsiTheme="minorHAnsi" w:cstheme="minorHAnsi"/>
                <w:b/>
                <w:i/>
                <w:sz w:val="18"/>
              </w:rPr>
            </w:pPr>
            <w:r w:rsidRPr="006D2E00">
              <w:rPr>
                <w:rFonts w:asciiTheme="minorHAnsi" w:hAnsiTheme="minorHAnsi" w:cstheme="minorHAnsi"/>
                <w:b/>
                <w:i/>
                <w:sz w:val="18"/>
              </w:rPr>
              <w:t>absolutně</w:t>
            </w:r>
          </w:p>
        </w:tc>
        <w:tc>
          <w:tcPr>
            <w:tcW w:w="1241" w:type="dxa"/>
            <w:tcBorders>
              <w:top w:val="double" w:sz="4" w:space="0" w:color="auto"/>
              <w:bottom w:val="double" w:sz="4" w:space="0" w:color="auto"/>
              <w:right w:val="double" w:sz="4" w:space="0" w:color="auto"/>
            </w:tcBorders>
            <w:shd w:val="clear" w:color="auto" w:fill="auto"/>
            <w:vAlign w:val="center"/>
          </w:tcPr>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index</w:t>
            </w:r>
          </w:p>
          <w:p w:rsidR="00C723DD" w:rsidRPr="006D2E0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6D2E00" w:rsidRDefault="00C723DD" w:rsidP="00C723DD">
            <w:pPr>
              <w:jc w:val="center"/>
              <w:rPr>
                <w:rFonts w:asciiTheme="minorHAnsi" w:hAnsiTheme="minorHAnsi" w:cstheme="minorHAnsi"/>
                <w:b/>
                <w:i/>
                <w:sz w:val="18"/>
              </w:rPr>
            </w:pPr>
            <w:r w:rsidRPr="006D2E00">
              <w:rPr>
                <w:rFonts w:asciiTheme="minorHAnsi" w:hAnsiTheme="minorHAnsi" w:cstheme="minorHAnsi"/>
                <w:b/>
                <w:i/>
                <w:sz w:val="18"/>
              </w:rPr>
              <w:t>v %</w:t>
            </w:r>
          </w:p>
        </w:tc>
      </w:tr>
      <w:tr w:rsidR="00C723DD" w:rsidRPr="006D2E00" w:rsidTr="00C723DD">
        <w:trPr>
          <w:cantSplit/>
        </w:trPr>
        <w:tc>
          <w:tcPr>
            <w:tcW w:w="4536" w:type="dxa"/>
            <w:tcBorders>
              <w:top w:val="double" w:sz="4" w:space="0" w:color="auto"/>
              <w:left w:val="double" w:sz="4" w:space="0" w:color="auto"/>
              <w:bottom w:val="single" w:sz="12" w:space="0" w:color="auto"/>
            </w:tcBorders>
            <w:shd w:val="clear" w:color="auto" w:fill="auto"/>
          </w:tcPr>
          <w:p w:rsidR="00C723DD" w:rsidRPr="006D2E00" w:rsidRDefault="00C723DD" w:rsidP="00C723DD">
            <w:pPr>
              <w:rPr>
                <w:rFonts w:asciiTheme="minorHAnsi" w:hAnsiTheme="minorHAnsi" w:cstheme="minorHAnsi"/>
                <w:sz w:val="18"/>
              </w:rPr>
            </w:pPr>
            <w:r>
              <w:rPr>
                <w:rFonts w:asciiTheme="minorHAnsi" w:hAnsiTheme="minorHAnsi" w:cstheme="minorHAnsi"/>
                <w:sz w:val="18"/>
              </w:rPr>
              <w:t>pracovní místa podpořená</w:t>
            </w:r>
            <w:r w:rsidRPr="006D2E00">
              <w:rPr>
                <w:rFonts w:asciiTheme="minorHAnsi" w:hAnsiTheme="minorHAnsi" w:cstheme="minorHAnsi"/>
                <w:sz w:val="18"/>
              </w:rPr>
              <w:t xml:space="preserve"> s finančním příspěvkem ÚP </w:t>
            </w:r>
          </w:p>
        </w:tc>
        <w:tc>
          <w:tcPr>
            <w:tcW w:w="1240" w:type="dxa"/>
            <w:tcBorders>
              <w:top w:val="double" w:sz="4" w:space="0" w:color="auto"/>
              <w:bottom w:val="single" w:sz="12" w:space="0" w:color="auto"/>
            </w:tcBorders>
            <w:shd w:val="clear" w:color="auto" w:fill="auto"/>
            <w:vAlign w:val="center"/>
          </w:tcPr>
          <w:p w:rsidR="00C723DD" w:rsidRPr="00C7272A" w:rsidRDefault="00C723DD" w:rsidP="00C723DD">
            <w:pPr>
              <w:jc w:val="center"/>
              <w:rPr>
                <w:rFonts w:asciiTheme="minorHAnsi" w:hAnsiTheme="minorHAnsi" w:cstheme="minorHAnsi"/>
                <w:b/>
                <w:sz w:val="18"/>
              </w:rPr>
            </w:pPr>
            <w:r w:rsidRPr="00C7272A">
              <w:rPr>
                <w:rFonts w:asciiTheme="minorHAnsi" w:hAnsiTheme="minorHAnsi" w:cstheme="minorHAnsi"/>
                <w:b/>
                <w:sz w:val="18"/>
              </w:rPr>
              <w:t>1 033</w:t>
            </w:r>
          </w:p>
        </w:tc>
        <w:tc>
          <w:tcPr>
            <w:tcW w:w="1241" w:type="dxa"/>
            <w:tcBorders>
              <w:top w:val="double" w:sz="4" w:space="0" w:color="auto"/>
              <w:bottom w:val="single" w:sz="12" w:space="0" w:color="auto"/>
            </w:tcBorders>
            <w:shd w:val="clear" w:color="auto" w:fill="auto"/>
            <w:vAlign w:val="center"/>
          </w:tcPr>
          <w:p w:rsidR="00C723DD" w:rsidRPr="00C7272A" w:rsidRDefault="00C723DD" w:rsidP="00C723DD">
            <w:pPr>
              <w:jc w:val="center"/>
              <w:rPr>
                <w:rFonts w:asciiTheme="minorHAnsi" w:hAnsiTheme="minorHAnsi" w:cstheme="minorHAnsi"/>
                <w:b/>
                <w:sz w:val="18"/>
              </w:rPr>
            </w:pPr>
            <w:r w:rsidRPr="00C7272A">
              <w:rPr>
                <w:rFonts w:asciiTheme="minorHAnsi" w:hAnsiTheme="minorHAnsi" w:cstheme="minorHAnsi"/>
                <w:b/>
                <w:sz w:val="18"/>
              </w:rPr>
              <w:t>1 182</w:t>
            </w:r>
          </w:p>
        </w:tc>
        <w:tc>
          <w:tcPr>
            <w:tcW w:w="1240" w:type="dxa"/>
            <w:tcBorders>
              <w:top w:val="double" w:sz="4" w:space="0" w:color="auto"/>
              <w:bottom w:val="single" w:sz="12" w:space="0" w:color="auto"/>
            </w:tcBorders>
            <w:shd w:val="clear" w:color="auto" w:fill="auto"/>
            <w:vAlign w:val="bottom"/>
          </w:tcPr>
          <w:p w:rsidR="00C723DD" w:rsidRPr="00A3516C" w:rsidRDefault="00C723DD" w:rsidP="00C723DD">
            <w:pPr>
              <w:jc w:val="center"/>
              <w:rPr>
                <w:rFonts w:asciiTheme="minorHAnsi" w:hAnsiTheme="minorHAnsi" w:cstheme="minorHAnsi"/>
                <w:b/>
                <w:sz w:val="18"/>
                <w:szCs w:val="18"/>
              </w:rPr>
            </w:pPr>
            <w:r w:rsidRPr="00A3516C">
              <w:rPr>
                <w:rFonts w:asciiTheme="minorHAnsi" w:hAnsiTheme="minorHAnsi" w:cstheme="minorHAnsi"/>
                <w:b/>
                <w:sz w:val="18"/>
                <w:szCs w:val="18"/>
              </w:rPr>
              <w:t>+149</w:t>
            </w:r>
          </w:p>
        </w:tc>
        <w:tc>
          <w:tcPr>
            <w:tcW w:w="1241" w:type="dxa"/>
            <w:tcBorders>
              <w:top w:val="double" w:sz="4" w:space="0" w:color="auto"/>
              <w:bottom w:val="single" w:sz="12" w:space="0" w:color="auto"/>
              <w:right w:val="double" w:sz="4" w:space="0" w:color="auto"/>
            </w:tcBorders>
            <w:shd w:val="clear" w:color="auto" w:fill="auto"/>
          </w:tcPr>
          <w:p w:rsidR="00C723DD" w:rsidRPr="00A3516C" w:rsidRDefault="00C723DD" w:rsidP="00C723DD">
            <w:pPr>
              <w:jc w:val="center"/>
              <w:rPr>
                <w:rFonts w:asciiTheme="minorHAnsi" w:hAnsiTheme="minorHAnsi" w:cstheme="minorHAnsi"/>
                <w:b/>
                <w:sz w:val="18"/>
                <w:szCs w:val="18"/>
              </w:rPr>
            </w:pPr>
            <w:r w:rsidRPr="00A3516C">
              <w:rPr>
                <w:rFonts w:asciiTheme="minorHAnsi" w:hAnsiTheme="minorHAnsi" w:cstheme="minorHAnsi"/>
                <w:b/>
                <w:sz w:val="18"/>
                <w:szCs w:val="18"/>
              </w:rPr>
              <w:t>114,4</w:t>
            </w:r>
          </w:p>
        </w:tc>
      </w:tr>
      <w:tr w:rsidR="00C723DD" w:rsidRPr="006D2E00" w:rsidTr="00C723DD">
        <w:trPr>
          <w:cantSplit/>
        </w:trPr>
        <w:tc>
          <w:tcPr>
            <w:tcW w:w="4536" w:type="dxa"/>
            <w:tcBorders>
              <w:top w:val="single" w:sz="12" w:space="0" w:color="auto"/>
              <w:left w:val="double" w:sz="4" w:space="0" w:color="auto"/>
            </w:tcBorders>
            <w:shd w:val="clear" w:color="auto" w:fill="auto"/>
          </w:tcPr>
          <w:p w:rsidR="00C723DD" w:rsidRPr="006D2E00" w:rsidRDefault="00C723DD" w:rsidP="00C723DD">
            <w:pPr>
              <w:ind w:left="639" w:hanging="639"/>
              <w:rPr>
                <w:rFonts w:asciiTheme="minorHAnsi" w:hAnsiTheme="minorHAnsi" w:cstheme="minorHAnsi"/>
                <w:sz w:val="18"/>
              </w:rPr>
            </w:pPr>
            <w:r w:rsidRPr="006D2E00">
              <w:rPr>
                <w:rFonts w:asciiTheme="minorHAnsi" w:hAnsiTheme="minorHAnsi" w:cstheme="minorHAnsi"/>
                <w:sz w:val="18"/>
              </w:rPr>
              <w:t xml:space="preserve">z toho - SÚPM - SVČ zřízená uchazeči o zaměstnání </w:t>
            </w:r>
          </w:p>
        </w:tc>
        <w:tc>
          <w:tcPr>
            <w:tcW w:w="1240" w:type="dxa"/>
            <w:tcBorders>
              <w:top w:val="single" w:sz="12"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35</w:t>
            </w:r>
          </w:p>
        </w:tc>
        <w:tc>
          <w:tcPr>
            <w:tcW w:w="1241" w:type="dxa"/>
            <w:tcBorders>
              <w:top w:val="single" w:sz="12"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24</w:t>
            </w:r>
          </w:p>
        </w:tc>
        <w:tc>
          <w:tcPr>
            <w:tcW w:w="1240" w:type="dxa"/>
            <w:tcBorders>
              <w:top w:val="single" w:sz="12"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-11</w:t>
            </w:r>
          </w:p>
        </w:tc>
        <w:tc>
          <w:tcPr>
            <w:tcW w:w="1241" w:type="dxa"/>
            <w:tcBorders>
              <w:top w:val="single" w:sz="12"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68,6</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SÚPM zřízená zaměstnavateli</w:t>
            </w:r>
          </w:p>
        </w:tc>
        <w:tc>
          <w:tcPr>
            <w:tcW w:w="1240"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4</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9</w:t>
            </w:r>
          </w:p>
        </w:tc>
        <w:tc>
          <w:tcPr>
            <w:tcW w:w="1240" w:type="dxa"/>
            <w:tcBorders>
              <w:bottom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+5</w:t>
            </w:r>
          </w:p>
        </w:tc>
        <w:tc>
          <w:tcPr>
            <w:tcW w:w="1241"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225,0</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SÚPM vyhrazená zaměstnavateli</w:t>
            </w:r>
          </w:p>
        </w:tc>
        <w:tc>
          <w:tcPr>
            <w:tcW w:w="1240" w:type="dxa"/>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102</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22</w:t>
            </w:r>
          </w:p>
        </w:tc>
        <w:tc>
          <w:tcPr>
            <w:tcW w:w="1240" w:type="dxa"/>
            <w:tcBorders>
              <w:top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-80</w:t>
            </w:r>
          </w:p>
        </w:tc>
        <w:tc>
          <w:tcPr>
            <w:tcW w:w="1241"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21,6</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SÚPM vyhrazená - NIP ESF-OP LZZ</w:t>
            </w:r>
          </w:p>
        </w:tc>
        <w:tc>
          <w:tcPr>
            <w:tcW w:w="1240" w:type="dxa"/>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230</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394</w:t>
            </w:r>
          </w:p>
        </w:tc>
        <w:tc>
          <w:tcPr>
            <w:tcW w:w="1240" w:type="dxa"/>
            <w:tcBorders>
              <w:top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+164</w:t>
            </w:r>
          </w:p>
        </w:tc>
        <w:tc>
          <w:tcPr>
            <w:tcW w:w="1241"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171,3</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veřejně prospěšné práce</w:t>
            </w:r>
          </w:p>
        </w:tc>
        <w:tc>
          <w:tcPr>
            <w:tcW w:w="1240" w:type="dxa"/>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23</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165</w:t>
            </w:r>
          </w:p>
        </w:tc>
        <w:tc>
          <w:tcPr>
            <w:tcW w:w="1240" w:type="dxa"/>
            <w:tcBorders>
              <w:top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+142</w:t>
            </w:r>
          </w:p>
        </w:tc>
        <w:tc>
          <w:tcPr>
            <w:tcW w:w="1241" w:type="dxa"/>
            <w:tcBorders>
              <w:top w:val="single" w:sz="4"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717,4</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veřejně prospěšné práce - NIP ESF-OP LZZ</w:t>
            </w:r>
          </w:p>
        </w:tc>
        <w:tc>
          <w:tcPr>
            <w:tcW w:w="1240" w:type="dxa"/>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597</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437</w:t>
            </w:r>
          </w:p>
        </w:tc>
        <w:tc>
          <w:tcPr>
            <w:tcW w:w="1240" w:type="dxa"/>
            <w:tcBorders>
              <w:top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-160</w:t>
            </w:r>
          </w:p>
        </w:tc>
        <w:tc>
          <w:tcPr>
            <w:tcW w:w="1241"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73,2</w:t>
            </w:r>
          </w:p>
        </w:tc>
      </w:tr>
      <w:tr w:rsidR="00C723DD" w:rsidRPr="006D2E00" w:rsidTr="00C723DD">
        <w:trPr>
          <w:cantSplit/>
        </w:trPr>
        <w:tc>
          <w:tcPr>
            <w:tcW w:w="4536" w:type="dxa"/>
            <w:tcBorders>
              <w:left w:val="doub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CHPM-SVČ osob se ZP</w:t>
            </w:r>
          </w:p>
        </w:tc>
        <w:tc>
          <w:tcPr>
            <w:tcW w:w="1240" w:type="dxa"/>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0</w:t>
            </w:r>
          </w:p>
        </w:tc>
        <w:tc>
          <w:tcPr>
            <w:tcW w:w="1241" w:type="dxa"/>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0</w:t>
            </w:r>
          </w:p>
        </w:tc>
        <w:tc>
          <w:tcPr>
            <w:tcW w:w="1240" w:type="dxa"/>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0</w:t>
            </w:r>
          </w:p>
        </w:tc>
        <w:tc>
          <w:tcPr>
            <w:tcW w:w="1241" w:type="dxa"/>
            <w:tcBorders>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6D2E00" w:rsidTr="00C723DD">
        <w:trPr>
          <w:cantSplit/>
        </w:trPr>
        <w:tc>
          <w:tcPr>
            <w:tcW w:w="4536" w:type="dxa"/>
            <w:tcBorders>
              <w:left w:val="double" w:sz="4" w:space="0" w:color="auto"/>
              <w:bottom w:val="single" w:sz="4" w:space="0" w:color="auto"/>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CHPM zřízená zaměstnavateli</w:t>
            </w:r>
          </w:p>
        </w:tc>
        <w:tc>
          <w:tcPr>
            <w:tcW w:w="1240"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33</w:t>
            </w:r>
          </w:p>
        </w:tc>
        <w:tc>
          <w:tcPr>
            <w:tcW w:w="1241" w:type="dxa"/>
            <w:tcBorders>
              <w:bottom w:val="sing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10</w:t>
            </w:r>
          </w:p>
        </w:tc>
        <w:tc>
          <w:tcPr>
            <w:tcW w:w="1240" w:type="dxa"/>
            <w:tcBorders>
              <w:bottom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-23</w:t>
            </w:r>
          </w:p>
        </w:tc>
        <w:tc>
          <w:tcPr>
            <w:tcW w:w="1241"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30,3</w:t>
            </w:r>
          </w:p>
        </w:tc>
      </w:tr>
      <w:tr w:rsidR="00C723DD" w:rsidRPr="006D2E00" w:rsidTr="00C723DD">
        <w:trPr>
          <w:cantSplit/>
        </w:trPr>
        <w:tc>
          <w:tcPr>
            <w:tcW w:w="4536" w:type="dxa"/>
            <w:tcBorders>
              <w:left w:val="double" w:sz="4" w:space="0" w:color="auto"/>
              <w:bottom w:val="single" w:sz="4" w:space="0" w:color="auto"/>
            </w:tcBorders>
            <w:shd w:val="clear" w:color="auto" w:fill="auto"/>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240"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7</w:t>
            </w:r>
          </w:p>
        </w:tc>
        <w:tc>
          <w:tcPr>
            <w:tcW w:w="1241"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16</w:t>
            </w:r>
          </w:p>
        </w:tc>
        <w:tc>
          <w:tcPr>
            <w:tcW w:w="1240" w:type="dxa"/>
            <w:tcBorders>
              <w:bottom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+9</w:t>
            </w:r>
          </w:p>
        </w:tc>
        <w:tc>
          <w:tcPr>
            <w:tcW w:w="1241" w:type="dxa"/>
            <w:tcBorders>
              <w:bottom w:val="sing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228,6</w:t>
            </w:r>
          </w:p>
        </w:tc>
      </w:tr>
      <w:tr w:rsidR="00C723DD" w:rsidRPr="006D2E00" w:rsidTr="00C723DD">
        <w:trPr>
          <w:cantSplit/>
        </w:trPr>
        <w:tc>
          <w:tcPr>
            <w:tcW w:w="4536" w:type="dxa"/>
            <w:tcBorders>
              <w:left w:val="double" w:sz="4" w:space="0" w:color="auto"/>
              <w:bottom w:val="single" w:sz="4" w:space="0" w:color="auto"/>
            </w:tcBorders>
            <w:shd w:val="clear" w:color="auto" w:fill="auto"/>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240"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2</w:t>
            </w:r>
          </w:p>
        </w:tc>
        <w:tc>
          <w:tcPr>
            <w:tcW w:w="1241" w:type="dxa"/>
            <w:tcBorders>
              <w:bottom w:val="sing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105</w:t>
            </w:r>
          </w:p>
        </w:tc>
        <w:tc>
          <w:tcPr>
            <w:tcW w:w="1240" w:type="dxa"/>
            <w:tcBorders>
              <w:bottom w:val="single" w:sz="4" w:space="0" w:color="auto"/>
            </w:tcBorders>
            <w:shd w:val="clear" w:color="auto" w:fill="auto"/>
            <w:vAlign w:val="center"/>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+103</w:t>
            </w:r>
          </w:p>
        </w:tc>
        <w:tc>
          <w:tcPr>
            <w:tcW w:w="1241" w:type="dxa"/>
            <w:tcBorders>
              <w:bottom w:val="single" w:sz="4" w:space="0" w:color="auto"/>
              <w:right w:val="double" w:sz="4" w:space="0" w:color="auto"/>
            </w:tcBorders>
            <w:shd w:val="clear" w:color="auto" w:fill="auto"/>
            <w:vAlign w:val="center"/>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5 250,0</w:t>
            </w:r>
          </w:p>
        </w:tc>
      </w:tr>
      <w:tr w:rsidR="00C723DD" w:rsidRPr="006D2E00" w:rsidTr="00C723DD">
        <w:trPr>
          <w:cantSplit/>
        </w:trPr>
        <w:tc>
          <w:tcPr>
            <w:tcW w:w="4536" w:type="dxa"/>
            <w:tcBorders>
              <w:top w:val="double" w:sz="4" w:space="0" w:color="auto"/>
              <w:left w:val="double" w:sz="4" w:space="0" w:color="auto"/>
              <w:bottom w:val="single" w:sz="12" w:space="0" w:color="auto"/>
            </w:tcBorders>
            <w:shd w:val="clear" w:color="auto" w:fill="auto"/>
          </w:tcPr>
          <w:p w:rsidR="00C723DD" w:rsidRPr="006D2E00" w:rsidRDefault="00C723DD" w:rsidP="00C723DD">
            <w:pPr>
              <w:ind w:left="110" w:hanging="142"/>
              <w:rPr>
                <w:rFonts w:asciiTheme="minorHAnsi" w:hAnsiTheme="minorHAnsi" w:cstheme="minorHAnsi"/>
                <w:sz w:val="18"/>
              </w:rPr>
            </w:pPr>
            <w:r w:rsidRPr="006D2E00">
              <w:rPr>
                <w:rFonts w:asciiTheme="minorHAnsi" w:hAnsiTheme="minorHAnsi" w:cstheme="minorHAnsi"/>
                <w:sz w:val="18"/>
              </w:rPr>
              <w:t xml:space="preserve">příspěvky poskytnuté v rámci APZ </w:t>
            </w:r>
          </w:p>
        </w:tc>
        <w:tc>
          <w:tcPr>
            <w:tcW w:w="1240" w:type="dxa"/>
            <w:tcBorders>
              <w:top w:val="double" w:sz="4" w:space="0" w:color="auto"/>
              <w:bottom w:val="single" w:sz="12" w:space="0" w:color="auto"/>
            </w:tcBorders>
            <w:shd w:val="clear" w:color="auto" w:fill="auto"/>
            <w:vAlign w:val="center"/>
          </w:tcPr>
          <w:p w:rsidR="00C723DD" w:rsidRPr="006D2E00" w:rsidRDefault="00C723DD" w:rsidP="00C723DD">
            <w:pPr>
              <w:jc w:val="center"/>
              <w:rPr>
                <w:rFonts w:asciiTheme="minorHAnsi" w:hAnsiTheme="minorHAnsi" w:cstheme="minorHAnsi"/>
                <w:b/>
                <w:sz w:val="18"/>
              </w:rPr>
            </w:pPr>
            <w:r w:rsidRPr="006D2E00">
              <w:rPr>
                <w:rFonts w:asciiTheme="minorHAnsi" w:hAnsiTheme="minorHAnsi" w:cstheme="minorHAnsi"/>
                <w:b/>
                <w:sz w:val="18"/>
              </w:rPr>
              <w:t>4</w:t>
            </w:r>
          </w:p>
        </w:tc>
        <w:tc>
          <w:tcPr>
            <w:tcW w:w="1241" w:type="dxa"/>
            <w:tcBorders>
              <w:top w:val="double" w:sz="4" w:space="0" w:color="auto"/>
              <w:bottom w:val="single" w:sz="12" w:space="0" w:color="auto"/>
            </w:tcBorders>
            <w:shd w:val="clear" w:color="auto" w:fill="auto"/>
            <w:vAlign w:val="center"/>
          </w:tcPr>
          <w:p w:rsidR="00C723DD" w:rsidRPr="006C31DF" w:rsidRDefault="00C723DD" w:rsidP="00C723DD">
            <w:pPr>
              <w:jc w:val="center"/>
              <w:rPr>
                <w:rFonts w:asciiTheme="minorHAnsi" w:hAnsiTheme="minorHAnsi" w:cstheme="minorHAnsi"/>
                <w:b/>
                <w:sz w:val="18"/>
              </w:rPr>
            </w:pPr>
            <w:r w:rsidRPr="006C31DF">
              <w:rPr>
                <w:rFonts w:asciiTheme="minorHAnsi" w:hAnsiTheme="minorHAnsi" w:cstheme="minorHAnsi"/>
                <w:b/>
                <w:sz w:val="18"/>
              </w:rPr>
              <w:t>7</w:t>
            </w:r>
          </w:p>
        </w:tc>
        <w:tc>
          <w:tcPr>
            <w:tcW w:w="1240" w:type="dxa"/>
            <w:tcBorders>
              <w:top w:val="double" w:sz="4" w:space="0" w:color="auto"/>
              <w:bottom w:val="single" w:sz="12" w:space="0" w:color="auto"/>
            </w:tcBorders>
            <w:shd w:val="clear" w:color="auto" w:fill="auto"/>
            <w:vAlign w:val="bottom"/>
          </w:tcPr>
          <w:p w:rsidR="00C723DD" w:rsidRPr="00A3516C" w:rsidRDefault="00C723DD" w:rsidP="00C723DD">
            <w:pPr>
              <w:jc w:val="center"/>
              <w:rPr>
                <w:rFonts w:asciiTheme="minorHAnsi" w:hAnsiTheme="minorHAnsi" w:cstheme="minorHAnsi"/>
                <w:b/>
                <w:sz w:val="18"/>
                <w:szCs w:val="18"/>
              </w:rPr>
            </w:pPr>
            <w:r w:rsidRPr="00A3516C">
              <w:rPr>
                <w:rFonts w:asciiTheme="minorHAnsi" w:hAnsiTheme="minorHAnsi" w:cstheme="minorHAnsi"/>
                <w:b/>
                <w:sz w:val="18"/>
                <w:szCs w:val="18"/>
              </w:rPr>
              <w:t>+3</w:t>
            </w:r>
          </w:p>
        </w:tc>
        <w:tc>
          <w:tcPr>
            <w:tcW w:w="1241" w:type="dxa"/>
            <w:tcBorders>
              <w:top w:val="double" w:sz="4" w:space="0" w:color="auto"/>
              <w:bottom w:val="single" w:sz="12"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b/>
                <w:sz w:val="18"/>
                <w:szCs w:val="18"/>
              </w:rPr>
            </w:pPr>
            <w:r w:rsidRPr="00B93B4C">
              <w:rPr>
                <w:rFonts w:asciiTheme="minorHAnsi" w:hAnsiTheme="minorHAnsi" w:cstheme="minorHAnsi"/>
                <w:b/>
                <w:sz w:val="18"/>
                <w:szCs w:val="18"/>
              </w:rPr>
              <w:t>175,0</w:t>
            </w:r>
          </w:p>
        </w:tc>
      </w:tr>
      <w:tr w:rsidR="00C723DD" w:rsidRPr="006D2E00" w:rsidTr="00C723DD">
        <w:trPr>
          <w:cantSplit/>
          <w:trHeight w:val="165"/>
        </w:trPr>
        <w:tc>
          <w:tcPr>
            <w:tcW w:w="4536" w:type="dxa"/>
            <w:tcBorders>
              <w:top w:val="single" w:sz="12" w:space="0" w:color="auto"/>
              <w:left w:val="double" w:sz="4" w:space="0" w:color="auto"/>
              <w:bottom w:val="nil"/>
            </w:tcBorders>
            <w:shd w:val="clear" w:color="auto" w:fill="auto"/>
          </w:tcPr>
          <w:p w:rsidR="00C723DD" w:rsidRPr="006D2E00" w:rsidRDefault="00C723DD" w:rsidP="00C723DD">
            <w:pPr>
              <w:ind w:left="110" w:hanging="142"/>
              <w:rPr>
                <w:rFonts w:asciiTheme="minorHAnsi" w:hAnsiTheme="minorHAnsi" w:cstheme="minorHAnsi"/>
                <w:sz w:val="18"/>
              </w:rPr>
            </w:pPr>
            <w:r w:rsidRPr="006D2E00">
              <w:rPr>
                <w:rFonts w:asciiTheme="minorHAnsi" w:hAnsiTheme="minorHAnsi" w:cstheme="minorHAnsi"/>
                <w:sz w:val="18"/>
              </w:rPr>
              <w:t>z toho - překlenovací příspěvek</w:t>
            </w:r>
          </w:p>
        </w:tc>
        <w:tc>
          <w:tcPr>
            <w:tcW w:w="1240" w:type="dxa"/>
            <w:tcBorders>
              <w:top w:val="single" w:sz="12" w:space="0" w:color="auto"/>
              <w:bottom w:val="sing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4</w:t>
            </w:r>
          </w:p>
        </w:tc>
        <w:tc>
          <w:tcPr>
            <w:tcW w:w="1241" w:type="dxa"/>
            <w:tcBorders>
              <w:top w:val="single" w:sz="12" w:space="0" w:color="auto"/>
              <w:bottom w:val="sing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7</w:t>
            </w:r>
          </w:p>
        </w:tc>
        <w:tc>
          <w:tcPr>
            <w:tcW w:w="1240" w:type="dxa"/>
            <w:tcBorders>
              <w:top w:val="single" w:sz="12" w:space="0" w:color="auto"/>
              <w:bottom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+3</w:t>
            </w:r>
          </w:p>
        </w:tc>
        <w:tc>
          <w:tcPr>
            <w:tcW w:w="1241" w:type="dxa"/>
            <w:tcBorders>
              <w:top w:val="single" w:sz="12" w:space="0" w:color="auto"/>
              <w:bottom w:val="sing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175,0</w:t>
            </w:r>
          </w:p>
        </w:tc>
      </w:tr>
      <w:tr w:rsidR="00C723DD" w:rsidRPr="006D2E00" w:rsidTr="00C723DD">
        <w:trPr>
          <w:cantSplit/>
        </w:trPr>
        <w:tc>
          <w:tcPr>
            <w:tcW w:w="4536" w:type="dxa"/>
            <w:tcBorders>
              <w:left w:val="double" w:sz="4" w:space="0" w:color="auto"/>
              <w:bottom w:val="nil"/>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příspěvek na zapracování</w:t>
            </w:r>
          </w:p>
        </w:tc>
        <w:tc>
          <w:tcPr>
            <w:tcW w:w="1240" w:type="dxa"/>
            <w:tcBorders>
              <w:bottom w:val="sing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0</w:t>
            </w:r>
          </w:p>
        </w:tc>
        <w:tc>
          <w:tcPr>
            <w:tcW w:w="1241" w:type="dxa"/>
            <w:tcBorders>
              <w:bottom w:val="sing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0</w:t>
            </w:r>
          </w:p>
        </w:tc>
        <w:tc>
          <w:tcPr>
            <w:tcW w:w="1240" w:type="dxa"/>
            <w:tcBorders>
              <w:bottom w:val="sing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0</w:t>
            </w:r>
          </w:p>
        </w:tc>
        <w:tc>
          <w:tcPr>
            <w:tcW w:w="1241" w:type="dxa"/>
            <w:tcBorders>
              <w:bottom w:val="sing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w:t>
            </w:r>
          </w:p>
        </w:tc>
      </w:tr>
      <w:tr w:rsidR="00C723DD" w:rsidRPr="006D2E00" w:rsidTr="00C723DD">
        <w:trPr>
          <w:cantSplit/>
        </w:trPr>
        <w:tc>
          <w:tcPr>
            <w:tcW w:w="4536" w:type="dxa"/>
            <w:tcBorders>
              <w:left w:val="double" w:sz="4" w:space="0" w:color="auto"/>
              <w:bottom w:val="nil"/>
            </w:tcBorders>
            <w:shd w:val="clear" w:color="auto" w:fill="auto"/>
          </w:tcPr>
          <w:p w:rsidR="00C723DD" w:rsidRPr="006D2E00" w:rsidRDefault="00C723DD" w:rsidP="00C723DD">
            <w:pPr>
              <w:ind w:left="497"/>
              <w:rPr>
                <w:rFonts w:asciiTheme="minorHAnsi" w:hAnsiTheme="minorHAnsi" w:cstheme="minorHAnsi"/>
                <w:sz w:val="18"/>
              </w:rPr>
            </w:pPr>
            <w:r w:rsidRPr="006D2E00">
              <w:rPr>
                <w:rFonts w:asciiTheme="minorHAnsi" w:hAnsiTheme="minorHAnsi" w:cstheme="minorHAnsi"/>
                <w:sz w:val="18"/>
              </w:rPr>
              <w:t>- příspěvek na provoz CHPM a CHPM-SVČ</w:t>
            </w:r>
          </w:p>
        </w:tc>
        <w:tc>
          <w:tcPr>
            <w:tcW w:w="1240" w:type="dxa"/>
            <w:tcBorders>
              <w:top w:val="single" w:sz="4" w:space="0" w:color="auto"/>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0</w:t>
            </w:r>
          </w:p>
        </w:tc>
        <w:tc>
          <w:tcPr>
            <w:tcW w:w="1241" w:type="dxa"/>
            <w:tcBorders>
              <w:top w:val="single" w:sz="4" w:space="0" w:color="auto"/>
              <w:bottom w:val="doub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0</w:t>
            </w:r>
          </w:p>
        </w:tc>
        <w:tc>
          <w:tcPr>
            <w:tcW w:w="1240" w:type="dxa"/>
            <w:tcBorders>
              <w:top w:val="single" w:sz="4" w:space="0" w:color="auto"/>
              <w:bottom w:val="doub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0</w:t>
            </w:r>
          </w:p>
        </w:tc>
        <w:tc>
          <w:tcPr>
            <w:tcW w:w="1241" w:type="dxa"/>
            <w:tcBorders>
              <w:top w:val="single" w:sz="4" w:space="0" w:color="auto"/>
              <w:bottom w:val="doub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w:t>
            </w:r>
          </w:p>
        </w:tc>
      </w:tr>
      <w:tr w:rsidR="00C723DD" w:rsidRPr="006D2E00" w:rsidTr="00C723DD">
        <w:trPr>
          <w:cantSplit/>
        </w:trPr>
        <w:tc>
          <w:tcPr>
            <w:tcW w:w="4536" w:type="dxa"/>
            <w:tcBorders>
              <w:top w:val="double" w:sz="4" w:space="0" w:color="auto"/>
              <w:left w:val="double" w:sz="4" w:space="0" w:color="auto"/>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zahájené rekvalifikační kurzy</w:t>
            </w:r>
            <w:r>
              <w:rPr>
                <w:rFonts w:asciiTheme="minorHAnsi" w:hAnsiTheme="minorHAnsi" w:cstheme="minorHAnsi"/>
                <w:sz w:val="18"/>
              </w:rPr>
              <w:t xml:space="preserve"> </w:t>
            </w:r>
            <w:r w:rsidRPr="006D2E00">
              <w:rPr>
                <w:rFonts w:asciiTheme="minorHAnsi" w:hAnsiTheme="minorHAnsi" w:cstheme="minorHAnsi"/>
                <w:sz w:val="18"/>
              </w:rPr>
              <w:t>(národní APZ + ESF)</w:t>
            </w:r>
          </w:p>
        </w:tc>
        <w:tc>
          <w:tcPr>
            <w:tcW w:w="1240" w:type="dxa"/>
            <w:tcBorders>
              <w:top w:val="double" w:sz="4" w:space="0" w:color="auto"/>
            </w:tcBorders>
            <w:shd w:val="clear" w:color="auto" w:fill="auto"/>
            <w:vAlign w:val="center"/>
          </w:tcPr>
          <w:p w:rsidR="00C723DD" w:rsidRPr="00C7272A" w:rsidRDefault="00C723DD" w:rsidP="00C723DD">
            <w:pPr>
              <w:jc w:val="center"/>
              <w:rPr>
                <w:rFonts w:asciiTheme="minorHAnsi" w:hAnsiTheme="minorHAnsi" w:cstheme="minorHAnsi"/>
                <w:sz w:val="18"/>
              </w:rPr>
            </w:pPr>
            <w:r w:rsidRPr="00C7272A">
              <w:rPr>
                <w:rFonts w:asciiTheme="minorHAnsi" w:hAnsiTheme="minorHAnsi" w:cstheme="minorHAnsi"/>
                <w:sz w:val="18"/>
              </w:rPr>
              <w:t>48</w:t>
            </w:r>
          </w:p>
        </w:tc>
        <w:tc>
          <w:tcPr>
            <w:tcW w:w="1241" w:type="dxa"/>
            <w:tcBorders>
              <w:top w:val="double" w:sz="4" w:space="0" w:color="auto"/>
            </w:tcBorders>
            <w:shd w:val="clear" w:color="auto" w:fill="auto"/>
            <w:vAlign w:val="center"/>
          </w:tcPr>
          <w:p w:rsidR="00C723DD" w:rsidRPr="00CC7DAB" w:rsidRDefault="00C723DD" w:rsidP="00C723DD">
            <w:pPr>
              <w:jc w:val="center"/>
              <w:rPr>
                <w:rFonts w:asciiTheme="minorHAnsi" w:hAnsiTheme="minorHAnsi" w:cstheme="minorHAnsi"/>
                <w:sz w:val="18"/>
              </w:rPr>
            </w:pPr>
            <w:r w:rsidRPr="00CC7DAB">
              <w:rPr>
                <w:rFonts w:asciiTheme="minorHAnsi" w:hAnsiTheme="minorHAnsi" w:cstheme="minorHAnsi"/>
                <w:sz w:val="18"/>
              </w:rPr>
              <w:t>33</w:t>
            </w:r>
          </w:p>
        </w:tc>
        <w:tc>
          <w:tcPr>
            <w:tcW w:w="1240" w:type="dxa"/>
            <w:tcBorders>
              <w:top w:val="double" w:sz="4" w:space="0" w:color="auto"/>
            </w:tcBorders>
            <w:shd w:val="clear" w:color="auto" w:fill="auto"/>
            <w:vAlign w:val="bottom"/>
          </w:tcPr>
          <w:p w:rsidR="00C723DD" w:rsidRPr="00A3516C" w:rsidRDefault="00C723DD" w:rsidP="00C723DD">
            <w:pPr>
              <w:jc w:val="center"/>
              <w:rPr>
                <w:rFonts w:asciiTheme="minorHAnsi" w:hAnsiTheme="minorHAnsi" w:cstheme="minorHAnsi"/>
                <w:sz w:val="18"/>
                <w:szCs w:val="18"/>
              </w:rPr>
            </w:pPr>
            <w:r w:rsidRPr="00A3516C">
              <w:rPr>
                <w:rFonts w:asciiTheme="minorHAnsi" w:hAnsiTheme="minorHAnsi" w:cstheme="minorHAnsi"/>
                <w:sz w:val="18"/>
                <w:szCs w:val="18"/>
              </w:rPr>
              <w:t>-15</w:t>
            </w:r>
          </w:p>
        </w:tc>
        <w:tc>
          <w:tcPr>
            <w:tcW w:w="1241" w:type="dxa"/>
            <w:tcBorders>
              <w:top w:val="doub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68,8</w:t>
            </w:r>
          </w:p>
        </w:tc>
      </w:tr>
      <w:tr w:rsidR="00C723DD" w:rsidRPr="006D2E00" w:rsidTr="00C723DD">
        <w:trPr>
          <w:cantSplit/>
        </w:trPr>
        <w:tc>
          <w:tcPr>
            <w:tcW w:w="4536" w:type="dxa"/>
            <w:tcBorders>
              <w:left w:val="double" w:sz="4" w:space="0" w:color="auto"/>
              <w:bottom w:val="nil"/>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počet osob zařaz</w:t>
            </w:r>
            <w:r>
              <w:rPr>
                <w:rFonts w:asciiTheme="minorHAnsi" w:hAnsiTheme="minorHAnsi" w:cstheme="minorHAnsi"/>
                <w:sz w:val="18"/>
              </w:rPr>
              <w:t>ených</w:t>
            </w:r>
            <w:r w:rsidRPr="006D2E00">
              <w:rPr>
                <w:rFonts w:asciiTheme="minorHAnsi" w:hAnsiTheme="minorHAnsi" w:cstheme="minorHAnsi"/>
                <w:sz w:val="18"/>
              </w:rPr>
              <w:t xml:space="preserve"> do rekvalifikací (národní APZ + ESF)</w:t>
            </w:r>
          </w:p>
        </w:tc>
        <w:tc>
          <w:tcPr>
            <w:tcW w:w="1240" w:type="dxa"/>
            <w:tcBorders>
              <w:bottom w:val="nil"/>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264</w:t>
            </w:r>
          </w:p>
        </w:tc>
        <w:tc>
          <w:tcPr>
            <w:tcW w:w="1241" w:type="dxa"/>
            <w:tcBorders>
              <w:bottom w:val="nil"/>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303</w:t>
            </w:r>
          </w:p>
        </w:tc>
        <w:tc>
          <w:tcPr>
            <w:tcW w:w="1240" w:type="dxa"/>
            <w:tcBorders>
              <w:bottom w:val="single" w:sz="4" w:space="0" w:color="auto"/>
            </w:tcBorders>
            <w:shd w:val="clear" w:color="auto" w:fill="auto"/>
            <w:vAlign w:val="bottom"/>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+39</w:t>
            </w:r>
          </w:p>
        </w:tc>
        <w:tc>
          <w:tcPr>
            <w:tcW w:w="1241" w:type="dxa"/>
            <w:tcBorders>
              <w:bottom w:val="single" w:sz="4" w:space="0" w:color="auto"/>
              <w:right w:val="double" w:sz="4" w:space="0" w:color="auto"/>
            </w:tcBorders>
            <w:shd w:val="clear" w:color="auto" w:fill="auto"/>
          </w:tcPr>
          <w:p w:rsidR="00C723DD" w:rsidRPr="00B93B4C" w:rsidRDefault="00C723DD" w:rsidP="00C723DD">
            <w:pPr>
              <w:jc w:val="center"/>
              <w:rPr>
                <w:rFonts w:asciiTheme="minorHAnsi" w:hAnsiTheme="minorHAnsi" w:cstheme="minorHAnsi"/>
                <w:sz w:val="18"/>
                <w:szCs w:val="18"/>
              </w:rPr>
            </w:pPr>
            <w:r w:rsidRPr="00B93B4C">
              <w:rPr>
                <w:rFonts w:asciiTheme="minorHAnsi" w:hAnsiTheme="minorHAnsi" w:cstheme="minorHAnsi"/>
                <w:sz w:val="18"/>
                <w:szCs w:val="18"/>
              </w:rPr>
              <w:t>114,8</w:t>
            </w:r>
          </w:p>
        </w:tc>
      </w:tr>
      <w:tr w:rsidR="00C723DD" w:rsidRPr="006D2E00" w:rsidTr="00C723DD">
        <w:trPr>
          <w:cantSplit/>
        </w:trPr>
        <w:tc>
          <w:tcPr>
            <w:tcW w:w="4536" w:type="dxa"/>
            <w:tcBorders>
              <w:left w:val="double" w:sz="4" w:space="0" w:color="auto"/>
              <w:bottom w:val="double" w:sz="4" w:space="0" w:color="auto"/>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 toho zájemců o zaměstnání</w:t>
            </w:r>
          </w:p>
        </w:tc>
        <w:tc>
          <w:tcPr>
            <w:tcW w:w="1240" w:type="dxa"/>
            <w:tcBorders>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2</w:t>
            </w:r>
          </w:p>
        </w:tc>
        <w:tc>
          <w:tcPr>
            <w:tcW w:w="1241" w:type="dxa"/>
            <w:tcBorders>
              <w:bottom w:val="doub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5</w:t>
            </w:r>
          </w:p>
        </w:tc>
        <w:tc>
          <w:tcPr>
            <w:tcW w:w="1240" w:type="dxa"/>
            <w:tcBorders>
              <w:bottom w:val="double" w:sz="4" w:space="0" w:color="auto"/>
            </w:tcBorders>
            <w:shd w:val="clear" w:color="auto" w:fill="auto"/>
            <w:vAlign w:val="bottom"/>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w:t>
            </w:r>
          </w:p>
        </w:tc>
        <w:tc>
          <w:tcPr>
            <w:tcW w:w="1241"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250,0</w:t>
            </w:r>
          </w:p>
        </w:tc>
      </w:tr>
      <w:tr w:rsidR="00C723DD" w:rsidRPr="006D2E00" w:rsidTr="00C723DD">
        <w:trPr>
          <w:cantSplit/>
        </w:trPr>
        <w:tc>
          <w:tcPr>
            <w:tcW w:w="4536" w:type="dxa"/>
            <w:tcBorders>
              <w:top w:val="double" w:sz="4" w:space="0" w:color="auto"/>
              <w:left w:val="double" w:sz="4" w:space="0" w:color="auto"/>
              <w:bottom w:val="single" w:sz="4" w:space="0" w:color="auto"/>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osoby, které zahájily zvol. rekvalifikaci - národní APZ</w:t>
            </w:r>
          </w:p>
        </w:tc>
        <w:tc>
          <w:tcPr>
            <w:tcW w:w="1240" w:type="dxa"/>
            <w:tcBorders>
              <w:top w:val="double" w:sz="4" w:space="0" w:color="auto"/>
              <w:bottom w:val="sing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173</w:t>
            </w:r>
          </w:p>
        </w:tc>
        <w:tc>
          <w:tcPr>
            <w:tcW w:w="1241" w:type="dxa"/>
            <w:tcBorders>
              <w:top w:val="double" w:sz="4" w:space="0" w:color="auto"/>
              <w:bottom w:val="sing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101</w:t>
            </w:r>
          </w:p>
        </w:tc>
        <w:tc>
          <w:tcPr>
            <w:tcW w:w="1240" w:type="dxa"/>
            <w:tcBorders>
              <w:top w:val="double" w:sz="4" w:space="0" w:color="auto"/>
              <w:bottom w:val="single" w:sz="4" w:space="0" w:color="auto"/>
            </w:tcBorders>
            <w:shd w:val="clear" w:color="auto" w:fill="auto"/>
            <w:vAlign w:val="bottom"/>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-72</w:t>
            </w:r>
          </w:p>
        </w:tc>
        <w:tc>
          <w:tcPr>
            <w:tcW w:w="1241" w:type="dxa"/>
            <w:tcBorders>
              <w:top w:val="double" w:sz="4"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58,4</w:t>
            </w:r>
          </w:p>
        </w:tc>
      </w:tr>
      <w:tr w:rsidR="00C723DD" w:rsidRPr="006D2E00" w:rsidTr="00C723DD">
        <w:trPr>
          <w:cantSplit/>
        </w:trPr>
        <w:tc>
          <w:tcPr>
            <w:tcW w:w="4536" w:type="dxa"/>
            <w:tcBorders>
              <w:left w:val="double" w:sz="4" w:space="0" w:color="auto"/>
              <w:bottom w:val="double" w:sz="4" w:space="0" w:color="auto"/>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osoby, které zahájily zvol. rekvalifikaci - NIP ESF-OP LZZ</w:t>
            </w:r>
          </w:p>
        </w:tc>
        <w:tc>
          <w:tcPr>
            <w:tcW w:w="1240" w:type="dxa"/>
            <w:tcBorders>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164</w:t>
            </w:r>
          </w:p>
        </w:tc>
        <w:tc>
          <w:tcPr>
            <w:tcW w:w="1241" w:type="dxa"/>
            <w:tcBorders>
              <w:bottom w:val="doub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405</w:t>
            </w:r>
          </w:p>
        </w:tc>
        <w:tc>
          <w:tcPr>
            <w:tcW w:w="1240" w:type="dxa"/>
            <w:tcBorders>
              <w:bottom w:val="double" w:sz="4" w:space="0" w:color="auto"/>
            </w:tcBorders>
            <w:shd w:val="clear" w:color="auto" w:fill="auto"/>
            <w:vAlign w:val="bottom"/>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+241</w:t>
            </w:r>
          </w:p>
        </w:tc>
        <w:tc>
          <w:tcPr>
            <w:tcW w:w="1241"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247,0</w:t>
            </w:r>
          </w:p>
        </w:tc>
      </w:tr>
      <w:tr w:rsidR="00C723DD" w:rsidRPr="006D2E00" w:rsidTr="00C723DD">
        <w:trPr>
          <w:cantSplit/>
        </w:trPr>
        <w:tc>
          <w:tcPr>
            <w:tcW w:w="4536" w:type="dxa"/>
            <w:tcBorders>
              <w:top w:val="double" w:sz="4" w:space="0" w:color="auto"/>
              <w:left w:val="double" w:sz="4" w:space="0" w:color="auto"/>
              <w:bottom w:val="double" w:sz="4" w:space="0" w:color="auto"/>
            </w:tcBorders>
            <w:shd w:val="clear" w:color="auto" w:fill="auto"/>
          </w:tcPr>
          <w:p w:rsidR="00C723DD" w:rsidRPr="006D2E00" w:rsidRDefault="00C723DD" w:rsidP="00C723DD">
            <w:pPr>
              <w:rPr>
                <w:rFonts w:asciiTheme="minorHAnsi" w:hAnsiTheme="minorHAnsi" w:cstheme="minorHAnsi"/>
                <w:sz w:val="18"/>
              </w:rPr>
            </w:pPr>
            <w:r w:rsidRPr="006D2E00">
              <w:rPr>
                <w:rFonts w:asciiTheme="minorHAnsi" w:hAnsiTheme="minorHAnsi" w:cstheme="minorHAnsi"/>
                <w:sz w:val="18"/>
              </w:rPr>
              <w:t>zaměstnanci rekvalifikovaní s finančním příspěvkem ÚP</w:t>
            </w:r>
          </w:p>
        </w:tc>
        <w:tc>
          <w:tcPr>
            <w:tcW w:w="1240" w:type="dxa"/>
            <w:tcBorders>
              <w:top w:val="double" w:sz="4" w:space="0" w:color="auto"/>
              <w:bottom w:val="double" w:sz="4" w:space="0" w:color="auto"/>
            </w:tcBorders>
            <w:shd w:val="clear" w:color="auto" w:fill="auto"/>
            <w:vAlign w:val="center"/>
          </w:tcPr>
          <w:p w:rsidR="00C723DD" w:rsidRPr="006D2E00" w:rsidRDefault="00C723DD" w:rsidP="00C723DD">
            <w:pPr>
              <w:jc w:val="center"/>
              <w:rPr>
                <w:rFonts w:asciiTheme="minorHAnsi" w:hAnsiTheme="minorHAnsi" w:cstheme="minorHAnsi"/>
                <w:sz w:val="18"/>
              </w:rPr>
            </w:pPr>
            <w:r w:rsidRPr="006D2E00">
              <w:rPr>
                <w:rFonts w:asciiTheme="minorHAnsi" w:hAnsiTheme="minorHAnsi" w:cstheme="minorHAnsi"/>
                <w:sz w:val="18"/>
              </w:rPr>
              <w:t>0</w:t>
            </w:r>
          </w:p>
        </w:tc>
        <w:tc>
          <w:tcPr>
            <w:tcW w:w="1241" w:type="dxa"/>
            <w:tcBorders>
              <w:top w:val="double" w:sz="4" w:space="0" w:color="auto"/>
              <w:bottom w:val="double" w:sz="4" w:space="0" w:color="auto"/>
            </w:tcBorders>
            <w:shd w:val="clear" w:color="auto" w:fill="auto"/>
            <w:vAlign w:val="center"/>
          </w:tcPr>
          <w:p w:rsidR="00C723DD" w:rsidRPr="006C31DF" w:rsidRDefault="00C723DD" w:rsidP="00C723DD">
            <w:pPr>
              <w:jc w:val="center"/>
              <w:rPr>
                <w:rFonts w:asciiTheme="minorHAnsi" w:hAnsiTheme="minorHAnsi" w:cstheme="minorHAnsi"/>
                <w:sz w:val="18"/>
              </w:rPr>
            </w:pPr>
            <w:r w:rsidRPr="006C31DF">
              <w:rPr>
                <w:rFonts w:asciiTheme="minorHAnsi" w:hAnsiTheme="minorHAnsi" w:cstheme="minorHAnsi"/>
                <w:sz w:val="18"/>
              </w:rPr>
              <w:t>0</w:t>
            </w:r>
          </w:p>
        </w:tc>
        <w:tc>
          <w:tcPr>
            <w:tcW w:w="1240" w:type="dxa"/>
            <w:tcBorders>
              <w:top w:val="double" w:sz="4" w:space="0" w:color="auto"/>
              <w:bottom w:val="double" w:sz="4" w:space="0" w:color="auto"/>
            </w:tcBorders>
            <w:shd w:val="clear" w:color="auto" w:fill="auto"/>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241" w:type="dxa"/>
            <w:tcBorders>
              <w:top w:val="double" w:sz="4" w:space="0" w:color="auto"/>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bl>
    <w:p w:rsidR="00C723DD" w:rsidRPr="006D2E00" w:rsidRDefault="00C723DD" w:rsidP="00C723DD">
      <w:pPr>
        <w:ind w:right="-567"/>
        <w:jc w:val="both"/>
        <w:rPr>
          <w:rFonts w:asciiTheme="minorHAnsi" w:hAnsiTheme="minorHAnsi" w:cstheme="minorHAnsi"/>
          <w:b/>
          <w:bCs/>
        </w:rPr>
      </w:pPr>
    </w:p>
    <w:p w:rsidR="00C723DD" w:rsidRPr="006D2E00" w:rsidRDefault="00C723DD" w:rsidP="00C723DD">
      <w:pPr>
        <w:ind w:right="-567"/>
        <w:jc w:val="both"/>
        <w:rPr>
          <w:rFonts w:asciiTheme="minorHAnsi" w:hAnsiTheme="minorHAnsi" w:cstheme="minorHAnsi"/>
          <w:b/>
          <w:i/>
          <w:sz w:val="22"/>
        </w:rPr>
      </w:pPr>
      <w:r w:rsidRPr="006D2E00">
        <w:rPr>
          <w:rFonts w:asciiTheme="minorHAnsi" w:hAnsiTheme="minorHAnsi" w:cstheme="minorHAnsi"/>
          <w:b/>
          <w:sz w:val="22"/>
        </w:rPr>
        <w:t>7. Prognóza vývoje trhu práce na rok 201</w:t>
      </w:r>
      <w:r>
        <w:rPr>
          <w:rFonts w:asciiTheme="minorHAnsi" w:hAnsiTheme="minorHAnsi" w:cstheme="minorHAnsi"/>
          <w:b/>
          <w:sz w:val="22"/>
        </w:rPr>
        <w:t>5</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72"/>
        <w:gridCol w:w="1772"/>
        <w:gridCol w:w="1772"/>
        <w:gridCol w:w="1772"/>
      </w:tblGrid>
      <w:tr w:rsidR="00C723DD" w:rsidRPr="006D2E00" w:rsidTr="00C723DD">
        <w:trPr>
          <w:cantSplit/>
        </w:trPr>
        <w:tc>
          <w:tcPr>
            <w:tcW w:w="2410" w:type="dxa"/>
            <w:vMerge w:val="restart"/>
            <w:vAlign w:val="center"/>
          </w:tcPr>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očekávaný stav k</w:t>
            </w:r>
          </w:p>
        </w:tc>
        <w:tc>
          <w:tcPr>
            <w:tcW w:w="3544" w:type="dxa"/>
            <w:gridSpan w:val="2"/>
          </w:tcPr>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lepší vývoj</w:t>
            </w:r>
          </w:p>
        </w:tc>
        <w:tc>
          <w:tcPr>
            <w:tcW w:w="3544" w:type="dxa"/>
            <w:gridSpan w:val="2"/>
          </w:tcPr>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horší vývoj</w:t>
            </w:r>
          </w:p>
        </w:tc>
      </w:tr>
      <w:tr w:rsidR="00C723DD" w:rsidRPr="006D2E00" w:rsidTr="00C723DD">
        <w:trPr>
          <w:cantSplit/>
          <w:trHeight w:val="597"/>
        </w:trPr>
        <w:tc>
          <w:tcPr>
            <w:tcW w:w="2410" w:type="dxa"/>
            <w:vMerge/>
            <w:tcBorders>
              <w:bottom w:val="double" w:sz="4" w:space="0" w:color="auto"/>
            </w:tcBorders>
          </w:tcPr>
          <w:p w:rsidR="00C723DD" w:rsidRPr="006D2E00" w:rsidRDefault="00C723DD" w:rsidP="00C723DD">
            <w:pPr>
              <w:pStyle w:val="Texttabulky"/>
              <w:jc w:val="center"/>
              <w:rPr>
                <w:rFonts w:asciiTheme="minorHAnsi" w:hAnsiTheme="minorHAnsi" w:cstheme="minorHAnsi"/>
                <w:b/>
                <w:bCs/>
                <w:i/>
                <w:iCs/>
                <w:color w:val="auto"/>
                <w:sz w:val="18"/>
              </w:rPr>
            </w:pPr>
          </w:p>
        </w:tc>
        <w:tc>
          <w:tcPr>
            <w:tcW w:w="1772" w:type="dxa"/>
            <w:tcBorders>
              <w:bottom w:val="double" w:sz="4" w:space="0" w:color="auto"/>
            </w:tcBorders>
            <w:vAlign w:val="center"/>
          </w:tcPr>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počet</w:t>
            </w:r>
          </w:p>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6D2E00" w:rsidRDefault="00C723DD" w:rsidP="00C723DD">
            <w:pPr>
              <w:jc w:val="center"/>
              <w:rPr>
                <w:rFonts w:asciiTheme="minorHAnsi" w:hAnsiTheme="minorHAnsi" w:cstheme="minorHAnsi"/>
                <w:b/>
                <w:bCs/>
                <w:i/>
                <w:iCs/>
                <w:sz w:val="18"/>
              </w:rPr>
            </w:pPr>
            <w:r w:rsidRPr="006D2E00">
              <w:rPr>
                <w:rFonts w:asciiTheme="minorHAnsi" w:hAnsiTheme="minorHAnsi" w:cstheme="minorHAnsi"/>
                <w:b/>
                <w:bCs/>
                <w:i/>
                <w:iCs/>
                <w:sz w:val="18"/>
              </w:rPr>
              <w:t>podíl nezaměstnaných osob v %</w:t>
            </w:r>
          </w:p>
        </w:tc>
        <w:tc>
          <w:tcPr>
            <w:tcW w:w="1772" w:type="dxa"/>
            <w:tcBorders>
              <w:bottom w:val="double" w:sz="4" w:space="0" w:color="auto"/>
            </w:tcBorders>
            <w:vAlign w:val="center"/>
          </w:tcPr>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počet</w:t>
            </w:r>
          </w:p>
          <w:p w:rsidR="00C723DD" w:rsidRPr="006D2E00" w:rsidRDefault="00C723DD" w:rsidP="00C723DD">
            <w:pPr>
              <w:pStyle w:val="Texttabulky"/>
              <w:jc w:val="center"/>
              <w:rPr>
                <w:rFonts w:asciiTheme="minorHAnsi" w:hAnsiTheme="minorHAnsi" w:cstheme="minorHAnsi"/>
                <w:b/>
                <w:bCs/>
                <w:i/>
                <w:iCs/>
                <w:color w:val="auto"/>
                <w:sz w:val="18"/>
              </w:rPr>
            </w:pPr>
            <w:r w:rsidRPr="006D2E00">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6D2E00" w:rsidRDefault="00C723DD" w:rsidP="00C723DD">
            <w:pPr>
              <w:jc w:val="center"/>
              <w:rPr>
                <w:rFonts w:asciiTheme="minorHAnsi" w:hAnsiTheme="minorHAnsi" w:cstheme="minorHAnsi"/>
                <w:b/>
                <w:bCs/>
                <w:i/>
                <w:iCs/>
                <w:sz w:val="18"/>
              </w:rPr>
            </w:pPr>
            <w:r w:rsidRPr="006D2E00">
              <w:rPr>
                <w:rFonts w:asciiTheme="minorHAnsi" w:hAnsiTheme="minorHAnsi" w:cstheme="minorHAnsi"/>
                <w:b/>
                <w:bCs/>
                <w:i/>
                <w:iCs/>
                <w:sz w:val="18"/>
              </w:rPr>
              <w:t>podíl nezaměstnaných osob v %</w:t>
            </w:r>
          </w:p>
        </w:tc>
      </w:tr>
      <w:tr w:rsidR="00C723DD" w:rsidRPr="006D2E00" w:rsidTr="00C723DD">
        <w:trPr>
          <w:cantSplit/>
          <w:trHeight w:val="20"/>
        </w:trPr>
        <w:tc>
          <w:tcPr>
            <w:tcW w:w="2410" w:type="dxa"/>
            <w:tcBorders>
              <w:top w:val="double" w:sz="4" w:space="0" w:color="auto"/>
              <w:bottom w:val="single" w:sz="4" w:space="0" w:color="auto"/>
            </w:tcBorders>
            <w:vAlign w:val="center"/>
          </w:tcPr>
          <w:p w:rsidR="00C723DD" w:rsidRPr="006D2E00" w:rsidRDefault="00C723DD" w:rsidP="00C723DD">
            <w:pPr>
              <w:pStyle w:val="Nadpis2"/>
              <w:ind w:firstLine="0"/>
              <w:jc w:val="left"/>
              <w:rPr>
                <w:rFonts w:asciiTheme="minorHAnsi" w:hAnsiTheme="minorHAnsi" w:cstheme="minorHAnsi"/>
                <w:sz w:val="18"/>
              </w:rPr>
            </w:pPr>
            <w:r w:rsidRPr="006D2E00">
              <w:rPr>
                <w:rFonts w:asciiTheme="minorHAnsi" w:hAnsiTheme="minorHAnsi" w:cstheme="minorHAnsi"/>
                <w:sz w:val="18"/>
              </w:rPr>
              <w:t>30.06.201</w:t>
            </w:r>
            <w:r>
              <w:rPr>
                <w:rFonts w:asciiTheme="minorHAnsi" w:hAnsiTheme="minorHAnsi" w:cstheme="minorHAnsi"/>
                <w:sz w:val="18"/>
              </w:rPr>
              <w:t>5</w:t>
            </w:r>
          </w:p>
        </w:tc>
        <w:tc>
          <w:tcPr>
            <w:tcW w:w="1772" w:type="dxa"/>
            <w:tcBorders>
              <w:top w:val="double" w:sz="4" w:space="0" w:color="auto"/>
              <w:bottom w:val="sing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 xml:space="preserve">7 500 </w:t>
            </w:r>
          </w:p>
        </w:tc>
        <w:tc>
          <w:tcPr>
            <w:tcW w:w="1772" w:type="dxa"/>
            <w:tcBorders>
              <w:top w:val="double" w:sz="4" w:space="0" w:color="auto"/>
              <w:bottom w:val="sing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11,2</w:t>
            </w:r>
          </w:p>
        </w:tc>
        <w:tc>
          <w:tcPr>
            <w:tcW w:w="1772" w:type="dxa"/>
            <w:tcBorders>
              <w:top w:val="double" w:sz="4" w:space="0" w:color="auto"/>
              <w:bottom w:val="sing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 xml:space="preserve">8 100 </w:t>
            </w:r>
          </w:p>
        </w:tc>
        <w:tc>
          <w:tcPr>
            <w:tcW w:w="1772" w:type="dxa"/>
            <w:tcBorders>
              <w:top w:val="double" w:sz="4" w:space="0" w:color="auto"/>
              <w:bottom w:val="sing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12,1</w:t>
            </w:r>
          </w:p>
        </w:tc>
      </w:tr>
      <w:tr w:rsidR="00C723DD" w:rsidRPr="006D2E00" w:rsidTr="00C723DD">
        <w:trPr>
          <w:cantSplit/>
          <w:trHeight w:val="20"/>
        </w:trPr>
        <w:tc>
          <w:tcPr>
            <w:tcW w:w="2410" w:type="dxa"/>
            <w:tcBorders>
              <w:top w:val="single" w:sz="4" w:space="0" w:color="auto"/>
              <w:bottom w:val="double" w:sz="4" w:space="0" w:color="auto"/>
            </w:tcBorders>
            <w:vAlign w:val="center"/>
          </w:tcPr>
          <w:p w:rsidR="00C723DD" w:rsidRPr="006D2E00" w:rsidRDefault="00C723DD" w:rsidP="00C723DD">
            <w:pPr>
              <w:pStyle w:val="Nadpis2"/>
              <w:ind w:firstLine="0"/>
              <w:jc w:val="left"/>
              <w:rPr>
                <w:rFonts w:asciiTheme="minorHAnsi" w:hAnsiTheme="minorHAnsi" w:cstheme="minorHAnsi"/>
                <w:sz w:val="18"/>
              </w:rPr>
            </w:pPr>
            <w:r w:rsidRPr="006D2E00">
              <w:rPr>
                <w:rFonts w:asciiTheme="minorHAnsi" w:hAnsiTheme="minorHAnsi" w:cstheme="minorHAnsi"/>
                <w:sz w:val="18"/>
              </w:rPr>
              <w:t>31.12.201</w:t>
            </w:r>
            <w:r>
              <w:rPr>
                <w:rFonts w:asciiTheme="minorHAnsi" w:hAnsiTheme="minorHAnsi" w:cstheme="minorHAnsi"/>
                <w:sz w:val="18"/>
              </w:rPr>
              <w:t>5</w:t>
            </w:r>
          </w:p>
        </w:tc>
        <w:tc>
          <w:tcPr>
            <w:tcW w:w="1772" w:type="dxa"/>
            <w:tcBorders>
              <w:top w:val="single" w:sz="4" w:space="0" w:color="auto"/>
              <w:bottom w:val="doub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 xml:space="preserve">8 400 </w:t>
            </w:r>
          </w:p>
        </w:tc>
        <w:tc>
          <w:tcPr>
            <w:tcW w:w="1772" w:type="dxa"/>
            <w:tcBorders>
              <w:top w:val="single" w:sz="4" w:space="0" w:color="auto"/>
              <w:bottom w:val="doub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12,6</w:t>
            </w:r>
          </w:p>
        </w:tc>
        <w:tc>
          <w:tcPr>
            <w:tcW w:w="1772" w:type="dxa"/>
            <w:tcBorders>
              <w:top w:val="single" w:sz="4" w:space="0" w:color="auto"/>
              <w:bottom w:val="doub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 xml:space="preserve">9 000 </w:t>
            </w:r>
          </w:p>
        </w:tc>
        <w:tc>
          <w:tcPr>
            <w:tcW w:w="1772" w:type="dxa"/>
            <w:tcBorders>
              <w:top w:val="single" w:sz="4" w:space="0" w:color="auto"/>
              <w:bottom w:val="double" w:sz="4" w:space="0" w:color="auto"/>
            </w:tcBorders>
            <w:vAlign w:val="center"/>
          </w:tcPr>
          <w:p w:rsidR="00C723DD" w:rsidRPr="005C5BFC" w:rsidRDefault="00C723DD" w:rsidP="00C723DD">
            <w:pPr>
              <w:jc w:val="center"/>
              <w:rPr>
                <w:rFonts w:ascii="Calibri" w:hAnsi="Calibri" w:cs="Calibri"/>
                <w:sz w:val="18"/>
                <w:szCs w:val="18"/>
              </w:rPr>
            </w:pPr>
            <w:r w:rsidRPr="005C5BFC">
              <w:rPr>
                <w:rFonts w:ascii="Calibri" w:hAnsi="Calibri" w:cs="Calibri"/>
                <w:sz w:val="18"/>
                <w:szCs w:val="18"/>
              </w:rPr>
              <w:t>13,5</w:t>
            </w:r>
          </w:p>
        </w:tc>
      </w:tr>
    </w:tbl>
    <w:p w:rsidR="00C723DD" w:rsidRPr="001C0C74" w:rsidRDefault="00C723DD" w:rsidP="00C723DD">
      <w:pPr>
        <w:pStyle w:val="Nadpis3"/>
        <w:rPr>
          <w:rFonts w:asciiTheme="minorHAnsi" w:hAnsiTheme="minorHAnsi" w:cstheme="minorHAnsi"/>
          <w:b w:val="0"/>
          <w:i w:val="0"/>
          <w:szCs w:val="28"/>
        </w:rPr>
      </w:pPr>
      <w:r w:rsidRPr="006D2E00">
        <w:rPr>
          <w:rFonts w:asciiTheme="minorHAnsi" w:hAnsiTheme="minorHAnsi" w:cstheme="minorHAnsi"/>
          <w:sz w:val="24"/>
          <w:szCs w:val="24"/>
        </w:rPr>
        <w:br w:type="page"/>
      </w:r>
      <w:r w:rsidRPr="001C0C74">
        <w:rPr>
          <w:rFonts w:asciiTheme="minorHAnsi" w:hAnsiTheme="minorHAnsi" w:cstheme="minorHAnsi"/>
          <w:szCs w:val="28"/>
        </w:rPr>
        <w:t>Okres Frýdek-Místek</w:t>
      </w:r>
    </w:p>
    <w:p w:rsidR="00C723DD" w:rsidRPr="001C0C74" w:rsidRDefault="00C723DD" w:rsidP="00C723DD">
      <w:pPr>
        <w:rPr>
          <w:rFonts w:asciiTheme="minorHAnsi" w:hAnsiTheme="minorHAnsi" w:cstheme="minorHAnsi"/>
          <w:b/>
        </w:rPr>
      </w:pPr>
    </w:p>
    <w:p w:rsidR="00C723DD" w:rsidRPr="001C0C74" w:rsidRDefault="00C723DD" w:rsidP="00C723DD">
      <w:pPr>
        <w:ind w:right="-567"/>
        <w:jc w:val="both"/>
        <w:rPr>
          <w:rFonts w:asciiTheme="minorHAnsi" w:hAnsiTheme="minorHAnsi" w:cstheme="minorHAnsi"/>
          <w:b/>
          <w:color w:val="000000"/>
          <w:sz w:val="22"/>
        </w:rPr>
      </w:pPr>
      <w:r w:rsidRPr="001C0C74">
        <w:rPr>
          <w:rFonts w:asciiTheme="minorHAnsi" w:hAnsiTheme="minorHAnsi" w:cstheme="minorHAnsi"/>
          <w:b/>
          <w:color w:val="000000"/>
          <w:sz w:val="22"/>
        </w:rPr>
        <w:t>1. Celková charakteristika okresu</w:t>
      </w:r>
    </w:p>
    <w:tbl>
      <w:tblPr>
        <w:tblW w:w="9142" w:type="dxa"/>
        <w:tblLayout w:type="fixed"/>
        <w:tblCellMar>
          <w:left w:w="70" w:type="dxa"/>
          <w:right w:w="70" w:type="dxa"/>
        </w:tblCellMar>
        <w:tblLook w:val="0000" w:firstRow="0" w:lastRow="0" w:firstColumn="0" w:lastColumn="0" w:noHBand="0" w:noVBand="0"/>
      </w:tblPr>
      <w:tblGrid>
        <w:gridCol w:w="1771"/>
        <w:gridCol w:w="7371"/>
      </w:tblGrid>
      <w:tr w:rsidR="00C723DD" w:rsidRPr="001C0C74" w:rsidTr="00C723DD">
        <w:trPr>
          <w:trHeight w:val="1256"/>
        </w:trPr>
        <w:tc>
          <w:tcPr>
            <w:tcW w:w="1771" w:type="dxa"/>
          </w:tcPr>
          <w:p w:rsidR="00C723DD" w:rsidRPr="001C0C74" w:rsidRDefault="00C723DD" w:rsidP="00C723DD">
            <w:pPr>
              <w:ind w:right="-567"/>
              <w:jc w:val="both"/>
              <w:rPr>
                <w:rFonts w:asciiTheme="minorHAnsi" w:hAnsiTheme="minorHAnsi" w:cstheme="minorHAnsi"/>
                <w:color w:val="000000"/>
              </w:rPr>
            </w:pPr>
            <w:r w:rsidRPr="001C0C74">
              <w:rPr>
                <w:rFonts w:asciiTheme="minorHAnsi" w:hAnsiTheme="minorHAnsi" w:cstheme="minorHAnsi"/>
                <w:color w:val="000000"/>
              </w:rPr>
              <w:t>Rozloha:</w:t>
            </w:r>
          </w:p>
          <w:p w:rsidR="00C723DD" w:rsidRPr="001C0C74" w:rsidRDefault="00C723DD" w:rsidP="00C723DD">
            <w:pPr>
              <w:ind w:right="-567"/>
              <w:jc w:val="both"/>
              <w:rPr>
                <w:rFonts w:asciiTheme="minorHAnsi" w:hAnsiTheme="minorHAnsi" w:cstheme="minorHAnsi"/>
                <w:color w:val="000000"/>
              </w:rPr>
            </w:pPr>
            <w:r w:rsidRPr="001C0C74">
              <w:rPr>
                <w:rFonts w:asciiTheme="minorHAnsi" w:hAnsiTheme="minorHAnsi" w:cstheme="minorHAnsi"/>
                <w:color w:val="000000"/>
              </w:rPr>
              <w:t>Počet obyvatel:</w:t>
            </w:r>
          </w:p>
          <w:p w:rsidR="00C723DD" w:rsidRPr="001C0C74" w:rsidRDefault="00C723DD" w:rsidP="00C723DD">
            <w:pPr>
              <w:ind w:right="-70"/>
              <w:jc w:val="both"/>
              <w:rPr>
                <w:rFonts w:asciiTheme="minorHAnsi" w:hAnsiTheme="minorHAnsi" w:cstheme="minorHAnsi"/>
                <w:color w:val="000000"/>
              </w:rPr>
            </w:pPr>
            <w:r w:rsidRPr="001C0C74">
              <w:rPr>
                <w:rFonts w:asciiTheme="minorHAnsi" w:hAnsiTheme="minorHAnsi" w:cstheme="minorHAnsi"/>
                <w:color w:val="000000"/>
              </w:rPr>
              <w:t>Hustota osídlení:</w:t>
            </w:r>
          </w:p>
          <w:p w:rsidR="00C723DD" w:rsidRPr="001C0C74" w:rsidRDefault="00C723DD" w:rsidP="00C723DD">
            <w:pPr>
              <w:ind w:right="-567"/>
              <w:jc w:val="both"/>
              <w:rPr>
                <w:rFonts w:asciiTheme="minorHAnsi" w:hAnsiTheme="minorHAnsi" w:cstheme="minorHAnsi"/>
                <w:color w:val="000000"/>
              </w:rPr>
            </w:pPr>
            <w:r w:rsidRPr="001C0C74">
              <w:rPr>
                <w:rFonts w:asciiTheme="minorHAnsi" w:hAnsiTheme="minorHAnsi" w:cstheme="minorHAnsi"/>
                <w:color w:val="000000"/>
              </w:rPr>
              <w:t>Charakter:</w:t>
            </w:r>
          </w:p>
        </w:tc>
        <w:tc>
          <w:tcPr>
            <w:tcW w:w="7371" w:type="dxa"/>
          </w:tcPr>
          <w:p w:rsidR="00C723DD" w:rsidRPr="001C0C74" w:rsidRDefault="00C723DD" w:rsidP="00C723DD">
            <w:pPr>
              <w:ind w:right="-567"/>
              <w:rPr>
                <w:rFonts w:asciiTheme="minorHAnsi" w:hAnsiTheme="minorHAnsi" w:cstheme="minorHAnsi"/>
                <w:color w:val="000000"/>
                <w:vertAlign w:val="superscript"/>
              </w:rPr>
            </w:pPr>
            <w:r w:rsidRPr="001C0C74">
              <w:rPr>
                <w:rFonts w:asciiTheme="minorHAnsi" w:hAnsiTheme="minorHAnsi" w:cstheme="minorHAnsi"/>
                <w:color w:val="000000"/>
              </w:rPr>
              <w:t>1 210 km</w:t>
            </w:r>
            <w:r w:rsidRPr="001C0C74">
              <w:rPr>
                <w:rFonts w:asciiTheme="minorHAnsi" w:hAnsiTheme="minorHAnsi" w:cstheme="minorHAnsi"/>
                <w:color w:val="000000"/>
                <w:vertAlign w:val="superscript"/>
              </w:rPr>
              <w:t>2</w:t>
            </w:r>
          </w:p>
          <w:p w:rsidR="00C723DD" w:rsidRPr="001C0C74" w:rsidRDefault="00C723DD" w:rsidP="00C723DD">
            <w:pPr>
              <w:ind w:right="-567"/>
              <w:rPr>
                <w:rFonts w:asciiTheme="minorHAnsi" w:hAnsiTheme="minorHAnsi" w:cstheme="minorHAnsi"/>
                <w:color w:val="000000"/>
              </w:rPr>
            </w:pPr>
            <w:r>
              <w:rPr>
                <w:rFonts w:asciiTheme="minorHAnsi" w:eastAsia="Arial" w:hAnsiTheme="minorHAnsi" w:cstheme="minorHAnsi"/>
                <w:color w:val="000000"/>
              </w:rPr>
              <w:t>cca 213</w:t>
            </w:r>
            <w:r w:rsidRPr="001C0C74">
              <w:rPr>
                <w:rFonts w:asciiTheme="minorHAnsi" w:eastAsia="Arial" w:hAnsiTheme="minorHAnsi" w:cstheme="minorHAnsi"/>
                <w:color w:val="000000"/>
              </w:rPr>
              <w:t xml:space="preserve"> tis.</w:t>
            </w:r>
            <w:r w:rsidRPr="001C0C74">
              <w:rPr>
                <w:rFonts w:asciiTheme="minorHAnsi" w:hAnsiTheme="minorHAnsi" w:cstheme="minorHAnsi"/>
                <w:snapToGrid w:val="0"/>
                <w:color w:val="000000"/>
              </w:rPr>
              <w:t xml:space="preserve"> </w:t>
            </w:r>
          </w:p>
          <w:p w:rsidR="00C723DD" w:rsidRPr="001C0C74" w:rsidRDefault="00C723DD" w:rsidP="00C723DD">
            <w:pPr>
              <w:ind w:right="-567"/>
              <w:rPr>
                <w:rFonts w:asciiTheme="minorHAnsi" w:hAnsiTheme="minorHAnsi" w:cstheme="minorHAnsi"/>
                <w:color w:val="000000"/>
                <w:vertAlign w:val="superscript"/>
              </w:rPr>
            </w:pPr>
            <w:r w:rsidRPr="001C0C74">
              <w:rPr>
                <w:rFonts w:asciiTheme="minorHAnsi" w:hAnsiTheme="minorHAnsi" w:cstheme="minorHAnsi"/>
                <w:color w:val="000000"/>
              </w:rPr>
              <w:t>174 obyvatel/km</w:t>
            </w:r>
            <w:r w:rsidRPr="001C0C74">
              <w:rPr>
                <w:rFonts w:asciiTheme="minorHAnsi" w:hAnsiTheme="minorHAnsi" w:cstheme="minorHAnsi"/>
                <w:color w:val="000000"/>
                <w:vertAlign w:val="superscript"/>
              </w:rPr>
              <w:t>2</w:t>
            </w:r>
          </w:p>
          <w:p w:rsidR="00C723DD" w:rsidRPr="001C0C74" w:rsidRDefault="00C723DD" w:rsidP="00C723DD">
            <w:pPr>
              <w:ind w:right="-70"/>
              <w:jc w:val="both"/>
              <w:rPr>
                <w:rFonts w:asciiTheme="minorHAnsi" w:hAnsiTheme="minorHAnsi" w:cstheme="minorHAnsi"/>
                <w:color w:val="000000"/>
              </w:rPr>
            </w:pPr>
            <w:r w:rsidRPr="001C0C74">
              <w:rPr>
                <w:rFonts w:asciiTheme="minorHAnsi" w:hAnsiTheme="minorHAnsi" w:cstheme="minorHAnsi"/>
                <w:color w:val="000000"/>
              </w:rPr>
              <w:t>průmyslově zemědělská oblast, největší rekreační území ostravské aglomerace, téměř jednu polovinu rozlohy představuje lesní půdní fond</w:t>
            </w:r>
          </w:p>
        </w:tc>
      </w:tr>
    </w:tbl>
    <w:p w:rsidR="00C723DD" w:rsidRPr="001C0C74" w:rsidRDefault="00C723DD" w:rsidP="00C723DD">
      <w:pPr>
        <w:pStyle w:val="Fous"/>
        <w:numPr>
          <w:ilvl w:val="0"/>
          <w:numId w:val="0"/>
        </w:numPr>
        <w:spacing w:before="120" w:after="0"/>
        <w:rPr>
          <w:rFonts w:asciiTheme="minorHAnsi" w:hAnsiTheme="minorHAnsi" w:cstheme="minorHAnsi"/>
          <w:b/>
          <w:i/>
          <w:szCs w:val="22"/>
        </w:rPr>
      </w:pPr>
      <w:r w:rsidRPr="001C0C74">
        <w:rPr>
          <w:rFonts w:asciiTheme="minorHAnsi" w:hAnsiTheme="minorHAnsi" w:cstheme="minorHAnsi"/>
          <w:b/>
          <w:i/>
        </w:rPr>
        <w:t>Silné stránky okresu (specifika, která nejsou obsažena v krajské analýze)</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Dlouhodobá tradice v řadě průmyslových odvětví.</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Kapacitně dostatečně rozvinutá průmyslová základna v řadě odvětví.</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Relativně nízké náklady na pracovní sílu.</w:t>
      </w:r>
    </w:p>
    <w:p w:rsidR="00C723DD" w:rsidRPr="0068239F"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Silná populační základna, mladší věková struktura obyvatelstva ve srovnání s průměrem v ČR.</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Velký a silný zahraniční investor spolu s dalšími navazujícími subjekty.</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Dostatečná kapacita vzdělávacích zařízení - základních a středních.</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Dobrá dostupnost zdravotní péče a zdravotnických zařízení.</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Příhraniční poloha okresu (s Polskou a Slovenskou republikou).</w:t>
      </w:r>
    </w:p>
    <w:p w:rsidR="00C723DD" w:rsidRPr="001C0C74" w:rsidRDefault="00C723DD" w:rsidP="00C723DD">
      <w:pPr>
        <w:pStyle w:val="Fous"/>
        <w:numPr>
          <w:ilvl w:val="0"/>
          <w:numId w:val="12"/>
        </w:numPr>
        <w:tabs>
          <w:tab w:val="clear" w:pos="360"/>
          <w:tab w:val="num" w:pos="397"/>
        </w:tabs>
        <w:spacing w:after="110"/>
        <w:ind w:left="397" w:hanging="397"/>
        <w:rPr>
          <w:rFonts w:asciiTheme="minorHAnsi" w:hAnsiTheme="minorHAnsi" w:cstheme="minorHAnsi"/>
          <w:sz w:val="20"/>
        </w:rPr>
      </w:pPr>
      <w:r w:rsidRPr="001C0C74">
        <w:rPr>
          <w:rFonts w:asciiTheme="minorHAnsi" w:hAnsiTheme="minorHAnsi" w:cstheme="minorHAnsi"/>
          <w:sz w:val="20"/>
        </w:rPr>
        <w:t>Turisticky atraktivní pohoří Beskyd. Kulturní a přírodní potenciál okresu.</w:t>
      </w:r>
    </w:p>
    <w:p w:rsidR="00C723DD" w:rsidRPr="001C0C74" w:rsidRDefault="00C723DD" w:rsidP="00C723DD">
      <w:pPr>
        <w:pStyle w:val="Fous"/>
        <w:numPr>
          <w:ilvl w:val="0"/>
          <w:numId w:val="0"/>
        </w:numPr>
        <w:spacing w:before="120" w:after="0"/>
        <w:rPr>
          <w:rFonts w:asciiTheme="minorHAnsi" w:hAnsiTheme="minorHAnsi" w:cstheme="minorHAnsi"/>
          <w:b/>
          <w:i/>
        </w:rPr>
      </w:pPr>
      <w:r w:rsidRPr="001C0C74">
        <w:rPr>
          <w:rFonts w:asciiTheme="minorHAnsi" w:hAnsiTheme="minorHAnsi" w:cstheme="minorHAnsi"/>
          <w:b/>
          <w:i/>
        </w:rPr>
        <w:t>Slabé stránky okresu (specifika, která nejsou obsažena v krajské analýze)</w:t>
      </w:r>
    </w:p>
    <w:p w:rsidR="00C723DD" w:rsidRPr="001C0C74" w:rsidRDefault="00C723DD" w:rsidP="00C723DD">
      <w:pPr>
        <w:pStyle w:val="Fous"/>
        <w:numPr>
          <w:ilvl w:val="0"/>
          <w:numId w:val="12"/>
        </w:numPr>
        <w:tabs>
          <w:tab w:val="clear" w:pos="360"/>
        </w:tabs>
        <w:spacing w:after="0"/>
        <w:ind w:left="397" w:hanging="397"/>
        <w:rPr>
          <w:rFonts w:asciiTheme="minorHAnsi" w:hAnsiTheme="minorHAnsi" w:cstheme="minorHAnsi"/>
          <w:sz w:val="20"/>
        </w:rPr>
      </w:pPr>
      <w:r w:rsidRPr="001C0C74">
        <w:rPr>
          <w:rFonts w:asciiTheme="minorHAnsi" w:hAnsiTheme="minorHAnsi" w:cstheme="minorHAnsi"/>
          <w:sz w:val="20"/>
        </w:rPr>
        <w:t>Velká vzdálenost od ostatních regionů ČR a EU.</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 xml:space="preserve">Významné soustředění těžkého průmyslu, poddolování části okresu. </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Omezená možnost hospodaření v CHKO, pásmech hygienické ochrany vod.</w:t>
      </w:r>
    </w:p>
    <w:p w:rsidR="00C723DD" w:rsidRPr="0068239F"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Nízká územní mobilita pracovní síly do větších vzdáleností, nižší flexibilita pracovní síly.</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Růst podílu obyvatel vyšších věkových kategorií.</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Strukturálně nevyvážená nabídka a poptávka na trhu práce.</w:t>
      </w:r>
    </w:p>
    <w:p w:rsidR="00C723DD" w:rsidRPr="0068239F"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Slabá identifikace obyvatel průmyslových oblastí okresu s vlastním územím.</w:t>
      </w:r>
    </w:p>
    <w:p w:rsidR="00C723DD" w:rsidRPr="001C0C74" w:rsidRDefault="00C723DD" w:rsidP="00C723DD">
      <w:pPr>
        <w:pStyle w:val="Fous"/>
        <w:numPr>
          <w:ilvl w:val="0"/>
          <w:numId w:val="12"/>
        </w:numPr>
        <w:tabs>
          <w:tab w:val="clear" w:pos="360"/>
          <w:tab w:val="num" w:pos="397"/>
        </w:tabs>
        <w:spacing w:after="0"/>
        <w:ind w:left="397" w:hanging="397"/>
        <w:rPr>
          <w:rFonts w:asciiTheme="minorHAnsi" w:hAnsiTheme="minorHAnsi" w:cstheme="minorHAnsi"/>
          <w:sz w:val="20"/>
        </w:rPr>
      </w:pPr>
      <w:r w:rsidRPr="001C0C74">
        <w:rPr>
          <w:rFonts w:asciiTheme="minorHAnsi" w:hAnsiTheme="minorHAnsi" w:cstheme="minorHAnsi"/>
          <w:sz w:val="20"/>
        </w:rPr>
        <w:t>Existence ekologických zátěží z průmyslové výroby, zhoršená kvalita životního prostředí, zejména ovzduší.</w:t>
      </w:r>
    </w:p>
    <w:p w:rsidR="00C723DD" w:rsidRPr="001C0C74" w:rsidRDefault="00C723DD" w:rsidP="00C723DD">
      <w:pPr>
        <w:pStyle w:val="Fous"/>
        <w:numPr>
          <w:ilvl w:val="0"/>
          <w:numId w:val="0"/>
        </w:numPr>
        <w:spacing w:after="0"/>
        <w:rPr>
          <w:rFonts w:asciiTheme="minorHAnsi" w:hAnsiTheme="minorHAnsi" w:cstheme="minorHAnsi"/>
          <w:b/>
          <w:sz w:val="20"/>
        </w:rPr>
      </w:pPr>
    </w:p>
    <w:p w:rsidR="00C723DD" w:rsidRPr="001C0C74" w:rsidRDefault="00C723DD" w:rsidP="00C723DD">
      <w:pPr>
        <w:ind w:right="-567"/>
        <w:jc w:val="both"/>
        <w:rPr>
          <w:rFonts w:asciiTheme="minorHAnsi" w:hAnsiTheme="minorHAnsi" w:cstheme="minorHAnsi"/>
          <w:sz w:val="22"/>
        </w:rPr>
      </w:pPr>
      <w:r w:rsidRPr="001C0C74">
        <w:rPr>
          <w:rFonts w:asciiTheme="minorHAnsi" w:hAnsiTheme="minorHAnsi" w:cstheme="minorHAnsi"/>
          <w:b/>
          <w:sz w:val="22"/>
        </w:rPr>
        <w:t>2. Zaměstnanost</w:t>
      </w:r>
    </w:p>
    <w:tbl>
      <w:tblPr>
        <w:tblW w:w="9491"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6"/>
        <w:gridCol w:w="1026"/>
        <w:gridCol w:w="1026"/>
        <w:gridCol w:w="1026"/>
      </w:tblGrid>
      <w:tr w:rsidR="00C723DD" w:rsidRPr="001C0C74" w:rsidTr="00C723DD">
        <w:trPr>
          <w:cantSplit/>
          <w:trHeight w:val="608"/>
        </w:trPr>
        <w:tc>
          <w:tcPr>
            <w:tcW w:w="5387" w:type="dxa"/>
            <w:tcBorders>
              <w:bottom w:val="nil"/>
            </w:tcBorders>
            <w:vAlign w:val="center"/>
          </w:tcPr>
          <w:p w:rsidR="00C723DD" w:rsidRPr="001C0C74" w:rsidRDefault="00C723DD" w:rsidP="00C723DD">
            <w:pPr>
              <w:tabs>
                <w:tab w:val="left" w:pos="6946"/>
              </w:tabs>
              <w:jc w:val="center"/>
              <w:rPr>
                <w:rFonts w:asciiTheme="minorHAnsi" w:hAnsiTheme="minorHAnsi" w:cstheme="minorHAnsi"/>
                <w:b/>
                <w:i/>
                <w:sz w:val="18"/>
              </w:rPr>
            </w:pPr>
            <w:r w:rsidRPr="001C0C74">
              <w:rPr>
                <w:rFonts w:asciiTheme="minorHAnsi" w:hAnsiTheme="minorHAnsi" w:cstheme="minorHAnsi"/>
                <w:b/>
                <w:i/>
                <w:sz w:val="18"/>
              </w:rPr>
              <w:t>ukazatel</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(celkový počet)</w:t>
            </w:r>
          </w:p>
        </w:tc>
        <w:tc>
          <w:tcPr>
            <w:tcW w:w="1026" w:type="dxa"/>
            <w:tcBorders>
              <w:bottom w:val="nil"/>
            </w:tcBorders>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3</w:t>
            </w:r>
          </w:p>
        </w:tc>
        <w:tc>
          <w:tcPr>
            <w:tcW w:w="1026" w:type="dxa"/>
            <w:tcBorders>
              <w:bottom w:val="nil"/>
            </w:tcBorders>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4</w:t>
            </w:r>
          </w:p>
        </w:tc>
        <w:tc>
          <w:tcPr>
            <w:tcW w:w="1026" w:type="dxa"/>
            <w:tcBorders>
              <w:bottom w:val="nil"/>
            </w:tcBorders>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meziroční rozdíl</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absolutně</w:t>
            </w:r>
          </w:p>
        </w:tc>
        <w:tc>
          <w:tcPr>
            <w:tcW w:w="1026" w:type="dxa"/>
            <w:tcBorders>
              <w:bottom w:val="nil"/>
            </w:tcBorders>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index</w:t>
            </w:r>
          </w:p>
          <w:p w:rsidR="00C723DD" w:rsidRPr="001C0C74" w:rsidRDefault="00C723DD" w:rsidP="00C723DD">
            <w:pPr>
              <w:ind w:left="-70"/>
              <w:jc w:val="center"/>
              <w:rPr>
                <w:rFonts w:asciiTheme="minorHAnsi" w:hAnsiTheme="minorHAnsi" w:cstheme="minorHAnsi"/>
                <w:b/>
                <w:i/>
                <w:sz w:val="18"/>
              </w:rPr>
            </w:pPr>
            <w:r>
              <w:rPr>
                <w:rFonts w:asciiTheme="minorHAnsi" w:hAnsiTheme="minorHAnsi" w:cstheme="minorHAnsi"/>
                <w:b/>
                <w:i/>
                <w:sz w:val="18"/>
              </w:rPr>
              <w:t>2014/2013</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v %</w:t>
            </w:r>
          </w:p>
        </w:tc>
      </w:tr>
      <w:tr w:rsidR="00C723DD" w:rsidRPr="001C0C74" w:rsidTr="00C723DD">
        <w:trPr>
          <w:cantSplit/>
          <w:trHeight w:val="178"/>
        </w:trPr>
        <w:tc>
          <w:tcPr>
            <w:tcW w:w="5387" w:type="dxa"/>
            <w:tcBorders>
              <w:top w:val="double" w:sz="4" w:space="0" w:color="auto"/>
              <w:bottom w:val="single" w:sz="4" w:space="0" w:color="auto"/>
            </w:tcBorders>
            <w:vAlign w:val="center"/>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 xml:space="preserve">zaměstnavatelé se stavem </w:t>
            </w:r>
            <w:smartTag w:uri="urn:schemas-microsoft-com:office:smarttags" w:element="metricconverter">
              <w:smartTagPr>
                <w:attr w:name="ProductID" w:val="26 a"/>
              </w:smartTagPr>
              <w:r w:rsidRPr="001C0C74">
                <w:rPr>
                  <w:rFonts w:asciiTheme="minorHAnsi" w:hAnsiTheme="minorHAnsi" w:cstheme="minorHAnsi"/>
                  <w:sz w:val="18"/>
                </w:rPr>
                <w:t>26 a</w:t>
              </w:r>
            </w:smartTag>
            <w:r w:rsidRPr="001C0C74">
              <w:rPr>
                <w:rFonts w:asciiTheme="minorHAnsi" w:hAnsiTheme="minorHAnsi" w:cstheme="minorHAnsi"/>
                <w:sz w:val="18"/>
              </w:rPr>
              <w:t xml:space="preserve"> více osob (monitorované firmy)</w:t>
            </w:r>
          </w:p>
        </w:tc>
        <w:tc>
          <w:tcPr>
            <w:tcW w:w="1026" w:type="dxa"/>
            <w:tcBorders>
              <w:top w:val="double" w:sz="4" w:space="0" w:color="auto"/>
              <w:bottom w:val="single" w:sz="4" w:space="0" w:color="auto"/>
            </w:tcBorders>
            <w:vAlign w:val="center"/>
          </w:tcPr>
          <w:p w:rsidR="00C723DD" w:rsidRPr="001C0C74" w:rsidRDefault="00C723DD" w:rsidP="00C723DD">
            <w:pPr>
              <w:ind w:left="-70"/>
              <w:jc w:val="center"/>
              <w:rPr>
                <w:rFonts w:asciiTheme="minorHAnsi" w:hAnsiTheme="minorHAnsi" w:cstheme="minorHAnsi"/>
                <w:sz w:val="18"/>
              </w:rPr>
            </w:pPr>
            <w:r w:rsidRPr="001C0C74">
              <w:rPr>
                <w:rFonts w:asciiTheme="minorHAnsi" w:hAnsiTheme="minorHAnsi" w:cstheme="minorHAnsi"/>
                <w:sz w:val="18"/>
              </w:rPr>
              <w:t>370</w:t>
            </w:r>
          </w:p>
        </w:tc>
        <w:tc>
          <w:tcPr>
            <w:tcW w:w="1026" w:type="dxa"/>
            <w:tcBorders>
              <w:top w:val="double" w:sz="4" w:space="0" w:color="auto"/>
              <w:bottom w:val="single" w:sz="4" w:space="0" w:color="auto"/>
            </w:tcBorders>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384</w:t>
            </w:r>
          </w:p>
        </w:tc>
        <w:tc>
          <w:tcPr>
            <w:tcW w:w="1026" w:type="dxa"/>
            <w:tcBorders>
              <w:top w:val="double" w:sz="4" w:space="0" w:color="auto"/>
              <w:bottom w:val="single" w:sz="4" w:space="0" w:color="auto"/>
            </w:tcBorders>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+14</w:t>
            </w:r>
          </w:p>
        </w:tc>
        <w:tc>
          <w:tcPr>
            <w:tcW w:w="1026" w:type="dxa"/>
            <w:tcBorders>
              <w:top w:val="double" w:sz="4" w:space="0" w:color="auto"/>
              <w:bottom w:val="single" w:sz="4" w:space="0" w:color="auto"/>
            </w:tcBorders>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103,8</w:t>
            </w:r>
          </w:p>
        </w:tc>
      </w:tr>
      <w:tr w:rsidR="00C723DD" w:rsidRPr="001C0C74" w:rsidTr="00C723DD">
        <w:trPr>
          <w:cantSplit/>
          <w:trHeight w:val="208"/>
        </w:trPr>
        <w:tc>
          <w:tcPr>
            <w:tcW w:w="5387" w:type="dxa"/>
            <w:vAlign w:val="center"/>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 xml:space="preserve">zaměstnanci u monitorovaných firem (se stavem </w:t>
            </w:r>
            <w:smartTag w:uri="urn:schemas-microsoft-com:office:smarttags" w:element="metricconverter">
              <w:smartTagPr>
                <w:attr w:name="ProductID" w:val="26 a"/>
              </w:smartTagPr>
              <w:r w:rsidRPr="001C0C74">
                <w:rPr>
                  <w:rFonts w:asciiTheme="minorHAnsi" w:hAnsiTheme="minorHAnsi" w:cstheme="minorHAnsi"/>
                  <w:sz w:val="18"/>
                </w:rPr>
                <w:t>26 a</w:t>
              </w:r>
            </w:smartTag>
            <w:r w:rsidRPr="001C0C74">
              <w:rPr>
                <w:rFonts w:asciiTheme="minorHAnsi" w:hAnsiTheme="minorHAnsi" w:cstheme="minorHAnsi"/>
                <w:sz w:val="18"/>
              </w:rPr>
              <w:t xml:space="preserve"> více osob)</w:t>
            </w:r>
          </w:p>
        </w:tc>
        <w:tc>
          <w:tcPr>
            <w:tcW w:w="1026" w:type="dxa"/>
            <w:vAlign w:val="center"/>
          </w:tcPr>
          <w:p w:rsidR="00C723DD" w:rsidRPr="001C0C74" w:rsidRDefault="00C723DD" w:rsidP="00C723DD">
            <w:pPr>
              <w:ind w:left="-70"/>
              <w:jc w:val="center"/>
              <w:rPr>
                <w:rFonts w:asciiTheme="minorHAnsi" w:hAnsiTheme="minorHAnsi" w:cstheme="minorHAnsi"/>
                <w:sz w:val="18"/>
              </w:rPr>
            </w:pPr>
            <w:r w:rsidRPr="001C0C74">
              <w:rPr>
                <w:rFonts w:asciiTheme="minorHAnsi" w:hAnsiTheme="minorHAnsi" w:cstheme="minorHAnsi"/>
                <w:sz w:val="18"/>
              </w:rPr>
              <w:t>49 275</w:t>
            </w:r>
          </w:p>
        </w:tc>
        <w:tc>
          <w:tcPr>
            <w:tcW w:w="1026" w:type="dxa"/>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50</w:t>
            </w:r>
            <w:r>
              <w:rPr>
                <w:rFonts w:asciiTheme="minorHAnsi" w:hAnsiTheme="minorHAnsi" w:cstheme="minorHAnsi"/>
                <w:sz w:val="18"/>
              </w:rPr>
              <w:t xml:space="preserve"> </w:t>
            </w:r>
            <w:r w:rsidRPr="001E3357">
              <w:rPr>
                <w:rFonts w:asciiTheme="minorHAnsi" w:hAnsiTheme="minorHAnsi" w:cstheme="minorHAnsi"/>
                <w:sz w:val="18"/>
              </w:rPr>
              <w:t>665</w:t>
            </w:r>
          </w:p>
        </w:tc>
        <w:tc>
          <w:tcPr>
            <w:tcW w:w="1026" w:type="dxa"/>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+1 390</w:t>
            </w:r>
          </w:p>
        </w:tc>
        <w:tc>
          <w:tcPr>
            <w:tcW w:w="1026" w:type="dxa"/>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102,8</w:t>
            </w:r>
          </w:p>
        </w:tc>
      </w:tr>
      <w:tr w:rsidR="00C723DD" w:rsidRPr="001C0C74" w:rsidTr="00C723DD">
        <w:trPr>
          <w:cantSplit/>
          <w:trHeight w:val="193"/>
        </w:trPr>
        <w:tc>
          <w:tcPr>
            <w:tcW w:w="5387" w:type="dxa"/>
            <w:vAlign w:val="center"/>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OSVČ (vykonávající činnost)</w:t>
            </w:r>
          </w:p>
        </w:tc>
        <w:tc>
          <w:tcPr>
            <w:tcW w:w="1026" w:type="dxa"/>
            <w:vAlign w:val="center"/>
          </w:tcPr>
          <w:p w:rsidR="00C723DD" w:rsidRPr="001C0C74" w:rsidRDefault="00C723DD" w:rsidP="00C723DD">
            <w:pPr>
              <w:ind w:left="-70"/>
              <w:jc w:val="center"/>
              <w:rPr>
                <w:rFonts w:asciiTheme="minorHAnsi" w:hAnsiTheme="minorHAnsi" w:cstheme="minorHAnsi"/>
                <w:sz w:val="18"/>
              </w:rPr>
            </w:pPr>
            <w:r w:rsidRPr="001C0C74">
              <w:rPr>
                <w:rFonts w:asciiTheme="minorHAnsi" w:hAnsiTheme="minorHAnsi" w:cstheme="minorHAnsi"/>
                <w:sz w:val="18"/>
              </w:rPr>
              <w:t>16 272</w:t>
            </w:r>
          </w:p>
        </w:tc>
        <w:tc>
          <w:tcPr>
            <w:tcW w:w="1026" w:type="dxa"/>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16</w:t>
            </w:r>
            <w:r>
              <w:rPr>
                <w:rFonts w:asciiTheme="minorHAnsi" w:hAnsiTheme="minorHAnsi" w:cstheme="minorHAnsi"/>
                <w:sz w:val="18"/>
              </w:rPr>
              <w:t xml:space="preserve"> </w:t>
            </w:r>
            <w:r w:rsidRPr="001E3357">
              <w:rPr>
                <w:rFonts w:asciiTheme="minorHAnsi" w:hAnsiTheme="minorHAnsi" w:cstheme="minorHAnsi"/>
                <w:sz w:val="18"/>
              </w:rPr>
              <w:t>458</w:t>
            </w:r>
          </w:p>
        </w:tc>
        <w:tc>
          <w:tcPr>
            <w:tcW w:w="1026" w:type="dxa"/>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+186</w:t>
            </w:r>
          </w:p>
        </w:tc>
        <w:tc>
          <w:tcPr>
            <w:tcW w:w="1026" w:type="dxa"/>
            <w:vAlign w:val="center"/>
          </w:tcPr>
          <w:p w:rsidR="00C723DD" w:rsidRPr="001C0C74" w:rsidRDefault="00C723DD" w:rsidP="00C723DD">
            <w:pPr>
              <w:ind w:left="-70"/>
              <w:jc w:val="center"/>
              <w:rPr>
                <w:rFonts w:asciiTheme="minorHAnsi" w:hAnsiTheme="minorHAnsi" w:cstheme="minorHAnsi"/>
                <w:color w:val="000000"/>
                <w:sz w:val="18"/>
                <w:szCs w:val="18"/>
              </w:rPr>
            </w:pPr>
            <w:r>
              <w:rPr>
                <w:rFonts w:asciiTheme="minorHAnsi" w:hAnsiTheme="minorHAnsi" w:cstheme="minorHAnsi"/>
                <w:color w:val="000000"/>
                <w:sz w:val="18"/>
                <w:szCs w:val="18"/>
              </w:rPr>
              <w:t>101,1</w:t>
            </w:r>
          </w:p>
        </w:tc>
      </w:tr>
    </w:tbl>
    <w:p w:rsidR="00C723DD" w:rsidRPr="001C0C74" w:rsidRDefault="00C723DD" w:rsidP="00C723DD">
      <w:pPr>
        <w:rPr>
          <w:rFonts w:asciiTheme="minorHAnsi" w:hAnsiTheme="minorHAnsi" w:cstheme="minorHAnsi"/>
        </w:rPr>
      </w:pPr>
    </w:p>
    <w:p w:rsidR="00C723DD" w:rsidRPr="001C0C74" w:rsidRDefault="00C723DD" w:rsidP="00C723DD">
      <w:pPr>
        <w:rPr>
          <w:rFonts w:asciiTheme="minorHAnsi" w:hAnsiTheme="minorHAnsi" w:cstheme="minorHAnsi"/>
          <w:sz w:val="22"/>
        </w:rPr>
      </w:pPr>
      <w:r w:rsidRPr="001C0C74">
        <w:rPr>
          <w:rFonts w:asciiTheme="minorHAnsi" w:hAnsiTheme="minorHAnsi" w:cstheme="minorHAnsi"/>
          <w:b/>
          <w:sz w:val="22"/>
        </w:rPr>
        <w:t>3. Evidovaná nezaměstnanost a volná pracovní místa</w:t>
      </w:r>
    </w:p>
    <w:tbl>
      <w:tblPr>
        <w:tblW w:w="94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2"/>
        <w:gridCol w:w="1014"/>
        <w:gridCol w:w="1014"/>
        <w:gridCol w:w="1014"/>
        <w:gridCol w:w="1015"/>
      </w:tblGrid>
      <w:tr w:rsidR="00C723DD" w:rsidRPr="001C0C74" w:rsidTr="00C723DD">
        <w:trPr>
          <w:trHeight w:val="612"/>
        </w:trPr>
        <w:tc>
          <w:tcPr>
            <w:tcW w:w="5432" w:type="dxa"/>
            <w:tcBorders>
              <w:top w:val="double" w:sz="4" w:space="0" w:color="auto"/>
              <w:left w:val="double" w:sz="4" w:space="0" w:color="auto"/>
              <w:bottom w:val="nil"/>
            </w:tcBorders>
            <w:vAlign w:val="center"/>
          </w:tcPr>
          <w:p w:rsidR="00C723DD" w:rsidRPr="001C0C74" w:rsidRDefault="00C723DD" w:rsidP="00C723DD">
            <w:pPr>
              <w:tabs>
                <w:tab w:val="left" w:pos="6946"/>
              </w:tabs>
              <w:jc w:val="center"/>
              <w:rPr>
                <w:rFonts w:asciiTheme="minorHAnsi" w:hAnsiTheme="minorHAnsi" w:cstheme="minorHAnsi"/>
                <w:b/>
                <w:i/>
                <w:sz w:val="18"/>
              </w:rPr>
            </w:pPr>
            <w:r w:rsidRPr="001C0C74">
              <w:rPr>
                <w:rFonts w:asciiTheme="minorHAnsi" w:hAnsiTheme="minorHAnsi" w:cstheme="minorHAnsi"/>
                <w:b/>
                <w:i/>
                <w:sz w:val="18"/>
              </w:rPr>
              <w:t>ukazatel</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(celkový počet)</w:t>
            </w:r>
          </w:p>
        </w:tc>
        <w:tc>
          <w:tcPr>
            <w:tcW w:w="1014" w:type="dxa"/>
            <w:tcBorders>
              <w:top w:val="double" w:sz="4" w:space="0" w:color="auto"/>
              <w:bottom w:val="nil"/>
            </w:tcBorders>
            <w:shd w:val="clear" w:color="auto" w:fill="FFFFFF"/>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stav k 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3</w:t>
            </w:r>
          </w:p>
        </w:tc>
        <w:tc>
          <w:tcPr>
            <w:tcW w:w="1014" w:type="dxa"/>
            <w:tcBorders>
              <w:top w:val="double" w:sz="4" w:space="0" w:color="auto"/>
              <w:bottom w:val="nil"/>
            </w:tcBorders>
            <w:shd w:val="clear" w:color="auto" w:fill="FFFFFF"/>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stav k 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4</w:t>
            </w:r>
          </w:p>
        </w:tc>
        <w:tc>
          <w:tcPr>
            <w:tcW w:w="1014" w:type="dxa"/>
            <w:tcBorders>
              <w:top w:val="double" w:sz="4" w:space="0" w:color="auto"/>
              <w:bottom w:val="nil"/>
            </w:tcBorders>
            <w:shd w:val="clear" w:color="auto" w:fill="FFFFFF"/>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meziroční rozdíl</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absolutně</w:t>
            </w:r>
          </w:p>
        </w:tc>
        <w:tc>
          <w:tcPr>
            <w:tcW w:w="1015" w:type="dxa"/>
            <w:tcBorders>
              <w:top w:val="double" w:sz="4" w:space="0" w:color="auto"/>
              <w:bottom w:val="nil"/>
              <w:right w:val="double" w:sz="4" w:space="0" w:color="auto"/>
            </w:tcBorders>
            <w:shd w:val="clear" w:color="auto" w:fill="FFFFFF"/>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index</w:t>
            </w:r>
          </w:p>
          <w:p w:rsidR="00C723DD" w:rsidRPr="001C0C74"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v %</w:t>
            </w:r>
          </w:p>
        </w:tc>
      </w:tr>
      <w:tr w:rsidR="00C723DD" w:rsidRPr="001C0C74" w:rsidTr="00C723DD">
        <w:trPr>
          <w:trHeight w:val="179"/>
        </w:trPr>
        <w:tc>
          <w:tcPr>
            <w:tcW w:w="5432" w:type="dxa"/>
            <w:tcBorders>
              <w:top w:val="double" w:sz="4" w:space="0" w:color="auto"/>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evidovaní uchazeči o zaměstnání</w:t>
            </w:r>
          </w:p>
        </w:tc>
        <w:tc>
          <w:tcPr>
            <w:tcW w:w="1014" w:type="dxa"/>
            <w:tcBorders>
              <w:top w:val="double" w:sz="4" w:space="0" w:color="auto"/>
            </w:tcBorders>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11 345</w:t>
            </w:r>
          </w:p>
        </w:tc>
        <w:tc>
          <w:tcPr>
            <w:tcW w:w="1014" w:type="dxa"/>
            <w:tcBorders>
              <w:top w:val="double" w:sz="4" w:space="0" w:color="auto"/>
            </w:tcBorders>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10</w:t>
            </w:r>
            <w:r>
              <w:rPr>
                <w:rFonts w:asciiTheme="minorHAnsi" w:hAnsiTheme="minorHAnsi" w:cstheme="minorHAnsi"/>
                <w:sz w:val="18"/>
              </w:rPr>
              <w:t xml:space="preserve"> </w:t>
            </w:r>
            <w:r w:rsidRPr="001E3357">
              <w:rPr>
                <w:rFonts w:asciiTheme="minorHAnsi" w:hAnsiTheme="minorHAnsi" w:cstheme="minorHAnsi"/>
                <w:sz w:val="18"/>
              </w:rPr>
              <w:t>236</w:t>
            </w:r>
          </w:p>
        </w:tc>
        <w:tc>
          <w:tcPr>
            <w:tcW w:w="1014" w:type="dxa"/>
            <w:tcBorders>
              <w:top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-1 109</w:t>
            </w:r>
          </w:p>
        </w:tc>
        <w:tc>
          <w:tcPr>
            <w:tcW w:w="1015" w:type="dxa"/>
            <w:tcBorders>
              <w:top w:val="double" w:sz="4" w:space="0" w:color="auto"/>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90,2</w:t>
            </w:r>
          </w:p>
        </w:tc>
      </w:tr>
      <w:tr w:rsidR="00C723DD" w:rsidRPr="001C0C74" w:rsidTr="00C723DD">
        <w:trPr>
          <w:trHeight w:val="224"/>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 toho    - ženy</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5 384</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4</w:t>
            </w:r>
            <w:r>
              <w:rPr>
                <w:rFonts w:asciiTheme="minorHAnsi" w:hAnsiTheme="minorHAnsi" w:cstheme="minorHAnsi"/>
                <w:sz w:val="18"/>
              </w:rPr>
              <w:t xml:space="preserve"> </w:t>
            </w:r>
            <w:r w:rsidRPr="001E3357">
              <w:rPr>
                <w:rFonts w:asciiTheme="minorHAnsi" w:hAnsiTheme="minorHAnsi" w:cstheme="minorHAnsi"/>
                <w:sz w:val="18"/>
              </w:rPr>
              <w:t>888</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-496</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90,8</w:t>
            </w:r>
          </w:p>
        </w:tc>
      </w:tr>
      <w:tr w:rsidR="00C723DD" w:rsidRPr="001C0C74" w:rsidTr="00C723DD">
        <w:trPr>
          <w:trHeight w:val="224"/>
        </w:trPr>
        <w:tc>
          <w:tcPr>
            <w:tcW w:w="5432" w:type="dxa"/>
            <w:tcBorders>
              <w:left w:val="double" w:sz="4" w:space="0" w:color="auto"/>
            </w:tcBorders>
          </w:tcPr>
          <w:p w:rsidR="00C723DD" w:rsidRPr="001C0C74" w:rsidRDefault="00C723DD" w:rsidP="00C723DD">
            <w:pPr>
              <w:ind w:firstLine="639"/>
              <w:rPr>
                <w:rFonts w:asciiTheme="minorHAnsi" w:hAnsiTheme="minorHAnsi" w:cstheme="minorHAnsi"/>
                <w:sz w:val="18"/>
              </w:rPr>
            </w:pPr>
            <w:r w:rsidRPr="001C0C74">
              <w:rPr>
                <w:rFonts w:asciiTheme="minorHAnsi" w:hAnsiTheme="minorHAnsi" w:cstheme="minorHAnsi"/>
                <w:sz w:val="18"/>
              </w:rPr>
              <w:t>- osoby se zdravotním postižením</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1 320</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w:t>
            </w:r>
            <w:r>
              <w:rPr>
                <w:rFonts w:asciiTheme="minorHAnsi" w:hAnsiTheme="minorHAnsi" w:cstheme="minorHAnsi"/>
                <w:sz w:val="18"/>
              </w:rPr>
              <w:t xml:space="preserve"> </w:t>
            </w:r>
            <w:r w:rsidRPr="001E3357">
              <w:rPr>
                <w:rFonts w:asciiTheme="minorHAnsi" w:hAnsiTheme="minorHAnsi" w:cstheme="minorHAnsi"/>
                <w:sz w:val="18"/>
              </w:rPr>
              <w:t>290</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-30</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97,7</w:t>
            </w:r>
          </w:p>
        </w:tc>
      </w:tr>
      <w:tr w:rsidR="00C723DD" w:rsidRPr="001C0C74" w:rsidTr="00C723DD">
        <w:trPr>
          <w:trHeight w:val="224"/>
        </w:trPr>
        <w:tc>
          <w:tcPr>
            <w:tcW w:w="5432" w:type="dxa"/>
            <w:tcBorders>
              <w:left w:val="double" w:sz="4" w:space="0" w:color="auto"/>
            </w:tcBorders>
          </w:tcPr>
          <w:p w:rsidR="00C723DD" w:rsidRPr="001C0C74" w:rsidRDefault="00C723DD" w:rsidP="00C723DD">
            <w:pPr>
              <w:ind w:firstLine="639"/>
              <w:rPr>
                <w:rFonts w:asciiTheme="minorHAnsi" w:hAnsiTheme="minorHAnsi" w:cstheme="minorHAnsi"/>
                <w:sz w:val="18"/>
              </w:rPr>
            </w:pPr>
            <w:r w:rsidRPr="001C0C74">
              <w:rPr>
                <w:rFonts w:asciiTheme="minorHAnsi" w:hAnsiTheme="minorHAnsi" w:cstheme="minorHAnsi"/>
                <w:sz w:val="18"/>
              </w:rPr>
              <w:t>- absolventi škol a mladiství</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975</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609</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-366</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62,5</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evidovaní déle než 6 měsíců</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6 139</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5</w:t>
            </w:r>
            <w:r>
              <w:rPr>
                <w:rFonts w:asciiTheme="minorHAnsi" w:hAnsiTheme="minorHAnsi" w:cstheme="minorHAnsi"/>
                <w:sz w:val="18"/>
              </w:rPr>
              <w:t xml:space="preserve"> </w:t>
            </w:r>
            <w:r w:rsidRPr="001E3357">
              <w:rPr>
                <w:rFonts w:asciiTheme="minorHAnsi" w:hAnsiTheme="minorHAnsi" w:cstheme="minorHAnsi"/>
                <w:sz w:val="18"/>
              </w:rPr>
              <w:t>756</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-383</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93,8</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evidovaní déle než 12 měsíců</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4 113</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4</w:t>
            </w:r>
            <w:r>
              <w:rPr>
                <w:rFonts w:asciiTheme="minorHAnsi" w:hAnsiTheme="minorHAnsi" w:cstheme="minorHAnsi"/>
                <w:sz w:val="18"/>
              </w:rPr>
              <w:t xml:space="preserve"> </w:t>
            </w:r>
            <w:r w:rsidRPr="001E3357">
              <w:rPr>
                <w:rFonts w:asciiTheme="minorHAnsi" w:hAnsiTheme="minorHAnsi" w:cstheme="minorHAnsi"/>
                <w:sz w:val="18"/>
              </w:rPr>
              <w:t>153</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101,0</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průměrná délka evidence evidovaných uchazečů (ve dnech)</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569</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644</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+75</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113,2</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průměrná délka evidence vyřazených uchazečů (ve dnech)</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337</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332</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98,5</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do 19 let věku</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361</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309</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-52</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85,6</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ve věku 50 let a starší</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3 262</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3</w:t>
            </w:r>
            <w:r>
              <w:rPr>
                <w:rFonts w:asciiTheme="minorHAnsi" w:hAnsiTheme="minorHAnsi" w:cstheme="minorHAnsi"/>
                <w:sz w:val="18"/>
              </w:rPr>
              <w:t xml:space="preserve"> </w:t>
            </w:r>
            <w:r w:rsidRPr="001E3357">
              <w:rPr>
                <w:rFonts w:asciiTheme="minorHAnsi" w:hAnsiTheme="minorHAnsi" w:cstheme="minorHAnsi"/>
                <w:sz w:val="18"/>
              </w:rPr>
              <w:t>150</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-112</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96,6</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bez vzdělání, s neúplným základním a se základním vzděláním</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2 033</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w:t>
            </w:r>
            <w:r>
              <w:rPr>
                <w:rFonts w:asciiTheme="minorHAnsi" w:hAnsiTheme="minorHAnsi" w:cstheme="minorHAnsi"/>
                <w:sz w:val="18"/>
              </w:rPr>
              <w:t xml:space="preserve"> </w:t>
            </w:r>
            <w:r w:rsidRPr="001E3357">
              <w:rPr>
                <w:rFonts w:asciiTheme="minorHAnsi" w:hAnsiTheme="minorHAnsi" w:cstheme="minorHAnsi"/>
                <w:sz w:val="18"/>
              </w:rPr>
              <w:t>910</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-123</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93,9</w:t>
            </w:r>
          </w:p>
        </w:tc>
      </w:tr>
      <w:tr w:rsidR="00C723DD" w:rsidRPr="001C0C74" w:rsidTr="00C723DD">
        <w:trPr>
          <w:trHeight w:val="209"/>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podíl nezaměstnaných osob (v %)</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7,6</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7,0</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-0,6</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92,1</w:t>
            </w:r>
          </w:p>
        </w:tc>
      </w:tr>
      <w:tr w:rsidR="00C723DD" w:rsidRPr="001C0C74" w:rsidTr="00C723DD">
        <w:trPr>
          <w:trHeight w:val="194"/>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volná pracovní místa</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501</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837</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+336</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167,1</w:t>
            </w:r>
          </w:p>
        </w:tc>
      </w:tr>
      <w:tr w:rsidR="00C723DD" w:rsidRPr="001C0C74" w:rsidTr="00C723DD">
        <w:trPr>
          <w:trHeight w:val="194"/>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měsíční průměr volných pracovních míst od začátku roku</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519</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815</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+296</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157,0</w:t>
            </w:r>
          </w:p>
        </w:tc>
      </w:tr>
      <w:tr w:rsidR="00C723DD" w:rsidRPr="001C0C74" w:rsidTr="00C723DD">
        <w:trPr>
          <w:trHeight w:val="194"/>
        </w:trPr>
        <w:tc>
          <w:tcPr>
            <w:tcW w:w="5432" w:type="dxa"/>
            <w:tcBorders>
              <w:left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připadající na 1 volné pracovní místo</w:t>
            </w:r>
          </w:p>
        </w:tc>
        <w:tc>
          <w:tcPr>
            <w:tcW w:w="1014" w:type="dxa"/>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22,6</w:t>
            </w:r>
          </w:p>
        </w:tc>
        <w:tc>
          <w:tcPr>
            <w:tcW w:w="1014" w:type="dxa"/>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12,2</w:t>
            </w:r>
          </w:p>
        </w:tc>
        <w:tc>
          <w:tcPr>
            <w:tcW w:w="1014"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-10,4</w:t>
            </w:r>
          </w:p>
        </w:tc>
        <w:tc>
          <w:tcPr>
            <w:tcW w:w="1015" w:type="dxa"/>
            <w:tcBorders>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54,0</w:t>
            </w:r>
          </w:p>
        </w:tc>
      </w:tr>
      <w:tr w:rsidR="00C723DD" w:rsidRPr="001C0C74" w:rsidTr="00C723DD">
        <w:trPr>
          <w:trHeight w:val="209"/>
        </w:trPr>
        <w:tc>
          <w:tcPr>
            <w:tcW w:w="5432" w:type="dxa"/>
            <w:tcBorders>
              <w:left w:val="double" w:sz="4" w:space="0" w:color="auto"/>
              <w:bottom w:val="doub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měsíční průměr uchazečů připadajících na 1 VPM v roce</w:t>
            </w:r>
          </w:p>
        </w:tc>
        <w:tc>
          <w:tcPr>
            <w:tcW w:w="1014" w:type="dxa"/>
            <w:tcBorders>
              <w:bottom w:val="double" w:sz="4" w:space="0" w:color="auto"/>
            </w:tcBorders>
            <w:shd w:val="clear" w:color="auto" w:fill="FFFFFF"/>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20,6</w:t>
            </w:r>
          </w:p>
        </w:tc>
        <w:tc>
          <w:tcPr>
            <w:tcW w:w="1014" w:type="dxa"/>
            <w:tcBorders>
              <w:bottom w:val="double" w:sz="4" w:space="0" w:color="auto"/>
            </w:tcBorders>
            <w:shd w:val="clear" w:color="auto" w:fill="FFFFFF"/>
            <w:vAlign w:val="center"/>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13,1</w:t>
            </w:r>
          </w:p>
        </w:tc>
        <w:tc>
          <w:tcPr>
            <w:tcW w:w="1014" w:type="dxa"/>
            <w:tcBorders>
              <w:bottom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-7,5</w:t>
            </w:r>
          </w:p>
        </w:tc>
        <w:tc>
          <w:tcPr>
            <w:tcW w:w="1015" w:type="dxa"/>
            <w:tcBorders>
              <w:bottom w:val="double" w:sz="4" w:space="0" w:color="auto"/>
              <w:right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63,6</w:t>
            </w:r>
          </w:p>
        </w:tc>
      </w:tr>
    </w:tbl>
    <w:p w:rsidR="00C723DD" w:rsidRPr="001C0C74" w:rsidRDefault="00C723DD" w:rsidP="00C723DD">
      <w:pPr>
        <w:rPr>
          <w:rFonts w:asciiTheme="minorHAnsi" w:hAnsiTheme="minorHAnsi" w:cstheme="minorHAnsi"/>
          <w:b/>
          <w:sz w:val="22"/>
        </w:rPr>
      </w:pPr>
      <w:r w:rsidRPr="001C0C74">
        <w:rPr>
          <w:rFonts w:asciiTheme="minorHAnsi" w:hAnsiTheme="minorHAnsi" w:cstheme="minorHAnsi"/>
          <w:b/>
          <w:sz w:val="22"/>
        </w:rPr>
        <w:t>4. Tok nezaměstnanosti</w:t>
      </w:r>
    </w:p>
    <w:tbl>
      <w:tblPr>
        <w:tblW w:w="952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2"/>
        <w:gridCol w:w="1250"/>
        <w:gridCol w:w="1250"/>
        <w:gridCol w:w="1250"/>
      </w:tblGrid>
      <w:tr w:rsidR="00C723DD" w:rsidRPr="001C0C74" w:rsidTr="00C723DD">
        <w:trPr>
          <w:cantSplit/>
        </w:trPr>
        <w:tc>
          <w:tcPr>
            <w:tcW w:w="4536" w:type="dxa"/>
            <w:tcBorders>
              <w:bottom w:val="nil"/>
            </w:tcBorders>
            <w:vAlign w:val="center"/>
          </w:tcPr>
          <w:p w:rsidR="00C723DD" w:rsidRPr="001C0C74" w:rsidRDefault="00C723DD" w:rsidP="00C723DD">
            <w:pPr>
              <w:tabs>
                <w:tab w:val="left" w:pos="6946"/>
              </w:tabs>
              <w:jc w:val="center"/>
              <w:rPr>
                <w:rFonts w:asciiTheme="minorHAnsi" w:hAnsiTheme="minorHAnsi" w:cstheme="minorHAnsi"/>
                <w:b/>
                <w:i/>
                <w:sz w:val="18"/>
              </w:rPr>
            </w:pPr>
            <w:r w:rsidRPr="001C0C74">
              <w:rPr>
                <w:rFonts w:asciiTheme="minorHAnsi" w:hAnsiTheme="minorHAnsi" w:cstheme="minorHAnsi"/>
                <w:b/>
                <w:i/>
                <w:sz w:val="18"/>
              </w:rPr>
              <w:t>ukazatel</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(celkový počet)</w:t>
            </w:r>
          </w:p>
        </w:tc>
        <w:tc>
          <w:tcPr>
            <w:tcW w:w="1242" w:type="dxa"/>
            <w:tcBorders>
              <w:bottom w:val="nil"/>
            </w:tcBorders>
            <w:shd w:val="clear" w:color="auto" w:fill="FFFFFF"/>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3</w:t>
            </w:r>
          </w:p>
        </w:tc>
        <w:tc>
          <w:tcPr>
            <w:tcW w:w="1250" w:type="dxa"/>
            <w:tcBorders>
              <w:top w:val="double" w:sz="4" w:space="0" w:color="auto"/>
              <w:bottom w:val="nil"/>
            </w:tcBorders>
            <w:shd w:val="clear" w:color="auto" w:fill="FFFFFF"/>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4</w:t>
            </w:r>
          </w:p>
        </w:tc>
        <w:tc>
          <w:tcPr>
            <w:tcW w:w="1250" w:type="dxa"/>
            <w:tcBorders>
              <w:top w:val="double" w:sz="4" w:space="0" w:color="auto"/>
              <w:bottom w:val="nil"/>
            </w:tcBorders>
            <w:shd w:val="clear" w:color="auto" w:fill="FFFFFF"/>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meziroční rozdíl</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absolutně</w:t>
            </w:r>
          </w:p>
        </w:tc>
        <w:tc>
          <w:tcPr>
            <w:tcW w:w="1250" w:type="dxa"/>
            <w:tcBorders>
              <w:top w:val="double" w:sz="4" w:space="0" w:color="auto"/>
              <w:bottom w:val="nil"/>
            </w:tcBorders>
            <w:shd w:val="clear" w:color="auto" w:fill="FFFFFF"/>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index</w:t>
            </w:r>
          </w:p>
          <w:p w:rsidR="00C723DD" w:rsidRPr="001C0C74"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v %</w:t>
            </w:r>
          </w:p>
        </w:tc>
      </w:tr>
      <w:tr w:rsidR="00C723DD" w:rsidRPr="001C0C74" w:rsidTr="00C723DD">
        <w:trPr>
          <w:cantSplit/>
        </w:trPr>
        <w:tc>
          <w:tcPr>
            <w:tcW w:w="4536" w:type="dxa"/>
            <w:tcBorders>
              <w:top w:val="double" w:sz="4" w:space="0" w:color="auto"/>
              <w:bottom w:val="single" w:sz="4" w:space="0" w:color="auto"/>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měsíční průměr evidenčního stavu uchazečů v roce</w:t>
            </w:r>
          </w:p>
        </w:tc>
        <w:tc>
          <w:tcPr>
            <w:tcW w:w="1242" w:type="dxa"/>
            <w:tcBorders>
              <w:top w:val="double" w:sz="4" w:space="0" w:color="auto"/>
              <w:bottom w:val="single" w:sz="4" w:space="0" w:color="auto"/>
            </w:tcBorders>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10 707</w:t>
            </w:r>
          </w:p>
        </w:tc>
        <w:tc>
          <w:tcPr>
            <w:tcW w:w="1250" w:type="dxa"/>
            <w:tcBorders>
              <w:top w:val="double" w:sz="4" w:space="0" w:color="auto"/>
              <w:bottom w:val="single" w:sz="4" w:space="0" w:color="auto"/>
            </w:tcBorders>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10</w:t>
            </w:r>
            <w:r>
              <w:rPr>
                <w:rFonts w:asciiTheme="minorHAnsi" w:hAnsiTheme="minorHAnsi" w:cstheme="minorHAnsi"/>
                <w:sz w:val="18"/>
              </w:rPr>
              <w:t xml:space="preserve"> </w:t>
            </w:r>
            <w:r w:rsidRPr="001E3357">
              <w:rPr>
                <w:rFonts w:asciiTheme="minorHAnsi" w:hAnsiTheme="minorHAnsi" w:cstheme="minorHAnsi"/>
                <w:sz w:val="18"/>
              </w:rPr>
              <w:t>701</w:t>
            </w:r>
          </w:p>
        </w:tc>
        <w:tc>
          <w:tcPr>
            <w:tcW w:w="1250" w:type="dxa"/>
            <w:tcBorders>
              <w:top w:val="double" w:sz="4" w:space="0" w:color="auto"/>
              <w:bottom w:val="sing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1250" w:type="dxa"/>
            <w:tcBorders>
              <w:top w:val="double" w:sz="4" w:space="0" w:color="auto"/>
              <w:bottom w:val="sing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99,9</w:t>
            </w:r>
          </w:p>
        </w:tc>
      </w:tr>
      <w:tr w:rsidR="00C723DD" w:rsidRPr="001C0C74" w:rsidTr="00C723DD">
        <w:trPr>
          <w:cantSplit/>
        </w:trPr>
        <w:tc>
          <w:tcPr>
            <w:tcW w:w="4536" w:type="dxa"/>
            <w:tcBorders>
              <w:top w:val="nil"/>
            </w:tcBorders>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 xml:space="preserve">uchazeči nově evidovaní v roce </w:t>
            </w:r>
          </w:p>
        </w:tc>
        <w:tc>
          <w:tcPr>
            <w:tcW w:w="1242" w:type="dxa"/>
            <w:tcBorders>
              <w:top w:val="nil"/>
            </w:tcBorders>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12 895</w:t>
            </w:r>
          </w:p>
        </w:tc>
        <w:tc>
          <w:tcPr>
            <w:tcW w:w="1250" w:type="dxa"/>
            <w:tcBorders>
              <w:top w:val="nil"/>
            </w:tcBorders>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12</w:t>
            </w:r>
            <w:r>
              <w:rPr>
                <w:rFonts w:asciiTheme="minorHAnsi" w:hAnsiTheme="minorHAnsi" w:cstheme="minorHAnsi"/>
                <w:sz w:val="18"/>
              </w:rPr>
              <w:t xml:space="preserve"> </w:t>
            </w:r>
            <w:r w:rsidRPr="001E3357">
              <w:rPr>
                <w:rFonts w:asciiTheme="minorHAnsi" w:hAnsiTheme="minorHAnsi" w:cstheme="minorHAnsi"/>
                <w:sz w:val="18"/>
              </w:rPr>
              <w:t>989</w:t>
            </w:r>
          </w:p>
        </w:tc>
        <w:tc>
          <w:tcPr>
            <w:tcW w:w="1250" w:type="dxa"/>
            <w:tcBorders>
              <w:top w:val="nil"/>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+94</w:t>
            </w:r>
          </w:p>
        </w:tc>
        <w:tc>
          <w:tcPr>
            <w:tcW w:w="1250" w:type="dxa"/>
            <w:tcBorders>
              <w:top w:val="nil"/>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100,7</w:t>
            </w:r>
          </w:p>
        </w:tc>
      </w:tr>
      <w:tr w:rsidR="00C723DD" w:rsidRPr="001C0C74" w:rsidTr="00C723DD">
        <w:trPr>
          <w:cantSplit/>
        </w:trPr>
        <w:tc>
          <w:tcPr>
            <w:tcW w:w="4536" w:type="dxa"/>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měsíční průměr nově evidovaných uchazečů v roce</w:t>
            </w:r>
          </w:p>
        </w:tc>
        <w:tc>
          <w:tcPr>
            <w:tcW w:w="1242" w:type="dxa"/>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1 075</w:t>
            </w:r>
          </w:p>
        </w:tc>
        <w:tc>
          <w:tcPr>
            <w:tcW w:w="1250" w:type="dxa"/>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w:t>
            </w:r>
            <w:r>
              <w:rPr>
                <w:rFonts w:asciiTheme="minorHAnsi" w:hAnsiTheme="minorHAnsi" w:cstheme="minorHAnsi"/>
                <w:sz w:val="18"/>
              </w:rPr>
              <w:t xml:space="preserve"> </w:t>
            </w:r>
            <w:r w:rsidRPr="001E3357">
              <w:rPr>
                <w:rFonts w:asciiTheme="minorHAnsi" w:hAnsiTheme="minorHAnsi" w:cstheme="minorHAnsi"/>
                <w:sz w:val="18"/>
              </w:rPr>
              <w:t>082</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+7</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100,7</w:t>
            </w:r>
          </w:p>
        </w:tc>
      </w:tr>
      <w:tr w:rsidR="00C723DD" w:rsidRPr="001C0C74" w:rsidTr="00C723DD">
        <w:trPr>
          <w:cantSplit/>
        </w:trPr>
        <w:tc>
          <w:tcPr>
            <w:tcW w:w="4536" w:type="dxa"/>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uchazeči vyřazení z evidence v roce</w:t>
            </w:r>
          </w:p>
        </w:tc>
        <w:tc>
          <w:tcPr>
            <w:tcW w:w="1242" w:type="dxa"/>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11 899</w:t>
            </w:r>
          </w:p>
        </w:tc>
        <w:tc>
          <w:tcPr>
            <w:tcW w:w="1250" w:type="dxa"/>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14</w:t>
            </w:r>
            <w:r>
              <w:rPr>
                <w:rFonts w:asciiTheme="minorHAnsi" w:hAnsiTheme="minorHAnsi" w:cstheme="minorHAnsi"/>
                <w:sz w:val="18"/>
              </w:rPr>
              <w:t xml:space="preserve"> </w:t>
            </w:r>
            <w:r w:rsidRPr="001E3357">
              <w:rPr>
                <w:rFonts w:asciiTheme="minorHAnsi" w:hAnsiTheme="minorHAnsi" w:cstheme="minorHAnsi"/>
                <w:sz w:val="18"/>
              </w:rPr>
              <w:t>098</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+2 199</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118,5</w:t>
            </w:r>
          </w:p>
        </w:tc>
      </w:tr>
      <w:tr w:rsidR="00C723DD" w:rsidRPr="001C0C74" w:rsidTr="00C723DD">
        <w:trPr>
          <w:cantSplit/>
        </w:trPr>
        <w:tc>
          <w:tcPr>
            <w:tcW w:w="4536" w:type="dxa"/>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 toho   - umístění (ÚP + jinak)</w:t>
            </w:r>
          </w:p>
        </w:tc>
        <w:tc>
          <w:tcPr>
            <w:tcW w:w="1242" w:type="dxa"/>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6 105</w:t>
            </w:r>
          </w:p>
        </w:tc>
        <w:tc>
          <w:tcPr>
            <w:tcW w:w="1250" w:type="dxa"/>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9</w:t>
            </w:r>
            <w:r>
              <w:rPr>
                <w:rFonts w:asciiTheme="minorHAnsi" w:hAnsiTheme="minorHAnsi" w:cstheme="minorHAnsi"/>
                <w:sz w:val="18"/>
              </w:rPr>
              <w:t xml:space="preserve"> </w:t>
            </w:r>
            <w:r w:rsidRPr="001E3357">
              <w:rPr>
                <w:rFonts w:asciiTheme="minorHAnsi" w:hAnsiTheme="minorHAnsi" w:cstheme="minorHAnsi"/>
                <w:sz w:val="18"/>
              </w:rPr>
              <w:t>255</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+3 150</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151,6</w:t>
            </w:r>
          </w:p>
        </w:tc>
      </w:tr>
      <w:tr w:rsidR="00C723DD" w:rsidRPr="001C0C74" w:rsidTr="00C723DD">
        <w:trPr>
          <w:cantSplit/>
        </w:trPr>
        <w:tc>
          <w:tcPr>
            <w:tcW w:w="4536" w:type="dxa"/>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měsíční průměr uchazečů vyřazených z evidence v roce</w:t>
            </w:r>
          </w:p>
        </w:tc>
        <w:tc>
          <w:tcPr>
            <w:tcW w:w="1242" w:type="dxa"/>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992</w:t>
            </w:r>
          </w:p>
        </w:tc>
        <w:tc>
          <w:tcPr>
            <w:tcW w:w="1250" w:type="dxa"/>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1</w:t>
            </w:r>
            <w:r>
              <w:rPr>
                <w:rFonts w:asciiTheme="minorHAnsi" w:hAnsiTheme="minorHAnsi" w:cstheme="minorHAnsi"/>
                <w:sz w:val="18"/>
              </w:rPr>
              <w:t xml:space="preserve"> </w:t>
            </w:r>
            <w:r w:rsidRPr="001E3357">
              <w:rPr>
                <w:rFonts w:asciiTheme="minorHAnsi" w:hAnsiTheme="minorHAnsi" w:cstheme="minorHAnsi"/>
                <w:sz w:val="18"/>
              </w:rPr>
              <w:t>175</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+183</w:t>
            </w:r>
          </w:p>
        </w:tc>
        <w:tc>
          <w:tcPr>
            <w:tcW w:w="1250" w:type="dxa"/>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118,4</w:t>
            </w:r>
          </w:p>
        </w:tc>
      </w:tr>
      <w:tr w:rsidR="00C723DD" w:rsidRPr="001C0C74" w:rsidTr="00C723DD">
        <w:trPr>
          <w:cantSplit/>
        </w:trPr>
        <w:tc>
          <w:tcPr>
            <w:tcW w:w="4536" w:type="dxa"/>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 toho   - umístění (ÚP + jinak)</w:t>
            </w:r>
          </w:p>
        </w:tc>
        <w:tc>
          <w:tcPr>
            <w:tcW w:w="1242" w:type="dxa"/>
            <w:shd w:val="clear" w:color="auto" w:fill="FFFFFF"/>
            <w:vAlign w:val="bottom"/>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509</w:t>
            </w:r>
          </w:p>
        </w:tc>
        <w:tc>
          <w:tcPr>
            <w:tcW w:w="1250" w:type="dxa"/>
            <w:tcBorders>
              <w:bottom w:val="double" w:sz="4" w:space="0" w:color="auto"/>
            </w:tcBorders>
            <w:shd w:val="clear" w:color="auto" w:fill="FFFFFF"/>
            <w:vAlign w:val="bottom"/>
          </w:tcPr>
          <w:p w:rsidR="00C723DD" w:rsidRPr="001E3357" w:rsidRDefault="00C723DD" w:rsidP="00C723DD">
            <w:pPr>
              <w:jc w:val="center"/>
              <w:rPr>
                <w:rFonts w:asciiTheme="minorHAnsi" w:hAnsiTheme="minorHAnsi" w:cstheme="minorHAnsi"/>
                <w:sz w:val="18"/>
              </w:rPr>
            </w:pPr>
            <w:r w:rsidRPr="001E3357">
              <w:rPr>
                <w:rFonts w:asciiTheme="minorHAnsi" w:hAnsiTheme="minorHAnsi" w:cstheme="minorHAnsi"/>
                <w:sz w:val="18"/>
              </w:rPr>
              <w:t>771</w:t>
            </w:r>
          </w:p>
        </w:tc>
        <w:tc>
          <w:tcPr>
            <w:tcW w:w="1250" w:type="dxa"/>
            <w:tcBorders>
              <w:bottom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+262</w:t>
            </w:r>
          </w:p>
        </w:tc>
        <w:tc>
          <w:tcPr>
            <w:tcW w:w="1250" w:type="dxa"/>
            <w:tcBorders>
              <w:bottom w:val="double" w:sz="4" w:space="0" w:color="auto"/>
            </w:tcBorders>
            <w:shd w:val="clear" w:color="auto" w:fill="FFFFFF"/>
            <w:vAlign w:val="center"/>
          </w:tcPr>
          <w:p w:rsidR="00C723DD" w:rsidRPr="001C0C74"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151,5</w:t>
            </w:r>
          </w:p>
        </w:tc>
      </w:tr>
    </w:tbl>
    <w:p w:rsidR="00C723DD" w:rsidRPr="001C0C74" w:rsidRDefault="00C723DD" w:rsidP="00C723DD">
      <w:pPr>
        <w:ind w:right="-567"/>
        <w:jc w:val="both"/>
        <w:rPr>
          <w:rFonts w:asciiTheme="minorHAnsi" w:hAnsiTheme="minorHAnsi" w:cstheme="minorHAnsi"/>
          <w:b/>
        </w:rPr>
      </w:pPr>
    </w:p>
    <w:p w:rsidR="00C723DD" w:rsidRPr="001C0C74" w:rsidRDefault="00C723DD" w:rsidP="00C723DD">
      <w:pPr>
        <w:ind w:right="-567"/>
        <w:jc w:val="both"/>
        <w:rPr>
          <w:rFonts w:asciiTheme="minorHAnsi" w:hAnsiTheme="minorHAnsi" w:cstheme="minorHAnsi"/>
        </w:rPr>
      </w:pPr>
      <w:r w:rsidRPr="001C0C74">
        <w:rPr>
          <w:rFonts w:asciiTheme="minorHAnsi" w:hAnsiTheme="minorHAnsi" w:cstheme="minorHAnsi"/>
          <w:b/>
          <w:sz w:val="22"/>
        </w:rPr>
        <w:t>5. Charakteristika mikroregionů</w:t>
      </w:r>
      <w:r w:rsidRPr="001C0C74">
        <w:rPr>
          <w:rFonts w:asciiTheme="minorHAnsi" w:hAnsiTheme="minorHAnsi" w:cstheme="minorHAnsi"/>
          <w:b/>
          <w:sz w:val="18"/>
          <w:szCs w:val="18"/>
        </w:rPr>
        <w: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063"/>
        <w:gridCol w:w="1418"/>
      </w:tblGrid>
      <w:tr w:rsidR="00C723DD" w:rsidRPr="001C0C74" w:rsidTr="00C723DD">
        <w:tc>
          <w:tcPr>
            <w:tcW w:w="4536" w:type="dxa"/>
            <w:tcBorders>
              <w:top w:val="double" w:sz="4" w:space="0" w:color="auto"/>
              <w:bottom w:val="double" w:sz="4" w:space="0" w:color="auto"/>
            </w:tcBorders>
            <w:vAlign w:val="center"/>
          </w:tcPr>
          <w:p w:rsidR="00C723DD" w:rsidRPr="001C0C74" w:rsidRDefault="00C723DD" w:rsidP="00C723DD">
            <w:pPr>
              <w:jc w:val="center"/>
              <w:rPr>
                <w:rFonts w:asciiTheme="minorHAnsi" w:hAnsiTheme="minorHAnsi" w:cstheme="minorHAnsi"/>
                <w:b/>
                <w:i/>
                <w:iCs/>
                <w:sz w:val="18"/>
                <w:szCs w:val="18"/>
              </w:rPr>
            </w:pPr>
            <w:r w:rsidRPr="001C0C74">
              <w:rPr>
                <w:rFonts w:asciiTheme="minorHAnsi" w:hAnsiTheme="minorHAnsi" w:cstheme="minorHAnsi"/>
                <w:b/>
                <w:i/>
                <w:iCs/>
                <w:sz w:val="18"/>
                <w:szCs w:val="18"/>
              </w:rPr>
              <w:t>název mikroregionu</w:t>
            </w:r>
          </w:p>
        </w:tc>
        <w:tc>
          <w:tcPr>
            <w:tcW w:w="1240" w:type="dxa"/>
            <w:tcBorders>
              <w:top w:val="double" w:sz="4" w:space="0" w:color="auto"/>
              <w:bottom w:val="double" w:sz="4" w:space="0" w:color="auto"/>
            </w:tcBorders>
            <w:vAlign w:val="center"/>
          </w:tcPr>
          <w:p w:rsidR="00C723DD" w:rsidRPr="001C0C74" w:rsidRDefault="00C723DD" w:rsidP="00C723DD">
            <w:pPr>
              <w:jc w:val="center"/>
              <w:rPr>
                <w:rFonts w:asciiTheme="minorHAnsi" w:hAnsiTheme="minorHAnsi" w:cstheme="minorHAnsi"/>
                <w:b/>
                <w:i/>
                <w:iCs/>
                <w:sz w:val="18"/>
                <w:szCs w:val="18"/>
              </w:rPr>
            </w:pPr>
            <w:r w:rsidRPr="001C0C74">
              <w:rPr>
                <w:rFonts w:asciiTheme="minorHAnsi" w:hAnsiTheme="minorHAnsi" w:cstheme="minorHAnsi"/>
                <w:b/>
                <w:i/>
                <w:iCs/>
                <w:sz w:val="18"/>
                <w:szCs w:val="18"/>
              </w:rPr>
              <w:t xml:space="preserve">počet obyvatel </w:t>
            </w:r>
          </w:p>
        </w:tc>
        <w:tc>
          <w:tcPr>
            <w:tcW w:w="1241" w:type="dxa"/>
            <w:tcBorders>
              <w:top w:val="double" w:sz="4" w:space="0" w:color="auto"/>
              <w:bottom w:val="double" w:sz="4" w:space="0" w:color="auto"/>
            </w:tcBorders>
            <w:vAlign w:val="center"/>
          </w:tcPr>
          <w:p w:rsidR="00C723DD" w:rsidRPr="001C0C74" w:rsidRDefault="00C723DD" w:rsidP="00C723DD">
            <w:pPr>
              <w:jc w:val="center"/>
              <w:rPr>
                <w:rFonts w:asciiTheme="minorHAnsi" w:hAnsiTheme="minorHAnsi" w:cstheme="minorHAnsi"/>
                <w:b/>
                <w:i/>
                <w:iCs/>
                <w:sz w:val="18"/>
                <w:szCs w:val="18"/>
              </w:rPr>
            </w:pPr>
            <w:r w:rsidRPr="001C0C74">
              <w:rPr>
                <w:rFonts w:asciiTheme="minorHAnsi" w:hAnsiTheme="minorHAnsi" w:cstheme="minorHAnsi"/>
                <w:b/>
                <w:i/>
                <w:iCs/>
                <w:sz w:val="18"/>
                <w:szCs w:val="18"/>
              </w:rPr>
              <w:t>obyv. 15-64 let</w:t>
            </w:r>
          </w:p>
        </w:tc>
        <w:tc>
          <w:tcPr>
            <w:tcW w:w="1063" w:type="dxa"/>
            <w:tcBorders>
              <w:top w:val="double" w:sz="4" w:space="0" w:color="auto"/>
              <w:bottom w:val="double" w:sz="4" w:space="0" w:color="auto"/>
            </w:tcBorders>
            <w:vAlign w:val="center"/>
          </w:tcPr>
          <w:p w:rsidR="00C723DD" w:rsidRPr="001C0C74" w:rsidRDefault="00C723DD" w:rsidP="00C723DD">
            <w:pPr>
              <w:jc w:val="center"/>
              <w:rPr>
                <w:rFonts w:asciiTheme="minorHAnsi" w:hAnsiTheme="minorHAnsi" w:cstheme="minorHAnsi"/>
                <w:b/>
                <w:i/>
                <w:iCs/>
                <w:sz w:val="18"/>
                <w:szCs w:val="18"/>
              </w:rPr>
            </w:pPr>
            <w:r w:rsidRPr="001C0C74">
              <w:rPr>
                <w:rFonts w:asciiTheme="minorHAnsi" w:hAnsiTheme="minorHAnsi" w:cstheme="minorHAnsi"/>
                <w:b/>
                <w:i/>
                <w:iCs/>
                <w:sz w:val="18"/>
                <w:szCs w:val="18"/>
              </w:rPr>
              <w:t>počet uchazečů</w:t>
            </w:r>
          </w:p>
        </w:tc>
        <w:tc>
          <w:tcPr>
            <w:tcW w:w="1418" w:type="dxa"/>
            <w:tcBorders>
              <w:top w:val="double" w:sz="4" w:space="0" w:color="auto"/>
              <w:bottom w:val="double" w:sz="4" w:space="0" w:color="auto"/>
            </w:tcBorders>
            <w:vAlign w:val="center"/>
          </w:tcPr>
          <w:p w:rsidR="00C723DD" w:rsidRPr="001C0C74" w:rsidRDefault="00C723DD" w:rsidP="00C723DD">
            <w:pPr>
              <w:jc w:val="center"/>
              <w:rPr>
                <w:rFonts w:asciiTheme="minorHAnsi" w:hAnsiTheme="minorHAnsi" w:cstheme="minorHAnsi"/>
                <w:b/>
                <w:i/>
                <w:iCs/>
                <w:sz w:val="18"/>
                <w:szCs w:val="18"/>
              </w:rPr>
            </w:pPr>
            <w:r w:rsidRPr="001C0C74">
              <w:rPr>
                <w:rFonts w:asciiTheme="minorHAnsi" w:hAnsiTheme="minorHAnsi" w:cstheme="minorHAnsi"/>
                <w:b/>
                <w:i/>
                <w:iCs/>
                <w:sz w:val="18"/>
                <w:szCs w:val="18"/>
              </w:rPr>
              <w:t>podíl nezaměstnaných osob v %</w:t>
            </w:r>
          </w:p>
        </w:tc>
      </w:tr>
      <w:tr w:rsidR="00C723DD" w:rsidRPr="001C0C74" w:rsidTr="00C723DD">
        <w:tc>
          <w:tcPr>
            <w:tcW w:w="4536" w:type="dxa"/>
            <w:tcBorders>
              <w:top w:val="single" w:sz="4" w:space="0" w:color="auto"/>
              <w:bottom w:val="single" w:sz="4" w:space="0" w:color="auto"/>
            </w:tcBorders>
            <w:vAlign w:val="center"/>
          </w:tcPr>
          <w:p w:rsidR="00C723DD" w:rsidRPr="001C0C74" w:rsidRDefault="00C723DD" w:rsidP="00C723DD">
            <w:pPr>
              <w:pStyle w:val="Texttabulky"/>
              <w:rPr>
                <w:rFonts w:asciiTheme="minorHAnsi" w:hAnsiTheme="minorHAnsi" w:cstheme="minorHAnsi"/>
                <w:snapToGrid/>
                <w:color w:val="auto"/>
                <w:sz w:val="18"/>
              </w:rPr>
            </w:pPr>
            <w:r w:rsidRPr="001C0C74">
              <w:rPr>
                <w:rFonts w:asciiTheme="minorHAnsi" w:hAnsiTheme="minorHAnsi" w:cstheme="minorHAnsi"/>
                <w:snapToGrid/>
                <w:color w:val="auto"/>
                <w:sz w:val="18"/>
              </w:rPr>
              <w:t>Frýdecko-Místecko</w:t>
            </w:r>
          </w:p>
        </w:tc>
        <w:tc>
          <w:tcPr>
            <w:tcW w:w="1240"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110</w:t>
            </w:r>
            <w:r>
              <w:rPr>
                <w:rFonts w:asciiTheme="minorHAnsi" w:hAnsiTheme="minorHAnsi" w:cstheme="minorHAnsi"/>
                <w:sz w:val="18"/>
                <w:szCs w:val="18"/>
              </w:rPr>
              <w:t xml:space="preserve"> </w:t>
            </w:r>
            <w:r w:rsidRPr="001E3357">
              <w:rPr>
                <w:rFonts w:asciiTheme="minorHAnsi" w:hAnsiTheme="minorHAnsi" w:cstheme="minorHAnsi"/>
                <w:sz w:val="18"/>
                <w:szCs w:val="18"/>
              </w:rPr>
              <w:t>645</w:t>
            </w:r>
          </w:p>
        </w:tc>
        <w:tc>
          <w:tcPr>
            <w:tcW w:w="1241"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76</w:t>
            </w:r>
            <w:r>
              <w:rPr>
                <w:rFonts w:asciiTheme="minorHAnsi" w:hAnsiTheme="minorHAnsi" w:cstheme="minorHAnsi"/>
                <w:sz w:val="18"/>
                <w:szCs w:val="18"/>
              </w:rPr>
              <w:t xml:space="preserve"> </w:t>
            </w:r>
            <w:r w:rsidRPr="001E3357">
              <w:rPr>
                <w:rFonts w:asciiTheme="minorHAnsi" w:hAnsiTheme="minorHAnsi" w:cstheme="minorHAnsi"/>
                <w:sz w:val="18"/>
                <w:szCs w:val="18"/>
              </w:rPr>
              <w:t>183</w:t>
            </w:r>
          </w:p>
        </w:tc>
        <w:tc>
          <w:tcPr>
            <w:tcW w:w="1063"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5</w:t>
            </w:r>
            <w:r>
              <w:rPr>
                <w:rFonts w:asciiTheme="minorHAnsi" w:hAnsiTheme="minorHAnsi" w:cstheme="minorHAnsi"/>
                <w:sz w:val="18"/>
                <w:szCs w:val="18"/>
              </w:rPr>
              <w:t xml:space="preserve"> </w:t>
            </w:r>
            <w:r w:rsidRPr="001E3357">
              <w:rPr>
                <w:rFonts w:asciiTheme="minorHAnsi" w:hAnsiTheme="minorHAnsi" w:cstheme="minorHAnsi"/>
                <w:sz w:val="18"/>
                <w:szCs w:val="18"/>
              </w:rPr>
              <w:t>854</w:t>
            </w:r>
          </w:p>
        </w:tc>
        <w:tc>
          <w:tcPr>
            <w:tcW w:w="1418"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7,6</w:t>
            </w:r>
          </w:p>
        </w:tc>
      </w:tr>
      <w:tr w:rsidR="00C723DD" w:rsidRPr="001C0C74" w:rsidTr="00C723DD">
        <w:tc>
          <w:tcPr>
            <w:tcW w:w="4536" w:type="dxa"/>
            <w:tcBorders>
              <w:top w:val="single" w:sz="4" w:space="0" w:color="auto"/>
              <w:bottom w:val="single" w:sz="4" w:space="0" w:color="auto"/>
            </w:tcBorders>
            <w:vAlign w:val="center"/>
          </w:tcPr>
          <w:p w:rsidR="00C723DD" w:rsidRPr="001C0C74" w:rsidRDefault="00C723DD" w:rsidP="00C723DD">
            <w:pPr>
              <w:pStyle w:val="Texttabulky"/>
              <w:rPr>
                <w:rFonts w:asciiTheme="minorHAnsi" w:hAnsiTheme="minorHAnsi" w:cstheme="minorHAnsi"/>
                <w:snapToGrid/>
                <w:color w:val="auto"/>
                <w:sz w:val="18"/>
              </w:rPr>
            </w:pPr>
            <w:r w:rsidRPr="001C0C74">
              <w:rPr>
                <w:rFonts w:asciiTheme="minorHAnsi" w:hAnsiTheme="minorHAnsi" w:cstheme="minorHAnsi"/>
                <w:snapToGrid/>
                <w:color w:val="auto"/>
                <w:sz w:val="18"/>
              </w:rPr>
              <w:t>Frýdlantsko</w:t>
            </w:r>
          </w:p>
        </w:tc>
        <w:tc>
          <w:tcPr>
            <w:tcW w:w="1240"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24</w:t>
            </w:r>
            <w:r>
              <w:rPr>
                <w:rFonts w:asciiTheme="minorHAnsi" w:hAnsiTheme="minorHAnsi" w:cstheme="minorHAnsi"/>
                <w:sz w:val="18"/>
                <w:szCs w:val="18"/>
              </w:rPr>
              <w:t xml:space="preserve"> </w:t>
            </w:r>
            <w:r w:rsidRPr="001E3357">
              <w:rPr>
                <w:rFonts w:asciiTheme="minorHAnsi" w:hAnsiTheme="minorHAnsi" w:cstheme="minorHAnsi"/>
                <w:sz w:val="18"/>
                <w:szCs w:val="18"/>
              </w:rPr>
              <w:t>062</w:t>
            </w:r>
          </w:p>
        </w:tc>
        <w:tc>
          <w:tcPr>
            <w:tcW w:w="1241"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16</w:t>
            </w:r>
            <w:r>
              <w:rPr>
                <w:rFonts w:asciiTheme="minorHAnsi" w:hAnsiTheme="minorHAnsi" w:cstheme="minorHAnsi"/>
                <w:sz w:val="18"/>
                <w:szCs w:val="18"/>
              </w:rPr>
              <w:t xml:space="preserve"> </w:t>
            </w:r>
            <w:r w:rsidRPr="001E3357">
              <w:rPr>
                <w:rFonts w:asciiTheme="minorHAnsi" w:hAnsiTheme="minorHAnsi" w:cstheme="minorHAnsi"/>
                <w:sz w:val="18"/>
                <w:szCs w:val="18"/>
              </w:rPr>
              <w:t>249</w:t>
            </w:r>
          </w:p>
        </w:tc>
        <w:tc>
          <w:tcPr>
            <w:tcW w:w="1063"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1</w:t>
            </w:r>
            <w:r>
              <w:rPr>
                <w:rFonts w:asciiTheme="minorHAnsi" w:hAnsiTheme="minorHAnsi" w:cstheme="minorHAnsi"/>
                <w:sz w:val="18"/>
                <w:szCs w:val="18"/>
              </w:rPr>
              <w:t xml:space="preserve"> </w:t>
            </w:r>
            <w:r w:rsidRPr="001E3357">
              <w:rPr>
                <w:rFonts w:asciiTheme="minorHAnsi" w:hAnsiTheme="minorHAnsi" w:cstheme="minorHAnsi"/>
                <w:sz w:val="18"/>
                <w:szCs w:val="18"/>
              </w:rPr>
              <w:t>136</w:t>
            </w:r>
          </w:p>
        </w:tc>
        <w:tc>
          <w:tcPr>
            <w:tcW w:w="1418"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6,9</w:t>
            </w:r>
          </w:p>
        </w:tc>
      </w:tr>
      <w:tr w:rsidR="00C723DD" w:rsidRPr="001C0C74" w:rsidTr="00C723DD">
        <w:tc>
          <w:tcPr>
            <w:tcW w:w="4536" w:type="dxa"/>
            <w:tcBorders>
              <w:top w:val="single" w:sz="4" w:space="0" w:color="auto"/>
              <w:bottom w:val="single" w:sz="4" w:space="0" w:color="auto"/>
            </w:tcBorders>
            <w:vAlign w:val="center"/>
          </w:tcPr>
          <w:p w:rsidR="00C723DD" w:rsidRPr="001C0C74" w:rsidRDefault="00C723DD" w:rsidP="00C723DD">
            <w:pPr>
              <w:pStyle w:val="Texttabulky"/>
              <w:rPr>
                <w:rFonts w:asciiTheme="minorHAnsi" w:hAnsiTheme="minorHAnsi" w:cstheme="minorHAnsi"/>
                <w:snapToGrid/>
                <w:color w:val="auto"/>
                <w:sz w:val="18"/>
              </w:rPr>
            </w:pPr>
            <w:r w:rsidRPr="001C0C74">
              <w:rPr>
                <w:rFonts w:asciiTheme="minorHAnsi" w:hAnsiTheme="minorHAnsi" w:cstheme="minorHAnsi"/>
                <w:snapToGrid/>
                <w:color w:val="auto"/>
                <w:sz w:val="18"/>
              </w:rPr>
              <w:t>Třinecko</w:t>
            </w:r>
          </w:p>
        </w:tc>
        <w:tc>
          <w:tcPr>
            <w:tcW w:w="1240"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55</w:t>
            </w:r>
            <w:r>
              <w:rPr>
                <w:rFonts w:asciiTheme="minorHAnsi" w:hAnsiTheme="minorHAnsi" w:cstheme="minorHAnsi"/>
                <w:sz w:val="18"/>
                <w:szCs w:val="18"/>
              </w:rPr>
              <w:t xml:space="preserve"> </w:t>
            </w:r>
            <w:r w:rsidRPr="001E3357">
              <w:rPr>
                <w:rFonts w:asciiTheme="minorHAnsi" w:hAnsiTheme="minorHAnsi" w:cstheme="minorHAnsi"/>
                <w:sz w:val="18"/>
                <w:szCs w:val="18"/>
              </w:rPr>
              <w:t>057</w:t>
            </w:r>
          </w:p>
        </w:tc>
        <w:tc>
          <w:tcPr>
            <w:tcW w:w="1241"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37</w:t>
            </w:r>
            <w:r>
              <w:rPr>
                <w:rFonts w:asciiTheme="minorHAnsi" w:hAnsiTheme="minorHAnsi" w:cstheme="minorHAnsi"/>
                <w:sz w:val="18"/>
                <w:szCs w:val="18"/>
              </w:rPr>
              <w:t xml:space="preserve"> </w:t>
            </w:r>
            <w:r w:rsidRPr="001E3357">
              <w:rPr>
                <w:rFonts w:asciiTheme="minorHAnsi" w:hAnsiTheme="minorHAnsi" w:cstheme="minorHAnsi"/>
                <w:sz w:val="18"/>
                <w:szCs w:val="18"/>
              </w:rPr>
              <w:t>199</w:t>
            </w:r>
          </w:p>
        </w:tc>
        <w:tc>
          <w:tcPr>
            <w:tcW w:w="1063"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2</w:t>
            </w:r>
            <w:r>
              <w:rPr>
                <w:rFonts w:asciiTheme="minorHAnsi" w:hAnsiTheme="minorHAnsi" w:cstheme="minorHAnsi"/>
                <w:sz w:val="18"/>
                <w:szCs w:val="18"/>
              </w:rPr>
              <w:t xml:space="preserve"> </w:t>
            </w:r>
            <w:r w:rsidRPr="001E3357">
              <w:rPr>
                <w:rFonts w:asciiTheme="minorHAnsi" w:hAnsiTheme="minorHAnsi" w:cstheme="minorHAnsi"/>
                <w:sz w:val="18"/>
                <w:szCs w:val="18"/>
              </w:rPr>
              <w:t>303</w:t>
            </w:r>
          </w:p>
        </w:tc>
        <w:tc>
          <w:tcPr>
            <w:tcW w:w="1418" w:type="dxa"/>
            <w:tcBorders>
              <w:top w:val="single" w:sz="4" w:space="0" w:color="auto"/>
              <w:bottom w:val="sing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6,0</w:t>
            </w:r>
          </w:p>
        </w:tc>
      </w:tr>
      <w:tr w:rsidR="00C723DD" w:rsidRPr="001C0C74" w:rsidTr="00C723DD">
        <w:tc>
          <w:tcPr>
            <w:tcW w:w="4536" w:type="dxa"/>
            <w:tcBorders>
              <w:top w:val="single" w:sz="4" w:space="0" w:color="auto"/>
              <w:bottom w:val="double" w:sz="4" w:space="0" w:color="auto"/>
            </w:tcBorders>
            <w:vAlign w:val="center"/>
          </w:tcPr>
          <w:p w:rsidR="00C723DD" w:rsidRPr="001C0C74" w:rsidRDefault="00C723DD" w:rsidP="00C723DD">
            <w:pPr>
              <w:pStyle w:val="Texttabulky"/>
              <w:rPr>
                <w:rFonts w:asciiTheme="minorHAnsi" w:hAnsiTheme="minorHAnsi" w:cstheme="minorHAnsi"/>
                <w:snapToGrid/>
                <w:color w:val="auto"/>
                <w:sz w:val="18"/>
              </w:rPr>
            </w:pPr>
            <w:r>
              <w:rPr>
                <w:rFonts w:asciiTheme="minorHAnsi" w:hAnsiTheme="minorHAnsi" w:cstheme="minorHAnsi"/>
                <w:snapToGrid/>
                <w:color w:val="auto"/>
                <w:sz w:val="18"/>
              </w:rPr>
              <w:t>Jablunkovsko</w:t>
            </w:r>
          </w:p>
        </w:tc>
        <w:tc>
          <w:tcPr>
            <w:tcW w:w="1240" w:type="dxa"/>
            <w:tcBorders>
              <w:top w:val="single" w:sz="4" w:space="0" w:color="auto"/>
              <w:bottom w:val="doub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22</w:t>
            </w:r>
            <w:r>
              <w:rPr>
                <w:rFonts w:asciiTheme="minorHAnsi" w:hAnsiTheme="minorHAnsi" w:cstheme="minorHAnsi"/>
                <w:sz w:val="18"/>
                <w:szCs w:val="18"/>
              </w:rPr>
              <w:t xml:space="preserve"> </w:t>
            </w:r>
            <w:r w:rsidRPr="001E3357">
              <w:rPr>
                <w:rFonts w:asciiTheme="minorHAnsi" w:hAnsiTheme="minorHAnsi" w:cstheme="minorHAnsi"/>
                <w:sz w:val="18"/>
                <w:szCs w:val="18"/>
              </w:rPr>
              <w:t>733</w:t>
            </w:r>
          </w:p>
        </w:tc>
        <w:tc>
          <w:tcPr>
            <w:tcW w:w="1241" w:type="dxa"/>
            <w:tcBorders>
              <w:top w:val="single" w:sz="4" w:space="0" w:color="auto"/>
              <w:bottom w:val="doub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15</w:t>
            </w:r>
            <w:r>
              <w:rPr>
                <w:rFonts w:asciiTheme="minorHAnsi" w:hAnsiTheme="minorHAnsi" w:cstheme="minorHAnsi"/>
                <w:sz w:val="18"/>
                <w:szCs w:val="18"/>
              </w:rPr>
              <w:t xml:space="preserve"> </w:t>
            </w:r>
            <w:r w:rsidRPr="001E3357">
              <w:rPr>
                <w:rFonts w:asciiTheme="minorHAnsi" w:hAnsiTheme="minorHAnsi" w:cstheme="minorHAnsi"/>
                <w:sz w:val="18"/>
                <w:szCs w:val="18"/>
              </w:rPr>
              <w:t>751</w:t>
            </w:r>
          </w:p>
        </w:tc>
        <w:tc>
          <w:tcPr>
            <w:tcW w:w="1063" w:type="dxa"/>
            <w:tcBorders>
              <w:top w:val="single" w:sz="4" w:space="0" w:color="auto"/>
              <w:bottom w:val="doub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880</w:t>
            </w:r>
          </w:p>
        </w:tc>
        <w:tc>
          <w:tcPr>
            <w:tcW w:w="1418" w:type="dxa"/>
            <w:tcBorders>
              <w:top w:val="single" w:sz="4" w:space="0" w:color="auto"/>
              <w:bottom w:val="double" w:sz="4" w:space="0" w:color="auto"/>
            </w:tcBorders>
          </w:tcPr>
          <w:p w:rsidR="00C723DD" w:rsidRPr="001E3357" w:rsidRDefault="00C723DD" w:rsidP="00C723DD">
            <w:pPr>
              <w:jc w:val="center"/>
              <w:rPr>
                <w:rFonts w:asciiTheme="minorHAnsi" w:hAnsiTheme="minorHAnsi" w:cstheme="minorHAnsi"/>
                <w:sz w:val="18"/>
                <w:szCs w:val="18"/>
              </w:rPr>
            </w:pPr>
            <w:r w:rsidRPr="001E3357">
              <w:rPr>
                <w:rFonts w:asciiTheme="minorHAnsi" w:hAnsiTheme="minorHAnsi" w:cstheme="minorHAnsi"/>
                <w:sz w:val="18"/>
                <w:szCs w:val="18"/>
              </w:rPr>
              <w:t>5,4</w:t>
            </w:r>
          </w:p>
        </w:tc>
      </w:tr>
    </w:tbl>
    <w:p w:rsidR="00C723DD" w:rsidRPr="0068239F" w:rsidRDefault="00C723DD" w:rsidP="00C723DD">
      <w:pPr>
        <w:rPr>
          <w:rFonts w:asciiTheme="minorHAnsi" w:hAnsiTheme="minorHAnsi" w:cstheme="minorHAnsi"/>
          <w:b/>
        </w:rPr>
      </w:pPr>
    </w:p>
    <w:p w:rsidR="00C723DD" w:rsidRPr="001C0C74" w:rsidRDefault="00C723DD" w:rsidP="00C723DD">
      <w:pPr>
        <w:rPr>
          <w:rFonts w:asciiTheme="minorHAnsi" w:hAnsiTheme="minorHAnsi" w:cstheme="minorHAnsi"/>
          <w:sz w:val="22"/>
        </w:rPr>
      </w:pPr>
      <w:r w:rsidRPr="001C0C74">
        <w:rPr>
          <w:rFonts w:asciiTheme="minorHAnsi" w:hAnsiTheme="minorHAnsi" w:cstheme="minorHAnsi"/>
          <w:b/>
          <w:sz w:val="22"/>
        </w:rPr>
        <w:t>6. Aktivní politika zaměstnanosti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1C0C74" w:rsidTr="00C723DD">
        <w:trPr>
          <w:cantSplit/>
        </w:trPr>
        <w:tc>
          <w:tcPr>
            <w:tcW w:w="4536" w:type="dxa"/>
            <w:tcBorders>
              <w:top w:val="double" w:sz="4" w:space="0" w:color="auto"/>
              <w:left w:val="double" w:sz="4" w:space="0" w:color="auto"/>
              <w:bottom w:val="double" w:sz="4" w:space="0" w:color="auto"/>
            </w:tcBorders>
            <w:shd w:val="clear" w:color="auto" w:fill="auto"/>
            <w:vAlign w:val="center"/>
          </w:tcPr>
          <w:p w:rsidR="00C723DD" w:rsidRPr="001C0C74" w:rsidRDefault="00C723DD" w:rsidP="00C723DD">
            <w:pPr>
              <w:tabs>
                <w:tab w:val="left" w:pos="6946"/>
              </w:tabs>
              <w:jc w:val="center"/>
              <w:rPr>
                <w:rFonts w:asciiTheme="minorHAnsi" w:hAnsiTheme="minorHAnsi" w:cstheme="minorHAnsi"/>
                <w:b/>
                <w:i/>
                <w:sz w:val="18"/>
              </w:rPr>
            </w:pPr>
            <w:r w:rsidRPr="001C0C74">
              <w:rPr>
                <w:rFonts w:asciiTheme="minorHAnsi" w:hAnsiTheme="minorHAnsi" w:cstheme="minorHAnsi"/>
                <w:b/>
                <w:i/>
                <w:sz w:val="18"/>
              </w:rPr>
              <w:t>ukazatel</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(celkový počet)</w:t>
            </w:r>
          </w:p>
        </w:tc>
        <w:tc>
          <w:tcPr>
            <w:tcW w:w="1240" w:type="dxa"/>
            <w:tcBorders>
              <w:top w:val="double" w:sz="4" w:space="0" w:color="auto"/>
              <w:bottom w:val="double" w:sz="4" w:space="0" w:color="auto"/>
            </w:tcBorders>
            <w:shd w:val="clear" w:color="auto" w:fill="auto"/>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3</w:t>
            </w:r>
          </w:p>
        </w:tc>
        <w:tc>
          <w:tcPr>
            <w:tcW w:w="1241" w:type="dxa"/>
            <w:tcBorders>
              <w:top w:val="double" w:sz="4" w:space="0" w:color="auto"/>
              <w:bottom w:val="double" w:sz="4" w:space="0" w:color="auto"/>
            </w:tcBorders>
            <w:shd w:val="clear" w:color="auto" w:fill="auto"/>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 xml:space="preserve">stav k </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31.12.</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201</w:t>
            </w:r>
            <w:r>
              <w:rPr>
                <w:rFonts w:asciiTheme="minorHAnsi" w:hAnsiTheme="minorHAnsi" w:cstheme="minorHAnsi"/>
                <w:b/>
                <w:i/>
                <w:sz w:val="18"/>
              </w:rPr>
              <w:t>4</w:t>
            </w:r>
          </w:p>
        </w:tc>
        <w:tc>
          <w:tcPr>
            <w:tcW w:w="1240" w:type="dxa"/>
            <w:tcBorders>
              <w:top w:val="double" w:sz="4" w:space="0" w:color="auto"/>
              <w:bottom w:val="double" w:sz="4" w:space="0" w:color="auto"/>
            </w:tcBorders>
            <w:shd w:val="clear" w:color="auto" w:fill="auto"/>
            <w:vAlign w:val="center"/>
          </w:tcPr>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meziroční rozdíl</w:t>
            </w:r>
          </w:p>
          <w:p w:rsidR="00C723DD" w:rsidRPr="001C0C74" w:rsidRDefault="00C723DD" w:rsidP="00C723DD">
            <w:pPr>
              <w:ind w:left="-70"/>
              <w:jc w:val="center"/>
              <w:rPr>
                <w:rFonts w:asciiTheme="minorHAnsi" w:hAnsiTheme="minorHAnsi" w:cstheme="minorHAnsi"/>
                <w:b/>
                <w:i/>
                <w:sz w:val="18"/>
              </w:rPr>
            </w:pPr>
            <w:r w:rsidRPr="001C0C74">
              <w:rPr>
                <w:rFonts w:asciiTheme="minorHAnsi" w:hAnsiTheme="minorHAnsi" w:cstheme="minorHAnsi"/>
                <w:b/>
                <w:i/>
                <w:sz w:val="18"/>
              </w:rPr>
              <w:t>absolutně</w:t>
            </w:r>
          </w:p>
        </w:tc>
        <w:tc>
          <w:tcPr>
            <w:tcW w:w="1241" w:type="dxa"/>
            <w:tcBorders>
              <w:top w:val="double" w:sz="4" w:space="0" w:color="auto"/>
              <w:bottom w:val="double" w:sz="4" w:space="0" w:color="auto"/>
              <w:right w:val="double" w:sz="4" w:space="0" w:color="auto"/>
            </w:tcBorders>
            <w:shd w:val="clear" w:color="auto" w:fill="auto"/>
            <w:vAlign w:val="center"/>
          </w:tcPr>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index</w:t>
            </w:r>
          </w:p>
          <w:p w:rsidR="00C723DD" w:rsidRPr="001C0C74"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C0C74" w:rsidRDefault="00C723DD" w:rsidP="00C723DD">
            <w:pPr>
              <w:jc w:val="center"/>
              <w:rPr>
                <w:rFonts w:asciiTheme="minorHAnsi" w:hAnsiTheme="minorHAnsi" w:cstheme="minorHAnsi"/>
                <w:b/>
                <w:i/>
                <w:sz w:val="18"/>
              </w:rPr>
            </w:pPr>
            <w:r w:rsidRPr="001C0C74">
              <w:rPr>
                <w:rFonts w:asciiTheme="minorHAnsi" w:hAnsiTheme="minorHAnsi" w:cstheme="minorHAnsi"/>
                <w:b/>
                <w:i/>
                <w:sz w:val="18"/>
              </w:rPr>
              <w:t>v %</w:t>
            </w:r>
          </w:p>
        </w:tc>
      </w:tr>
      <w:tr w:rsidR="00C723DD" w:rsidRPr="001C0C74" w:rsidTr="00C723DD">
        <w:trPr>
          <w:cantSplit/>
        </w:trPr>
        <w:tc>
          <w:tcPr>
            <w:tcW w:w="4536" w:type="dxa"/>
            <w:tcBorders>
              <w:top w:val="double" w:sz="4" w:space="0" w:color="auto"/>
              <w:left w:val="double" w:sz="4" w:space="0" w:color="auto"/>
              <w:bottom w:val="single" w:sz="12"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 xml:space="preserve">pracovní místa vytvořená s finančním příspěvkem ÚP </w:t>
            </w:r>
          </w:p>
        </w:tc>
        <w:tc>
          <w:tcPr>
            <w:tcW w:w="1240" w:type="dxa"/>
            <w:tcBorders>
              <w:top w:val="double" w:sz="4" w:space="0" w:color="auto"/>
              <w:bottom w:val="single" w:sz="12" w:space="0" w:color="auto"/>
            </w:tcBorders>
            <w:shd w:val="clear" w:color="auto" w:fill="auto"/>
            <w:vAlign w:val="center"/>
          </w:tcPr>
          <w:p w:rsidR="00C723DD" w:rsidRPr="00625B9D" w:rsidRDefault="00C723DD" w:rsidP="00C723DD">
            <w:pPr>
              <w:jc w:val="center"/>
              <w:rPr>
                <w:rFonts w:asciiTheme="minorHAnsi" w:hAnsiTheme="minorHAnsi" w:cstheme="minorHAnsi"/>
                <w:b/>
                <w:sz w:val="18"/>
              </w:rPr>
            </w:pPr>
            <w:r w:rsidRPr="00625B9D">
              <w:rPr>
                <w:rFonts w:asciiTheme="minorHAnsi" w:hAnsiTheme="minorHAnsi" w:cstheme="minorHAnsi"/>
                <w:b/>
                <w:sz w:val="18"/>
              </w:rPr>
              <w:t>1 027</w:t>
            </w:r>
          </w:p>
        </w:tc>
        <w:tc>
          <w:tcPr>
            <w:tcW w:w="1241" w:type="dxa"/>
            <w:tcBorders>
              <w:top w:val="double" w:sz="4" w:space="0" w:color="auto"/>
              <w:bottom w:val="single" w:sz="12" w:space="0" w:color="auto"/>
            </w:tcBorders>
            <w:shd w:val="clear" w:color="auto" w:fill="auto"/>
            <w:vAlign w:val="center"/>
          </w:tcPr>
          <w:p w:rsidR="00C723DD" w:rsidRPr="00625B9D" w:rsidRDefault="00C723DD" w:rsidP="00C723DD">
            <w:pPr>
              <w:jc w:val="center"/>
              <w:rPr>
                <w:rFonts w:asciiTheme="minorHAnsi" w:hAnsiTheme="minorHAnsi" w:cstheme="minorHAnsi"/>
                <w:b/>
                <w:sz w:val="18"/>
              </w:rPr>
            </w:pPr>
            <w:r w:rsidRPr="00625B9D">
              <w:rPr>
                <w:rFonts w:asciiTheme="minorHAnsi" w:hAnsiTheme="minorHAnsi" w:cstheme="minorHAnsi"/>
                <w:b/>
                <w:sz w:val="18"/>
              </w:rPr>
              <w:t>1 293</w:t>
            </w:r>
          </w:p>
        </w:tc>
        <w:tc>
          <w:tcPr>
            <w:tcW w:w="1240" w:type="dxa"/>
            <w:tcBorders>
              <w:top w:val="double" w:sz="4" w:space="0" w:color="auto"/>
              <w:bottom w:val="single" w:sz="12"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+266</w:t>
            </w:r>
          </w:p>
        </w:tc>
        <w:tc>
          <w:tcPr>
            <w:tcW w:w="1241" w:type="dxa"/>
            <w:tcBorders>
              <w:top w:val="double" w:sz="4" w:space="0" w:color="auto"/>
              <w:bottom w:val="single" w:sz="12"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125,9</w:t>
            </w:r>
          </w:p>
        </w:tc>
      </w:tr>
      <w:tr w:rsidR="00C723DD" w:rsidRPr="001C0C74" w:rsidTr="00C723DD">
        <w:trPr>
          <w:cantSplit/>
        </w:trPr>
        <w:tc>
          <w:tcPr>
            <w:tcW w:w="4536" w:type="dxa"/>
            <w:tcBorders>
              <w:top w:val="single" w:sz="12" w:space="0" w:color="auto"/>
              <w:left w:val="double" w:sz="4" w:space="0" w:color="auto"/>
            </w:tcBorders>
            <w:shd w:val="clear" w:color="auto" w:fill="auto"/>
          </w:tcPr>
          <w:p w:rsidR="00C723DD" w:rsidRPr="001C0C74" w:rsidRDefault="00C723DD" w:rsidP="00C723DD">
            <w:pPr>
              <w:ind w:left="639" w:hanging="639"/>
              <w:rPr>
                <w:rFonts w:asciiTheme="minorHAnsi" w:hAnsiTheme="minorHAnsi" w:cstheme="minorHAnsi"/>
                <w:sz w:val="18"/>
              </w:rPr>
            </w:pPr>
            <w:r w:rsidRPr="001C0C74">
              <w:rPr>
                <w:rFonts w:asciiTheme="minorHAnsi" w:hAnsiTheme="minorHAnsi" w:cstheme="minorHAnsi"/>
                <w:sz w:val="18"/>
              </w:rPr>
              <w:t xml:space="preserve">z toho – SÚPM – SVČ zřízená uchazeči o zaměstnání </w:t>
            </w:r>
          </w:p>
        </w:tc>
        <w:tc>
          <w:tcPr>
            <w:tcW w:w="1240" w:type="dxa"/>
            <w:tcBorders>
              <w:top w:val="single" w:sz="12"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33</w:t>
            </w:r>
          </w:p>
        </w:tc>
        <w:tc>
          <w:tcPr>
            <w:tcW w:w="1241" w:type="dxa"/>
            <w:tcBorders>
              <w:top w:val="single" w:sz="12"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39</w:t>
            </w:r>
          </w:p>
        </w:tc>
        <w:tc>
          <w:tcPr>
            <w:tcW w:w="1240" w:type="dxa"/>
            <w:tcBorders>
              <w:top w:val="single" w:sz="12"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+6</w:t>
            </w:r>
          </w:p>
        </w:tc>
        <w:tc>
          <w:tcPr>
            <w:tcW w:w="1241" w:type="dxa"/>
            <w:tcBorders>
              <w:top w:val="single" w:sz="12"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118,2</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SÚPM zřízená zaměstnavateli</w:t>
            </w:r>
          </w:p>
        </w:tc>
        <w:tc>
          <w:tcPr>
            <w:tcW w:w="1240"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20</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12</w:t>
            </w:r>
          </w:p>
        </w:tc>
        <w:tc>
          <w:tcPr>
            <w:tcW w:w="1240" w:type="dxa"/>
            <w:tcBorders>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-8</w:t>
            </w:r>
          </w:p>
        </w:tc>
        <w:tc>
          <w:tcPr>
            <w:tcW w:w="1241" w:type="dxa"/>
            <w:tcBorders>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60,0</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SÚPM vyhrazená zaměstnavateli</w:t>
            </w:r>
          </w:p>
        </w:tc>
        <w:tc>
          <w:tcPr>
            <w:tcW w:w="1240" w:type="dxa"/>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132</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116</w:t>
            </w:r>
          </w:p>
        </w:tc>
        <w:tc>
          <w:tcPr>
            <w:tcW w:w="1240" w:type="dxa"/>
            <w:tcBorders>
              <w:top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-16</w:t>
            </w:r>
          </w:p>
        </w:tc>
        <w:tc>
          <w:tcPr>
            <w:tcW w:w="1241" w:type="dxa"/>
            <w:tcBorders>
              <w:top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87,9</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SÚPM vyhrazená - NIP ESF-OP LZZ</w:t>
            </w:r>
          </w:p>
        </w:tc>
        <w:tc>
          <w:tcPr>
            <w:tcW w:w="1240" w:type="dxa"/>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554</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650</w:t>
            </w:r>
          </w:p>
        </w:tc>
        <w:tc>
          <w:tcPr>
            <w:tcW w:w="1240" w:type="dxa"/>
            <w:tcBorders>
              <w:top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+96</w:t>
            </w:r>
          </w:p>
        </w:tc>
        <w:tc>
          <w:tcPr>
            <w:tcW w:w="1241" w:type="dxa"/>
            <w:tcBorders>
              <w:top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117,3</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veřejně prospěšné práce</w:t>
            </w:r>
          </w:p>
        </w:tc>
        <w:tc>
          <w:tcPr>
            <w:tcW w:w="1240"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24</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0</w:t>
            </w:r>
          </w:p>
        </w:tc>
        <w:tc>
          <w:tcPr>
            <w:tcW w:w="1240" w:type="dxa"/>
            <w:tcBorders>
              <w:top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-24</w:t>
            </w:r>
          </w:p>
        </w:tc>
        <w:tc>
          <w:tcPr>
            <w:tcW w:w="1241" w:type="dxa"/>
            <w:tcBorders>
              <w:top w:val="single" w:sz="4"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veřejně prospěšné práce - NIP ESF-OP LZZ</w:t>
            </w:r>
          </w:p>
        </w:tc>
        <w:tc>
          <w:tcPr>
            <w:tcW w:w="1240" w:type="dxa"/>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206</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277</w:t>
            </w:r>
          </w:p>
        </w:tc>
        <w:tc>
          <w:tcPr>
            <w:tcW w:w="1240" w:type="dxa"/>
            <w:tcBorders>
              <w:top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+71</w:t>
            </w:r>
          </w:p>
        </w:tc>
        <w:tc>
          <w:tcPr>
            <w:tcW w:w="1241" w:type="dxa"/>
            <w:tcBorders>
              <w:top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134,5</w:t>
            </w:r>
          </w:p>
        </w:tc>
      </w:tr>
      <w:tr w:rsidR="00C723DD" w:rsidRPr="001C0C74" w:rsidTr="00C723DD">
        <w:trPr>
          <w:cantSplit/>
        </w:trPr>
        <w:tc>
          <w:tcPr>
            <w:tcW w:w="4536" w:type="dxa"/>
            <w:tcBorders>
              <w:left w:val="doub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CHPM-SVČ osob se ZP</w:t>
            </w:r>
          </w:p>
        </w:tc>
        <w:tc>
          <w:tcPr>
            <w:tcW w:w="1240" w:type="dxa"/>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2</w:t>
            </w:r>
          </w:p>
        </w:tc>
        <w:tc>
          <w:tcPr>
            <w:tcW w:w="1241" w:type="dxa"/>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0</w:t>
            </w:r>
          </w:p>
        </w:tc>
        <w:tc>
          <w:tcPr>
            <w:tcW w:w="1240" w:type="dxa"/>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w:t>
            </w:r>
          </w:p>
        </w:tc>
        <w:tc>
          <w:tcPr>
            <w:tcW w:w="1241" w:type="dxa"/>
            <w:tcBorders>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C0C74" w:rsidTr="00C723DD">
        <w:trPr>
          <w:cantSplit/>
        </w:trPr>
        <w:tc>
          <w:tcPr>
            <w:tcW w:w="4536" w:type="dxa"/>
            <w:tcBorders>
              <w:left w:val="double" w:sz="4" w:space="0" w:color="auto"/>
              <w:bottom w:val="sing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CHPM zřízená zaměstnavateli</w:t>
            </w:r>
          </w:p>
        </w:tc>
        <w:tc>
          <w:tcPr>
            <w:tcW w:w="1240"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41</w:t>
            </w:r>
          </w:p>
        </w:tc>
        <w:tc>
          <w:tcPr>
            <w:tcW w:w="1241" w:type="dxa"/>
            <w:tcBorders>
              <w:bottom w:val="sing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63</w:t>
            </w:r>
          </w:p>
        </w:tc>
        <w:tc>
          <w:tcPr>
            <w:tcW w:w="1240" w:type="dxa"/>
            <w:tcBorders>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+22</w:t>
            </w:r>
          </w:p>
        </w:tc>
        <w:tc>
          <w:tcPr>
            <w:tcW w:w="1241" w:type="dxa"/>
            <w:tcBorders>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153,7</w:t>
            </w:r>
          </w:p>
        </w:tc>
      </w:tr>
      <w:tr w:rsidR="00C723DD" w:rsidRPr="001C0C74" w:rsidTr="00C723DD">
        <w:trPr>
          <w:cantSplit/>
        </w:trPr>
        <w:tc>
          <w:tcPr>
            <w:tcW w:w="4536" w:type="dxa"/>
            <w:tcBorders>
              <w:left w:val="double" w:sz="4" w:space="0" w:color="auto"/>
              <w:bottom w:val="single" w:sz="4" w:space="0" w:color="auto"/>
            </w:tcBorders>
            <w:shd w:val="clear" w:color="auto" w:fill="auto"/>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240"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15</w:t>
            </w:r>
          </w:p>
        </w:tc>
        <w:tc>
          <w:tcPr>
            <w:tcW w:w="1241"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0</w:t>
            </w:r>
          </w:p>
        </w:tc>
        <w:tc>
          <w:tcPr>
            <w:tcW w:w="1240" w:type="dxa"/>
            <w:tcBorders>
              <w:bottom w:val="sing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+15</w:t>
            </w:r>
          </w:p>
        </w:tc>
        <w:tc>
          <w:tcPr>
            <w:tcW w:w="1241" w:type="dxa"/>
            <w:tcBorders>
              <w:bottom w:val="single" w:sz="4" w:space="0" w:color="auto"/>
              <w:right w:val="doub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0,0</w:t>
            </w:r>
          </w:p>
        </w:tc>
      </w:tr>
      <w:tr w:rsidR="00C723DD" w:rsidRPr="001C0C74" w:rsidTr="00C723DD">
        <w:trPr>
          <w:cantSplit/>
        </w:trPr>
        <w:tc>
          <w:tcPr>
            <w:tcW w:w="4536" w:type="dxa"/>
            <w:tcBorders>
              <w:left w:val="double" w:sz="4" w:space="0" w:color="auto"/>
              <w:bottom w:val="single" w:sz="4" w:space="0" w:color="auto"/>
            </w:tcBorders>
            <w:shd w:val="clear" w:color="auto" w:fill="auto"/>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240"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0</w:t>
            </w:r>
          </w:p>
        </w:tc>
        <w:tc>
          <w:tcPr>
            <w:tcW w:w="1241" w:type="dxa"/>
            <w:tcBorders>
              <w:bottom w:val="sing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136</w:t>
            </w:r>
          </w:p>
        </w:tc>
        <w:tc>
          <w:tcPr>
            <w:tcW w:w="1240" w:type="dxa"/>
            <w:tcBorders>
              <w:bottom w:val="sing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+136</w:t>
            </w:r>
          </w:p>
        </w:tc>
        <w:tc>
          <w:tcPr>
            <w:tcW w:w="1241" w:type="dxa"/>
            <w:tcBorders>
              <w:bottom w:val="single" w:sz="4" w:space="0" w:color="auto"/>
              <w:right w:val="doub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C0C74" w:rsidTr="00C723DD">
        <w:trPr>
          <w:cantSplit/>
        </w:trPr>
        <w:tc>
          <w:tcPr>
            <w:tcW w:w="4536" w:type="dxa"/>
            <w:tcBorders>
              <w:top w:val="double" w:sz="4" w:space="0" w:color="auto"/>
              <w:left w:val="double" w:sz="4" w:space="0" w:color="auto"/>
              <w:bottom w:val="single" w:sz="12" w:space="0" w:color="auto"/>
            </w:tcBorders>
            <w:shd w:val="clear" w:color="auto" w:fill="auto"/>
          </w:tcPr>
          <w:p w:rsidR="00C723DD" w:rsidRPr="001C0C74" w:rsidRDefault="00C723DD" w:rsidP="00C723DD">
            <w:pPr>
              <w:ind w:left="110" w:hanging="142"/>
              <w:rPr>
                <w:rFonts w:asciiTheme="minorHAnsi" w:hAnsiTheme="minorHAnsi" w:cstheme="minorHAnsi"/>
                <w:sz w:val="18"/>
              </w:rPr>
            </w:pPr>
            <w:r w:rsidRPr="001C0C74">
              <w:rPr>
                <w:rFonts w:asciiTheme="minorHAnsi" w:hAnsiTheme="minorHAnsi" w:cstheme="minorHAnsi"/>
                <w:sz w:val="18"/>
              </w:rPr>
              <w:t xml:space="preserve">příspěvky poskytnuté v rámci APZ </w:t>
            </w:r>
          </w:p>
        </w:tc>
        <w:tc>
          <w:tcPr>
            <w:tcW w:w="1240" w:type="dxa"/>
            <w:tcBorders>
              <w:top w:val="double" w:sz="4" w:space="0" w:color="auto"/>
              <w:bottom w:val="single" w:sz="12" w:space="0" w:color="auto"/>
            </w:tcBorders>
            <w:shd w:val="clear" w:color="auto" w:fill="auto"/>
            <w:vAlign w:val="center"/>
          </w:tcPr>
          <w:p w:rsidR="00C723DD" w:rsidRPr="001C0C74" w:rsidRDefault="00C723DD" w:rsidP="00C723DD">
            <w:pPr>
              <w:jc w:val="center"/>
              <w:rPr>
                <w:rFonts w:asciiTheme="minorHAnsi" w:hAnsiTheme="minorHAnsi" w:cstheme="minorHAnsi"/>
                <w:b/>
                <w:sz w:val="18"/>
              </w:rPr>
            </w:pPr>
            <w:r w:rsidRPr="001C0C74">
              <w:rPr>
                <w:rFonts w:asciiTheme="minorHAnsi" w:hAnsiTheme="minorHAnsi" w:cstheme="minorHAnsi"/>
                <w:b/>
                <w:sz w:val="18"/>
              </w:rPr>
              <w:t>15</w:t>
            </w:r>
          </w:p>
        </w:tc>
        <w:tc>
          <w:tcPr>
            <w:tcW w:w="1241" w:type="dxa"/>
            <w:tcBorders>
              <w:top w:val="double" w:sz="4" w:space="0" w:color="auto"/>
              <w:bottom w:val="single" w:sz="12" w:space="0" w:color="auto"/>
            </w:tcBorders>
            <w:shd w:val="clear" w:color="auto" w:fill="auto"/>
            <w:vAlign w:val="center"/>
          </w:tcPr>
          <w:p w:rsidR="00C723DD" w:rsidRPr="0092139C" w:rsidRDefault="00C723DD" w:rsidP="00C723DD">
            <w:pPr>
              <w:jc w:val="center"/>
              <w:rPr>
                <w:rFonts w:asciiTheme="minorHAnsi" w:hAnsiTheme="minorHAnsi" w:cstheme="minorHAnsi"/>
                <w:b/>
                <w:sz w:val="18"/>
              </w:rPr>
            </w:pPr>
            <w:r w:rsidRPr="0092139C">
              <w:rPr>
                <w:rFonts w:asciiTheme="minorHAnsi" w:hAnsiTheme="minorHAnsi" w:cstheme="minorHAnsi"/>
                <w:b/>
                <w:sz w:val="18"/>
              </w:rPr>
              <w:t>16</w:t>
            </w:r>
          </w:p>
        </w:tc>
        <w:tc>
          <w:tcPr>
            <w:tcW w:w="1240" w:type="dxa"/>
            <w:tcBorders>
              <w:top w:val="double" w:sz="4" w:space="0" w:color="auto"/>
              <w:bottom w:val="single" w:sz="12"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+1</w:t>
            </w:r>
          </w:p>
        </w:tc>
        <w:tc>
          <w:tcPr>
            <w:tcW w:w="1241" w:type="dxa"/>
            <w:tcBorders>
              <w:top w:val="double" w:sz="4" w:space="0" w:color="auto"/>
              <w:bottom w:val="single" w:sz="12"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106,7</w:t>
            </w:r>
          </w:p>
        </w:tc>
      </w:tr>
      <w:tr w:rsidR="00C723DD" w:rsidRPr="001C0C74" w:rsidTr="00C723DD">
        <w:trPr>
          <w:cantSplit/>
        </w:trPr>
        <w:tc>
          <w:tcPr>
            <w:tcW w:w="4536" w:type="dxa"/>
            <w:tcBorders>
              <w:top w:val="single" w:sz="12" w:space="0" w:color="auto"/>
              <w:left w:val="double" w:sz="4" w:space="0" w:color="auto"/>
              <w:bottom w:val="single" w:sz="4" w:space="0" w:color="auto"/>
            </w:tcBorders>
            <w:shd w:val="clear" w:color="auto" w:fill="auto"/>
          </w:tcPr>
          <w:p w:rsidR="00C723DD" w:rsidRPr="001C0C74" w:rsidRDefault="00C723DD" w:rsidP="00C723DD">
            <w:pPr>
              <w:ind w:left="110" w:hanging="142"/>
              <w:rPr>
                <w:rFonts w:asciiTheme="minorHAnsi" w:hAnsiTheme="minorHAnsi" w:cstheme="minorHAnsi"/>
                <w:sz w:val="18"/>
              </w:rPr>
            </w:pPr>
            <w:r w:rsidRPr="001C0C74">
              <w:rPr>
                <w:rFonts w:asciiTheme="minorHAnsi" w:hAnsiTheme="minorHAnsi" w:cstheme="minorHAnsi"/>
                <w:sz w:val="18"/>
              </w:rPr>
              <w:t xml:space="preserve">z toho - překlenovací příspěvek </w:t>
            </w:r>
          </w:p>
        </w:tc>
        <w:tc>
          <w:tcPr>
            <w:tcW w:w="1240" w:type="dxa"/>
            <w:tcBorders>
              <w:top w:val="single" w:sz="12" w:space="0" w:color="auto"/>
              <w:bottom w:val="sing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15</w:t>
            </w:r>
          </w:p>
        </w:tc>
        <w:tc>
          <w:tcPr>
            <w:tcW w:w="1241" w:type="dxa"/>
            <w:tcBorders>
              <w:top w:val="single" w:sz="12" w:space="0" w:color="auto"/>
              <w:bottom w:val="sing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15</w:t>
            </w:r>
          </w:p>
        </w:tc>
        <w:tc>
          <w:tcPr>
            <w:tcW w:w="1240" w:type="dxa"/>
            <w:tcBorders>
              <w:top w:val="single" w:sz="12" w:space="0" w:color="auto"/>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w:t>
            </w:r>
          </w:p>
        </w:tc>
        <w:tc>
          <w:tcPr>
            <w:tcW w:w="1241" w:type="dxa"/>
            <w:tcBorders>
              <w:top w:val="single" w:sz="12"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100,0</w:t>
            </w:r>
          </w:p>
        </w:tc>
      </w:tr>
      <w:tr w:rsidR="00C723DD" w:rsidRPr="001C0C74" w:rsidTr="00C723DD">
        <w:trPr>
          <w:cantSplit/>
        </w:trPr>
        <w:tc>
          <w:tcPr>
            <w:tcW w:w="4536" w:type="dxa"/>
            <w:tcBorders>
              <w:top w:val="single" w:sz="4" w:space="0" w:color="auto"/>
              <w:left w:val="double" w:sz="4" w:space="0" w:color="auto"/>
              <w:bottom w:val="nil"/>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příspěvek na zapracování</w:t>
            </w:r>
          </w:p>
        </w:tc>
        <w:tc>
          <w:tcPr>
            <w:tcW w:w="1240" w:type="dxa"/>
            <w:tcBorders>
              <w:top w:val="single" w:sz="4" w:space="0" w:color="auto"/>
              <w:bottom w:val="sing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0</w:t>
            </w:r>
          </w:p>
        </w:tc>
        <w:tc>
          <w:tcPr>
            <w:tcW w:w="1241" w:type="dxa"/>
            <w:tcBorders>
              <w:top w:val="single" w:sz="4" w:space="0" w:color="auto"/>
              <w:bottom w:val="sing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0</w:t>
            </w:r>
          </w:p>
        </w:tc>
        <w:tc>
          <w:tcPr>
            <w:tcW w:w="1240" w:type="dxa"/>
            <w:tcBorders>
              <w:top w:val="single" w:sz="4" w:space="0" w:color="auto"/>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w:t>
            </w:r>
          </w:p>
        </w:tc>
        <w:tc>
          <w:tcPr>
            <w:tcW w:w="1241" w:type="dxa"/>
            <w:tcBorders>
              <w:top w:val="single" w:sz="4"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w:t>
            </w:r>
          </w:p>
        </w:tc>
      </w:tr>
      <w:tr w:rsidR="00C723DD" w:rsidRPr="001C0C74" w:rsidTr="00C723DD">
        <w:trPr>
          <w:cantSplit/>
        </w:trPr>
        <w:tc>
          <w:tcPr>
            <w:tcW w:w="4536" w:type="dxa"/>
            <w:tcBorders>
              <w:left w:val="double" w:sz="4" w:space="0" w:color="auto"/>
              <w:bottom w:val="nil"/>
              <w:right w:val="single" w:sz="4" w:space="0" w:color="auto"/>
            </w:tcBorders>
            <w:shd w:val="clear" w:color="auto" w:fill="auto"/>
          </w:tcPr>
          <w:p w:rsidR="00C723DD" w:rsidRPr="001C0C74" w:rsidRDefault="00C723DD" w:rsidP="00C723DD">
            <w:pPr>
              <w:ind w:left="497"/>
              <w:rPr>
                <w:rFonts w:asciiTheme="minorHAnsi" w:hAnsiTheme="minorHAnsi" w:cstheme="minorHAnsi"/>
                <w:sz w:val="18"/>
              </w:rPr>
            </w:pPr>
            <w:r w:rsidRPr="001C0C74">
              <w:rPr>
                <w:rFonts w:asciiTheme="minorHAnsi" w:hAnsiTheme="minorHAnsi" w:cstheme="minorHAnsi"/>
                <w:sz w:val="18"/>
              </w:rPr>
              <w:t>- příspěvek na provoz CHPM a CHPM-SVČ</w:t>
            </w:r>
          </w:p>
        </w:tc>
        <w:tc>
          <w:tcPr>
            <w:tcW w:w="1240" w:type="dxa"/>
            <w:tcBorders>
              <w:left w:val="single" w:sz="4" w:space="0" w:color="auto"/>
              <w:bottom w:val="double" w:sz="4" w:space="0" w:color="auto"/>
              <w:right w:val="sing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0</w:t>
            </w:r>
          </w:p>
        </w:tc>
        <w:tc>
          <w:tcPr>
            <w:tcW w:w="1241" w:type="dxa"/>
            <w:tcBorders>
              <w:left w:val="single" w:sz="4" w:space="0" w:color="auto"/>
              <w:bottom w:val="double" w:sz="4" w:space="0" w:color="auto"/>
              <w:right w:val="sing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1</w:t>
            </w:r>
          </w:p>
        </w:tc>
        <w:tc>
          <w:tcPr>
            <w:tcW w:w="1240" w:type="dxa"/>
            <w:tcBorders>
              <w:left w:val="single" w:sz="4" w:space="0" w:color="auto"/>
              <w:bottom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w:t>
            </w:r>
          </w:p>
        </w:tc>
        <w:tc>
          <w:tcPr>
            <w:tcW w:w="1241" w:type="dxa"/>
            <w:tcBorders>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C0C74" w:rsidTr="00C723DD">
        <w:trPr>
          <w:cantSplit/>
        </w:trPr>
        <w:tc>
          <w:tcPr>
            <w:tcW w:w="4536" w:type="dxa"/>
            <w:tcBorders>
              <w:top w:val="double" w:sz="4" w:space="0" w:color="auto"/>
              <w:left w:val="double" w:sz="4"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zahájené rekvalifikační kurzy</w:t>
            </w:r>
            <w:r>
              <w:rPr>
                <w:rFonts w:asciiTheme="minorHAnsi" w:hAnsiTheme="minorHAnsi" w:cstheme="minorHAnsi"/>
                <w:sz w:val="18"/>
              </w:rPr>
              <w:t xml:space="preserve"> </w:t>
            </w:r>
            <w:r w:rsidRPr="00113EE0">
              <w:rPr>
                <w:rFonts w:asciiTheme="minorHAnsi" w:hAnsiTheme="minorHAnsi" w:cstheme="minorHAnsi"/>
                <w:sz w:val="18"/>
              </w:rPr>
              <w:t>(národní APZ + ESF)</w:t>
            </w:r>
          </w:p>
        </w:tc>
        <w:tc>
          <w:tcPr>
            <w:tcW w:w="1240" w:type="dxa"/>
            <w:tcBorders>
              <w:top w:val="doub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63</w:t>
            </w:r>
          </w:p>
        </w:tc>
        <w:tc>
          <w:tcPr>
            <w:tcW w:w="1241" w:type="dxa"/>
            <w:tcBorders>
              <w:top w:val="double" w:sz="4" w:space="0" w:color="auto"/>
            </w:tcBorders>
            <w:shd w:val="clear" w:color="auto" w:fill="auto"/>
            <w:vAlign w:val="center"/>
          </w:tcPr>
          <w:p w:rsidR="00C723DD" w:rsidRPr="005B4F91" w:rsidRDefault="00C723DD" w:rsidP="00C723DD">
            <w:pPr>
              <w:jc w:val="center"/>
              <w:rPr>
                <w:rFonts w:asciiTheme="minorHAnsi" w:hAnsiTheme="minorHAnsi" w:cstheme="minorHAnsi"/>
                <w:sz w:val="18"/>
              </w:rPr>
            </w:pPr>
            <w:r w:rsidRPr="005B4F91">
              <w:rPr>
                <w:rFonts w:asciiTheme="minorHAnsi" w:hAnsiTheme="minorHAnsi" w:cstheme="minorHAnsi"/>
                <w:sz w:val="18"/>
              </w:rPr>
              <w:t>23</w:t>
            </w:r>
          </w:p>
        </w:tc>
        <w:tc>
          <w:tcPr>
            <w:tcW w:w="1240" w:type="dxa"/>
            <w:tcBorders>
              <w:top w:val="doub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-40</w:t>
            </w:r>
          </w:p>
        </w:tc>
        <w:tc>
          <w:tcPr>
            <w:tcW w:w="1241" w:type="dxa"/>
            <w:tcBorders>
              <w:top w:val="double" w:sz="4" w:space="0" w:color="auto"/>
              <w:right w:val="doub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36,5</w:t>
            </w:r>
          </w:p>
        </w:tc>
      </w:tr>
      <w:tr w:rsidR="00C723DD" w:rsidRPr="001C0C74" w:rsidTr="00C723DD">
        <w:trPr>
          <w:cantSplit/>
        </w:trPr>
        <w:tc>
          <w:tcPr>
            <w:tcW w:w="4536" w:type="dxa"/>
            <w:tcBorders>
              <w:left w:val="double" w:sz="4" w:space="0" w:color="auto"/>
              <w:bottom w:val="nil"/>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počet osob zařaz</w:t>
            </w:r>
            <w:r>
              <w:rPr>
                <w:rFonts w:asciiTheme="minorHAnsi" w:hAnsiTheme="minorHAnsi" w:cstheme="minorHAnsi"/>
                <w:sz w:val="18"/>
              </w:rPr>
              <w:t>ených</w:t>
            </w:r>
            <w:r w:rsidRPr="001C0C74">
              <w:rPr>
                <w:rFonts w:asciiTheme="minorHAnsi" w:hAnsiTheme="minorHAnsi" w:cstheme="minorHAnsi"/>
                <w:sz w:val="18"/>
              </w:rPr>
              <w:t xml:space="preserve"> do rekvalifikací (národní APZ + ESF)</w:t>
            </w:r>
          </w:p>
        </w:tc>
        <w:tc>
          <w:tcPr>
            <w:tcW w:w="1240" w:type="dxa"/>
            <w:tcBorders>
              <w:bottom w:val="nil"/>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554</w:t>
            </w:r>
          </w:p>
        </w:tc>
        <w:tc>
          <w:tcPr>
            <w:tcW w:w="1241" w:type="dxa"/>
            <w:tcBorders>
              <w:bottom w:val="nil"/>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321</w:t>
            </w:r>
          </w:p>
        </w:tc>
        <w:tc>
          <w:tcPr>
            <w:tcW w:w="1240" w:type="dxa"/>
            <w:tcBorders>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-233</w:t>
            </w:r>
          </w:p>
        </w:tc>
        <w:tc>
          <w:tcPr>
            <w:tcW w:w="1241" w:type="dxa"/>
            <w:tcBorders>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57,9</w:t>
            </w:r>
          </w:p>
        </w:tc>
      </w:tr>
      <w:tr w:rsidR="00C723DD" w:rsidRPr="001C0C74" w:rsidTr="00C723DD">
        <w:trPr>
          <w:cantSplit/>
        </w:trPr>
        <w:tc>
          <w:tcPr>
            <w:tcW w:w="4536" w:type="dxa"/>
            <w:tcBorders>
              <w:left w:val="double" w:sz="4" w:space="0" w:color="auto"/>
              <w:bottom w:val="double" w:sz="4"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 toho zájemců o zaměstnání</w:t>
            </w:r>
          </w:p>
        </w:tc>
        <w:tc>
          <w:tcPr>
            <w:tcW w:w="1240" w:type="dxa"/>
            <w:tcBorders>
              <w:bottom w:val="doub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w:t>
            </w:r>
          </w:p>
        </w:tc>
        <w:tc>
          <w:tcPr>
            <w:tcW w:w="1241" w:type="dxa"/>
            <w:tcBorders>
              <w:bottom w:val="doub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0</w:t>
            </w:r>
          </w:p>
        </w:tc>
        <w:tc>
          <w:tcPr>
            <w:tcW w:w="1240" w:type="dxa"/>
            <w:tcBorders>
              <w:bottom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w:t>
            </w:r>
          </w:p>
        </w:tc>
        <w:tc>
          <w:tcPr>
            <w:tcW w:w="1241" w:type="dxa"/>
            <w:tcBorders>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C0C74" w:rsidTr="00C723DD">
        <w:trPr>
          <w:cantSplit/>
        </w:trPr>
        <w:tc>
          <w:tcPr>
            <w:tcW w:w="4536" w:type="dxa"/>
            <w:tcBorders>
              <w:top w:val="double" w:sz="4" w:space="0" w:color="auto"/>
              <w:left w:val="double" w:sz="4" w:space="0" w:color="auto"/>
              <w:bottom w:val="single" w:sz="4"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osoby, které zahájily zvol. rekvalifikaci - národní APZ</w:t>
            </w:r>
          </w:p>
        </w:tc>
        <w:tc>
          <w:tcPr>
            <w:tcW w:w="1240" w:type="dxa"/>
            <w:tcBorders>
              <w:top w:val="double" w:sz="4" w:space="0" w:color="auto"/>
              <w:bottom w:val="sing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215</w:t>
            </w:r>
          </w:p>
        </w:tc>
        <w:tc>
          <w:tcPr>
            <w:tcW w:w="1241" w:type="dxa"/>
            <w:tcBorders>
              <w:top w:val="double" w:sz="4" w:space="0" w:color="auto"/>
              <w:bottom w:val="sing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89</w:t>
            </w:r>
          </w:p>
        </w:tc>
        <w:tc>
          <w:tcPr>
            <w:tcW w:w="1240" w:type="dxa"/>
            <w:tcBorders>
              <w:top w:val="double" w:sz="4" w:space="0" w:color="auto"/>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-126</w:t>
            </w:r>
          </w:p>
        </w:tc>
        <w:tc>
          <w:tcPr>
            <w:tcW w:w="1241" w:type="dxa"/>
            <w:tcBorders>
              <w:top w:val="double" w:sz="4"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41,4</w:t>
            </w:r>
          </w:p>
        </w:tc>
      </w:tr>
      <w:tr w:rsidR="00C723DD" w:rsidRPr="001C0C74" w:rsidTr="00C723DD">
        <w:trPr>
          <w:cantSplit/>
        </w:trPr>
        <w:tc>
          <w:tcPr>
            <w:tcW w:w="4536" w:type="dxa"/>
            <w:tcBorders>
              <w:left w:val="double" w:sz="4" w:space="0" w:color="auto"/>
              <w:bottom w:val="double" w:sz="4"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osoby, které zahájily zvol. rekvalifikaci - NIP ESF-OP LZZ</w:t>
            </w:r>
          </w:p>
        </w:tc>
        <w:tc>
          <w:tcPr>
            <w:tcW w:w="1240" w:type="dxa"/>
            <w:tcBorders>
              <w:bottom w:val="doub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139</w:t>
            </w:r>
          </w:p>
        </w:tc>
        <w:tc>
          <w:tcPr>
            <w:tcW w:w="1241" w:type="dxa"/>
            <w:tcBorders>
              <w:bottom w:val="double" w:sz="4" w:space="0" w:color="auto"/>
            </w:tcBorders>
            <w:shd w:val="clear" w:color="auto" w:fill="auto"/>
            <w:vAlign w:val="center"/>
          </w:tcPr>
          <w:p w:rsidR="00C723DD" w:rsidRPr="00625B9D" w:rsidRDefault="00C723DD" w:rsidP="00C723DD">
            <w:pPr>
              <w:jc w:val="center"/>
              <w:rPr>
                <w:rFonts w:asciiTheme="minorHAnsi" w:hAnsiTheme="minorHAnsi" w:cstheme="minorHAnsi"/>
                <w:sz w:val="18"/>
              </w:rPr>
            </w:pPr>
            <w:r w:rsidRPr="00625B9D">
              <w:rPr>
                <w:rFonts w:asciiTheme="minorHAnsi" w:hAnsiTheme="minorHAnsi" w:cstheme="minorHAnsi"/>
                <w:sz w:val="18"/>
              </w:rPr>
              <w:t>400</w:t>
            </w:r>
          </w:p>
        </w:tc>
        <w:tc>
          <w:tcPr>
            <w:tcW w:w="1240" w:type="dxa"/>
            <w:tcBorders>
              <w:bottom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+261</w:t>
            </w:r>
          </w:p>
        </w:tc>
        <w:tc>
          <w:tcPr>
            <w:tcW w:w="1241" w:type="dxa"/>
            <w:tcBorders>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287,8</w:t>
            </w:r>
          </w:p>
        </w:tc>
      </w:tr>
      <w:tr w:rsidR="00C723DD" w:rsidRPr="001C0C74" w:rsidTr="00C723DD">
        <w:trPr>
          <w:cantSplit/>
        </w:trPr>
        <w:tc>
          <w:tcPr>
            <w:tcW w:w="4536" w:type="dxa"/>
            <w:tcBorders>
              <w:top w:val="double" w:sz="4" w:space="0" w:color="auto"/>
              <w:left w:val="double" w:sz="4" w:space="0" w:color="auto"/>
              <w:bottom w:val="double" w:sz="4" w:space="0" w:color="auto"/>
            </w:tcBorders>
            <w:shd w:val="clear" w:color="auto" w:fill="auto"/>
          </w:tcPr>
          <w:p w:rsidR="00C723DD" w:rsidRPr="001C0C74" w:rsidRDefault="00C723DD" w:rsidP="00C723DD">
            <w:pPr>
              <w:rPr>
                <w:rFonts w:asciiTheme="minorHAnsi" w:hAnsiTheme="minorHAnsi" w:cstheme="minorHAnsi"/>
                <w:sz w:val="18"/>
              </w:rPr>
            </w:pPr>
            <w:r w:rsidRPr="001C0C74">
              <w:rPr>
                <w:rFonts w:asciiTheme="minorHAnsi" w:hAnsiTheme="minorHAnsi" w:cstheme="minorHAnsi"/>
                <w:sz w:val="18"/>
              </w:rPr>
              <w:t>zaměstnanci rekvalifikovaní s finančním příspěvkem ÚP</w:t>
            </w:r>
          </w:p>
        </w:tc>
        <w:tc>
          <w:tcPr>
            <w:tcW w:w="1240" w:type="dxa"/>
            <w:tcBorders>
              <w:top w:val="double" w:sz="4" w:space="0" w:color="auto"/>
              <w:bottom w:val="double" w:sz="4" w:space="0" w:color="auto"/>
            </w:tcBorders>
            <w:shd w:val="clear" w:color="auto" w:fill="auto"/>
            <w:vAlign w:val="center"/>
          </w:tcPr>
          <w:p w:rsidR="00C723DD" w:rsidRPr="001C0C74" w:rsidRDefault="00C723DD" w:rsidP="00C723DD">
            <w:pPr>
              <w:jc w:val="center"/>
              <w:rPr>
                <w:rFonts w:asciiTheme="minorHAnsi" w:hAnsiTheme="minorHAnsi" w:cstheme="minorHAnsi"/>
                <w:sz w:val="18"/>
              </w:rPr>
            </w:pPr>
            <w:r w:rsidRPr="001C0C74">
              <w:rPr>
                <w:rFonts w:asciiTheme="minorHAnsi" w:hAnsiTheme="minorHAnsi" w:cstheme="minorHAnsi"/>
                <w:sz w:val="18"/>
              </w:rPr>
              <w:t>0</w:t>
            </w:r>
          </w:p>
        </w:tc>
        <w:tc>
          <w:tcPr>
            <w:tcW w:w="1241" w:type="dxa"/>
            <w:tcBorders>
              <w:top w:val="double" w:sz="4" w:space="0" w:color="auto"/>
              <w:bottom w:val="double" w:sz="4" w:space="0" w:color="auto"/>
            </w:tcBorders>
            <w:shd w:val="clear" w:color="auto" w:fill="auto"/>
            <w:vAlign w:val="center"/>
          </w:tcPr>
          <w:p w:rsidR="00C723DD" w:rsidRPr="0092139C" w:rsidRDefault="00C723DD" w:rsidP="00C723DD">
            <w:pPr>
              <w:jc w:val="center"/>
              <w:rPr>
                <w:rFonts w:asciiTheme="minorHAnsi" w:hAnsiTheme="minorHAnsi" w:cstheme="minorHAnsi"/>
                <w:sz w:val="18"/>
              </w:rPr>
            </w:pPr>
            <w:r w:rsidRPr="0092139C">
              <w:rPr>
                <w:rFonts w:asciiTheme="minorHAnsi" w:hAnsiTheme="minorHAnsi" w:cstheme="minorHAnsi"/>
                <w:sz w:val="18"/>
              </w:rPr>
              <w:t>0</w:t>
            </w:r>
          </w:p>
        </w:tc>
        <w:tc>
          <w:tcPr>
            <w:tcW w:w="1240" w:type="dxa"/>
            <w:tcBorders>
              <w:top w:val="doub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0</w:t>
            </w:r>
          </w:p>
        </w:tc>
        <w:tc>
          <w:tcPr>
            <w:tcW w:w="1241" w:type="dxa"/>
            <w:tcBorders>
              <w:top w:val="double" w:sz="4" w:space="0" w:color="auto"/>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w:t>
            </w:r>
          </w:p>
        </w:tc>
      </w:tr>
    </w:tbl>
    <w:p w:rsidR="00C723DD" w:rsidRPr="001C0C74" w:rsidRDefault="00C723DD" w:rsidP="00C723DD">
      <w:pPr>
        <w:rPr>
          <w:rFonts w:asciiTheme="minorHAnsi" w:hAnsiTheme="minorHAnsi" w:cstheme="minorHAnsi"/>
          <w:b/>
          <w:sz w:val="22"/>
        </w:rPr>
      </w:pPr>
    </w:p>
    <w:p w:rsidR="00C723DD" w:rsidRPr="001C0C74" w:rsidRDefault="00C723DD" w:rsidP="00C723DD">
      <w:pPr>
        <w:ind w:right="-567"/>
        <w:jc w:val="both"/>
        <w:rPr>
          <w:rFonts w:asciiTheme="minorHAnsi" w:hAnsiTheme="minorHAnsi" w:cstheme="minorHAnsi"/>
          <w:b/>
          <w:i/>
          <w:sz w:val="22"/>
        </w:rPr>
      </w:pPr>
      <w:r w:rsidRPr="001C0C74">
        <w:rPr>
          <w:rFonts w:asciiTheme="minorHAnsi" w:hAnsiTheme="minorHAnsi" w:cstheme="minorHAnsi"/>
          <w:b/>
          <w:sz w:val="22"/>
        </w:rPr>
        <w:t>7. Prognóza vývoje trhu práce na rok 201</w:t>
      </w:r>
      <w:r>
        <w:rPr>
          <w:rFonts w:asciiTheme="minorHAnsi" w:hAnsiTheme="minorHAnsi" w:cstheme="minorHAnsi"/>
          <w:b/>
          <w:sz w:val="22"/>
        </w:rPr>
        <w:t>5</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72"/>
        <w:gridCol w:w="1772"/>
        <w:gridCol w:w="1772"/>
        <w:gridCol w:w="1772"/>
      </w:tblGrid>
      <w:tr w:rsidR="00C723DD" w:rsidRPr="001C0C74" w:rsidTr="00C723DD">
        <w:trPr>
          <w:cantSplit/>
        </w:trPr>
        <w:tc>
          <w:tcPr>
            <w:tcW w:w="2410" w:type="dxa"/>
            <w:vMerge w:val="restart"/>
            <w:vAlign w:val="center"/>
          </w:tcPr>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očekávaný stav k</w:t>
            </w:r>
          </w:p>
        </w:tc>
        <w:tc>
          <w:tcPr>
            <w:tcW w:w="3544" w:type="dxa"/>
            <w:gridSpan w:val="2"/>
          </w:tcPr>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lepší vývoj</w:t>
            </w:r>
          </w:p>
        </w:tc>
        <w:tc>
          <w:tcPr>
            <w:tcW w:w="3544" w:type="dxa"/>
            <w:gridSpan w:val="2"/>
          </w:tcPr>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horší vývoj</w:t>
            </w:r>
          </w:p>
        </w:tc>
      </w:tr>
      <w:tr w:rsidR="00C723DD" w:rsidRPr="001C0C74" w:rsidTr="00C723DD">
        <w:trPr>
          <w:cantSplit/>
          <w:trHeight w:val="574"/>
        </w:trPr>
        <w:tc>
          <w:tcPr>
            <w:tcW w:w="2410" w:type="dxa"/>
            <w:vMerge/>
            <w:tcBorders>
              <w:bottom w:val="double" w:sz="4" w:space="0" w:color="auto"/>
            </w:tcBorders>
          </w:tcPr>
          <w:p w:rsidR="00C723DD" w:rsidRPr="001C0C74" w:rsidRDefault="00C723DD" w:rsidP="00C723DD">
            <w:pPr>
              <w:pStyle w:val="Texttabulky"/>
              <w:jc w:val="center"/>
              <w:rPr>
                <w:rFonts w:asciiTheme="minorHAnsi" w:hAnsiTheme="minorHAnsi" w:cstheme="minorHAnsi"/>
                <w:b/>
                <w:bCs/>
                <w:i/>
                <w:iCs/>
                <w:color w:val="auto"/>
                <w:sz w:val="18"/>
              </w:rPr>
            </w:pPr>
          </w:p>
        </w:tc>
        <w:tc>
          <w:tcPr>
            <w:tcW w:w="1772" w:type="dxa"/>
            <w:tcBorders>
              <w:bottom w:val="double" w:sz="4" w:space="0" w:color="auto"/>
            </w:tcBorders>
            <w:vAlign w:val="center"/>
          </w:tcPr>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počet</w:t>
            </w:r>
          </w:p>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1C0C74" w:rsidRDefault="00C723DD" w:rsidP="00C723DD">
            <w:pPr>
              <w:jc w:val="center"/>
              <w:rPr>
                <w:rFonts w:asciiTheme="minorHAnsi" w:hAnsiTheme="minorHAnsi" w:cstheme="minorHAnsi"/>
                <w:b/>
                <w:bCs/>
                <w:i/>
                <w:iCs/>
                <w:sz w:val="18"/>
              </w:rPr>
            </w:pPr>
            <w:r w:rsidRPr="001C0C74">
              <w:rPr>
                <w:rFonts w:asciiTheme="minorHAnsi" w:hAnsiTheme="minorHAnsi" w:cstheme="minorHAnsi"/>
                <w:b/>
                <w:bCs/>
                <w:i/>
                <w:iCs/>
                <w:sz w:val="18"/>
              </w:rPr>
              <w:t>podíl nezaměstnaných osob v %</w:t>
            </w:r>
          </w:p>
        </w:tc>
        <w:tc>
          <w:tcPr>
            <w:tcW w:w="1772" w:type="dxa"/>
            <w:tcBorders>
              <w:bottom w:val="double" w:sz="4" w:space="0" w:color="auto"/>
            </w:tcBorders>
            <w:vAlign w:val="center"/>
          </w:tcPr>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počet</w:t>
            </w:r>
          </w:p>
          <w:p w:rsidR="00C723DD" w:rsidRPr="001C0C74" w:rsidRDefault="00C723DD" w:rsidP="00C723DD">
            <w:pPr>
              <w:pStyle w:val="Texttabulky"/>
              <w:jc w:val="center"/>
              <w:rPr>
                <w:rFonts w:asciiTheme="minorHAnsi" w:hAnsiTheme="minorHAnsi" w:cstheme="minorHAnsi"/>
                <w:b/>
                <w:bCs/>
                <w:i/>
                <w:iCs/>
                <w:color w:val="auto"/>
                <w:sz w:val="18"/>
              </w:rPr>
            </w:pPr>
            <w:r w:rsidRPr="001C0C74">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1C0C74" w:rsidRDefault="00C723DD" w:rsidP="00C723DD">
            <w:pPr>
              <w:jc w:val="center"/>
              <w:rPr>
                <w:rFonts w:asciiTheme="minorHAnsi" w:hAnsiTheme="minorHAnsi" w:cstheme="minorHAnsi"/>
                <w:b/>
                <w:bCs/>
                <w:i/>
                <w:iCs/>
                <w:sz w:val="18"/>
              </w:rPr>
            </w:pPr>
            <w:r w:rsidRPr="001C0C74">
              <w:rPr>
                <w:rFonts w:asciiTheme="minorHAnsi" w:hAnsiTheme="minorHAnsi" w:cstheme="minorHAnsi"/>
                <w:b/>
                <w:bCs/>
                <w:i/>
                <w:iCs/>
                <w:sz w:val="18"/>
              </w:rPr>
              <w:t>podíl nezaměstnaných osob v %</w:t>
            </w:r>
          </w:p>
        </w:tc>
      </w:tr>
      <w:tr w:rsidR="00C723DD" w:rsidRPr="001C0C74" w:rsidTr="00C723DD">
        <w:trPr>
          <w:cantSplit/>
          <w:trHeight w:val="20"/>
        </w:trPr>
        <w:tc>
          <w:tcPr>
            <w:tcW w:w="2410" w:type="dxa"/>
            <w:tcBorders>
              <w:top w:val="double" w:sz="4" w:space="0" w:color="auto"/>
              <w:bottom w:val="single" w:sz="4" w:space="0" w:color="auto"/>
            </w:tcBorders>
            <w:vAlign w:val="center"/>
          </w:tcPr>
          <w:p w:rsidR="00C723DD" w:rsidRPr="001C0C74" w:rsidRDefault="00C723DD" w:rsidP="00C723DD">
            <w:pPr>
              <w:pStyle w:val="Nadpis2"/>
              <w:ind w:firstLine="0"/>
              <w:rPr>
                <w:rFonts w:asciiTheme="minorHAnsi" w:hAnsiTheme="minorHAnsi" w:cstheme="minorHAnsi"/>
                <w:sz w:val="18"/>
              </w:rPr>
            </w:pPr>
            <w:r w:rsidRPr="001C0C74">
              <w:rPr>
                <w:rFonts w:asciiTheme="minorHAnsi" w:hAnsiTheme="minorHAnsi" w:cstheme="minorHAnsi"/>
                <w:sz w:val="18"/>
              </w:rPr>
              <w:t>30.06.201</w:t>
            </w:r>
            <w:r>
              <w:rPr>
                <w:rFonts w:asciiTheme="minorHAnsi" w:hAnsiTheme="minorHAnsi" w:cstheme="minorHAnsi"/>
                <w:sz w:val="18"/>
              </w:rPr>
              <w:t>5</w:t>
            </w:r>
          </w:p>
        </w:tc>
        <w:tc>
          <w:tcPr>
            <w:tcW w:w="1772" w:type="dxa"/>
            <w:tcBorders>
              <w:top w:val="double" w:sz="4" w:space="0" w:color="auto"/>
              <w:bottom w:val="single" w:sz="4" w:space="0" w:color="auto"/>
            </w:tcBorders>
            <w:vAlign w:val="center"/>
          </w:tcPr>
          <w:p w:rsidR="00C723DD" w:rsidRPr="00A431F7" w:rsidRDefault="00C723DD" w:rsidP="00C723DD">
            <w:pPr>
              <w:jc w:val="center"/>
              <w:rPr>
                <w:sz w:val="18"/>
                <w:szCs w:val="18"/>
              </w:rPr>
            </w:pPr>
            <w:r w:rsidRPr="00A431F7">
              <w:rPr>
                <w:sz w:val="18"/>
                <w:szCs w:val="18"/>
              </w:rPr>
              <w:t>8</w:t>
            </w:r>
            <w:r>
              <w:rPr>
                <w:sz w:val="18"/>
                <w:szCs w:val="18"/>
              </w:rPr>
              <w:t xml:space="preserve"> </w:t>
            </w:r>
            <w:r w:rsidRPr="00A431F7">
              <w:rPr>
                <w:sz w:val="18"/>
                <w:szCs w:val="18"/>
              </w:rPr>
              <w:t>900</w:t>
            </w:r>
          </w:p>
        </w:tc>
        <w:tc>
          <w:tcPr>
            <w:tcW w:w="1772" w:type="dxa"/>
            <w:tcBorders>
              <w:top w:val="double" w:sz="4" w:space="0" w:color="auto"/>
              <w:bottom w:val="single" w:sz="4" w:space="0" w:color="auto"/>
            </w:tcBorders>
            <w:vAlign w:val="center"/>
          </w:tcPr>
          <w:p w:rsidR="00C723DD" w:rsidRPr="00A431F7" w:rsidRDefault="00C723DD" w:rsidP="00C723DD">
            <w:pPr>
              <w:jc w:val="center"/>
              <w:rPr>
                <w:sz w:val="18"/>
                <w:szCs w:val="18"/>
              </w:rPr>
            </w:pPr>
            <w:r w:rsidRPr="00A431F7">
              <w:rPr>
                <w:sz w:val="18"/>
                <w:szCs w:val="18"/>
              </w:rPr>
              <w:t>6,0</w:t>
            </w:r>
          </w:p>
        </w:tc>
        <w:tc>
          <w:tcPr>
            <w:tcW w:w="1772" w:type="dxa"/>
            <w:tcBorders>
              <w:top w:val="double" w:sz="4" w:space="0" w:color="auto"/>
              <w:bottom w:val="single" w:sz="4" w:space="0" w:color="auto"/>
            </w:tcBorders>
            <w:vAlign w:val="center"/>
          </w:tcPr>
          <w:p w:rsidR="00C723DD" w:rsidRPr="00A431F7" w:rsidRDefault="00C723DD" w:rsidP="00C723DD">
            <w:pPr>
              <w:jc w:val="center"/>
              <w:rPr>
                <w:sz w:val="18"/>
                <w:szCs w:val="18"/>
              </w:rPr>
            </w:pPr>
            <w:r w:rsidRPr="00A431F7">
              <w:rPr>
                <w:sz w:val="18"/>
                <w:szCs w:val="18"/>
              </w:rPr>
              <w:t>10</w:t>
            </w:r>
            <w:r>
              <w:rPr>
                <w:sz w:val="18"/>
                <w:szCs w:val="18"/>
              </w:rPr>
              <w:t xml:space="preserve"> </w:t>
            </w:r>
            <w:r w:rsidRPr="00A431F7">
              <w:rPr>
                <w:sz w:val="18"/>
                <w:szCs w:val="18"/>
              </w:rPr>
              <w:t>300</w:t>
            </w:r>
          </w:p>
        </w:tc>
        <w:tc>
          <w:tcPr>
            <w:tcW w:w="1772" w:type="dxa"/>
            <w:tcBorders>
              <w:top w:val="double" w:sz="4" w:space="0" w:color="auto"/>
              <w:bottom w:val="single" w:sz="4" w:space="0" w:color="auto"/>
            </w:tcBorders>
            <w:vAlign w:val="center"/>
          </w:tcPr>
          <w:p w:rsidR="00C723DD" w:rsidRPr="00A431F7" w:rsidRDefault="00C723DD" w:rsidP="00C723DD">
            <w:pPr>
              <w:jc w:val="center"/>
              <w:rPr>
                <w:sz w:val="18"/>
                <w:szCs w:val="18"/>
              </w:rPr>
            </w:pPr>
            <w:r w:rsidRPr="00A431F7">
              <w:rPr>
                <w:sz w:val="18"/>
                <w:szCs w:val="18"/>
              </w:rPr>
              <w:t>7,0</w:t>
            </w:r>
          </w:p>
        </w:tc>
      </w:tr>
      <w:tr w:rsidR="00C723DD" w:rsidRPr="001C0C74" w:rsidTr="00C723DD">
        <w:trPr>
          <w:cantSplit/>
          <w:trHeight w:val="20"/>
        </w:trPr>
        <w:tc>
          <w:tcPr>
            <w:tcW w:w="2410" w:type="dxa"/>
            <w:tcBorders>
              <w:top w:val="single" w:sz="4" w:space="0" w:color="auto"/>
              <w:bottom w:val="double" w:sz="4" w:space="0" w:color="auto"/>
            </w:tcBorders>
            <w:vAlign w:val="center"/>
          </w:tcPr>
          <w:p w:rsidR="00C723DD" w:rsidRPr="001C0C74" w:rsidRDefault="00C723DD" w:rsidP="00C723DD">
            <w:pPr>
              <w:pStyle w:val="Nadpis2"/>
              <w:ind w:firstLine="0"/>
              <w:rPr>
                <w:rFonts w:asciiTheme="minorHAnsi" w:hAnsiTheme="minorHAnsi" w:cstheme="minorHAnsi"/>
                <w:sz w:val="18"/>
              </w:rPr>
            </w:pPr>
            <w:r w:rsidRPr="001C0C74">
              <w:rPr>
                <w:rFonts w:asciiTheme="minorHAnsi" w:hAnsiTheme="minorHAnsi" w:cstheme="minorHAnsi"/>
                <w:sz w:val="18"/>
              </w:rPr>
              <w:t>31.12.201</w:t>
            </w:r>
            <w:r>
              <w:rPr>
                <w:rFonts w:asciiTheme="minorHAnsi" w:hAnsiTheme="minorHAnsi" w:cstheme="minorHAnsi"/>
                <w:sz w:val="18"/>
              </w:rPr>
              <w:t>5</w:t>
            </w:r>
          </w:p>
        </w:tc>
        <w:tc>
          <w:tcPr>
            <w:tcW w:w="1772" w:type="dxa"/>
            <w:tcBorders>
              <w:top w:val="single" w:sz="4" w:space="0" w:color="auto"/>
              <w:bottom w:val="double" w:sz="4" w:space="0" w:color="auto"/>
            </w:tcBorders>
            <w:vAlign w:val="center"/>
          </w:tcPr>
          <w:p w:rsidR="00C723DD" w:rsidRPr="00A431F7" w:rsidRDefault="00C723DD" w:rsidP="00C723DD">
            <w:pPr>
              <w:jc w:val="center"/>
              <w:rPr>
                <w:sz w:val="18"/>
                <w:szCs w:val="18"/>
              </w:rPr>
            </w:pPr>
            <w:r w:rsidRPr="00A431F7">
              <w:rPr>
                <w:sz w:val="18"/>
                <w:szCs w:val="18"/>
              </w:rPr>
              <w:t>8</w:t>
            </w:r>
            <w:r>
              <w:rPr>
                <w:sz w:val="18"/>
                <w:szCs w:val="18"/>
              </w:rPr>
              <w:t xml:space="preserve"> </w:t>
            </w:r>
            <w:r w:rsidRPr="00A431F7">
              <w:rPr>
                <w:sz w:val="18"/>
                <w:szCs w:val="18"/>
              </w:rPr>
              <w:t>900</w:t>
            </w:r>
          </w:p>
        </w:tc>
        <w:tc>
          <w:tcPr>
            <w:tcW w:w="1772" w:type="dxa"/>
            <w:tcBorders>
              <w:top w:val="single" w:sz="4" w:space="0" w:color="auto"/>
              <w:bottom w:val="double" w:sz="4" w:space="0" w:color="auto"/>
            </w:tcBorders>
            <w:vAlign w:val="center"/>
          </w:tcPr>
          <w:p w:rsidR="00C723DD" w:rsidRPr="00A431F7" w:rsidRDefault="00C723DD" w:rsidP="00C723DD">
            <w:pPr>
              <w:jc w:val="center"/>
              <w:rPr>
                <w:sz w:val="18"/>
                <w:szCs w:val="18"/>
              </w:rPr>
            </w:pPr>
            <w:r w:rsidRPr="00A431F7">
              <w:rPr>
                <w:sz w:val="18"/>
                <w:szCs w:val="18"/>
              </w:rPr>
              <w:t>6,0</w:t>
            </w:r>
          </w:p>
        </w:tc>
        <w:tc>
          <w:tcPr>
            <w:tcW w:w="1772" w:type="dxa"/>
            <w:tcBorders>
              <w:top w:val="single" w:sz="4" w:space="0" w:color="auto"/>
              <w:bottom w:val="double" w:sz="4" w:space="0" w:color="auto"/>
            </w:tcBorders>
            <w:vAlign w:val="center"/>
          </w:tcPr>
          <w:p w:rsidR="00C723DD" w:rsidRPr="00A431F7" w:rsidRDefault="00C723DD" w:rsidP="00C723DD">
            <w:pPr>
              <w:jc w:val="center"/>
              <w:rPr>
                <w:sz w:val="18"/>
                <w:szCs w:val="18"/>
              </w:rPr>
            </w:pPr>
            <w:r w:rsidRPr="00A431F7">
              <w:rPr>
                <w:sz w:val="18"/>
                <w:szCs w:val="18"/>
              </w:rPr>
              <w:t>10</w:t>
            </w:r>
            <w:r>
              <w:rPr>
                <w:sz w:val="18"/>
                <w:szCs w:val="18"/>
              </w:rPr>
              <w:t xml:space="preserve"> </w:t>
            </w:r>
            <w:r w:rsidRPr="00A431F7">
              <w:rPr>
                <w:sz w:val="18"/>
                <w:szCs w:val="18"/>
              </w:rPr>
              <w:t>000</w:t>
            </w:r>
          </w:p>
        </w:tc>
        <w:tc>
          <w:tcPr>
            <w:tcW w:w="1772" w:type="dxa"/>
            <w:tcBorders>
              <w:top w:val="single" w:sz="4" w:space="0" w:color="auto"/>
              <w:bottom w:val="double" w:sz="4" w:space="0" w:color="auto"/>
            </w:tcBorders>
            <w:vAlign w:val="center"/>
          </w:tcPr>
          <w:p w:rsidR="00C723DD" w:rsidRPr="00A431F7" w:rsidRDefault="00C723DD" w:rsidP="00C723DD">
            <w:pPr>
              <w:jc w:val="center"/>
              <w:rPr>
                <w:sz w:val="18"/>
                <w:szCs w:val="18"/>
              </w:rPr>
            </w:pPr>
            <w:r w:rsidRPr="00A431F7">
              <w:rPr>
                <w:sz w:val="18"/>
                <w:szCs w:val="18"/>
              </w:rPr>
              <w:t>6,8</w:t>
            </w:r>
          </w:p>
        </w:tc>
      </w:tr>
    </w:tbl>
    <w:p w:rsidR="00C723DD" w:rsidRPr="00113EE0" w:rsidRDefault="00C723DD" w:rsidP="00C723DD">
      <w:pPr>
        <w:rPr>
          <w:rFonts w:asciiTheme="minorHAnsi" w:hAnsiTheme="minorHAnsi" w:cstheme="minorHAnsi"/>
          <w:b/>
          <w:sz w:val="28"/>
          <w:szCs w:val="28"/>
        </w:rPr>
      </w:pPr>
      <w:r w:rsidRPr="001C0C74">
        <w:rPr>
          <w:rFonts w:asciiTheme="minorHAnsi" w:hAnsiTheme="minorHAnsi" w:cstheme="minorHAnsi"/>
          <w:sz w:val="24"/>
          <w:szCs w:val="24"/>
        </w:rPr>
        <w:br w:type="page"/>
      </w:r>
      <w:r w:rsidRPr="00113EE0">
        <w:rPr>
          <w:rFonts w:asciiTheme="minorHAnsi" w:hAnsiTheme="minorHAnsi" w:cstheme="minorHAnsi"/>
          <w:b/>
          <w:sz w:val="28"/>
          <w:szCs w:val="28"/>
        </w:rPr>
        <w:t xml:space="preserve">Okres </w:t>
      </w:r>
      <w:r w:rsidRPr="00113EE0">
        <w:rPr>
          <w:rFonts w:asciiTheme="minorHAnsi" w:hAnsiTheme="minorHAnsi" w:cstheme="minorHAnsi"/>
          <w:b/>
          <w:i/>
          <w:sz w:val="28"/>
          <w:szCs w:val="28"/>
        </w:rPr>
        <w:t>Karviná</w:t>
      </w:r>
    </w:p>
    <w:p w:rsidR="00C723DD" w:rsidRPr="00113EE0" w:rsidRDefault="00C723DD" w:rsidP="00C723DD">
      <w:pPr>
        <w:rPr>
          <w:rFonts w:asciiTheme="minorHAnsi" w:hAnsiTheme="minorHAnsi" w:cstheme="minorHAnsi"/>
          <w:b/>
        </w:rPr>
      </w:pPr>
    </w:p>
    <w:p w:rsidR="00C723DD" w:rsidRPr="00113EE0" w:rsidRDefault="00C723DD" w:rsidP="00C723DD">
      <w:pPr>
        <w:ind w:right="-567"/>
        <w:jc w:val="both"/>
        <w:rPr>
          <w:rFonts w:asciiTheme="minorHAnsi" w:hAnsiTheme="minorHAnsi" w:cstheme="minorHAnsi"/>
          <w:b/>
          <w:sz w:val="22"/>
        </w:rPr>
      </w:pPr>
      <w:r w:rsidRPr="00113EE0">
        <w:rPr>
          <w:rFonts w:asciiTheme="minorHAnsi" w:hAnsiTheme="minorHAnsi" w:cstheme="minorHAnsi"/>
          <w:b/>
          <w:sz w:val="22"/>
        </w:rPr>
        <w:t>1. Celková charakteristika okresu</w:t>
      </w:r>
    </w:p>
    <w:tbl>
      <w:tblPr>
        <w:tblW w:w="9283" w:type="dxa"/>
        <w:tblLayout w:type="fixed"/>
        <w:tblCellMar>
          <w:left w:w="70" w:type="dxa"/>
          <w:right w:w="70" w:type="dxa"/>
        </w:tblCellMar>
        <w:tblLook w:val="0000" w:firstRow="0" w:lastRow="0" w:firstColumn="0" w:lastColumn="0" w:noHBand="0" w:noVBand="0"/>
      </w:tblPr>
      <w:tblGrid>
        <w:gridCol w:w="1771"/>
        <w:gridCol w:w="7512"/>
      </w:tblGrid>
      <w:tr w:rsidR="00C723DD" w:rsidRPr="00113EE0" w:rsidTr="00C723DD">
        <w:tc>
          <w:tcPr>
            <w:tcW w:w="1771" w:type="dxa"/>
          </w:tcPr>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Rozloha:</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Počet obyvatel:</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Hustota osídlení:</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Charakter:</w:t>
            </w:r>
          </w:p>
        </w:tc>
        <w:tc>
          <w:tcPr>
            <w:tcW w:w="7512" w:type="dxa"/>
          </w:tcPr>
          <w:p w:rsidR="00C723DD" w:rsidRPr="00113EE0" w:rsidRDefault="00C723DD" w:rsidP="00C723DD">
            <w:pPr>
              <w:ind w:right="-212"/>
              <w:jc w:val="both"/>
              <w:rPr>
                <w:rFonts w:asciiTheme="minorHAnsi" w:hAnsiTheme="minorHAnsi" w:cstheme="minorHAnsi"/>
                <w:sz w:val="18"/>
                <w:szCs w:val="18"/>
              </w:rPr>
            </w:pPr>
            <w:r w:rsidRPr="00113EE0">
              <w:rPr>
                <w:rFonts w:asciiTheme="minorHAnsi" w:hAnsiTheme="minorHAnsi" w:cstheme="minorHAnsi"/>
              </w:rPr>
              <w:t>356,3 km</w:t>
            </w:r>
            <w:r w:rsidRPr="00113EE0">
              <w:rPr>
                <w:rFonts w:asciiTheme="minorHAnsi" w:hAnsiTheme="minorHAnsi" w:cstheme="minorHAnsi"/>
                <w:vertAlign w:val="superscript"/>
              </w:rPr>
              <w:t xml:space="preserve">2 </w:t>
            </w:r>
          </w:p>
          <w:p w:rsidR="00C723DD" w:rsidRPr="00113EE0" w:rsidRDefault="00C723DD" w:rsidP="00C723DD">
            <w:pPr>
              <w:ind w:right="-212"/>
              <w:jc w:val="both"/>
              <w:rPr>
                <w:rFonts w:asciiTheme="minorHAnsi" w:hAnsiTheme="minorHAnsi" w:cstheme="minorHAnsi"/>
              </w:rPr>
            </w:pPr>
            <w:r w:rsidRPr="00113EE0">
              <w:rPr>
                <w:rFonts w:asciiTheme="minorHAnsi" w:hAnsiTheme="minorHAnsi" w:cstheme="minorHAnsi"/>
              </w:rPr>
              <w:t>260,9 tis.</w:t>
            </w:r>
          </w:p>
          <w:p w:rsidR="00C723DD" w:rsidRPr="00113EE0" w:rsidRDefault="00C723DD" w:rsidP="00C723DD">
            <w:pPr>
              <w:ind w:right="-212"/>
              <w:jc w:val="both"/>
              <w:rPr>
                <w:rFonts w:asciiTheme="minorHAnsi" w:hAnsiTheme="minorHAnsi" w:cstheme="minorHAnsi"/>
                <w:sz w:val="18"/>
                <w:szCs w:val="18"/>
              </w:rPr>
            </w:pPr>
            <w:r w:rsidRPr="00113EE0">
              <w:rPr>
                <w:rFonts w:asciiTheme="minorHAnsi" w:hAnsiTheme="minorHAnsi" w:cstheme="minorHAnsi"/>
              </w:rPr>
              <w:t>738 obyvatel/km</w:t>
            </w:r>
            <w:r w:rsidRPr="00113EE0">
              <w:rPr>
                <w:rFonts w:asciiTheme="minorHAnsi" w:hAnsiTheme="minorHAnsi" w:cstheme="minorHAnsi"/>
                <w:vertAlign w:val="superscript"/>
              </w:rPr>
              <w:t xml:space="preserve">2 </w:t>
            </w:r>
          </w:p>
          <w:p w:rsidR="00C723DD" w:rsidRPr="00113EE0" w:rsidRDefault="00C723DD" w:rsidP="00C723DD">
            <w:pPr>
              <w:ind w:right="72"/>
              <w:jc w:val="both"/>
              <w:rPr>
                <w:rFonts w:asciiTheme="minorHAnsi" w:hAnsiTheme="minorHAnsi" w:cstheme="minorHAnsi"/>
              </w:rPr>
            </w:pPr>
            <w:r w:rsidRPr="00113EE0">
              <w:rPr>
                <w:rFonts w:asciiTheme="minorHAnsi" w:hAnsiTheme="minorHAnsi" w:cstheme="minorHAnsi"/>
              </w:rPr>
              <w:t xml:space="preserve">dominantní postavení z hlediska zaměstnanosti zaujímá i po rozsáhlé restrukturalizaci stále průmysl, </w:t>
            </w:r>
            <w:r w:rsidR="006C4A09">
              <w:rPr>
                <w:rFonts w:asciiTheme="minorHAnsi" w:hAnsiTheme="minorHAnsi" w:cstheme="minorHAnsi"/>
              </w:rPr>
              <w:t>dále převažuje těžba a dobývání</w:t>
            </w:r>
            <w:r w:rsidRPr="00113EE0">
              <w:rPr>
                <w:rFonts w:asciiTheme="minorHAnsi" w:hAnsiTheme="minorHAnsi" w:cstheme="minorHAnsi"/>
              </w:rPr>
              <w:t xml:space="preserve"> </w:t>
            </w:r>
          </w:p>
        </w:tc>
      </w:tr>
    </w:tbl>
    <w:p w:rsidR="00C723DD" w:rsidRPr="00113EE0" w:rsidRDefault="00C723DD" w:rsidP="00C723DD">
      <w:pPr>
        <w:rPr>
          <w:rFonts w:asciiTheme="minorHAnsi" w:hAnsiTheme="minorHAnsi" w:cstheme="minorHAnsi"/>
          <w:b/>
        </w:rPr>
      </w:pPr>
    </w:p>
    <w:p w:rsidR="00C723DD" w:rsidRPr="00113EE0" w:rsidRDefault="00C723DD" w:rsidP="00C723DD">
      <w:pPr>
        <w:spacing w:before="120"/>
        <w:rPr>
          <w:rFonts w:asciiTheme="minorHAnsi" w:hAnsiTheme="minorHAnsi" w:cstheme="minorHAnsi"/>
          <w:b/>
          <w:i/>
          <w:sz w:val="22"/>
          <w:szCs w:val="22"/>
        </w:rPr>
      </w:pPr>
      <w:r w:rsidRPr="00113EE0">
        <w:rPr>
          <w:rFonts w:asciiTheme="minorHAnsi" w:hAnsiTheme="minorHAnsi" w:cstheme="minorHAnsi"/>
          <w:b/>
          <w:i/>
          <w:sz w:val="22"/>
        </w:rPr>
        <w:t>Silné stránky okresu (specifika, která nejsou obsažena v krajské analýze)</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Příhraniční poloha s Polskem.</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Místní dostupné zdroje energie.</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Blízkost pohoří Beskyd, Těrlické přehrady, Lázní Darkov.</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Rozvětvená dopravní síť.</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Dostupná a kvalifikovaná pracovní síla, vysoký podíl vyučených uchazečů, příznivá věková struktura, podíl osob v produktivním věku stále vyšší než republikový i krajský průměr, nižší průměrné výdělky, široká síť vzdělávacích zařízení</w:t>
      </w:r>
    </w:p>
    <w:p w:rsidR="00C723DD" w:rsidRPr="00113EE0" w:rsidRDefault="00C723DD" w:rsidP="00C723DD">
      <w:pPr>
        <w:spacing w:before="120"/>
        <w:rPr>
          <w:rFonts w:asciiTheme="minorHAnsi" w:hAnsiTheme="minorHAnsi" w:cstheme="minorHAnsi"/>
          <w:b/>
          <w:i/>
          <w:sz w:val="22"/>
        </w:rPr>
      </w:pPr>
      <w:r w:rsidRPr="00113EE0">
        <w:rPr>
          <w:rFonts w:asciiTheme="minorHAnsi" w:hAnsiTheme="minorHAnsi" w:cstheme="minorHAnsi"/>
          <w:b/>
          <w:i/>
          <w:sz w:val="22"/>
        </w:rPr>
        <w:t>Slabé stránky okresu (specifika, která nejsou obsažena v krajské analýze)</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Oproti průměru v republice výrazně vyšší nemocnost, úrazovost a úmrtnost.</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Existence ploch zdevastovaných poddolováním, znečištěné ovzduší a voda.</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Zatím plně nezprovozněné napojení na dálniční síť ČR.</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Úbytek míst v těžkém průmyslu není stále adekvátně pokryt novými pracovními místy v jiných oborech.</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Menší zájem o málo placenou práci především u mužů a zaměstnanců původně zaměstnaných v těžkém průmyslu.</w:t>
      </w:r>
    </w:p>
    <w:p w:rsidR="00C723DD" w:rsidRPr="00113EE0" w:rsidRDefault="00C723DD" w:rsidP="00C723DD">
      <w:pPr>
        <w:numPr>
          <w:ilvl w:val="0"/>
          <w:numId w:val="8"/>
        </w:numPr>
        <w:rPr>
          <w:rFonts w:asciiTheme="minorHAnsi" w:hAnsiTheme="minorHAnsi" w:cstheme="minorHAnsi"/>
        </w:rPr>
      </w:pPr>
      <w:r w:rsidRPr="00113EE0">
        <w:rPr>
          <w:rFonts w:asciiTheme="minorHAnsi" w:hAnsiTheme="minorHAnsi" w:cstheme="minorHAnsi"/>
        </w:rPr>
        <w:t>Nedostatek dlouhodobého investičního kapitálu.</w:t>
      </w:r>
    </w:p>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sz w:val="22"/>
        </w:rPr>
      </w:pPr>
      <w:r w:rsidRPr="00113EE0">
        <w:rPr>
          <w:rFonts w:asciiTheme="minorHAnsi" w:hAnsiTheme="minorHAnsi" w:cstheme="minorHAnsi"/>
          <w:b/>
          <w:sz w:val="22"/>
        </w:rPr>
        <w:t>2. Zaměstnanost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1028"/>
        <w:gridCol w:w="1028"/>
        <w:gridCol w:w="1028"/>
        <w:gridCol w:w="1028"/>
      </w:tblGrid>
      <w:tr w:rsidR="00C723DD" w:rsidRPr="00113EE0" w:rsidTr="00C723DD">
        <w:trPr>
          <w:cantSplit/>
          <w:trHeight w:val="20"/>
        </w:trPr>
        <w:tc>
          <w:tcPr>
            <w:tcW w:w="5386" w:type="dxa"/>
            <w:tcBorders>
              <w:bottom w:val="double" w:sz="4" w:space="0" w:color="auto"/>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8" w:type="dxa"/>
            <w:tcBorders>
              <w:bottom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8" w:type="dxa"/>
            <w:tcBorders>
              <w:bottom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8" w:type="dxa"/>
            <w:tcBorders>
              <w:bottom w:val="double" w:sz="4" w:space="0" w:color="auto"/>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8" w:type="dxa"/>
            <w:tcBorders>
              <w:bottom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20"/>
        </w:trPr>
        <w:tc>
          <w:tcPr>
            <w:tcW w:w="5386" w:type="dxa"/>
            <w:tcBorders>
              <w:top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zaměstnavatelé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 (monitorované firmy)</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370</w:t>
            </w:r>
          </w:p>
        </w:tc>
        <w:tc>
          <w:tcPr>
            <w:tcW w:w="1028" w:type="dxa"/>
            <w:tcBorders>
              <w:top w:val="double" w:sz="4" w:space="0" w:color="auto"/>
              <w:bottom w:val="single" w:sz="4" w:space="0" w:color="auto"/>
            </w:tcBorders>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374</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101,1</w:t>
            </w:r>
          </w:p>
        </w:tc>
      </w:tr>
      <w:tr w:rsidR="00C723DD" w:rsidRPr="00113EE0" w:rsidTr="00C723DD">
        <w:trPr>
          <w:cantSplit/>
          <w:trHeight w:val="20"/>
        </w:trPr>
        <w:tc>
          <w:tcPr>
            <w:tcW w:w="5386" w:type="dxa"/>
            <w:tcBorders>
              <w:top w:val="sing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zaměstnanci u monitorovaných firem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w:t>
            </w:r>
          </w:p>
        </w:tc>
        <w:tc>
          <w:tcPr>
            <w:tcW w:w="1028" w:type="dxa"/>
            <w:tcBorders>
              <w:top w:val="sing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50 740</w:t>
            </w:r>
          </w:p>
        </w:tc>
        <w:tc>
          <w:tcPr>
            <w:tcW w:w="1028" w:type="dxa"/>
            <w:tcBorders>
              <w:top w:val="single" w:sz="4" w:space="0" w:color="auto"/>
              <w:bottom w:val="single" w:sz="4" w:space="0" w:color="auto"/>
            </w:tcBorders>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51</w:t>
            </w:r>
            <w:r>
              <w:rPr>
                <w:rFonts w:asciiTheme="minorHAnsi" w:hAnsiTheme="minorHAnsi" w:cstheme="minorHAnsi"/>
                <w:sz w:val="18"/>
                <w:szCs w:val="18"/>
              </w:rPr>
              <w:t xml:space="preserve"> </w:t>
            </w:r>
            <w:r w:rsidRPr="00773741">
              <w:rPr>
                <w:rFonts w:asciiTheme="minorHAnsi" w:hAnsiTheme="minorHAnsi" w:cstheme="minorHAnsi"/>
                <w:sz w:val="18"/>
                <w:szCs w:val="18"/>
              </w:rPr>
              <w:t>317</w:t>
            </w:r>
          </w:p>
        </w:tc>
        <w:tc>
          <w:tcPr>
            <w:tcW w:w="1028" w:type="dxa"/>
            <w:tcBorders>
              <w:top w:val="sing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+577</w:t>
            </w:r>
          </w:p>
        </w:tc>
        <w:tc>
          <w:tcPr>
            <w:tcW w:w="1028" w:type="dxa"/>
            <w:tcBorders>
              <w:top w:val="sing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101,1</w:t>
            </w:r>
          </w:p>
        </w:tc>
      </w:tr>
      <w:tr w:rsidR="00C723DD" w:rsidRPr="00113EE0" w:rsidTr="00C723DD">
        <w:trPr>
          <w:cantSplit/>
          <w:trHeight w:val="20"/>
        </w:trPr>
        <w:tc>
          <w:tcPr>
            <w:tcW w:w="5386" w:type="dxa"/>
            <w:tcBorders>
              <w:top w:val="single" w:sz="4" w:space="0" w:color="auto"/>
              <w:bottom w:val="doub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OSVČ (vykonávající činnost)</w:t>
            </w:r>
          </w:p>
        </w:tc>
        <w:tc>
          <w:tcPr>
            <w:tcW w:w="1028"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15 051</w:t>
            </w:r>
          </w:p>
        </w:tc>
        <w:tc>
          <w:tcPr>
            <w:tcW w:w="1028" w:type="dxa"/>
            <w:tcBorders>
              <w:top w:val="single" w:sz="4" w:space="0" w:color="auto"/>
              <w:bottom w:val="double" w:sz="4" w:space="0" w:color="auto"/>
            </w:tcBorders>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13</w:t>
            </w:r>
            <w:r>
              <w:rPr>
                <w:rFonts w:asciiTheme="minorHAnsi" w:hAnsiTheme="minorHAnsi" w:cstheme="minorHAnsi"/>
                <w:sz w:val="18"/>
                <w:szCs w:val="18"/>
              </w:rPr>
              <w:t xml:space="preserve"> </w:t>
            </w:r>
            <w:r w:rsidRPr="00773741">
              <w:rPr>
                <w:rFonts w:asciiTheme="minorHAnsi" w:hAnsiTheme="minorHAnsi" w:cstheme="minorHAnsi"/>
                <w:sz w:val="18"/>
                <w:szCs w:val="18"/>
              </w:rPr>
              <w:t>842</w:t>
            </w:r>
          </w:p>
        </w:tc>
        <w:tc>
          <w:tcPr>
            <w:tcW w:w="1028"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-1 209</w:t>
            </w:r>
          </w:p>
        </w:tc>
        <w:tc>
          <w:tcPr>
            <w:tcW w:w="1028"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92,0</w:t>
            </w:r>
          </w:p>
        </w:tc>
      </w:tr>
    </w:tbl>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b/>
          <w:sz w:val="22"/>
        </w:rPr>
      </w:pPr>
      <w:r w:rsidRPr="00113EE0">
        <w:rPr>
          <w:rFonts w:asciiTheme="minorHAnsi" w:hAnsiTheme="minorHAnsi" w:cstheme="minorHAnsi"/>
          <w:b/>
          <w:sz w:val="22"/>
        </w:rPr>
        <w:t>3. Evidovaná nezaměstnanost a volná pracovní místa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7"/>
        <w:gridCol w:w="1028"/>
        <w:gridCol w:w="1028"/>
        <w:gridCol w:w="1028"/>
      </w:tblGrid>
      <w:tr w:rsidR="00C723DD" w:rsidRPr="00113EE0" w:rsidTr="00C723DD">
        <w:trPr>
          <w:trHeight w:val="20"/>
        </w:trPr>
        <w:tc>
          <w:tcPr>
            <w:tcW w:w="5387" w:type="dxa"/>
            <w:tcBorders>
              <w:top w:val="double" w:sz="4" w:space="0" w:color="auto"/>
              <w:left w:val="double" w:sz="4" w:space="0" w:color="auto"/>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7"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8"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8" w:type="dxa"/>
            <w:tcBorders>
              <w:top w:val="double" w:sz="4" w:space="0" w:color="auto"/>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8" w:type="dxa"/>
            <w:tcBorders>
              <w:top w:val="double" w:sz="4" w:space="0" w:color="auto"/>
              <w:bottom w:val="nil"/>
              <w:right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trHeight w:val="20"/>
        </w:trPr>
        <w:tc>
          <w:tcPr>
            <w:tcW w:w="5387" w:type="dxa"/>
            <w:tcBorders>
              <w:top w:val="double" w:sz="4" w:space="0" w:color="auto"/>
              <w:left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evidovaní uchazeči o zaměstnání</w:t>
            </w:r>
          </w:p>
        </w:tc>
        <w:tc>
          <w:tcPr>
            <w:tcW w:w="1027" w:type="dxa"/>
            <w:tcBorders>
              <w:top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22 811</w:t>
            </w:r>
          </w:p>
        </w:tc>
        <w:tc>
          <w:tcPr>
            <w:tcW w:w="1028" w:type="dxa"/>
            <w:tcBorders>
              <w:top w:val="double" w:sz="4" w:space="0" w:color="auto"/>
            </w:tcBorders>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21</w:t>
            </w:r>
            <w:r>
              <w:rPr>
                <w:rFonts w:asciiTheme="minorHAnsi" w:hAnsiTheme="minorHAnsi" w:cstheme="minorHAnsi"/>
                <w:sz w:val="18"/>
                <w:szCs w:val="18"/>
              </w:rPr>
              <w:t xml:space="preserve"> </w:t>
            </w:r>
            <w:r w:rsidRPr="00773741">
              <w:rPr>
                <w:rFonts w:asciiTheme="minorHAnsi" w:hAnsiTheme="minorHAnsi" w:cstheme="minorHAnsi"/>
                <w:sz w:val="18"/>
                <w:szCs w:val="18"/>
              </w:rPr>
              <w:t>701</w:t>
            </w:r>
          </w:p>
        </w:tc>
        <w:tc>
          <w:tcPr>
            <w:tcW w:w="1028" w:type="dxa"/>
            <w:tcBorders>
              <w:top w:val="double" w:sz="4" w:space="0" w:color="auto"/>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-1 110</w:t>
            </w:r>
          </w:p>
        </w:tc>
        <w:tc>
          <w:tcPr>
            <w:tcW w:w="1028" w:type="dxa"/>
            <w:tcBorders>
              <w:top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95,1</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 toho    </w:t>
            </w:r>
            <w:r w:rsidRPr="00113EE0">
              <w:rPr>
                <w:rFonts w:asciiTheme="minorHAnsi" w:hAnsiTheme="minorHAnsi" w:cstheme="minorHAnsi"/>
                <w:sz w:val="18"/>
                <w:szCs w:val="18"/>
              </w:rPr>
              <w:t>- ženy</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11 067</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10</w:t>
            </w:r>
            <w:r>
              <w:rPr>
                <w:rFonts w:asciiTheme="minorHAnsi" w:hAnsiTheme="minorHAnsi" w:cstheme="minorHAnsi"/>
                <w:sz w:val="18"/>
                <w:szCs w:val="18"/>
              </w:rPr>
              <w:t xml:space="preserve"> </w:t>
            </w:r>
            <w:r w:rsidRPr="00773741">
              <w:rPr>
                <w:rFonts w:asciiTheme="minorHAnsi" w:hAnsiTheme="minorHAnsi" w:cstheme="minorHAnsi"/>
                <w:sz w:val="18"/>
                <w:szCs w:val="18"/>
              </w:rPr>
              <w:t>679</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-388</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96,5</w:t>
            </w:r>
          </w:p>
        </w:tc>
      </w:tr>
      <w:tr w:rsidR="00C723DD" w:rsidRPr="00113EE0" w:rsidTr="00C723DD">
        <w:trPr>
          <w:trHeight w:val="20"/>
        </w:trPr>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szCs w:val="18"/>
              </w:rPr>
            </w:pPr>
            <w:r w:rsidRPr="00113EE0">
              <w:rPr>
                <w:rFonts w:asciiTheme="minorHAnsi" w:hAnsiTheme="minorHAnsi" w:cstheme="minorHAnsi"/>
                <w:sz w:val="18"/>
                <w:szCs w:val="18"/>
              </w:rPr>
              <w:t>- osoby se zdravotním postižením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1 846</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w:t>
            </w:r>
            <w:r>
              <w:rPr>
                <w:rFonts w:asciiTheme="minorHAnsi" w:hAnsiTheme="minorHAnsi" w:cstheme="minorHAnsi"/>
                <w:sz w:val="18"/>
                <w:szCs w:val="18"/>
              </w:rPr>
              <w:t xml:space="preserve"> </w:t>
            </w:r>
            <w:r w:rsidRPr="00773741">
              <w:rPr>
                <w:rFonts w:asciiTheme="minorHAnsi" w:hAnsiTheme="minorHAnsi" w:cstheme="minorHAnsi"/>
                <w:sz w:val="18"/>
                <w:szCs w:val="18"/>
              </w:rPr>
              <w:t>973</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+127</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106,9</w:t>
            </w:r>
          </w:p>
        </w:tc>
      </w:tr>
      <w:tr w:rsidR="00C723DD" w:rsidRPr="00113EE0" w:rsidTr="00C723DD">
        <w:trPr>
          <w:trHeight w:val="20"/>
        </w:trPr>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szCs w:val="18"/>
              </w:rPr>
            </w:pPr>
            <w:r w:rsidRPr="00113EE0">
              <w:rPr>
                <w:rFonts w:asciiTheme="minorHAnsi" w:hAnsiTheme="minorHAnsi" w:cstheme="minorHAnsi"/>
                <w:sz w:val="18"/>
                <w:szCs w:val="18"/>
              </w:rPr>
              <w:t>- absolventi škol a mladiství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1 268</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896</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-372</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70,7</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6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15 537</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15</w:t>
            </w:r>
            <w:r>
              <w:rPr>
                <w:rFonts w:asciiTheme="minorHAnsi" w:hAnsiTheme="minorHAnsi" w:cstheme="minorHAnsi"/>
                <w:sz w:val="18"/>
                <w:szCs w:val="18"/>
              </w:rPr>
              <w:t xml:space="preserve"> </w:t>
            </w:r>
            <w:r w:rsidRPr="00773741">
              <w:rPr>
                <w:rFonts w:asciiTheme="minorHAnsi" w:hAnsiTheme="minorHAnsi" w:cstheme="minorHAnsi"/>
                <w:sz w:val="18"/>
                <w:szCs w:val="18"/>
              </w:rPr>
              <w:t>373</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-164</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98,9</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12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11 662</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12</w:t>
            </w:r>
            <w:r>
              <w:rPr>
                <w:rFonts w:asciiTheme="minorHAnsi" w:hAnsiTheme="minorHAnsi" w:cstheme="minorHAnsi"/>
                <w:sz w:val="18"/>
                <w:szCs w:val="18"/>
              </w:rPr>
              <w:t xml:space="preserve"> </w:t>
            </w:r>
            <w:r w:rsidRPr="00773741">
              <w:rPr>
                <w:rFonts w:asciiTheme="minorHAnsi" w:hAnsiTheme="minorHAnsi" w:cstheme="minorHAnsi"/>
                <w:sz w:val="18"/>
                <w:szCs w:val="18"/>
              </w:rPr>
              <w:t>111</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+449</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103,9</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evidovaných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829</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931</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+102</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112,3</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vyřazených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498</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423</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-75</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84,9</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do 19 let věku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798</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727</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-71</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91,1</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ve věku 50 let a starší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6 546</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6</w:t>
            </w:r>
            <w:r>
              <w:rPr>
                <w:rFonts w:asciiTheme="minorHAnsi" w:hAnsiTheme="minorHAnsi" w:cstheme="minorHAnsi"/>
                <w:sz w:val="18"/>
                <w:szCs w:val="18"/>
              </w:rPr>
              <w:t xml:space="preserve"> </w:t>
            </w:r>
            <w:r w:rsidRPr="00773741">
              <w:rPr>
                <w:rFonts w:asciiTheme="minorHAnsi" w:hAnsiTheme="minorHAnsi" w:cstheme="minorHAnsi"/>
                <w:sz w:val="18"/>
                <w:szCs w:val="18"/>
              </w:rPr>
              <w:t>856</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+310</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104,7</w:t>
            </w:r>
          </w:p>
        </w:tc>
      </w:tr>
      <w:tr w:rsidR="00C723DD" w:rsidRPr="00113EE0" w:rsidTr="00C723DD">
        <w:trPr>
          <w:trHeight w:val="20"/>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bez vzdělání, s neúplným základním a se základním vzděláním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7 772</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7</w:t>
            </w:r>
            <w:r>
              <w:rPr>
                <w:rFonts w:asciiTheme="minorHAnsi" w:hAnsiTheme="minorHAnsi" w:cstheme="minorHAnsi"/>
                <w:sz w:val="18"/>
                <w:szCs w:val="18"/>
              </w:rPr>
              <w:t xml:space="preserve"> </w:t>
            </w:r>
            <w:r w:rsidRPr="00773741">
              <w:rPr>
                <w:rFonts w:asciiTheme="minorHAnsi" w:hAnsiTheme="minorHAnsi" w:cstheme="minorHAnsi"/>
                <w:sz w:val="18"/>
                <w:szCs w:val="18"/>
              </w:rPr>
              <w:t>244</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-528</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93,2</w:t>
            </w:r>
          </w:p>
        </w:tc>
      </w:tr>
      <w:tr w:rsidR="00C723DD" w:rsidRPr="00113EE0" w:rsidTr="00C723DD">
        <w:trPr>
          <w:trHeight w:val="20"/>
        </w:trPr>
        <w:tc>
          <w:tcPr>
            <w:tcW w:w="5387" w:type="dxa"/>
            <w:tcBorders>
              <w:left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rPr>
              <w:t>podíl nezaměstnaných osob (v %)</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12,5</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12,</w:t>
            </w:r>
            <w:r>
              <w:rPr>
                <w:rFonts w:asciiTheme="minorHAnsi" w:hAnsiTheme="minorHAnsi" w:cstheme="minorHAnsi"/>
                <w:sz w:val="18"/>
                <w:szCs w:val="18"/>
              </w:rPr>
              <w:t>1</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-0,4</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napToGrid w:val="0"/>
                <w:sz w:val="18"/>
                <w:szCs w:val="18"/>
              </w:rPr>
            </w:pPr>
            <w:r>
              <w:rPr>
                <w:rFonts w:asciiTheme="minorHAnsi" w:hAnsiTheme="minorHAnsi" w:cstheme="minorHAnsi"/>
                <w:snapToGrid w:val="0"/>
                <w:sz w:val="18"/>
                <w:szCs w:val="18"/>
              </w:rPr>
              <w:t>96,8</w:t>
            </w:r>
          </w:p>
        </w:tc>
      </w:tr>
      <w:tr w:rsidR="00C723DD" w:rsidRPr="00113EE0" w:rsidTr="00C723DD">
        <w:trPr>
          <w:trHeight w:val="20"/>
        </w:trPr>
        <w:tc>
          <w:tcPr>
            <w:tcW w:w="5387" w:type="dxa"/>
            <w:tcBorders>
              <w:left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volná pracovní místa</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282</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716</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+434</w:t>
            </w:r>
          </w:p>
        </w:tc>
        <w:tc>
          <w:tcPr>
            <w:tcW w:w="1028" w:type="dxa"/>
            <w:tcBorders>
              <w:right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253,9</w:t>
            </w:r>
          </w:p>
        </w:tc>
      </w:tr>
      <w:tr w:rsidR="00C723DD" w:rsidRPr="00113EE0" w:rsidTr="00C723DD">
        <w:trPr>
          <w:trHeight w:val="20"/>
        </w:trPr>
        <w:tc>
          <w:tcPr>
            <w:tcW w:w="5387" w:type="dxa"/>
            <w:tcBorders>
              <w:left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rPr>
              <w:t>měsíční průměr volných pracovních míst od začátku roku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403</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566</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+163</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140,4</w:t>
            </w:r>
          </w:p>
        </w:tc>
      </w:tr>
      <w:tr w:rsidR="00C723DD" w:rsidRPr="00113EE0" w:rsidTr="00C723DD">
        <w:trPr>
          <w:trHeight w:val="20"/>
        </w:trPr>
        <w:tc>
          <w:tcPr>
            <w:tcW w:w="5387" w:type="dxa"/>
            <w:tcBorders>
              <w:left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uchazeči připadající na 1 volné pracovní místo</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80,9</w:t>
            </w:r>
          </w:p>
        </w:tc>
        <w:tc>
          <w:tcPr>
            <w:tcW w:w="1028" w:type="dxa"/>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30,3</w:t>
            </w:r>
          </w:p>
        </w:tc>
        <w:tc>
          <w:tcPr>
            <w:tcW w:w="1028"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-50,6</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37,5</w:t>
            </w:r>
          </w:p>
        </w:tc>
      </w:tr>
      <w:tr w:rsidR="00C723DD" w:rsidRPr="00113EE0" w:rsidTr="00C723DD">
        <w:trPr>
          <w:trHeight w:val="20"/>
        </w:trPr>
        <w:tc>
          <w:tcPr>
            <w:tcW w:w="5387" w:type="dxa"/>
            <w:tcBorders>
              <w:left w:val="double" w:sz="4" w:space="0" w:color="auto"/>
              <w:bottom w:val="doub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měsíční průměr uchazečů připadajících na 1 VPM v roce</w:t>
            </w:r>
          </w:p>
        </w:tc>
        <w:tc>
          <w:tcPr>
            <w:tcW w:w="1027"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54,5</w:t>
            </w:r>
          </w:p>
        </w:tc>
        <w:tc>
          <w:tcPr>
            <w:tcW w:w="1028" w:type="dxa"/>
            <w:tcBorders>
              <w:bottom w:val="double" w:sz="4" w:space="0" w:color="auto"/>
            </w:tcBorders>
            <w:vAlign w:val="center"/>
          </w:tcPr>
          <w:p w:rsidR="00C723DD" w:rsidRPr="00773741" w:rsidRDefault="00C723DD" w:rsidP="00C723DD">
            <w:pPr>
              <w:jc w:val="center"/>
              <w:rPr>
                <w:rFonts w:asciiTheme="minorHAnsi" w:hAnsiTheme="minorHAnsi" w:cstheme="minorHAnsi"/>
                <w:sz w:val="18"/>
                <w:szCs w:val="18"/>
              </w:rPr>
            </w:pPr>
            <w:r w:rsidRPr="00773741">
              <w:rPr>
                <w:rFonts w:asciiTheme="minorHAnsi" w:hAnsiTheme="minorHAnsi" w:cstheme="minorHAnsi"/>
                <w:sz w:val="18"/>
                <w:szCs w:val="18"/>
              </w:rPr>
              <w:t>39,</w:t>
            </w:r>
            <w:r>
              <w:rPr>
                <w:rFonts w:asciiTheme="minorHAnsi" w:hAnsiTheme="minorHAnsi" w:cstheme="minorHAnsi"/>
                <w:sz w:val="18"/>
                <w:szCs w:val="18"/>
              </w:rPr>
              <w:t>7</w:t>
            </w:r>
          </w:p>
        </w:tc>
        <w:tc>
          <w:tcPr>
            <w:tcW w:w="1028" w:type="dxa"/>
            <w:tcBorders>
              <w:bottom w:val="double" w:sz="4" w:space="0" w:color="auto"/>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-14,8</w:t>
            </w:r>
          </w:p>
        </w:tc>
        <w:tc>
          <w:tcPr>
            <w:tcW w:w="1028" w:type="dxa"/>
            <w:tcBorders>
              <w:bottom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72,8</w:t>
            </w:r>
          </w:p>
        </w:tc>
      </w:tr>
    </w:tbl>
    <w:p w:rsidR="00C723DD" w:rsidRPr="00113EE0" w:rsidRDefault="00C723DD" w:rsidP="00C723DD">
      <w:pPr>
        <w:rPr>
          <w:rFonts w:asciiTheme="minorHAnsi" w:hAnsiTheme="minorHAnsi" w:cstheme="minorHAnsi"/>
          <w:b/>
          <w:sz w:val="22"/>
        </w:rPr>
      </w:pPr>
      <w:r w:rsidRPr="00113EE0">
        <w:rPr>
          <w:rFonts w:asciiTheme="minorHAnsi" w:hAnsiTheme="minorHAnsi" w:cstheme="minorHAnsi"/>
          <w:b/>
          <w:sz w:val="22"/>
        </w:rPr>
        <w:br w:type="page"/>
        <w:t>4. Tok nezaměstnanosti</w:t>
      </w:r>
    </w:p>
    <w:tbl>
      <w:tblPr>
        <w:tblW w:w="9504"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2"/>
        <w:gridCol w:w="1242"/>
        <w:gridCol w:w="1242"/>
        <w:gridCol w:w="1242"/>
      </w:tblGrid>
      <w:tr w:rsidR="00C723DD" w:rsidRPr="00113EE0" w:rsidTr="00C723DD">
        <w:trPr>
          <w:cantSplit/>
          <w:trHeight w:val="20"/>
        </w:trPr>
        <w:tc>
          <w:tcPr>
            <w:tcW w:w="4536"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2"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2"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2" w:type="dxa"/>
            <w:tcBorders>
              <w:bottom w:val="nil"/>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2"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20"/>
        </w:trPr>
        <w:tc>
          <w:tcPr>
            <w:tcW w:w="4536" w:type="dxa"/>
            <w:tcBorders>
              <w:top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měsíční průměr evidenčního stavu uchazečů v roce</w:t>
            </w:r>
          </w:p>
        </w:tc>
        <w:tc>
          <w:tcPr>
            <w:tcW w:w="1242"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21 963</w:t>
            </w:r>
          </w:p>
        </w:tc>
        <w:tc>
          <w:tcPr>
            <w:tcW w:w="1242" w:type="dxa"/>
            <w:tcBorders>
              <w:top w:val="double" w:sz="4" w:space="0" w:color="auto"/>
              <w:bottom w:val="single" w:sz="4" w:space="0" w:color="auto"/>
            </w:tcBorders>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22</w:t>
            </w:r>
            <w:r>
              <w:rPr>
                <w:rFonts w:asciiTheme="minorHAnsi" w:hAnsiTheme="minorHAnsi" w:cstheme="minorHAnsi"/>
                <w:sz w:val="18"/>
                <w:szCs w:val="18"/>
              </w:rPr>
              <w:t xml:space="preserve"> </w:t>
            </w:r>
            <w:r w:rsidRPr="00B512D3">
              <w:rPr>
                <w:rFonts w:asciiTheme="minorHAnsi" w:hAnsiTheme="minorHAnsi" w:cstheme="minorHAnsi"/>
                <w:sz w:val="18"/>
                <w:szCs w:val="18"/>
              </w:rPr>
              <w:t>444</w:t>
            </w:r>
          </w:p>
        </w:tc>
        <w:tc>
          <w:tcPr>
            <w:tcW w:w="1242"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+481</w:t>
            </w:r>
          </w:p>
        </w:tc>
        <w:tc>
          <w:tcPr>
            <w:tcW w:w="1242"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102,2</w:t>
            </w:r>
          </w:p>
        </w:tc>
      </w:tr>
      <w:tr w:rsidR="00C723DD" w:rsidRPr="00113EE0" w:rsidTr="00C723DD">
        <w:trPr>
          <w:cantSplit/>
          <w:trHeight w:val="20"/>
        </w:trPr>
        <w:tc>
          <w:tcPr>
            <w:tcW w:w="4536" w:type="dxa"/>
            <w:tcBorders>
              <w:top w:val="nil"/>
            </w:tcBorders>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 xml:space="preserve">uchazeči nově evidovaní v roce </w:t>
            </w:r>
          </w:p>
        </w:tc>
        <w:tc>
          <w:tcPr>
            <w:tcW w:w="1242" w:type="dxa"/>
            <w:tcBorders>
              <w:top w:val="nil"/>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18 029</w:t>
            </w:r>
          </w:p>
        </w:tc>
        <w:tc>
          <w:tcPr>
            <w:tcW w:w="1242" w:type="dxa"/>
            <w:tcBorders>
              <w:top w:val="nil"/>
            </w:tcBorders>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18</w:t>
            </w:r>
            <w:r>
              <w:rPr>
                <w:rFonts w:asciiTheme="minorHAnsi" w:hAnsiTheme="minorHAnsi" w:cstheme="minorHAnsi"/>
                <w:sz w:val="18"/>
                <w:szCs w:val="18"/>
              </w:rPr>
              <w:t xml:space="preserve"> </w:t>
            </w:r>
            <w:r w:rsidRPr="00B512D3">
              <w:rPr>
                <w:rFonts w:asciiTheme="minorHAnsi" w:hAnsiTheme="minorHAnsi" w:cstheme="minorHAnsi"/>
                <w:sz w:val="18"/>
                <w:szCs w:val="18"/>
              </w:rPr>
              <w:t>223</w:t>
            </w:r>
          </w:p>
        </w:tc>
        <w:tc>
          <w:tcPr>
            <w:tcW w:w="1242" w:type="dxa"/>
            <w:tcBorders>
              <w:top w:val="nil"/>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+194</w:t>
            </w:r>
          </w:p>
        </w:tc>
        <w:tc>
          <w:tcPr>
            <w:tcW w:w="1242" w:type="dxa"/>
            <w:tcBorders>
              <w:top w:val="nil"/>
            </w:tcBorders>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101,1</w:t>
            </w:r>
          </w:p>
        </w:tc>
      </w:tr>
      <w:tr w:rsidR="00C723DD" w:rsidRPr="00113EE0" w:rsidTr="00C723DD">
        <w:trPr>
          <w:cantSplit/>
          <w:trHeight w:val="20"/>
        </w:trPr>
        <w:tc>
          <w:tcPr>
            <w:tcW w:w="4536" w:type="dxa"/>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měsíční průměr nově evidovaných uchazečů v roce</w:t>
            </w:r>
          </w:p>
        </w:tc>
        <w:tc>
          <w:tcPr>
            <w:tcW w:w="1242"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1 502</w:t>
            </w:r>
          </w:p>
        </w:tc>
        <w:tc>
          <w:tcPr>
            <w:tcW w:w="1242" w:type="dxa"/>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1</w:t>
            </w:r>
            <w:r>
              <w:rPr>
                <w:rFonts w:asciiTheme="minorHAnsi" w:hAnsiTheme="minorHAnsi" w:cstheme="minorHAnsi"/>
                <w:sz w:val="18"/>
                <w:szCs w:val="18"/>
              </w:rPr>
              <w:t xml:space="preserve"> </w:t>
            </w:r>
            <w:r w:rsidRPr="00B512D3">
              <w:rPr>
                <w:rFonts w:asciiTheme="minorHAnsi" w:hAnsiTheme="minorHAnsi" w:cstheme="minorHAnsi"/>
                <w:sz w:val="18"/>
                <w:szCs w:val="18"/>
              </w:rPr>
              <w:t>519</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+17</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101,1</w:t>
            </w:r>
          </w:p>
        </w:tc>
      </w:tr>
      <w:tr w:rsidR="00C723DD" w:rsidRPr="00113EE0" w:rsidTr="00C723DD">
        <w:trPr>
          <w:cantSplit/>
          <w:trHeight w:val="20"/>
        </w:trPr>
        <w:tc>
          <w:tcPr>
            <w:tcW w:w="4536" w:type="dxa"/>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uchazeči vyřazení z evidence v roce</w:t>
            </w:r>
          </w:p>
        </w:tc>
        <w:tc>
          <w:tcPr>
            <w:tcW w:w="1242"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15 537</w:t>
            </w:r>
          </w:p>
        </w:tc>
        <w:tc>
          <w:tcPr>
            <w:tcW w:w="1242" w:type="dxa"/>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19</w:t>
            </w:r>
            <w:r>
              <w:rPr>
                <w:rFonts w:asciiTheme="minorHAnsi" w:hAnsiTheme="minorHAnsi" w:cstheme="minorHAnsi"/>
                <w:sz w:val="18"/>
                <w:szCs w:val="18"/>
              </w:rPr>
              <w:t xml:space="preserve"> </w:t>
            </w:r>
            <w:r w:rsidRPr="00B512D3">
              <w:rPr>
                <w:rFonts w:asciiTheme="minorHAnsi" w:hAnsiTheme="minorHAnsi" w:cstheme="minorHAnsi"/>
                <w:sz w:val="18"/>
                <w:szCs w:val="18"/>
              </w:rPr>
              <w:t>333</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+3 796</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124,4</w:t>
            </w:r>
          </w:p>
        </w:tc>
      </w:tr>
      <w:tr w:rsidR="00C723DD" w:rsidRPr="00113EE0" w:rsidTr="00C723DD">
        <w:trPr>
          <w:cantSplit/>
          <w:trHeight w:val="20"/>
        </w:trPr>
        <w:tc>
          <w:tcPr>
            <w:tcW w:w="4536" w:type="dxa"/>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z toho   - umístění (ÚP + jinak)</w:t>
            </w:r>
          </w:p>
        </w:tc>
        <w:tc>
          <w:tcPr>
            <w:tcW w:w="1242"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5 740</w:t>
            </w:r>
          </w:p>
        </w:tc>
        <w:tc>
          <w:tcPr>
            <w:tcW w:w="1242" w:type="dxa"/>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11</w:t>
            </w:r>
            <w:r>
              <w:rPr>
                <w:rFonts w:asciiTheme="minorHAnsi" w:hAnsiTheme="minorHAnsi" w:cstheme="minorHAnsi"/>
                <w:sz w:val="18"/>
                <w:szCs w:val="18"/>
              </w:rPr>
              <w:t xml:space="preserve"> </w:t>
            </w:r>
            <w:r w:rsidRPr="00B512D3">
              <w:rPr>
                <w:rFonts w:asciiTheme="minorHAnsi" w:hAnsiTheme="minorHAnsi" w:cstheme="minorHAnsi"/>
                <w:sz w:val="18"/>
                <w:szCs w:val="18"/>
              </w:rPr>
              <w:t>012</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+5 272</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191,8</w:t>
            </w:r>
          </w:p>
        </w:tc>
      </w:tr>
      <w:tr w:rsidR="00C723DD" w:rsidRPr="00113EE0" w:rsidTr="00C723DD">
        <w:trPr>
          <w:cantSplit/>
          <w:trHeight w:val="20"/>
        </w:trPr>
        <w:tc>
          <w:tcPr>
            <w:tcW w:w="4536" w:type="dxa"/>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měsíční průměr uchazečů vyřazených z evidence v roce</w:t>
            </w:r>
          </w:p>
        </w:tc>
        <w:tc>
          <w:tcPr>
            <w:tcW w:w="1242"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1 295</w:t>
            </w:r>
          </w:p>
        </w:tc>
        <w:tc>
          <w:tcPr>
            <w:tcW w:w="1242" w:type="dxa"/>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1</w:t>
            </w:r>
            <w:r>
              <w:rPr>
                <w:rFonts w:asciiTheme="minorHAnsi" w:hAnsiTheme="minorHAnsi" w:cstheme="minorHAnsi"/>
                <w:sz w:val="18"/>
                <w:szCs w:val="18"/>
              </w:rPr>
              <w:t xml:space="preserve"> </w:t>
            </w:r>
            <w:r w:rsidRPr="00B512D3">
              <w:rPr>
                <w:rFonts w:asciiTheme="minorHAnsi" w:hAnsiTheme="minorHAnsi" w:cstheme="minorHAnsi"/>
                <w:sz w:val="18"/>
                <w:szCs w:val="18"/>
              </w:rPr>
              <w:t>611</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+316</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124,4</w:t>
            </w:r>
          </w:p>
        </w:tc>
      </w:tr>
      <w:tr w:rsidR="00C723DD" w:rsidRPr="00113EE0" w:rsidTr="00C723DD">
        <w:trPr>
          <w:cantSplit/>
          <w:trHeight w:val="20"/>
        </w:trPr>
        <w:tc>
          <w:tcPr>
            <w:tcW w:w="4536" w:type="dxa"/>
            <w:vAlign w:val="center"/>
          </w:tcPr>
          <w:p w:rsidR="00C723DD" w:rsidRPr="00113EE0" w:rsidRDefault="00C723DD" w:rsidP="00C723DD">
            <w:pPr>
              <w:rPr>
                <w:rFonts w:asciiTheme="minorHAnsi" w:hAnsiTheme="minorHAnsi" w:cstheme="minorHAnsi"/>
                <w:sz w:val="18"/>
                <w:szCs w:val="18"/>
              </w:rPr>
            </w:pPr>
            <w:r w:rsidRPr="00113EE0">
              <w:rPr>
                <w:rFonts w:asciiTheme="minorHAnsi" w:hAnsiTheme="minorHAnsi" w:cstheme="minorHAnsi"/>
                <w:sz w:val="18"/>
                <w:szCs w:val="18"/>
              </w:rPr>
              <w:t>z toho   - umístění (ÚP + jinak)</w:t>
            </w:r>
          </w:p>
        </w:tc>
        <w:tc>
          <w:tcPr>
            <w:tcW w:w="1242"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478</w:t>
            </w:r>
          </w:p>
        </w:tc>
        <w:tc>
          <w:tcPr>
            <w:tcW w:w="1242" w:type="dxa"/>
            <w:vAlign w:val="bottom"/>
          </w:tcPr>
          <w:p w:rsidR="00C723DD" w:rsidRPr="00B512D3" w:rsidRDefault="00C723DD" w:rsidP="00C723DD">
            <w:pPr>
              <w:jc w:val="center"/>
              <w:rPr>
                <w:rFonts w:asciiTheme="minorHAnsi" w:hAnsiTheme="minorHAnsi" w:cstheme="minorHAnsi"/>
                <w:sz w:val="18"/>
                <w:szCs w:val="18"/>
              </w:rPr>
            </w:pPr>
            <w:r w:rsidRPr="00B512D3">
              <w:rPr>
                <w:rFonts w:asciiTheme="minorHAnsi" w:hAnsiTheme="minorHAnsi" w:cstheme="minorHAnsi"/>
                <w:sz w:val="18"/>
                <w:szCs w:val="18"/>
              </w:rPr>
              <w:t>918</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+440</w:t>
            </w:r>
          </w:p>
        </w:tc>
        <w:tc>
          <w:tcPr>
            <w:tcW w:w="1242" w:type="dxa"/>
            <w:vAlign w:val="center"/>
          </w:tcPr>
          <w:p w:rsidR="00C723DD" w:rsidRPr="00113EE0" w:rsidRDefault="00C723DD" w:rsidP="00C723DD">
            <w:pPr>
              <w:jc w:val="center"/>
              <w:rPr>
                <w:rFonts w:asciiTheme="minorHAnsi" w:hAnsiTheme="minorHAnsi" w:cstheme="minorHAnsi"/>
                <w:color w:val="000000"/>
                <w:sz w:val="18"/>
                <w:szCs w:val="18"/>
              </w:rPr>
            </w:pPr>
            <w:r>
              <w:rPr>
                <w:rFonts w:asciiTheme="minorHAnsi" w:hAnsiTheme="minorHAnsi" w:cstheme="minorHAnsi"/>
                <w:color w:val="000000"/>
                <w:sz w:val="18"/>
                <w:szCs w:val="18"/>
              </w:rPr>
              <w:t>192,1</w:t>
            </w:r>
          </w:p>
        </w:tc>
      </w:tr>
    </w:tbl>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sz w:val="18"/>
        </w:rPr>
      </w:pPr>
      <w:r w:rsidRPr="00113EE0">
        <w:rPr>
          <w:rFonts w:asciiTheme="minorHAnsi" w:hAnsiTheme="minorHAnsi" w:cstheme="minorHAnsi"/>
          <w:b/>
          <w:sz w:val="22"/>
        </w:rPr>
        <w:t>5. Charakteristika mikroregionů</w:t>
      </w:r>
      <w:r w:rsidRPr="00113EE0">
        <w:rPr>
          <w:rFonts w:asciiTheme="minorHAnsi" w:hAnsiTheme="minorHAnsi" w:cstheme="minorHAnsi"/>
          <w:b/>
        </w:rPr>
        <w:t xml:space="preserve"> </w:t>
      </w:r>
      <w:r>
        <w:rPr>
          <w:rFonts w:asciiTheme="minorHAnsi" w:hAnsiTheme="minorHAnsi" w:cstheme="minorHAnsi"/>
          <w:b/>
          <w:sz w:val="18"/>
          <w:szCs w:val="18"/>
        </w:rPr>
        <w:t>(stav k 31.12.2014</w:t>
      </w:r>
      <w:r w:rsidRPr="00113EE0">
        <w:rPr>
          <w:rFonts w:asciiTheme="minorHAnsi" w:hAnsiTheme="minorHAnsi" w:cstheme="minorHAnsi"/>
          <w:b/>
          <w:sz w:val="18"/>
          <w:szCs w:val="18"/>
        </w:rPr>
        <w: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063"/>
        <w:gridCol w:w="1418"/>
      </w:tblGrid>
      <w:tr w:rsidR="00C723DD" w:rsidRPr="00113EE0" w:rsidTr="00C723DD">
        <w:tc>
          <w:tcPr>
            <w:tcW w:w="4536"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název mikroregionu</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 xml:space="preserve">počet obyvatel </w:t>
            </w:r>
          </w:p>
        </w:tc>
        <w:tc>
          <w:tcPr>
            <w:tcW w:w="1241"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obyv. 15-64 let</w:t>
            </w:r>
          </w:p>
        </w:tc>
        <w:tc>
          <w:tcPr>
            <w:tcW w:w="1063"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počet uchazečů</w:t>
            </w:r>
          </w:p>
        </w:tc>
        <w:tc>
          <w:tcPr>
            <w:tcW w:w="1418"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podíl nezaměstnaných osob v %</w:t>
            </w:r>
          </w:p>
        </w:tc>
      </w:tr>
      <w:tr w:rsidR="00C723DD" w:rsidRPr="00113EE0" w:rsidTr="00C723DD">
        <w:trPr>
          <w:trHeight w:val="227"/>
        </w:trPr>
        <w:tc>
          <w:tcPr>
            <w:tcW w:w="4536" w:type="dxa"/>
            <w:tcBorders>
              <w:top w:val="single" w:sz="4" w:space="0" w:color="auto"/>
              <w:bottom w:val="single" w:sz="4" w:space="0" w:color="auto"/>
            </w:tcBorders>
            <w:vAlign w:val="center"/>
          </w:tcPr>
          <w:p w:rsidR="00C723DD" w:rsidRPr="00B512D3" w:rsidRDefault="00C723DD" w:rsidP="00C723DD">
            <w:pPr>
              <w:rPr>
                <w:rFonts w:asciiTheme="minorHAnsi" w:hAnsiTheme="minorHAnsi" w:cstheme="minorHAnsi"/>
                <w:color w:val="000000"/>
                <w:sz w:val="18"/>
                <w:szCs w:val="18"/>
              </w:rPr>
            </w:pPr>
            <w:r>
              <w:rPr>
                <w:rFonts w:asciiTheme="minorHAnsi" w:hAnsiTheme="minorHAnsi" w:cstheme="minorHAnsi"/>
                <w:color w:val="000000"/>
                <w:sz w:val="18"/>
                <w:szCs w:val="18"/>
              </w:rPr>
              <w:t>Karvinsko</w:t>
            </w:r>
          </w:p>
        </w:tc>
        <w:tc>
          <w:tcPr>
            <w:tcW w:w="1240"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68</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249</w:t>
            </w:r>
          </w:p>
        </w:tc>
        <w:tc>
          <w:tcPr>
            <w:tcW w:w="1241"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46</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567</w:t>
            </w:r>
          </w:p>
        </w:tc>
        <w:tc>
          <w:tcPr>
            <w:tcW w:w="1063"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6</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689</w:t>
            </w:r>
          </w:p>
        </w:tc>
        <w:tc>
          <w:tcPr>
            <w:tcW w:w="1418" w:type="dxa"/>
            <w:tcBorders>
              <w:top w:val="single" w:sz="4" w:space="0" w:color="auto"/>
              <w:bottom w:val="single" w:sz="4" w:space="0" w:color="auto"/>
            </w:tcBorders>
          </w:tcPr>
          <w:p w:rsidR="00C723DD" w:rsidRPr="00B512D3" w:rsidRDefault="00C723DD" w:rsidP="00C723DD">
            <w:pPr>
              <w:jc w:val="center"/>
              <w:rPr>
                <w:rFonts w:asciiTheme="minorHAnsi" w:hAnsiTheme="minorHAnsi" w:cstheme="minorHAnsi"/>
                <w:sz w:val="18"/>
                <w:szCs w:val="18"/>
              </w:rPr>
            </w:pPr>
            <w:r>
              <w:rPr>
                <w:rFonts w:asciiTheme="minorHAnsi" w:hAnsiTheme="minorHAnsi" w:cstheme="minorHAnsi"/>
                <w:sz w:val="18"/>
                <w:szCs w:val="18"/>
              </w:rPr>
              <w:t>14,1</w:t>
            </w:r>
          </w:p>
        </w:tc>
      </w:tr>
      <w:tr w:rsidR="00C723DD" w:rsidRPr="00113EE0" w:rsidTr="00C723DD">
        <w:trPr>
          <w:trHeight w:val="227"/>
        </w:trPr>
        <w:tc>
          <w:tcPr>
            <w:tcW w:w="4536" w:type="dxa"/>
            <w:tcBorders>
              <w:top w:val="single" w:sz="4" w:space="0" w:color="auto"/>
              <w:bottom w:val="single" w:sz="4" w:space="0" w:color="auto"/>
            </w:tcBorders>
            <w:vAlign w:val="center"/>
          </w:tcPr>
          <w:p w:rsidR="00C723DD" w:rsidRPr="00B512D3" w:rsidRDefault="00C723DD" w:rsidP="00C723DD">
            <w:pPr>
              <w:rPr>
                <w:rFonts w:asciiTheme="minorHAnsi" w:hAnsiTheme="minorHAnsi" w:cstheme="minorHAnsi"/>
                <w:color w:val="000000"/>
                <w:sz w:val="18"/>
                <w:szCs w:val="18"/>
              </w:rPr>
            </w:pPr>
            <w:r>
              <w:rPr>
                <w:rFonts w:asciiTheme="minorHAnsi" w:hAnsiTheme="minorHAnsi" w:cstheme="minorHAnsi"/>
                <w:color w:val="000000"/>
                <w:sz w:val="18"/>
                <w:szCs w:val="18"/>
              </w:rPr>
              <w:t>Havířovsko</w:t>
            </w:r>
          </w:p>
        </w:tc>
        <w:tc>
          <w:tcPr>
            <w:tcW w:w="1240"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91</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151</w:t>
            </w:r>
          </w:p>
        </w:tc>
        <w:tc>
          <w:tcPr>
            <w:tcW w:w="1241"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61</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628</w:t>
            </w:r>
          </w:p>
        </w:tc>
        <w:tc>
          <w:tcPr>
            <w:tcW w:w="1063"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7</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676</w:t>
            </w:r>
          </w:p>
        </w:tc>
        <w:tc>
          <w:tcPr>
            <w:tcW w:w="1418" w:type="dxa"/>
            <w:tcBorders>
              <w:top w:val="single" w:sz="4" w:space="0" w:color="auto"/>
              <w:bottom w:val="single" w:sz="4" w:space="0" w:color="auto"/>
            </w:tcBorders>
          </w:tcPr>
          <w:p w:rsidR="00C723DD" w:rsidRPr="00B512D3"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12,0</w:t>
            </w:r>
          </w:p>
        </w:tc>
      </w:tr>
      <w:tr w:rsidR="00C723DD" w:rsidRPr="00113EE0" w:rsidTr="00C723DD">
        <w:trPr>
          <w:trHeight w:val="227"/>
        </w:trPr>
        <w:tc>
          <w:tcPr>
            <w:tcW w:w="4536" w:type="dxa"/>
            <w:tcBorders>
              <w:top w:val="single" w:sz="4" w:space="0" w:color="auto"/>
              <w:bottom w:val="single" w:sz="4" w:space="0" w:color="auto"/>
            </w:tcBorders>
            <w:vAlign w:val="center"/>
          </w:tcPr>
          <w:p w:rsidR="00C723DD" w:rsidRPr="00B512D3" w:rsidRDefault="00C723DD" w:rsidP="00C723DD">
            <w:pPr>
              <w:rPr>
                <w:rFonts w:asciiTheme="minorHAnsi" w:hAnsiTheme="minorHAnsi" w:cstheme="minorHAnsi"/>
                <w:color w:val="000000"/>
                <w:sz w:val="18"/>
                <w:szCs w:val="18"/>
              </w:rPr>
            </w:pPr>
            <w:r>
              <w:rPr>
                <w:rFonts w:asciiTheme="minorHAnsi" w:hAnsiTheme="minorHAnsi" w:cstheme="minorHAnsi"/>
                <w:color w:val="000000"/>
                <w:sz w:val="18"/>
                <w:szCs w:val="18"/>
              </w:rPr>
              <w:t>Orlovsko</w:t>
            </w:r>
          </w:p>
        </w:tc>
        <w:tc>
          <w:tcPr>
            <w:tcW w:w="1240"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38</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693</w:t>
            </w:r>
          </w:p>
        </w:tc>
        <w:tc>
          <w:tcPr>
            <w:tcW w:w="1241"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27</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521</w:t>
            </w:r>
          </w:p>
        </w:tc>
        <w:tc>
          <w:tcPr>
            <w:tcW w:w="1063" w:type="dxa"/>
            <w:tcBorders>
              <w:top w:val="single" w:sz="4" w:space="0" w:color="auto"/>
              <w:bottom w:val="single" w:sz="4" w:space="0" w:color="auto"/>
            </w:tcBorders>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3</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451</w:t>
            </w:r>
          </w:p>
        </w:tc>
        <w:tc>
          <w:tcPr>
            <w:tcW w:w="1418" w:type="dxa"/>
            <w:tcBorders>
              <w:top w:val="single" w:sz="4" w:space="0" w:color="auto"/>
              <w:bottom w:val="single" w:sz="4" w:space="0" w:color="auto"/>
            </w:tcBorders>
          </w:tcPr>
          <w:p w:rsidR="00C723DD" w:rsidRPr="00B512D3"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12,2</w:t>
            </w:r>
          </w:p>
        </w:tc>
      </w:tr>
      <w:tr w:rsidR="00C723DD" w:rsidRPr="00113EE0" w:rsidTr="00C723DD">
        <w:trPr>
          <w:trHeight w:val="227"/>
        </w:trPr>
        <w:tc>
          <w:tcPr>
            <w:tcW w:w="4536" w:type="dxa"/>
            <w:vAlign w:val="center"/>
          </w:tcPr>
          <w:p w:rsidR="00C723DD" w:rsidRPr="00B512D3" w:rsidRDefault="00C723DD" w:rsidP="00C723DD">
            <w:pPr>
              <w:rPr>
                <w:rFonts w:asciiTheme="minorHAnsi" w:hAnsiTheme="minorHAnsi" w:cstheme="minorHAnsi"/>
                <w:color w:val="000000"/>
                <w:sz w:val="18"/>
                <w:szCs w:val="18"/>
              </w:rPr>
            </w:pPr>
            <w:r>
              <w:rPr>
                <w:rFonts w:asciiTheme="minorHAnsi" w:hAnsiTheme="minorHAnsi" w:cstheme="minorHAnsi"/>
                <w:color w:val="000000"/>
                <w:sz w:val="18"/>
                <w:szCs w:val="18"/>
              </w:rPr>
              <w:t>Bohumínsko</w:t>
            </w:r>
          </w:p>
        </w:tc>
        <w:tc>
          <w:tcPr>
            <w:tcW w:w="1240"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34</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037</w:t>
            </w:r>
          </w:p>
        </w:tc>
        <w:tc>
          <w:tcPr>
            <w:tcW w:w="1241"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23</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362</w:t>
            </w:r>
          </w:p>
        </w:tc>
        <w:tc>
          <w:tcPr>
            <w:tcW w:w="1063"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2</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147</w:t>
            </w:r>
          </w:p>
        </w:tc>
        <w:tc>
          <w:tcPr>
            <w:tcW w:w="1418" w:type="dxa"/>
          </w:tcPr>
          <w:p w:rsidR="00C723DD" w:rsidRPr="00B512D3" w:rsidRDefault="00C723DD" w:rsidP="00C723DD">
            <w:pPr>
              <w:jc w:val="center"/>
              <w:rPr>
                <w:rFonts w:asciiTheme="minorHAnsi" w:hAnsiTheme="minorHAnsi" w:cstheme="minorHAnsi"/>
                <w:sz w:val="18"/>
                <w:szCs w:val="18"/>
              </w:rPr>
            </w:pPr>
            <w:r>
              <w:rPr>
                <w:rFonts w:asciiTheme="minorHAnsi" w:hAnsiTheme="minorHAnsi" w:cstheme="minorHAnsi"/>
                <w:sz w:val="18"/>
                <w:szCs w:val="18"/>
              </w:rPr>
              <w:t>8,9</w:t>
            </w:r>
          </w:p>
        </w:tc>
      </w:tr>
      <w:tr w:rsidR="00C723DD" w:rsidRPr="00113EE0" w:rsidTr="00C723DD">
        <w:trPr>
          <w:trHeight w:val="227"/>
        </w:trPr>
        <w:tc>
          <w:tcPr>
            <w:tcW w:w="4536" w:type="dxa"/>
            <w:vAlign w:val="center"/>
          </w:tcPr>
          <w:p w:rsidR="00C723DD" w:rsidRPr="00B512D3" w:rsidRDefault="00C723DD" w:rsidP="00C723DD">
            <w:pPr>
              <w:rPr>
                <w:rFonts w:asciiTheme="minorHAnsi" w:hAnsiTheme="minorHAnsi" w:cstheme="minorHAnsi"/>
                <w:color w:val="000000"/>
                <w:sz w:val="18"/>
                <w:szCs w:val="18"/>
              </w:rPr>
            </w:pPr>
            <w:r>
              <w:rPr>
                <w:rFonts w:asciiTheme="minorHAnsi" w:hAnsiTheme="minorHAnsi" w:cstheme="minorHAnsi"/>
                <w:color w:val="000000"/>
                <w:sz w:val="18"/>
                <w:szCs w:val="18"/>
              </w:rPr>
              <w:t>Českotěšínsko</w:t>
            </w:r>
          </w:p>
        </w:tc>
        <w:tc>
          <w:tcPr>
            <w:tcW w:w="1240"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26</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210</w:t>
            </w:r>
          </w:p>
        </w:tc>
        <w:tc>
          <w:tcPr>
            <w:tcW w:w="1241"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18</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301</w:t>
            </w:r>
          </w:p>
        </w:tc>
        <w:tc>
          <w:tcPr>
            <w:tcW w:w="1063" w:type="dxa"/>
            <w:vAlign w:val="center"/>
          </w:tcPr>
          <w:p w:rsidR="00C723DD" w:rsidRPr="00B512D3" w:rsidRDefault="00C723DD" w:rsidP="00C723DD">
            <w:pPr>
              <w:jc w:val="center"/>
              <w:rPr>
                <w:rFonts w:asciiTheme="minorHAnsi" w:hAnsiTheme="minorHAnsi" w:cstheme="minorHAnsi"/>
                <w:color w:val="000000"/>
                <w:sz w:val="18"/>
                <w:szCs w:val="18"/>
              </w:rPr>
            </w:pPr>
            <w:r w:rsidRPr="00B512D3">
              <w:rPr>
                <w:rFonts w:asciiTheme="minorHAnsi" w:hAnsiTheme="minorHAnsi" w:cstheme="minorHAnsi"/>
                <w:color w:val="000000"/>
                <w:sz w:val="18"/>
                <w:szCs w:val="18"/>
              </w:rPr>
              <w:t>1</w:t>
            </w:r>
            <w:r>
              <w:rPr>
                <w:rFonts w:asciiTheme="minorHAnsi" w:hAnsiTheme="minorHAnsi" w:cstheme="minorHAnsi"/>
                <w:color w:val="000000"/>
                <w:sz w:val="18"/>
                <w:szCs w:val="18"/>
              </w:rPr>
              <w:t xml:space="preserve"> </w:t>
            </w:r>
            <w:r w:rsidRPr="00B512D3">
              <w:rPr>
                <w:rFonts w:asciiTheme="minorHAnsi" w:hAnsiTheme="minorHAnsi" w:cstheme="minorHAnsi"/>
                <w:color w:val="000000"/>
                <w:sz w:val="18"/>
                <w:szCs w:val="18"/>
              </w:rPr>
              <w:t>738</w:t>
            </w:r>
          </w:p>
        </w:tc>
        <w:tc>
          <w:tcPr>
            <w:tcW w:w="1418" w:type="dxa"/>
          </w:tcPr>
          <w:p w:rsidR="00C723DD" w:rsidRPr="00B512D3" w:rsidRDefault="00C723DD" w:rsidP="00C723DD">
            <w:pPr>
              <w:jc w:val="center"/>
              <w:rPr>
                <w:rFonts w:asciiTheme="minorHAnsi" w:hAnsiTheme="minorHAnsi" w:cstheme="minorHAnsi"/>
                <w:sz w:val="18"/>
                <w:szCs w:val="18"/>
              </w:rPr>
            </w:pPr>
            <w:r>
              <w:rPr>
                <w:rFonts w:asciiTheme="minorHAnsi" w:hAnsiTheme="minorHAnsi" w:cstheme="minorHAnsi"/>
                <w:sz w:val="18"/>
                <w:szCs w:val="18"/>
              </w:rPr>
              <w:t>9,0</w:t>
            </w:r>
          </w:p>
        </w:tc>
      </w:tr>
    </w:tbl>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6. Aktivní politika zaměstnanosti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113EE0" w:rsidTr="00C723DD">
        <w:trPr>
          <w:cantSplit/>
        </w:trPr>
        <w:tc>
          <w:tcPr>
            <w:tcW w:w="4536" w:type="dxa"/>
            <w:tcBorders>
              <w:top w:val="double" w:sz="4" w:space="0" w:color="auto"/>
              <w:left w:val="double" w:sz="4" w:space="0" w:color="auto"/>
              <w:bottom w:val="double" w:sz="4" w:space="0" w:color="auto"/>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1"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0" w:type="dxa"/>
            <w:tcBorders>
              <w:top w:val="double" w:sz="4" w:space="0" w:color="auto"/>
              <w:bottom w:val="double" w:sz="4" w:space="0" w:color="auto"/>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1" w:type="dxa"/>
            <w:tcBorders>
              <w:top w:val="double" w:sz="4" w:space="0" w:color="auto"/>
              <w:bottom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227"/>
        </w:trPr>
        <w:tc>
          <w:tcPr>
            <w:tcW w:w="4536" w:type="dxa"/>
            <w:tcBorders>
              <w:top w:val="double" w:sz="4" w:space="0" w:color="auto"/>
              <w:left w:val="double" w:sz="4" w:space="0" w:color="auto"/>
              <w:bottom w:val="single" w:sz="12"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pracovní místa vytvořená s finančním příspěvkem ÚP </w:t>
            </w:r>
          </w:p>
        </w:tc>
        <w:tc>
          <w:tcPr>
            <w:tcW w:w="1240" w:type="dxa"/>
            <w:tcBorders>
              <w:top w:val="double" w:sz="4" w:space="0" w:color="auto"/>
              <w:bottom w:val="single" w:sz="12" w:space="0" w:color="auto"/>
            </w:tcBorders>
            <w:vAlign w:val="center"/>
          </w:tcPr>
          <w:p w:rsidR="00C723DD" w:rsidRPr="00625B9D" w:rsidRDefault="00C723DD" w:rsidP="00C723DD">
            <w:pPr>
              <w:jc w:val="center"/>
              <w:rPr>
                <w:rFonts w:asciiTheme="minorHAnsi" w:hAnsiTheme="minorHAnsi" w:cstheme="minorHAnsi"/>
                <w:b/>
                <w:sz w:val="18"/>
                <w:szCs w:val="18"/>
              </w:rPr>
            </w:pPr>
            <w:r w:rsidRPr="00625B9D">
              <w:rPr>
                <w:rFonts w:asciiTheme="minorHAnsi" w:hAnsiTheme="minorHAnsi" w:cstheme="minorHAnsi"/>
                <w:b/>
                <w:sz w:val="18"/>
                <w:szCs w:val="18"/>
              </w:rPr>
              <w:t>945</w:t>
            </w:r>
          </w:p>
        </w:tc>
        <w:tc>
          <w:tcPr>
            <w:tcW w:w="1241" w:type="dxa"/>
            <w:tcBorders>
              <w:top w:val="double" w:sz="4" w:space="0" w:color="auto"/>
              <w:bottom w:val="single" w:sz="12" w:space="0" w:color="auto"/>
            </w:tcBorders>
            <w:vAlign w:val="center"/>
          </w:tcPr>
          <w:p w:rsidR="00C723DD" w:rsidRPr="00BA37DD" w:rsidRDefault="00C723DD" w:rsidP="00C723DD">
            <w:pPr>
              <w:jc w:val="center"/>
              <w:rPr>
                <w:rFonts w:asciiTheme="minorHAnsi" w:hAnsiTheme="minorHAnsi" w:cstheme="minorHAnsi"/>
                <w:b/>
                <w:sz w:val="18"/>
                <w:szCs w:val="18"/>
              </w:rPr>
            </w:pPr>
            <w:r w:rsidRPr="00BA37DD">
              <w:rPr>
                <w:rFonts w:asciiTheme="minorHAnsi" w:hAnsiTheme="minorHAnsi" w:cstheme="minorHAnsi"/>
                <w:b/>
                <w:sz w:val="18"/>
                <w:szCs w:val="18"/>
              </w:rPr>
              <w:t>1 488</w:t>
            </w:r>
          </w:p>
        </w:tc>
        <w:tc>
          <w:tcPr>
            <w:tcW w:w="1240" w:type="dxa"/>
            <w:tcBorders>
              <w:top w:val="double" w:sz="4" w:space="0" w:color="auto"/>
              <w:bottom w:val="single" w:sz="12" w:space="0" w:color="auto"/>
            </w:tcBorders>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+543</w:t>
            </w:r>
          </w:p>
        </w:tc>
        <w:tc>
          <w:tcPr>
            <w:tcW w:w="1241" w:type="dxa"/>
            <w:tcBorders>
              <w:top w:val="double" w:sz="4" w:space="0" w:color="auto"/>
              <w:bottom w:val="single" w:sz="12" w:space="0" w:color="auto"/>
              <w:right w:val="double" w:sz="4" w:space="0" w:color="auto"/>
            </w:tcBorders>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157,5</w:t>
            </w:r>
          </w:p>
        </w:tc>
      </w:tr>
      <w:tr w:rsidR="00C723DD" w:rsidRPr="00113EE0" w:rsidTr="00C723DD">
        <w:trPr>
          <w:cantSplit/>
          <w:trHeight w:val="227"/>
        </w:trPr>
        <w:tc>
          <w:tcPr>
            <w:tcW w:w="4536" w:type="dxa"/>
            <w:tcBorders>
              <w:top w:val="single" w:sz="12" w:space="0" w:color="auto"/>
              <w:left w:val="double" w:sz="4" w:space="0" w:color="auto"/>
            </w:tcBorders>
            <w:vAlign w:val="center"/>
          </w:tcPr>
          <w:p w:rsidR="00C723DD" w:rsidRPr="00113EE0" w:rsidRDefault="00C723DD" w:rsidP="00C723DD">
            <w:pPr>
              <w:ind w:left="639" w:hanging="639"/>
              <w:rPr>
                <w:rFonts w:asciiTheme="minorHAnsi" w:hAnsiTheme="minorHAnsi" w:cstheme="minorHAnsi"/>
                <w:sz w:val="18"/>
              </w:rPr>
            </w:pPr>
            <w:r w:rsidRPr="00113EE0">
              <w:rPr>
                <w:rFonts w:asciiTheme="minorHAnsi" w:hAnsiTheme="minorHAnsi" w:cstheme="minorHAnsi"/>
                <w:sz w:val="18"/>
              </w:rPr>
              <w:t xml:space="preserve">z toho - SÚPM - SVČ zřízená uchazeči o zaměstnání </w:t>
            </w:r>
          </w:p>
        </w:tc>
        <w:tc>
          <w:tcPr>
            <w:tcW w:w="1240" w:type="dxa"/>
            <w:tcBorders>
              <w:top w:val="single" w:sz="12"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37</w:t>
            </w:r>
          </w:p>
        </w:tc>
        <w:tc>
          <w:tcPr>
            <w:tcW w:w="1241" w:type="dxa"/>
            <w:tcBorders>
              <w:top w:val="single" w:sz="12" w:space="0" w:color="auto"/>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39</w:t>
            </w:r>
          </w:p>
        </w:tc>
        <w:tc>
          <w:tcPr>
            <w:tcW w:w="1240" w:type="dxa"/>
            <w:tcBorders>
              <w:top w:val="single" w:sz="12"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w:t>
            </w:r>
          </w:p>
        </w:tc>
        <w:tc>
          <w:tcPr>
            <w:tcW w:w="1241" w:type="dxa"/>
            <w:tcBorders>
              <w:top w:val="single" w:sz="12" w:space="0" w:color="auto"/>
              <w:right w:val="doub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105,4</w:t>
            </w:r>
          </w:p>
        </w:tc>
      </w:tr>
      <w:tr w:rsidR="00C723DD" w:rsidRPr="00113EE0" w:rsidTr="00C723DD">
        <w:trPr>
          <w:cantSplit/>
          <w:trHeight w:val="227"/>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241" w:type="dxa"/>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1</w:t>
            </w:r>
          </w:p>
        </w:tc>
        <w:tc>
          <w:tcPr>
            <w:tcW w:w="1240" w:type="dxa"/>
            <w:tcBorders>
              <w:bottom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w:t>
            </w:r>
          </w:p>
        </w:tc>
        <w:tc>
          <w:tcPr>
            <w:tcW w:w="1241" w:type="dxa"/>
            <w:tcBorders>
              <w:bottom w:val="single" w:sz="4" w:space="0" w:color="auto"/>
              <w:right w:val="double" w:sz="4" w:space="0" w:color="auto"/>
            </w:tcBorders>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Height w:val="227"/>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107</w:t>
            </w:r>
          </w:p>
        </w:tc>
        <w:tc>
          <w:tcPr>
            <w:tcW w:w="1241" w:type="dxa"/>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50</w:t>
            </w:r>
          </w:p>
        </w:tc>
        <w:tc>
          <w:tcPr>
            <w:tcW w:w="1240" w:type="dxa"/>
            <w:tcBorders>
              <w:bottom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-57</w:t>
            </w:r>
          </w:p>
        </w:tc>
        <w:tc>
          <w:tcPr>
            <w:tcW w:w="1241" w:type="dxa"/>
            <w:tcBorders>
              <w:bottom w:val="single" w:sz="4" w:space="0" w:color="auto"/>
              <w:right w:val="doub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46,7</w:t>
            </w:r>
          </w:p>
        </w:tc>
      </w:tr>
      <w:tr w:rsidR="00C723DD" w:rsidRPr="00113EE0" w:rsidTr="00C723DD">
        <w:trPr>
          <w:cantSplit/>
          <w:trHeight w:val="227"/>
        </w:trPr>
        <w:tc>
          <w:tcPr>
            <w:tcW w:w="4536" w:type="dxa"/>
            <w:tcBorders>
              <w:left w:val="double" w:sz="4" w:space="0" w:color="auto"/>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 NIP ESF-OP LZZ</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425</w:t>
            </w:r>
          </w:p>
        </w:tc>
        <w:tc>
          <w:tcPr>
            <w:tcW w:w="1241" w:type="dxa"/>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556</w:t>
            </w:r>
          </w:p>
        </w:tc>
        <w:tc>
          <w:tcPr>
            <w:tcW w:w="1240" w:type="dxa"/>
            <w:tcBorders>
              <w:top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+131</w:t>
            </w:r>
          </w:p>
        </w:tc>
        <w:tc>
          <w:tcPr>
            <w:tcW w:w="1241" w:type="dxa"/>
            <w:tcBorders>
              <w:top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130,8</w:t>
            </w:r>
          </w:p>
        </w:tc>
      </w:tr>
      <w:tr w:rsidR="00C723DD" w:rsidRPr="00113EE0" w:rsidTr="00C723DD">
        <w:trPr>
          <w:cantSplit/>
          <w:trHeight w:val="227"/>
        </w:trPr>
        <w:tc>
          <w:tcPr>
            <w:tcW w:w="4536" w:type="dxa"/>
            <w:tcBorders>
              <w:left w:val="double" w:sz="4" w:space="0" w:color="auto"/>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8</w:t>
            </w:r>
          </w:p>
        </w:tc>
        <w:tc>
          <w:tcPr>
            <w:tcW w:w="1241" w:type="dxa"/>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Borders>
              <w:top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-8</w:t>
            </w:r>
          </w:p>
        </w:tc>
        <w:tc>
          <w:tcPr>
            <w:tcW w:w="1241" w:type="dxa"/>
            <w:tcBorders>
              <w:top w:val="single" w:sz="4"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0,0</w:t>
            </w:r>
          </w:p>
        </w:tc>
      </w:tr>
      <w:tr w:rsidR="00C723DD" w:rsidRPr="00113EE0" w:rsidTr="00C723DD">
        <w:trPr>
          <w:cantSplit/>
          <w:trHeight w:val="227"/>
        </w:trPr>
        <w:tc>
          <w:tcPr>
            <w:tcW w:w="4536" w:type="dxa"/>
            <w:tcBorders>
              <w:left w:val="double" w:sz="4" w:space="0" w:color="auto"/>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 - NIP ESF-OP LZZ</w:t>
            </w:r>
          </w:p>
        </w:tc>
        <w:tc>
          <w:tcPr>
            <w:tcW w:w="1240" w:type="dxa"/>
            <w:tcBorders>
              <w:right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353</w:t>
            </w:r>
          </w:p>
        </w:tc>
        <w:tc>
          <w:tcPr>
            <w:tcW w:w="1241" w:type="dxa"/>
            <w:tcBorders>
              <w:left w:val="single" w:sz="4" w:space="0" w:color="auto"/>
              <w:right w:val="single" w:sz="4" w:space="0" w:color="auto"/>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691</w:t>
            </w:r>
          </w:p>
        </w:tc>
        <w:tc>
          <w:tcPr>
            <w:tcW w:w="1240" w:type="dxa"/>
            <w:tcBorders>
              <w:top w:val="single" w:sz="4" w:space="0" w:color="auto"/>
              <w:left w:val="single" w:sz="4" w:space="0" w:color="auto"/>
              <w:right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+338</w:t>
            </w:r>
          </w:p>
        </w:tc>
        <w:tc>
          <w:tcPr>
            <w:tcW w:w="1241" w:type="dxa"/>
            <w:tcBorders>
              <w:top w:val="single" w:sz="4" w:space="0" w:color="auto"/>
              <w:left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195,8</w:t>
            </w:r>
          </w:p>
        </w:tc>
      </w:tr>
      <w:tr w:rsidR="00C723DD" w:rsidRPr="00113EE0" w:rsidTr="00C723DD">
        <w:trPr>
          <w:cantSplit/>
          <w:trHeight w:val="227"/>
        </w:trPr>
        <w:tc>
          <w:tcPr>
            <w:tcW w:w="4536" w:type="dxa"/>
            <w:tcBorders>
              <w:left w:val="double" w:sz="4" w:space="0" w:color="auto"/>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CHPM-SVČ osob se ZP</w:t>
            </w:r>
          </w:p>
        </w:tc>
        <w:tc>
          <w:tcPr>
            <w:tcW w:w="1240"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241" w:type="dxa"/>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w:t>
            </w:r>
          </w:p>
        </w:tc>
        <w:tc>
          <w:tcPr>
            <w:tcW w:w="1241" w:type="dxa"/>
            <w:tcBorders>
              <w:right w:val="doub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w:t>
            </w:r>
          </w:p>
        </w:tc>
      </w:tr>
      <w:tr w:rsidR="00C723DD" w:rsidRPr="00113EE0" w:rsidTr="00C723DD">
        <w:trPr>
          <w:cantSplit/>
          <w:trHeight w:val="227"/>
        </w:trPr>
        <w:tc>
          <w:tcPr>
            <w:tcW w:w="4536" w:type="dxa"/>
            <w:tcBorders>
              <w:left w:val="double" w:sz="4" w:space="0" w:color="auto"/>
              <w:bottom w:val="single" w:sz="4" w:space="0" w:color="auto"/>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5</w:t>
            </w:r>
          </w:p>
        </w:tc>
        <w:tc>
          <w:tcPr>
            <w:tcW w:w="1241" w:type="dxa"/>
            <w:tcBorders>
              <w:bottom w:val="single" w:sz="4" w:space="0" w:color="auto"/>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7</w:t>
            </w:r>
          </w:p>
        </w:tc>
        <w:tc>
          <w:tcPr>
            <w:tcW w:w="1240" w:type="dxa"/>
            <w:tcBorders>
              <w:bottom w:val="sing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+2</w:t>
            </w:r>
          </w:p>
        </w:tc>
        <w:tc>
          <w:tcPr>
            <w:tcW w:w="1241" w:type="dxa"/>
            <w:tcBorders>
              <w:bottom w:val="single" w:sz="4" w:space="0" w:color="auto"/>
              <w:right w:val="double" w:sz="4" w:space="0" w:color="auto"/>
            </w:tcBorders>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140,0</w:t>
            </w:r>
          </w:p>
        </w:tc>
      </w:tr>
      <w:tr w:rsidR="00C723DD" w:rsidRPr="00113EE0" w:rsidTr="00C723DD">
        <w:trPr>
          <w:cantSplit/>
          <w:trHeight w:val="227"/>
        </w:trPr>
        <w:tc>
          <w:tcPr>
            <w:tcW w:w="4536" w:type="dxa"/>
            <w:tcBorders>
              <w:left w:val="double" w:sz="4" w:space="0" w:color="auto"/>
              <w:bottom w:val="single" w:sz="4" w:space="0" w:color="auto"/>
            </w:tcBorders>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240" w:type="dxa"/>
            <w:tcBorders>
              <w:bottom w:val="single" w:sz="4" w:space="0" w:color="auto"/>
            </w:tcBorders>
            <w:vAlign w:val="center"/>
          </w:tcPr>
          <w:p w:rsidR="00C723DD" w:rsidRPr="00247B69" w:rsidRDefault="00C723DD" w:rsidP="00C723DD">
            <w:pPr>
              <w:jc w:val="center"/>
              <w:rPr>
                <w:rFonts w:asciiTheme="minorHAnsi" w:hAnsiTheme="minorHAnsi" w:cstheme="minorHAnsi"/>
                <w:sz w:val="18"/>
                <w:szCs w:val="18"/>
              </w:rPr>
            </w:pPr>
            <w:r w:rsidRPr="00247B69">
              <w:rPr>
                <w:rFonts w:asciiTheme="minorHAnsi" w:hAnsiTheme="minorHAnsi" w:cstheme="minorHAnsi"/>
                <w:sz w:val="18"/>
                <w:szCs w:val="18"/>
              </w:rPr>
              <w:t>10</w:t>
            </w:r>
          </w:p>
        </w:tc>
        <w:tc>
          <w:tcPr>
            <w:tcW w:w="1241" w:type="dxa"/>
            <w:tcBorders>
              <w:bottom w:val="single" w:sz="4" w:space="0" w:color="auto"/>
            </w:tcBorders>
            <w:vAlign w:val="center"/>
          </w:tcPr>
          <w:p w:rsidR="00C723DD" w:rsidRPr="00AC17B9" w:rsidRDefault="00C723DD" w:rsidP="00C723DD">
            <w:pPr>
              <w:jc w:val="center"/>
              <w:rPr>
                <w:rFonts w:asciiTheme="minorHAnsi" w:hAnsiTheme="minorHAnsi" w:cstheme="minorHAnsi"/>
                <w:sz w:val="18"/>
                <w:szCs w:val="18"/>
              </w:rPr>
            </w:pPr>
            <w:r w:rsidRPr="00AC17B9">
              <w:rPr>
                <w:rFonts w:asciiTheme="minorHAnsi" w:hAnsiTheme="minorHAnsi" w:cstheme="minorHAnsi"/>
                <w:sz w:val="18"/>
                <w:szCs w:val="18"/>
              </w:rPr>
              <w:t>6</w:t>
            </w:r>
          </w:p>
        </w:tc>
        <w:tc>
          <w:tcPr>
            <w:tcW w:w="1240" w:type="dxa"/>
            <w:tcBorders>
              <w:bottom w:val="single" w:sz="4" w:space="0" w:color="auto"/>
            </w:tcBorders>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-4</w:t>
            </w:r>
          </w:p>
        </w:tc>
        <w:tc>
          <w:tcPr>
            <w:tcW w:w="1241" w:type="dxa"/>
            <w:tcBorders>
              <w:bottom w:val="single" w:sz="4" w:space="0" w:color="auto"/>
              <w:right w:val="double" w:sz="4" w:space="0" w:color="auto"/>
            </w:tcBorders>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50,0</w:t>
            </w:r>
          </w:p>
        </w:tc>
      </w:tr>
      <w:tr w:rsidR="00C723DD" w:rsidRPr="00113EE0" w:rsidTr="00C723DD">
        <w:trPr>
          <w:cantSplit/>
          <w:trHeight w:val="227"/>
        </w:trPr>
        <w:tc>
          <w:tcPr>
            <w:tcW w:w="4536" w:type="dxa"/>
            <w:tcBorders>
              <w:left w:val="double" w:sz="4" w:space="0" w:color="auto"/>
              <w:bottom w:val="single" w:sz="4" w:space="0" w:color="auto"/>
            </w:tcBorders>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240" w:type="dxa"/>
            <w:tcBorders>
              <w:bottom w:val="single" w:sz="4" w:space="0" w:color="auto"/>
            </w:tcBorders>
            <w:vAlign w:val="center"/>
          </w:tcPr>
          <w:p w:rsidR="00C723DD" w:rsidRPr="00247B69" w:rsidRDefault="00C723DD" w:rsidP="00C723DD">
            <w:pPr>
              <w:jc w:val="center"/>
              <w:rPr>
                <w:rFonts w:asciiTheme="minorHAnsi" w:hAnsiTheme="minorHAnsi" w:cstheme="minorHAnsi"/>
                <w:sz w:val="18"/>
                <w:szCs w:val="18"/>
              </w:rPr>
            </w:pPr>
            <w:r w:rsidRPr="00247B69">
              <w:rPr>
                <w:rFonts w:asciiTheme="minorHAnsi" w:hAnsiTheme="minorHAnsi" w:cstheme="minorHAnsi"/>
                <w:sz w:val="18"/>
                <w:szCs w:val="18"/>
              </w:rPr>
              <w:t>0</w:t>
            </w:r>
          </w:p>
        </w:tc>
        <w:tc>
          <w:tcPr>
            <w:tcW w:w="1241" w:type="dxa"/>
            <w:tcBorders>
              <w:bottom w:val="single" w:sz="4" w:space="0" w:color="auto"/>
            </w:tcBorders>
            <w:vAlign w:val="center"/>
          </w:tcPr>
          <w:p w:rsidR="00C723DD" w:rsidRPr="00AC17B9" w:rsidRDefault="00C723DD" w:rsidP="00C723DD">
            <w:pPr>
              <w:jc w:val="center"/>
              <w:rPr>
                <w:rFonts w:asciiTheme="minorHAnsi" w:hAnsiTheme="minorHAnsi" w:cstheme="minorHAnsi"/>
                <w:sz w:val="18"/>
                <w:szCs w:val="18"/>
              </w:rPr>
            </w:pPr>
            <w:r w:rsidRPr="00AC17B9">
              <w:rPr>
                <w:rFonts w:asciiTheme="minorHAnsi" w:hAnsiTheme="minorHAnsi" w:cstheme="minorHAnsi"/>
                <w:sz w:val="18"/>
                <w:szCs w:val="18"/>
              </w:rPr>
              <w:t>138</w:t>
            </w:r>
          </w:p>
        </w:tc>
        <w:tc>
          <w:tcPr>
            <w:tcW w:w="1240" w:type="dxa"/>
            <w:tcBorders>
              <w:bottom w:val="single" w:sz="4" w:space="0" w:color="auto"/>
            </w:tcBorders>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+138</w:t>
            </w:r>
          </w:p>
        </w:tc>
        <w:tc>
          <w:tcPr>
            <w:tcW w:w="1241" w:type="dxa"/>
            <w:tcBorders>
              <w:bottom w:val="single" w:sz="4" w:space="0" w:color="auto"/>
              <w:right w:val="double" w:sz="4" w:space="0" w:color="auto"/>
            </w:tcBorders>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0,0</w:t>
            </w:r>
          </w:p>
        </w:tc>
      </w:tr>
      <w:tr w:rsidR="00C723DD" w:rsidRPr="00113EE0" w:rsidTr="00C723DD">
        <w:trPr>
          <w:cantSplit/>
          <w:trHeight w:val="227"/>
        </w:trPr>
        <w:tc>
          <w:tcPr>
            <w:tcW w:w="4536" w:type="dxa"/>
            <w:tcBorders>
              <w:top w:val="double" w:sz="4" w:space="0" w:color="auto"/>
              <w:left w:val="double" w:sz="4" w:space="0" w:color="auto"/>
              <w:bottom w:val="single" w:sz="12" w:space="0" w:color="auto"/>
            </w:tcBorders>
            <w:vAlign w:val="center"/>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 xml:space="preserve">příspěvky poskytnuté v rámci APZ </w:t>
            </w:r>
          </w:p>
        </w:tc>
        <w:tc>
          <w:tcPr>
            <w:tcW w:w="1240" w:type="dxa"/>
            <w:tcBorders>
              <w:top w:val="double" w:sz="4" w:space="0" w:color="auto"/>
              <w:bottom w:val="single" w:sz="12" w:space="0" w:color="auto"/>
            </w:tcBorders>
            <w:shd w:val="clear" w:color="auto" w:fill="FFFFFF"/>
            <w:vAlign w:val="center"/>
          </w:tcPr>
          <w:p w:rsidR="00C723DD" w:rsidRPr="00113EE0" w:rsidRDefault="00C723DD" w:rsidP="00C723DD">
            <w:pPr>
              <w:jc w:val="center"/>
              <w:rPr>
                <w:rFonts w:asciiTheme="minorHAnsi" w:hAnsiTheme="minorHAnsi" w:cstheme="minorHAnsi"/>
                <w:b/>
                <w:sz w:val="18"/>
                <w:szCs w:val="18"/>
              </w:rPr>
            </w:pPr>
            <w:r w:rsidRPr="00113EE0">
              <w:rPr>
                <w:rFonts w:asciiTheme="minorHAnsi" w:hAnsiTheme="minorHAnsi" w:cstheme="minorHAnsi"/>
                <w:b/>
                <w:sz w:val="18"/>
                <w:szCs w:val="18"/>
              </w:rPr>
              <w:t>16</w:t>
            </w:r>
          </w:p>
        </w:tc>
        <w:tc>
          <w:tcPr>
            <w:tcW w:w="1241" w:type="dxa"/>
            <w:tcBorders>
              <w:top w:val="double" w:sz="4" w:space="0" w:color="auto"/>
              <w:bottom w:val="single" w:sz="12" w:space="0" w:color="auto"/>
            </w:tcBorders>
            <w:shd w:val="clear" w:color="auto" w:fill="FFFFFF"/>
            <w:vAlign w:val="center"/>
          </w:tcPr>
          <w:p w:rsidR="00C723DD" w:rsidRPr="00B166E5" w:rsidRDefault="00C723DD" w:rsidP="00C723DD">
            <w:pPr>
              <w:jc w:val="center"/>
              <w:rPr>
                <w:rFonts w:asciiTheme="minorHAnsi" w:hAnsiTheme="minorHAnsi" w:cstheme="minorHAnsi"/>
                <w:b/>
                <w:sz w:val="18"/>
                <w:szCs w:val="18"/>
              </w:rPr>
            </w:pPr>
            <w:r w:rsidRPr="00B166E5">
              <w:rPr>
                <w:rFonts w:asciiTheme="minorHAnsi" w:hAnsiTheme="minorHAnsi" w:cstheme="minorHAnsi"/>
                <w:b/>
                <w:sz w:val="18"/>
                <w:szCs w:val="18"/>
              </w:rPr>
              <w:t>22</w:t>
            </w:r>
          </w:p>
        </w:tc>
        <w:tc>
          <w:tcPr>
            <w:tcW w:w="1240" w:type="dxa"/>
            <w:tcBorders>
              <w:top w:val="double" w:sz="4" w:space="0" w:color="auto"/>
              <w:bottom w:val="single" w:sz="12"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+6</w:t>
            </w:r>
          </w:p>
        </w:tc>
        <w:tc>
          <w:tcPr>
            <w:tcW w:w="1241" w:type="dxa"/>
            <w:tcBorders>
              <w:top w:val="double" w:sz="4" w:space="0" w:color="auto"/>
              <w:bottom w:val="single" w:sz="12"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b/>
                <w:sz w:val="18"/>
                <w:szCs w:val="18"/>
              </w:rPr>
            </w:pPr>
            <w:r w:rsidRPr="0046596C">
              <w:rPr>
                <w:rFonts w:asciiTheme="minorHAnsi" w:hAnsiTheme="minorHAnsi" w:cstheme="minorHAnsi"/>
                <w:b/>
                <w:sz w:val="18"/>
                <w:szCs w:val="18"/>
              </w:rPr>
              <w:t>137,5</w:t>
            </w:r>
          </w:p>
        </w:tc>
      </w:tr>
      <w:tr w:rsidR="00C723DD" w:rsidRPr="00113EE0" w:rsidTr="00C723DD">
        <w:trPr>
          <w:cantSplit/>
          <w:trHeight w:val="227"/>
        </w:trPr>
        <w:tc>
          <w:tcPr>
            <w:tcW w:w="4536" w:type="dxa"/>
            <w:tcBorders>
              <w:top w:val="single" w:sz="12" w:space="0" w:color="auto"/>
              <w:left w:val="double" w:sz="4" w:space="0" w:color="auto"/>
              <w:bottom w:val="nil"/>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z toho - překlenovací příspěvek</w:t>
            </w:r>
          </w:p>
        </w:tc>
        <w:tc>
          <w:tcPr>
            <w:tcW w:w="1240" w:type="dxa"/>
            <w:tcBorders>
              <w:top w:val="single" w:sz="12" w:space="0" w:color="auto"/>
              <w:bottom w:val="single" w:sz="4" w:space="0" w:color="auto"/>
            </w:tcBorders>
            <w:shd w:val="clear" w:color="auto" w:fill="FFFFFF"/>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16</w:t>
            </w:r>
          </w:p>
        </w:tc>
        <w:tc>
          <w:tcPr>
            <w:tcW w:w="1241" w:type="dxa"/>
            <w:tcBorders>
              <w:top w:val="single" w:sz="12" w:space="0" w:color="auto"/>
              <w:bottom w:val="single" w:sz="4" w:space="0" w:color="auto"/>
            </w:tcBorders>
            <w:shd w:val="clear" w:color="auto" w:fill="FFFFFF"/>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22</w:t>
            </w:r>
          </w:p>
        </w:tc>
        <w:tc>
          <w:tcPr>
            <w:tcW w:w="1240" w:type="dxa"/>
            <w:tcBorders>
              <w:top w:val="single" w:sz="12" w:space="0" w:color="auto"/>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+6</w:t>
            </w:r>
          </w:p>
        </w:tc>
        <w:tc>
          <w:tcPr>
            <w:tcW w:w="1241" w:type="dxa"/>
            <w:tcBorders>
              <w:top w:val="single" w:sz="12"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137,5</w:t>
            </w:r>
          </w:p>
        </w:tc>
      </w:tr>
      <w:tr w:rsidR="00C723DD" w:rsidRPr="00113EE0" w:rsidTr="00C723DD">
        <w:trPr>
          <w:cantSplit/>
          <w:trHeight w:val="227"/>
        </w:trPr>
        <w:tc>
          <w:tcPr>
            <w:tcW w:w="4536" w:type="dxa"/>
            <w:tcBorders>
              <w:left w:val="double" w:sz="4" w:space="0" w:color="auto"/>
              <w:bottom w:val="nil"/>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zapracování</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241" w:type="dxa"/>
            <w:tcBorders>
              <w:bottom w:val="single" w:sz="4" w:space="0" w:color="auto"/>
            </w:tcBorders>
            <w:shd w:val="clear" w:color="auto" w:fill="auto"/>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Borders>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w:t>
            </w:r>
          </w:p>
        </w:tc>
        <w:tc>
          <w:tcPr>
            <w:tcW w:w="1241" w:type="dxa"/>
            <w:tcBorders>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w:t>
            </w:r>
          </w:p>
        </w:tc>
      </w:tr>
      <w:tr w:rsidR="00C723DD" w:rsidRPr="00113EE0" w:rsidTr="00C723DD">
        <w:trPr>
          <w:cantSplit/>
          <w:trHeight w:val="227"/>
        </w:trPr>
        <w:tc>
          <w:tcPr>
            <w:tcW w:w="4536" w:type="dxa"/>
            <w:tcBorders>
              <w:left w:val="double" w:sz="4" w:space="0" w:color="auto"/>
              <w:bottom w:val="nil"/>
            </w:tcBorders>
            <w:vAlign w:val="center"/>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provoz CHPM a CHPM-SVČ</w:t>
            </w:r>
          </w:p>
        </w:tc>
        <w:tc>
          <w:tcPr>
            <w:tcW w:w="1240"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241" w:type="dxa"/>
            <w:tcBorders>
              <w:top w:val="single" w:sz="4" w:space="0" w:color="auto"/>
              <w:bottom w:val="double" w:sz="4" w:space="0" w:color="auto"/>
            </w:tcBorders>
            <w:shd w:val="clear" w:color="auto" w:fill="auto"/>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Borders>
              <w:top w:val="single" w:sz="4" w:space="0" w:color="auto"/>
              <w:bottom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0</w:t>
            </w:r>
          </w:p>
        </w:tc>
        <w:tc>
          <w:tcPr>
            <w:tcW w:w="1241" w:type="dxa"/>
            <w:tcBorders>
              <w:top w:val="single" w:sz="4" w:space="0" w:color="auto"/>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w:t>
            </w:r>
          </w:p>
        </w:tc>
      </w:tr>
      <w:tr w:rsidR="00C723DD" w:rsidRPr="00113EE0" w:rsidTr="00C723DD">
        <w:trPr>
          <w:cantSplit/>
          <w:trHeight w:val="227"/>
        </w:trPr>
        <w:tc>
          <w:tcPr>
            <w:tcW w:w="4536" w:type="dxa"/>
            <w:tcBorders>
              <w:top w:val="double" w:sz="4" w:space="0" w:color="auto"/>
              <w:left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zahájené rekvalifikační kurzy</w:t>
            </w:r>
            <w:r>
              <w:rPr>
                <w:rFonts w:asciiTheme="minorHAnsi" w:hAnsiTheme="minorHAnsi" w:cstheme="minorHAnsi"/>
                <w:sz w:val="18"/>
              </w:rPr>
              <w:t xml:space="preserve"> </w:t>
            </w:r>
            <w:r w:rsidRPr="00113EE0">
              <w:rPr>
                <w:rFonts w:asciiTheme="minorHAnsi" w:hAnsiTheme="minorHAnsi" w:cstheme="minorHAnsi"/>
                <w:sz w:val="18"/>
              </w:rPr>
              <w:t>(národní APZ + ESF)</w:t>
            </w:r>
          </w:p>
        </w:tc>
        <w:tc>
          <w:tcPr>
            <w:tcW w:w="1240" w:type="dxa"/>
            <w:tcBorders>
              <w:top w:val="double" w:sz="4" w:space="0" w:color="auto"/>
              <w:bottom w:val="single" w:sz="4" w:space="0" w:color="auto"/>
            </w:tcBorders>
            <w:vAlign w:val="center"/>
          </w:tcPr>
          <w:p w:rsidR="00C723DD" w:rsidRPr="00BA37DD" w:rsidRDefault="00C723DD" w:rsidP="00C723DD">
            <w:pPr>
              <w:pStyle w:val="Texttabulky"/>
              <w:spacing w:before="20" w:after="20"/>
              <w:ind w:right="57"/>
              <w:jc w:val="center"/>
              <w:rPr>
                <w:rFonts w:asciiTheme="minorHAnsi" w:hAnsiTheme="minorHAnsi" w:cstheme="minorHAnsi"/>
                <w:color w:val="auto"/>
                <w:sz w:val="18"/>
                <w:szCs w:val="18"/>
              </w:rPr>
            </w:pPr>
            <w:r w:rsidRPr="00BA37DD">
              <w:rPr>
                <w:rFonts w:asciiTheme="minorHAnsi" w:hAnsiTheme="minorHAnsi" w:cstheme="minorHAnsi"/>
                <w:color w:val="auto"/>
                <w:sz w:val="18"/>
                <w:szCs w:val="18"/>
              </w:rPr>
              <w:t>169</w:t>
            </w:r>
          </w:p>
        </w:tc>
        <w:tc>
          <w:tcPr>
            <w:tcW w:w="1241" w:type="dxa"/>
            <w:tcBorders>
              <w:top w:val="double" w:sz="4" w:space="0" w:color="auto"/>
              <w:bottom w:val="single" w:sz="4" w:space="0" w:color="auto"/>
            </w:tcBorders>
            <w:vAlign w:val="center"/>
          </w:tcPr>
          <w:p w:rsidR="00C723DD" w:rsidRPr="00AC17B9" w:rsidRDefault="00C723DD" w:rsidP="00C723DD">
            <w:pPr>
              <w:jc w:val="center"/>
              <w:rPr>
                <w:rFonts w:asciiTheme="minorHAnsi" w:hAnsiTheme="minorHAnsi" w:cstheme="minorHAnsi"/>
                <w:sz w:val="18"/>
                <w:szCs w:val="18"/>
              </w:rPr>
            </w:pPr>
            <w:r w:rsidRPr="00AC17B9">
              <w:rPr>
                <w:rFonts w:asciiTheme="minorHAnsi" w:hAnsiTheme="minorHAnsi" w:cstheme="minorHAnsi"/>
                <w:sz w:val="18"/>
                <w:szCs w:val="18"/>
              </w:rPr>
              <w:t>93</w:t>
            </w:r>
          </w:p>
        </w:tc>
        <w:tc>
          <w:tcPr>
            <w:tcW w:w="1240" w:type="dxa"/>
            <w:tcBorders>
              <w:top w:val="double" w:sz="4" w:space="0" w:color="auto"/>
              <w:bottom w:val="sing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-76</w:t>
            </w:r>
          </w:p>
        </w:tc>
        <w:tc>
          <w:tcPr>
            <w:tcW w:w="1241" w:type="dxa"/>
            <w:tcBorders>
              <w:top w:val="double" w:sz="4" w:space="0" w:color="auto"/>
              <w:bottom w:val="single" w:sz="4" w:space="0" w:color="auto"/>
              <w:right w:val="double" w:sz="4" w:space="0" w:color="auto"/>
            </w:tcBorders>
            <w:shd w:val="clear" w:color="auto" w:fill="auto"/>
            <w:vAlign w:val="center"/>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55,0</w:t>
            </w:r>
          </w:p>
        </w:tc>
      </w:tr>
      <w:tr w:rsidR="00C723DD" w:rsidRPr="00113EE0" w:rsidTr="00C723DD">
        <w:trPr>
          <w:cantSplit/>
          <w:trHeight w:val="227"/>
        </w:trPr>
        <w:tc>
          <w:tcPr>
            <w:tcW w:w="4536" w:type="dxa"/>
            <w:tcBorders>
              <w:left w:val="double" w:sz="4" w:space="0" w:color="auto"/>
              <w:bottom w:val="nil"/>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počet osob zařaz</w:t>
            </w:r>
            <w:r>
              <w:rPr>
                <w:rFonts w:asciiTheme="minorHAnsi" w:hAnsiTheme="minorHAnsi" w:cstheme="minorHAnsi"/>
                <w:sz w:val="18"/>
              </w:rPr>
              <w:t>ených</w:t>
            </w:r>
            <w:r w:rsidRPr="00113EE0">
              <w:rPr>
                <w:rFonts w:asciiTheme="minorHAnsi" w:hAnsiTheme="minorHAnsi" w:cstheme="minorHAnsi"/>
                <w:sz w:val="18"/>
              </w:rPr>
              <w:t xml:space="preserve"> do rekvalifikací (národní APZ + ESF)</w:t>
            </w:r>
          </w:p>
        </w:tc>
        <w:tc>
          <w:tcPr>
            <w:tcW w:w="1240" w:type="dxa"/>
            <w:tcBorders>
              <w:bottom w:val="nil"/>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858</w:t>
            </w:r>
          </w:p>
        </w:tc>
        <w:tc>
          <w:tcPr>
            <w:tcW w:w="1241" w:type="dxa"/>
            <w:tcBorders>
              <w:bottom w:val="nil"/>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699</w:t>
            </w:r>
          </w:p>
        </w:tc>
        <w:tc>
          <w:tcPr>
            <w:tcW w:w="1240" w:type="dxa"/>
            <w:tcBorders>
              <w:bottom w:val="sing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-159</w:t>
            </w:r>
          </w:p>
        </w:tc>
        <w:tc>
          <w:tcPr>
            <w:tcW w:w="1241" w:type="dxa"/>
            <w:tcBorders>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81,5</w:t>
            </w:r>
          </w:p>
        </w:tc>
      </w:tr>
      <w:tr w:rsidR="00C723DD" w:rsidRPr="00113EE0" w:rsidTr="00C723DD">
        <w:trPr>
          <w:cantSplit/>
          <w:trHeight w:val="227"/>
        </w:trPr>
        <w:tc>
          <w:tcPr>
            <w:tcW w:w="4536" w:type="dxa"/>
            <w:tcBorders>
              <w:left w:val="double" w:sz="4" w:space="0" w:color="auto"/>
              <w:bottom w:val="doub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zájemců o zaměstnání</w:t>
            </w:r>
          </w:p>
        </w:tc>
        <w:tc>
          <w:tcPr>
            <w:tcW w:w="1240"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w:t>
            </w:r>
          </w:p>
        </w:tc>
        <w:tc>
          <w:tcPr>
            <w:tcW w:w="1241" w:type="dxa"/>
            <w:tcBorders>
              <w:bottom w:val="double" w:sz="4" w:space="0" w:color="auto"/>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Borders>
              <w:bottom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w:t>
            </w:r>
          </w:p>
        </w:tc>
        <w:tc>
          <w:tcPr>
            <w:tcW w:w="1241" w:type="dxa"/>
            <w:tcBorders>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13EE0" w:rsidTr="00C723DD">
        <w:trPr>
          <w:cantSplit/>
          <w:trHeight w:val="227"/>
        </w:trPr>
        <w:tc>
          <w:tcPr>
            <w:tcW w:w="4536" w:type="dxa"/>
            <w:tcBorders>
              <w:top w:val="double" w:sz="4" w:space="0" w:color="auto"/>
              <w:left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národní APZ</w:t>
            </w:r>
          </w:p>
        </w:tc>
        <w:tc>
          <w:tcPr>
            <w:tcW w:w="1240" w:type="dxa"/>
            <w:tcBorders>
              <w:top w:val="double" w:sz="4" w:space="0" w:color="auto"/>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469</w:t>
            </w:r>
          </w:p>
        </w:tc>
        <w:tc>
          <w:tcPr>
            <w:tcW w:w="1241" w:type="dxa"/>
            <w:tcBorders>
              <w:top w:val="double" w:sz="4" w:space="0" w:color="auto"/>
              <w:bottom w:val="single" w:sz="4" w:space="0" w:color="auto"/>
            </w:tcBorders>
            <w:shd w:val="clear" w:color="auto" w:fill="auto"/>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141</w:t>
            </w:r>
          </w:p>
        </w:tc>
        <w:tc>
          <w:tcPr>
            <w:tcW w:w="1240" w:type="dxa"/>
            <w:tcBorders>
              <w:top w:val="double" w:sz="4"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-328</w:t>
            </w:r>
          </w:p>
        </w:tc>
        <w:tc>
          <w:tcPr>
            <w:tcW w:w="1241" w:type="dxa"/>
            <w:tcBorders>
              <w:top w:val="double" w:sz="4" w:space="0" w:color="auto"/>
              <w:bottom w:val="sing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30,1</w:t>
            </w:r>
          </w:p>
        </w:tc>
      </w:tr>
      <w:tr w:rsidR="00C723DD" w:rsidRPr="00113EE0" w:rsidTr="00C723DD">
        <w:trPr>
          <w:cantSplit/>
          <w:trHeight w:val="227"/>
        </w:trPr>
        <w:tc>
          <w:tcPr>
            <w:tcW w:w="4536"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NIP ESF-OP LZZ</w:t>
            </w:r>
          </w:p>
        </w:tc>
        <w:tc>
          <w:tcPr>
            <w:tcW w:w="1240" w:type="dxa"/>
            <w:tcBorders>
              <w:bottom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376</w:t>
            </w:r>
          </w:p>
        </w:tc>
        <w:tc>
          <w:tcPr>
            <w:tcW w:w="1241" w:type="dxa"/>
            <w:tcBorders>
              <w:bottom w:val="double" w:sz="4" w:space="0" w:color="auto"/>
            </w:tcBorders>
            <w:shd w:val="clear" w:color="auto" w:fill="auto"/>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599</w:t>
            </w:r>
          </w:p>
        </w:tc>
        <w:tc>
          <w:tcPr>
            <w:tcW w:w="1240"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+223</w:t>
            </w:r>
          </w:p>
        </w:tc>
        <w:tc>
          <w:tcPr>
            <w:tcW w:w="1241" w:type="dxa"/>
            <w:tcBorders>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159,3</w:t>
            </w:r>
          </w:p>
        </w:tc>
      </w:tr>
      <w:tr w:rsidR="00C723DD" w:rsidRPr="00113EE0" w:rsidTr="00C723DD">
        <w:trPr>
          <w:cantSplit/>
          <w:trHeight w:val="227"/>
        </w:trPr>
        <w:tc>
          <w:tcPr>
            <w:tcW w:w="4536" w:type="dxa"/>
            <w:tcBorders>
              <w:top w:val="double" w:sz="4" w:space="0" w:color="auto"/>
              <w:left w:val="double" w:sz="4" w:space="0" w:color="auto"/>
              <w:bottom w:val="doub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zaměstnanci rekvalifikovaní s finančním příspěvkem ÚP</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241" w:type="dxa"/>
            <w:tcBorders>
              <w:top w:val="double" w:sz="4" w:space="0" w:color="auto"/>
              <w:bottom w:val="double" w:sz="4" w:space="0" w:color="auto"/>
            </w:tcBorders>
            <w:vAlign w:val="center"/>
          </w:tcPr>
          <w:p w:rsidR="00C723DD" w:rsidRPr="00B166E5" w:rsidRDefault="00C723DD" w:rsidP="00C723DD">
            <w:pPr>
              <w:jc w:val="center"/>
              <w:rPr>
                <w:rFonts w:asciiTheme="minorHAnsi" w:hAnsiTheme="minorHAnsi" w:cstheme="minorHAnsi"/>
                <w:sz w:val="18"/>
                <w:szCs w:val="18"/>
              </w:rPr>
            </w:pPr>
            <w:r w:rsidRPr="00B166E5">
              <w:rPr>
                <w:rFonts w:asciiTheme="minorHAnsi" w:hAnsiTheme="minorHAnsi" w:cstheme="minorHAnsi"/>
                <w:sz w:val="18"/>
                <w:szCs w:val="18"/>
              </w:rPr>
              <w:t>0</w:t>
            </w:r>
          </w:p>
        </w:tc>
        <w:tc>
          <w:tcPr>
            <w:tcW w:w="1240" w:type="dxa"/>
            <w:tcBorders>
              <w:top w:val="doub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241" w:type="dxa"/>
            <w:tcBorders>
              <w:top w:val="double" w:sz="4" w:space="0" w:color="auto"/>
              <w:bottom w:val="double" w:sz="4" w:space="0" w:color="auto"/>
              <w:right w:val="double" w:sz="4" w:space="0" w:color="auto"/>
            </w:tcBorders>
            <w:shd w:val="clear" w:color="auto" w:fill="auto"/>
          </w:tcPr>
          <w:p w:rsidR="00C723DD" w:rsidRPr="0046596C" w:rsidRDefault="00C723DD" w:rsidP="00C723DD">
            <w:pPr>
              <w:jc w:val="center"/>
              <w:rPr>
                <w:rFonts w:asciiTheme="minorHAnsi" w:hAnsiTheme="minorHAnsi" w:cstheme="minorHAnsi"/>
                <w:sz w:val="18"/>
                <w:szCs w:val="18"/>
              </w:rPr>
            </w:pPr>
            <w:r w:rsidRPr="0046596C">
              <w:rPr>
                <w:rFonts w:asciiTheme="minorHAnsi" w:hAnsiTheme="minorHAnsi" w:cstheme="minorHAnsi"/>
                <w:sz w:val="18"/>
                <w:szCs w:val="18"/>
              </w:rPr>
              <w:t>-</w:t>
            </w:r>
          </w:p>
        </w:tc>
      </w:tr>
    </w:tbl>
    <w:p w:rsidR="00C723DD" w:rsidRPr="00113EE0" w:rsidRDefault="00C723DD" w:rsidP="00C723DD">
      <w:pPr>
        <w:rPr>
          <w:rFonts w:asciiTheme="minorHAnsi" w:hAnsiTheme="minorHAnsi" w:cstheme="minorHAnsi"/>
          <w:b/>
        </w:rPr>
      </w:pPr>
    </w:p>
    <w:p w:rsidR="00C723DD" w:rsidRPr="00113EE0" w:rsidRDefault="00C723DD" w:rsidP="00C723DD">
      <w:pPr>
        <w:ind w:right="-567"/>
        <w:jc w:val="both"/>
        <w:rPr>
          <w:rFonts w:asciiTheme="minorHAnsi" w:hAnsiTheme="minorHAnsi" w:cstheme="minorHAnsi"/>
          <w:b/>
          <w:i/>
          <w:sz w:val="22"/>
        </w:rPr>
      </w:pPr>
      <w:r w:rsidRPr="00113EE0">
        <w:rPr>
          <w:rFonts w:asciiTheme="minorHAnsi" w:hAnsiTheme="minorHAnsi" w:cstheme="minorHAnsi"/>
          <w:b/>
          <w:sz w:val="22"/>
        </w:rPr>
        <w:t>7. Prognóza vývoje trhu práce na rok 201</w:t>
      </w:r>
      <w:r>
        <w:rPr>
          <w:rFonts w:asciiTheme="minorHAnsi" w:hAnsiTheme="minorHAnsi" w:cstheme="minorHAnsi"/>
          <w:b/>
          <w:sz w:val="22"/>
        </w:rPr>
        <w:t>5</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1780"/>
        <w:gridCol w:w="1783"/>
        <w:gridCol w:w="1779"/>
        <w:gridCol w:w="1780"/>
      </w:tblGrid>
      <w:tr w:rsidR="00C723DD" w:rsidRPr="00113EE0" w:rsidTr="00C723DD">
        <w:trPr>
          <w:cantSplit/>
          <w:trHeight w:val="199"/>
        </w:trPr>
        <w:tc>
          <w:tcPr>
            <w:tcW w:w="2376" w:type="dxa"/>
            <w:vMerge w:val="restart"/>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očekávaný stav k</w:t>
            </w:r>
          </w:p>
        </w:tc>
        <w:tc>
          <w:tcPr>
            <w:tcW w:w="3563"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lepší vývoj</w:t>
            </w:r>
          </w:p>
        </w:tc>
        <w:tc>
          <w:tcPr>
            <w:tcW w:w="3559"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horší vývoj</w:t>
            </w:r>
          </w:p>
        </w:tc>
      </w:tr>
      <w:tr w:rsidR="00C723DD" w:rsidRPr="00113EE0" w:rsidTr="00C723DD">
        <w:trPr>
          <w:cantSplit/>
          <w:trHeight w:val="587"/>
        </w:trPr>
        <w:tc>
          <w:tcPr>
            <w:tcW w:w="2376" w:type="dxa"/>
            <w:vMerge/>
            <w:tcBorders>
              <w:bottom w:val="double" w:sz="4" w:space="0" w:color="auto"/>
            </w:tcBorders>
          </w:tcPr>
          <w:p w:rsidR="00C723DD" w:rsidRPr="00113EE0" w:rsidRDefault="00C723DD" w:rsidP="00C723DD">
            <w:pPr>
              <w:pStyle w:val="Texttabulky"/>
              <w:jc w:val="center"/>
              <w:rPr>
                <w:rFonts w:asciiTheme="minorHAnsi" w:hAnsiTheme="minorHAnsi" w:cstheme="minorHAnsi"/>
                <w:b/>
                <w:bCs/>
                <w:i/>
                <w:iCs/>
                <w:color w:val="auto"/>
                <w:sz w:val="18"/>
              </w:rPr>
            </w:pPr>
          </w:p>
        </w:tc>
        <w:tc>
          <w:tcPr>
            <w:tcW w:w="1780"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783"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c>
          <w:tcPr>
            <w:tcW w:w="1779"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780"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r>
      <w:tr w:rsidR="00C723DD" w:rsidRPr="00113EE0" w:rsidTr="00C723DD">
        <w:trPr>
          <w:cantSplit/>
          <w:trHeight w:val="232"/>
        </w:trPr>
        <w:tc>
          <w:tcPr>
            <w:tcW w:w="2376" w:type="dxa"/>
            <w:tcBorders>
              <w:top w:val="double" w:sz="4" w:space="0" w:color="auto"/>
              <w:bottom w:val="single" w:sz="4" w:space="0" w:color="auto"/>
            </w:tcBorders>
            <w:vAlign w:val="center"/>
          </w:tcPr>
          <w:p w:rsidR="00C723DD" w:rsidRPr="00113EE0" w:rsidRDefault="00C723DD" w:rsidP="00C723DD">
            <w:pPr>
              <w:pStyle w:val="Nadpis2"/>
              <w:ind w:firstLine="0"/>
              <w:rPr>
                <w:rFonts w:asciiTheme="minorHAnsi" w:hAnsiTheme="minorHAnsi" w:cstheme="minorHAnsi"/>
                <w:sz w:val="18"/>
              </w:rPr>
            </w:pPr>
            <w:r w:rsidRPr="00113EE0">
              <w:rPr>
                <w:rFonts w:asciiTheme="minorHAnsi" w:hAnsiTheme="minorHAnsi" w:cstheme="minorHAnsi"/>
                <w:sz w:val="18"/>
              </w:rPr>
              <w:t>30.06.201</w:t>
            </w:r>
            <w:r>
              <w:rPr>
                <w:rFonts w:asciiTheme="minorHAnsi" w:hAnsiTheme="minorHAnsi" w:cstheme="minorHAnsi"/>
                <w:sz w:val="18"/>
              </w:rPr>
              <w:t>5</w:t>
            </w:r>
          </w:p>
        </w:tc>
        <w:tc>
          <w:tcPr>
            <w:tcW w:w="1780" w:type="dxa"/>
            <w:tcBorders>
              <w:top w:val="double" w:sz="4" w:space="0" w:color="auto"/>
              <w:bottom w:val="single" w:sz="4" w:space="0" w:color="auto"/>
            </w:tcBorders>
            <w:vAlign w:val="center"/>
          </w:tcPr>
          <w:p w:rsidR="00C723DD" w:rsidRPr="00D456EB" w:rsidRDefault="00C723DD" w:rsidP="00C723DD">
            <w:pPr>
              <w:jc w:val="center"/>
              <w:rPr>
                <w:rFonts w:asciiTheme="minorHAnsi" w:hAnsiTheme="minorHAnsi" w:cstheme="minorHAnsi"/>
                <w:sz w:val="18"/>
                <w:szCs w:val="18"/>
              </w:rPr>
            </w:pPr>
            <w:r w:rsidRPr="00D456EB">
              <w:rPr>
                <w:rFonts w:asciiTheme="minorHAnsi" w:hAnsiTheme="minorHAnsi" w:cstheme="minorHAnsi"/>
                <w:sz w:val="18"/>
                <w:szCs w:val="18"/>
              </w:rPr>
              <w:t>21</w:t>
            </w:r>
            <w:r>
              <w:rPr>
                <w:rFonts w:asciiTheme="minorHAnsi" w:hAnsiTheme="minorHAnsi" w:cstheme="minorHAnsi"/>
                <w:sz w:val="18"/>
                <w:szCs w:val="18"/>
              </w:rPr>
              <w:t xml:space="preserve"> </w:t>
            </w:r>
            <w:r w:rsidRPr="00D456EB">
              <w:rPr>
                <w:rFonts w:asciiTheme="minorHAnsi" w:hAnsiTheme="minorHAnsi" w:cstheme="minorHAnsi"/>
                <w:sz w:val="18"/>
                <w:szCs w:val="18"/>
              </w:rPr>
              <w:t>500</w:t>
            </w:r>
          </w:p>
        </w:tc>
        <w:tc>
          <w:tcPr>
            <w:tcW w:w="1783" w:type="dxa"/>
            <w:tcBorders>
              <w:top w:val="double" w:sz="4" w:space="0" w:color="auto"/>
              <w:bottom w:val="single" w:sz="4" w:space="0" w:color="auto"/>
            </w:tcBorders>
            <w:vAlign w:val="center"/>
          </w:tcPr>
          <w:p w:rsidR="00C723DD" w:rsidRPr="00D456E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12,1</w:t>
            </w:r>
          </w:p>
        </w:tc>
        <w:tc>
          <w:tcPr>
            <w:tcW w:w="1779" w:type="dxa"/>
            <w:tcBorders>
              <w:top w:val="double" w:sz="4" w:space="0" w:color="auto"/>
              <w:bottom w:val="single" w:sz="4" w:space="0" w:color="auto"/>
            </w:tcBorders>
            <w:vAlign w:val="center"/>
          </w:tcPr>
          <w:p w:rsidR="00C723DD" w:rsidRPr="00D456EB" w:rsidRDefault="00C723DD" w:rsidP="00C723DD">
            <w:pPr>
              <w:jc w:val="center"/>
              <w:rPr>
                <w:rFonts w:asciiTheme="minorHAnsi" w:hAnsiTheme="minorHAnsi" w:cstheme="minorHAnsi"/>
                <w:sz w:val="18"/>
                <w:szCs w:val="18"/>
              </w:rPr>
            </w:pPr>
            <w:r w:rsidRPr="00D456EB">
              <w:rPr>
                <w:rFonts w:asciiTheme="minorHAnsi" w:hAnsiTheme="minorHAnsi" w:cstheme="minorHAnsi"/>
                <w:sz w:val="18"/>
                <w:szCs w:val="18"/>
              </w:rPr>
              <w:t>22</w:t>
            </w:r>
            <w:r>
              <w:rPr>
                <w:rFonts w:asciiTheme="minorHAnsi" w:hAnsiTheme="minorHAnsi" w:cstheme="minorHAnsi"/>
                <w:sz w:val="18"/>
                <w:szCs w:val="18"/>
              </w:rPr>
              <w:t xml:space="preserve"> </w:t>
            </w:r>
            <w:r w:rsidRPr="00D456EB">
              <w:rPr>
                <w:rFonts w:asciiTheme="minorHAnsi" w:hAnsiTheme="minorHAnsi" w:cstheme="minorHAnsi"/>
                <w:sz w:val="18"/>
                <w:szCs w:val="18"/>
              </w:rPr>
              <w:t>000</w:t>
            </w:r>
          </w:p>
        </w:tc>
        <w:tc>
          <w:tcPr>
            <w:tcW w:w="1780" w:type="dxa"/>
            <w:tcBorders>
              <w:top w:val="double" w:sz="4" w:space="0" w:color="auto"/>
              <w:bottom w:val="single" w:sz="4" w:space="0" w:color="auto"/>
            </w:tcBorders>
            <w:vAlign w:val="center"/>
          </w:tcPr>
          <w:p w:rsidR="00C723DD" w:rsidRPr="00D456E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12,4</w:t>
            </w:r>
          </w:p>
        </w:tc>
      </w:tr>
      <w:tr w:rsidR="00C723DD" w:rsidRPr="00113EE0" w:rsidTr="00C723DD">
        <w:trPr>
          <w:cantSplit/>
          <w:trHeight w:val="232"/>
        </w:trPr>
        <w:tc>
          <w:tcPr>
            <w:tcW w:w="2376" w:type="dxa"/>
            <w:tcBorders>
              <w:top w:val="single" w:sz="4" w:space="0" w:color="auto"/>
              <w:bottom w:val="double" w:sz="4" w:space="0" w:color="auto"/>
            </w:tcBorders>
            <w:vAlign w:val="center"/>
          </w:tcPr>
          <w:p w:rsidR="00C723DD" w:rsidRPr="00113EE0" w:rsidRDefault="00C723DD" w:rsidP="00C723DD">
            <w:pPr>
              <w:pStyle w:val="Nadpis2"/>
              <w:ind w:firstLine="0"/>
              <w:rPr>
                <w:rFonts w:asciiTheme="minorHAnsi" w:hAnsiTheme="minorHAnsi" w:cstheme="minorHAnsi"/>
                <w:sz w:val="18"/>
              </w:rPr>
            </w:pPr>
            <w:r w:rsidRPr="00113EE0">
              <w:rPr>
                <w:rFonts w:asciiTheme="minorHAnsi" w:hAnsiTheme="minorHAnsi" w:cstheme="minorHAnsi"/>
                <w:sz w:val="18"/>
              </w:rPr>
              <w:t>31.12.201</w:t>
            </w:r>
            <w:r>
              <w:rPr>
                <w:rFonts w:asciiTheme="minorHAnsi" w:hAnsiTheme="minorHAnsi" w:cstheme="minorHAnsi"/>
                <w:sz w:val="18"/>
              </w:rPr>
              <w:t>5</w:t>
            </w:r>
          </w:p>
        </w:tc>
        <w:tc>
          <w:tcPr>
            <w:tcW w:w="1780" w:type="dxa"/>
            <w:tcBorders>
              <w:top w:val="single" w:sz="4" w:space="0" w:color="auto"/>
              <w:bottom w:val="double" w:sz="4" w:space="0" w:color="auto"/>
            </w:tcBorders>
            <w:vAlign w:val="center"/>
          </w:tcPr>
          <w:p w:rsidR="00C723DD" w:rsidRPr="00D456EB" w:rsidRDefault="00C723DD" w:rsidP="00C723DD">
            <w:pPr>
              <w:jc w:val="center"/>
              <w:rPr>
                <w:rFonts w:asciiTheme="minorHAnsi" w:hAnsiTheme="minorHAnsi" w:cstheme="minorHAnsi"/>
                <w:sz w:val="18"/>
                <w:szCs w:val="18"/>
              </w:rPr>
            </w:pPr>
            <w:r w:rsidRPr="00D456EB">
              <w:rPr>
                <w:rFonts w:asciiTheme="minorHAnsi" w:hAnsiTheme="minorHAnsi" w:cstheme="minorHAnsi"/>
                <w:sz w:val="18"/>
                <w:szCs w:val="18"/>
              </w:rPr>
              <w:t>20</w:t>
            </w:r>
            <w:r>
              <w:rPr>
                <w:rFonts w:asciiTheme="minorHAnsi" w:hAnsiTheme="minorHAnsi" w:cstheme="minorHAnsi"/>
                <w:sz w:val="18"/>
                <w:szCs w:val="18"/>
              </w:rPr>
              <w:t xml:space="preserve"> </w:t>
            </w:r>
            <w:r w:rsidRPr="00D456EB">
              <w:rPr>
                <w:rFonts w:asciiTheme="minorHAnsi" w:hAnsiTheme="minorHAnsi" w:cstheme="minorHAnsi"/>
                <w:sz w:val="18"/>
                <w:szCs w:val="18"/>
              </w:rPr>
              <w:t>900</w:t>
            </w:r>
          </w:p>
        </w:tc>
        <w:tc>
          <w:tcPr>
            <w:tcW w:w="1783" w:type="dxa"/>
            <w:tcBorders>
              <w:top w:val="single" w:sz="4" w:space="0" w:color="auto"/>
              <w:bottom w:val="double" w:sz="4" w:space="0" w:color="auto"/>
            </w:tcBorders>
            <w:vAlign w:val="center"/>
          </w:tcPr>
          <w:p w:rsidR="00C723DD" w:rsidRPr="00D456E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11,8</w:t>
            </w:r>
          </w:p>
        </w:tc>
        <w:tc>
          <w:tcPr>
            <w:tcW w:w="1779" w:type="dxa"/>
            <w:tcBorders>
              <w:top w:val="single" w:sz="4" w:space="0" w:color="auto"/>
              <w:bottom w:val="double" w:sz="4" w:space="0" w:color="auto"/>
            </w:tcBorders>
            <w:vAlign w:val="center"/>
          </w:tcPr>
          <w:p w:rsidR="00C723DD" w:rsidRPr="00D456EB" w:rsidRDefault="00C723DD" w:rsidP="00C723DD">
            <w:pPr>
              <w:jc w:val="center"/>
              <w:rPr>
                <w:rFonts w:asciiTheme="minorHAnsi" w:hAnsiTheme="minorHAnsi" w:cstheme="minorHAnsi"/>
                <w:sz w:val="18"/>
                <w:szCs w:val="18"/>
              </w:rPr>
            </w:pPr>
            <w:r w:rsidRPr="00D456EB">
              <w:rPr>
                <w:rFonts w:asciiTheme="minorHAnsi" w:hAnsiTheme="minorHAnsi" w:cstheme="minorHAnsi"/>
                <w:sz w:val="18"/>
                <w:szCs w:val="18"/>
              </w:rPr>
              <w:t>21</w:t>
            </w:r>
            <w:r>
              <w:rPr>
                <w:rFonts w:asciiTheme="minorHAnsi" w:hAnsiTheme="minorHAnsi" w:cstheme="minorHAnsi"/>
                <w:sz w:val="18"/>
                <w:szCs w:val="18"/>
              </w:rPr>
              <w:t xml:space="preserve"> </w:t>
            </w:r>
            <w:r w:rsidRPr="00D456EB">
              <w:rPr>
                <w:rFonts w:asciiTheme="minorHAnsi" w:hAnsiTheme="minorHAnsi" w:cstheme="minorHAnsi"/>
                <w:sz w:val="18"/>
                <w:szCs w:val="18"/>
              </w:rPr>
              <w:t>400</w:t>
            </w:r>
          </w:p>
        </w:tc>
        <w:tc>
          <w:tcPr>
            <w:tcW w:w="1780" w:type="dxa"/>
            <w:tcBorders>
              <w:top w:val="single" w:sz="4" w:space="0" w:color="auto"/>
              <w:bottom w:val="double" w:sz="4" w:space="0" w:color="auto"/>
            </w:tcBorders>
            <w:vAlign w:val="center"/>
          </w:tcPr>
          <w:p w:rsidR="00C723DD" w:rsidRPr="00D456E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12,2</w:t>
            </w:r>
          </w:p>
        </w:tc>
      </w:tr>
    </w:tbl>
    <w:p w:rsidR="00C723DD" w:rsidRPr="00113EE0" w:rsidRDefault="00C723DD" w:rsidP="00C723DD">
      <w:pPr>
        <w:pStyle w:val="Nadpis1"/>
        <w:rPr>
          <w:rFonts w:asciiTheme="minorHAnsi" w:hAnsiTheme="minorHAnsi" w:cstheme="minorHAnsi"/>
          <w:b/>
          <w:i w:val="0"/>
          <w:sz w:val="28"/>
          <w:szCs w:val="28"/>
        </w:rPr>
      </w:pPr>
      <w:r w:rsidRPr="00113EE0">
        <w:rPr>
          <w:rFonts w:asciiTheme="minorHAnsi" w:hAnsiTheme="minorHAnsi" w:cstheme="minorHAnsi"/>
          <w:sz w:val="24"/>
          <w:szCs w:val="24"/>
        </w:rPr>
        <w:br w:type="page"/>
      </w:r>
      <w:r w:rsidRPr="00113EE0">
        <w:rPr>
          <w:rFonts w:asciiTheme="minorHAnsi" w:hAnsiTheme="minorHAnsi" w:cstheme="minorHAnsi"/>
          <w:b/>
          <w:sz w:val="28"/>
          <w:szCs w:val="28"/>
        </w:rPr>
        <w:t>Okres Nový Jičín</w:t>
      </w:r>
    </w:p>
    <w:p w:rsidR="00C723DD" w:rsidRPr="00113EE0" w:rsidRDefault="00C723DD" w:rsidP="00C723DD">
      <w:pPr>
        <w:rPr>
          <w:rFonts w:asciiTheme="minorHAnsi" w:hAnsiTheme="minorHAnsi" w:cstheme="minorHAnsi"/>
          <w:b/>
        </w:rPr>
      </w:pPr>
    </w:p>
    <w:p w:rsidR="00C723DD" w:rsidRPr="00113EE0" w:rsidRDefault="00C723DD" w:rsidP="00C723DD">
      <w:pPr>
        <w:ind w:right="-567"/>
        <w:jc w:val="both"/>
        <w:rPr>
          <w:rFonts w:asciiTheme="minorHAnsi" w:hAnsiTheme="minorHAnsi" w:cstheme="minorHAnsi"/>
          <w:b/>
          <w:sz w:val="22"/>
        </w:rPr>
      </w:pPr>
      <w:r w:rsidRPr="00113EE0">
        <w:rPr>
          <w:rFonts w:asciiTheme="minorHAnsi" w:hAnsiTheme="minorHAnsi" w:cstheme="minorHAnsi"/>
          <w:b/>
          <w:sz w:val="22"/>
        </w:rPr>
        <w:t>1. Celková charakteristika okresu</w:t>
      </w:r>
    </w:p>
    <w:tbl>
      <w:tblPr>
        <w:tblW w:w="9567" w:type="dxa"/>
        <w:tblLayout w:type="fixed"/>
        <w:tblCellMar>
          <w:left w:w="70" w:type="dxa"/>
          <w:right w:w="70" w:type="dxa"/>
        </w:tblCellMar>
        <w:tblLook w:val="0000" w:firstRow="0" w:lastRow="0" w:firstColumn="0" w:lastColumn="0" w:noHBand="0" w:noVBand="0"/>
      </w:tblPr>
      <w:tblGrid>
        <w:gridCol w:w="1771"/>
        <w:gridCol w:w="7796"/>
      </w:tblGrid>
      <w:tr w:rsidR="00C723DD" w:rsidRPr="00113EE0" w:rsidTr="00C723DD">
        <w:trPr>
          <w:trHeight w:val="1144"/>
        </w:trPr>
        <w:tc>
          <w:tcPr>
            <w:tcW w:w="1771" w:type="dxa"/>
          </w:tcPr>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Rozloha:</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Počet obyvatel:</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Hustota osídlení:</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Charakter:</w:t>
            </w:r>
          </w:p>
        </w:tc>
        <w:tc>
          <w:tcPr>
            <w:tcW w:w="7796" w:type="dxa"/>
          </w:tcPr>
          <w:p w:rsidR="00C723DD" w:rsidRPr="00113EE0" w:rsidRDefault="00C723DD" w:rsidP="00C723DD">
            <w:pPr>
              <w:ind w:right="-567"/>
              <w:jc w:val="both"/>
              <w:rPr>
                <w:rFonts w:asciiTheme="minorHAnsi" w:hAnsiTheme="minorHAnsi" w:cstheme="minorHAnsi"/>
                <w:vertAlign w:val="superscript"/>
              </w:rPr>
            </w:pPr>
            <w:r w:rsidRPr="00113EE0">
              <w:rPr>
                <w:rFonts w:asciiTheme="minorHAnsi" w:hAnsiTheme="minorHAnsi" w:cstheme="minorHAnsi"/>
              </w:rPr>
              <w:t>882 km</w:t>
            </w:r>
            <w:r w:rsidRPr="00113EE0">
              <w:rPr>
                <w:rFonts w:asciiTheme="minorHAnsi" w:hAnsiTheme="minorHAnsi" w:cstheme="minorHAnsi"/>
                <w:vertAlign w:val="superscript"/>
              </w:rPr>
              <w:t>2</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snapToGrid w:val="0"/>
              </w:rPr>
              <w:t>152,0 tis.</w:t>
            </w:r>
          </w:p>
          <w:p w:rsidR="00C723DD" w:rsidRPr="00113EE0" w:rsidRDefault="00C723DD" w:rsidP="00C723DD">
            <w:pPr>
              <w:ind w:right="-567"/>
              <w:jc w:val="both"/>
              <w:rPr>
                <w:rFonts w:asciiTheme="minorHAnsi" w:hAnsiTheme="minorHAnsi" w:cstheme="minorHAnsi"/>
                <w:vertAlign w:val="superscript"/>
              </w:rPr>
            </w:pPr>
            <w:r>
              <w:rPr>
                <w:rFonts w:asciiTheme="minorHAnsi" w:hAnsiTheme="minorHAnsi" w:cstheme="minorHAnsi"/>
              </w:rPr>
              <w:t>172</w:t>
            </w:r>
            <w:r w:rsidRPr="00113EE0">
              <w:rPr>
                <w:rFonts w:asciiTheme="minorHAnsi" w:hAnsiTheme="minorHAnsi" w:cstheme="minorHAnsi"/>
              </w:rPr>
              <w:t xml:space="preserve"> obyvatel/km</w:t>
            </w:r>
            <w:r w:rsidRPr="00113EE0">
              <w:rPr>
                <w:rFonts w:asciiTheme="minorHAnsi" w:hAnsiTheme="minorHAnsi" w:cstheme="minorHAnsi"/>
                <w:vertAlign w:val="superscript"/>
              </w:rPr>
              <w:t>2</w:t>
            </w:r>
          </w:p>
          <w:p w:rsidR="00C723DD" w:rsidRPr="00113EE0" w:rsidRDefault="00C723DD" w:rsidP="00C723DD">
            <w:pPr>
              <w:ind w:right="-70"/>
              <w:jc w:val="both"/>
              <w:rPr>
                <w:rFonts w:asciiTheme="minorHAnsi" w:hAnsiTheme="minorHAnsi" w:cstheme="minorHAnsi"/>
              </w:rPr>
            </w:pPr>
            <w:r w:rsidRPr="00113EE0">
              <w:rPr>
                <w:rFonts w:asciiTheme="minorHAnsi" w:hAnsiTheme="minorHAnsi" w:cstheme="minorHAnsi"/>
              </w:rPr>
              <w:t>průmyslově zemědělská oblast, převažuje strojírenství a elektrotechnický průmysl, významná je i výroba pryžových a plastových výrobků</w:t>
            </w:r>
          </w:p>
        </w:tc>
      </w:tr>
    </w:tbl>
    <w:p w:rsidR="00C723DD" w:rsidRPr="00113EE0" w:rsidRDefault="00C723DD" w:rsidP="00C723DD">
      <w:pPr>
        <w:ind w:right="-567"/>
        <w:jc w:val="both"/>
        <w:rPr>
          <w:rFonts w:asciiTheme="minorHAnsi" w:hAnsiTheme="minorHAnsi" w:cstheme="minorHAnsi"/>
        </w:rPr>
      </w:pPr>
    </w:p>
    <w:p w:rsidR="00C723DD" w:rsidRPr="00113EE0" w:rsidRDefault="00C723DD" w:rsidP="00C723DD">
      <w:pPr>
        <w:spacing w:before="120"/>
        <w:ind w:right="-567"/>
        <w:jc w:val="both"/>
        <w:rPr>
          <w:rFonts w:asciiTheme="minorHAnsi" w:hAnsiTheme="minorHAnsi" w:cstheme="minorHAnsi"/>
          <w:b/>
          <w:i/>
          <w:sz w:val="22"/>
        </w:rPr>
      </w:pPr>
      <w:r w:rsidRPr="00113EE0">
        <w:rPr>
          <w:rFonts w:asciiTheme="minorHAnsi" w:hAnsiTheme="minorHAnsi" w:cstheme="minorHAnsi"/>
          <w:b/>
          <w:i/>
          <w:sz w:val="22"/>
        </w:rPr>
        <w:t>Silné stránky okresu (specifika, která nejsou obsažena v krajské analýze)</w:t>
      </w:r>
    </w:p>
    <w:p w:rsidR="00C723DD" w:rsidRPr="00113EE0" w:rsidRDefault="00C723DD" w:rsidP="00C723DD">
      <w:pPr>
        <w:numPr>
          <w:ilvl w:val="0"/>
          <w:numId w:val="15"/>
        </w:numPr>
        <w:ind w:left="426" w:hanging="426"/>
        <w:jc w:val="both"/>
        <w:rPr>
          <w:rFonts w:asciiTheme="minorHAnsi" w:hAnsiTheme="minorHAnsi" w:cstheme="minorHAnsi"/>
        </w:rPr>
      </w:pPr>
      <w:r w:rsidRPr="00113EE0">
        <w:rPr>
          <w:rFonts w:asciiTheme="minorHAnsi" w:hAnsiTheme="minorHAnsi" w:cstheme="minorHAnsi"/>
        </w:rPr>
        <w:t>Koncentrace firem automobilového průmyslu - průmyslové zóny.</w:t>
      </w:r>
    </w:p>
    <w:p w:rsidR="00C723DD" w:rsidRPr="00113EE0" w:rsidRDefault="00C723DD" w:rsidP="00C723DD">
      <w:pPr>
        <w:numPr>
          <w:ilvl w:val="0"/>
          <w:numId w:val="15"/>
        </w:numPr>
        <w:ind w:left="426" w:hanging="426"/>
        <w:jc w:val="both"/>
        <w:rPr>
          <w:rFonts w:asciiTheme="minorHAnsi" w:hAnsiTheme="minorHAnsi" w:cstheme="minorHAnsi"/>
        </w:rPr>
      </w:pPr>
      <w:r w:rsidRPr="00113EE0">
        <w:rPr>
          <w:rFonts w:asciiTheme="minorHAnsi" w:hAnsiTheme="minorHAnsi" w:cstheme="minorHAnsi"/>
        </w:rPr>
        <w:t>Vysoký podíl zahraničního kapitálu.</w:t>
      </w:r>
    </w:p>
    <w:p w:rsidR="00C723DD" w:rsidRPr="00113EE0" w:rsidRDefault="00C723DD" w:rsidP="00C723DD">
      <w:pPr>
        <w:numPr>
          <w:ilvl w:val="0"/>
          <w:numId w:val="15"/>
        </w:numPr>
        <w:ind w:left="426" w:hanging="426"/>
        <w:jc w:val="both"/>
        <w:rPr>
          <w:rFonts w:asciiTheme="minorHAnsi" w:hAnsiTheme="minorHAnsi" w:cstheme="minorHAnsi"/>
        </w:rPr>
      </w:pPr>
      <w:r w:rsidRPr="00113EE0">
        <w:rPr>
          <w:rFonts w:asciiTheme="minorHAnsi" w:hAnsiTheme="minorHAnsi" w:cstheme="minorHAnsi"/>
        </w:rPr>
        <w:t>Přírodní bohatství: zásoby kamene,</w:t>
      </w:r>
      <w:r w:rsidR="006E781B">
        <w:rPr>
          <w:rFonts w:asciiTheme="minorHAnsi" w:hAnsiTheme="minorHAnsi" w:cstheme="minorHAnsi"/>
        </w:rPr>
        <w:t xml:space="preserve"> ložiska vápence, rozsáhlá rybní</w:t>
      </w:r>
      <w:r w:rsidRPr="00113EE0">
        <w:rPr>
          <w:rFonts w:asciiTheme="minorHAnsi" w:hAnsiTheme="minorHAnsi" w:cstheme="minorHAnsi"/>
        </w:rPr>
        <w:t>kářská soustava.</w:t>
      </w:r>
    </w:p>
    <w:p w:rsidR="00C723DD" w:rsidRPr="00113EE0" w:rsidRDefault="00C723DD" w:rsidP="00C723DD">
      <w:pPr>
        <w:numPr>
          <w:ilvl w:val="0"/>
          <w:numId w:val="15"/>
        </w:numPr>
        <w:ind w:left="426" w:hanging="426"/>
        <w:jc w:val="both"/>
        <w:rPr>
          <w:rFonts w:asciiTheme="minorHAnsi" w:hAnsiTheme="minorHAnsi" w:cstheme="minorHAnsi"/>
        </w:rPr>
      </w:pPr>
      <w:r w:rsidRPr="00113EE0">
        <w:rPr>
          <w:rFonts w:asciiTheme="minorHAnsi" w:hAnsiTheme="minorHAnsi" w:cstheme="minorHAnsi"/>
        </w:rPr>
        <w:t>Blízkost Letiště Leoše Janáčka.</w:t>
      </w:r>
    </w:p>
    <w:p w:rsidR="00C723DD" w:rsidRPr="00113EE0" w:rsidRDefault="00C723DD" w:rsidP="00C723DD">
      <w:pPr>
        <w:numPr>
          <w:ilvl w:val="0"/>
          <w:numId w:val="15"/>
        </w:numPr>
        <w:ind w:left="426" w:hanging="426"/>
        <w:jc w:val="both"/>
        <w:rPr>
          <w:rFonts w:asciiTheme="minorHAnsi" w:hAnsiTheme="minorHAnsi" w:cstheme="minorHAnsi"/>
        </w:rPr>
      </w:pPr>
      <w:r w:rsidRPr="00113EE0">
        <w:rPr>
          <w:rFonts w:asciiTheme="minorHAnsi" w:hAnsiTheme="minorHAnsi" w:cstheme="minorHAnsi"/>
        </w:rPr>
        <w:t>Nově vybudovaný úsek dálnice D1.</w:t>
      </w:r>
    </w:p>
    <w:p w:rsidR="00C723DD" w:rsidRPr="00113EE0" w:rsidRDefault="00C723DD" w:rsidP="00C723DD">
      <w:pPr>
        <w:spacing w:before="120"/>
        <w:ind w:right="-285"/>
        <w:jc w:val="both"/>
        <w:rPr>
          <w:rFonts w:asciiTheme="minorHAnsi" w:hAnsiTheme="minorHAnsi" w:cstheme="minorHAnsi"/>
          <w:b/>
          <w:i/>
          <w:sz w:val="22"/>
        </w:rPr>
      </w:pPr>
      <w:r w:rsidRPr="00113EE0">
        <w:rPr>
          <w:rFonts w:asciiTheme="minorHAnsi" w:hAnsiTheme="minorHAnsi" w:cstheme="minorHAnsi"/>
          <w:b/>
          <w:i/>
          <w:sz w:val="22"/>
        </w:rPr>
        <w:t>Slabé stránky okresu (specifika, která nejsou obsažena v krajské analýze)</w:t>
      </w:r>
    </w:p>
    <w:p w:rsidR="00C723DD" w:rsidRPr="00113EE0" w:rsidRDefault="00C723DD" w:rsidP="00C723DD">
      <w:pPr>
        <w:numPr>
          <w:ilvl w:val="0"/>
          <w:numId w:val="13"/>
        </w:numPr>
        <w:tabs>
          <w:tab w:val="clear" w:pos="720"/>
          <w:tab w:val="num" w:pos="426"/>
        </w:tabs>
        <w:ind w:left="426" w:hanging="426"/>
        <w:jc w:val="both"/>
        <w:rPr>
          <w:rFonts w:asciiTheme="minorHAnsi" w:hAnsiTheme="minorHAnsi" w:cstheme="minorHAnsi"/>
        </w:rPr>
      </w:pPr>
      <w:r w:rsidRPr="00113EE0">
        <w:rPr>
          <w:rFonts w:asciiTheme="minorHAnsi" w:hAnsiTheme="minorHAnsi" w:cstheme="minorHAnsi"/>
        </w:rPr>
        <w:t>Koncentrace firem vyrábějících pro automobilový průmysl násobí projevy ekonomických problémů ovlivňujících nezaměstnanost.</w:t>
      </w:r>
    </w:p>
    <w:p w:rsidR="00C723DD" w:rsidRPr="00113EE0" w:rsidRDefault="00C723DD" w:rsidP="00C723DD">
      <w:pPr>
        <w:ind w:left="360"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sz w:val="22"/>
        </w:rPr>
      </w:pPr>
      <w:r w:rsidRPr="00113EE0">
        <w:rPr>
          <w:rFonts w:asciiTheme="minorHAnsi" w:hAnsiTheme="minorHAnsi" w:cstheme="minorHAnsi"/>
          <w:b/>
          <w:sz w:val="22"/>
        </w:rPr>
        <w:t>2. Zaměstnanost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1028"/>
        <w:gridCol w:w="1028"/>
        <w:gridCol w:w="1028"/>
        <w:gridCol w:w="1028"/>
      </w:tblGrid>
      <w:tr w:rsidR="00C723DD" w:rsidRPr="00113EE0" w:rsidTr="00C723DD">
        <w:trPr>
          <w:cantSplit/>
        </w:trPr>
        <w:tc>
          <w:tcPr>
            <w:tcW w:w="5386"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8"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8"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8" w:type="dxa"/>
            <w:tcBorders>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8"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5386" w:type="dxa"/>
            <w:tcBorders>
              <w:top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zaměstnavatelé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 (monitorované firmy)</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261</w:t>
            </w:r>
          </w:p>
        </w:tc>
        <w:tc>
          <w:tcPr>
            <w:tcW w:w="1028" w:type="dxa"/>
            <w:tcBorders>
              <w:top w:val="double" w:sz="4" w:space="0" w:color="auto"/>
              <w:bottom w:val="single" w:sz="4" w:space="0" w:color="auto"/>
            </w:tcBorders>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248</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w:t>
            </w:r>
          </w:p>
        </w:tc>
        <w:tc>
          <w:tcPr>
            <w:tcW w:w="1028"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95,0</w:t>
            </w:r>
          </w:p>
        </w:tc>
      </w:tr>
      <w:tr w:rsidR="00C723DD" w:rsidRPr="00113EE0" w:rsidTr="00C723DD">
        <w:trPr>
          <w:cantSplit/>
        </w:trPr>
        <w:tc>
          <w:tcPr>
            <w:tcW w:w="5386"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zaměstnanci u monitorovaných firem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w:t>
            </w:r>
          </w:p>
        </w:tc>
        <w:tc>
          <w:tcPr>
            <w:tcW w:w="1028"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35 897</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36 461</w:t>
            </w:r>
          </w:p>
        </w:tc>
        <w:tc>
          <w:tcPr>
            <w:tcW w:w="1028"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+564</w:t>
            </w:r>
          </w:p>
        </w:tc>
        <w:tc>
          <w:tcPr>
            <w:tcW w:w="1028"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101,6</w:t>
            </w:r>
          </w:p>
        </w:tc>
      </w:tr>
      <w:tr w:rsidR="00C723DD" w:rsidRPr="00113EE0" w:rsidTr="00C723DD">
        <w:trPr>
          <w:cantSplit/>
        </w:trPr>
        <w:tc>
          <w:tcPr>
            <w:tcW w:w="5386"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OSVČ (vykonávající činnost)</w:t>
            </w:r>
          </w:p>
        </w:tc>
        <w:tc>
          <w:tcPr>
            <w:tcW w:w="1028"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11 303</w:t>
            </w:r>
          </w:p>
        </w:tc>
        <w:tc>
          <w:tcPr>
            <w:tcW w:w="1028" w:type="dxa"/>
            <w:vAlign w:val="center"/>
          </w:tcPr>
          <w:p w:rsidR="00C723DD" w:rsidRPr="00B429B1" w:rsidRDefault="00C723DD" w:rsidP="00C723DD">
            <w:pPr>
              <w:jc w:val="center"/>
              <w:rPr>
                <w:rFonts w:asciiTheme="minorHAnsi" w:hAnsiTheme="minorHAnsi" w:cstheme="minorHAnsi"/>
                <w:sz w:val="18"/>
              </w:rPr>
            </w:pPr>
            <w:r>
              <w:rPr>
                <w:rFonts w:asciiTheme="minorHAnsi" w:hAnsiTheme="minorHAnsi" w:cstheme="minorHAnsi"/>
                <w:sz w:val="18"/>
              </w:rPr>
              <w:t>11 259</w:t>
            </w:r>
          </w:p>
        </w:tc>
        <w:tc>
          <w:tcPr>
            <w:tcW w:w="1028"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-44</w:t>
            </w:r>
          </w:p>
        </w:tc>
        <w:tc>
          <w:tcPr>
            <w:tcW w:w="1028"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99,6</w:t>
            </w:r>
          </w:p>
        </w:tc>
      </w:tr>
    </w:tbl>
    <w:p w:rsidR="00C723DD" w:rsidRPr="00113EE0" w:rsidRDefault="00C723DD" w:rsidP="00C723DD">
      <w:pPr>
        <w:ind w:right="-567"/>
        <w:jc w:val="both"/>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3. Evidovaná nezaměstnanost a volná pracovní místa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7"/>
        <w:gridCol w:w="1028"/>
        <w:gridCol w:w="1028"/>
        <w:gridCol w:w="1028"/>
      </w:tblGrid>
      <w:tr w:rsidR="00C723DD" w:rsidRPr="00113EE0" w:rsidTr="00C723DD">
        <w:trPr>
          <w:cantSplit/>
        </w:trPr>
        <w:tc>
          <w:tcPr>
            <w:tcW w:w="5387" w:type="dxa"/>
            <w:tcBorders>
              <w:top w:val="double" w:sz="4" w:space="0" w:color="auto"/>
              <w:left w:val="double" w:sz="4" w:space="0" w:color="auto"/>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7"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8"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8" w:type="dxa"/>
            <w:tcBorders>
              <w:top w:val="double" w:sz="4" w:space="0" w:color="auto"/>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8" w:type="dxa"/>
            <w:tcBorders>
              <w:top w:val="double" w:sz="4" w:space="0" w:color="auto"/>
              <w:bottom w:val="nil"/>
              <w:right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5387" w:type="dxa"/>
            <w:tcBorders>
              <w:top w:val="double" w:sz="4" w:space="0" w:color="auto"/>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evidovaní uchazeči o zaměstnání</w:t>
            </w:r>
          </w:p>
        </w:tc>
        <w:tc>
          <w:tcPr>
            <w:tcW w:w="1027" w:type="dxa"/>
            <w:tcBorders>
              <w:top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8 672</w:t>
            </w:r>
          </w:p>
        </w:tc>
        <w:tc>
          <w:tcPr>
            <w:tcW w:w="1028" w:type="dxa"/>
            <w:tcBorders>
              <w:top w:val="double" w:sz="4" w:space="0" w:color="auto"/>
            </w:tcBorders>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7</w:t>
            </w:r>
            <w:r>
              <w:rPr>
                <w:rFonts w:asciiTheme="minorHAnsi" w:hAnsiTheme="minorHAnsi" w:cstheme="minorHAnsi"/>
                <w:sz w:val="18"/>
              </w:rPr>
              <w:t xml:space="preserve"> </w:t>
            </w:r>
            <w:r w:rsidRPr="00B429B1">
              <w:rPr>
                <w:rFonts w:asciiTheme="minorHAnsi" w:hAnsiTheme="minorHAnsi" w:cstheme="minorHAnsi"/>
                <w:sz w:val="18"/>
              </w:rPr>
              <w:t>516</w:t>
            </w:r>
          </w:p>
        </w:tc>
        <w:tc>
          <w:tcPr>
            <w:tcW w:w="1028" w:type="dxa"/>
            <w:tcBorders>
              <w:top w:val="double" w:sz="4" w:space="0" w:color="auto"/>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-1 156</w:t>
            </w:r>
          </w:p>
        </w:tc>
        <w:tc>
          <w:tcPr>
            <w:tcW w:w="1028" w:type="dxa"/>
            <w:tcBorders>
              <w:top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86,7</w:t>
            </w:r>
          </w:p>
        </w:tc>
      </w:tr>
      <w:tr w:rsidR="00C723DD" w:rsidRPr="00113EE0" w:rsidTr="00C723DD">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ženy</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4 049</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3</w:t>
            </w:r>
            <w:r>
              <w:rPr>
                <w:rFonts w:asciiTheme="minorHAnsi" w:hAnsiTheme="minorHAnsi" w:cstheme="minorHAnsi"/>
                <w:sz w:val="18"/>
              </w:rPr>
              <w:t xml:space="preserve"> </w:t>
            </w:r>
            <w:r w:rsidRPr="00B429B1">
              <w:rPr>
                <w:rFonts w:asciiTheme="minorHAnsi" w:hAnsiTheme="minorHAnsi" w:cstheme="minorHAnsi"/>
                <w:sz w:val="18"/>
              </w:rPr>
              <w:t>551</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-498</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87,7</w:t>
            </w:r>
          </w:p>
        </w:tc>
      </w:tr>
      <w:tr w:rsidR="00C723DD" w:rsidRPr="00113EE0" w:rsidTr="00C723DD">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osoby se zdravotním postižením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1 002</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912</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-90</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91,0</w:t>
            </w:r>
          </w:p>
        </w:tc>
      </w:tr>
      <w:tr w:rsidR="00C723DD" w:rsidRPr="00113EE0" w:rsidTr="00C723DD">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absolventi škol a mladiství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629</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332</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-297</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52,8</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6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4 761</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4</w:t>
            </w:r>
            <w:r>
              <w:rPr>
                <w:rFonts w:asciiTheme="minorHAnsi" w:hAnsiTheme="minorHAnsi" w:cstheme="minorHAnsi"/>
                <w:sz w:val="18"/>
              </w:rPr>
              <w:t xml:space="preserve"> </w:t>
            </w:r>
            <w:r w:rsidRPr="00B429B1">
              <w:rPr>
                <w:rFonts w:asciiTheme="minorHAnsi" w:hAnsiTheme="minorHAnsi" w:cstheme="minorHAnsi"/>
                <w:sz w:val="18"/>
              </w:rPr>
              <w:t>283</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-478</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90,0</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12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3 283</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3</w:t>
            </w:r>
            <w:r>
              <w:rPr>
                <w:rFonts w:asciiTheme="minorHAnsi" w:hAnsiTheme="minorHAnsi" w:cstheme="minorHAnsi"/>
                <w:sz w:val="18"/>
              </w:rPr>
              <w:t xml:space="preserve"> </w:t>
            </w:r>
            <w:r w:rsidRPr="00B429B1">
              <w:rPr>
                <w:rFonts w:asciiTheme="minorHAnsi" w:hAnsiTheme="minorHAnsi" w:cstheme="minorHAnsi"/>
                <w:sz w:val="18"/>
              </w:rPr>
              <w:t>082</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-201</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93,9</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evidovaných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548</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624</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+76</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113,9</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vyřazených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324</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253</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-71</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78,1</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do 19 let věku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312</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188</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-124</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60,3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ve věku 50 let a starší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2 697</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2</w:t>
            </w:r>
            <w:r>
              <w:rPr>
                <w:rFonts w:asciiTheme="minorHAnsi" w:hAnsiTheme="minorHAnsi" w:cstheme="minorHAnsi"/>
                <w:sz w:val="18"/>
              </w:rPr>
              <w:t xml:space="preserve"> </w:t>
            </w:r>
            <w:r w:rsidRPr="00B429B1">
              <w:rPr>
                <w:rFonts w:asciiTheme="minorHAnsi" w:hAnsiTheme="minorHAnsi" w:cstheme="minorHAnsi"/>
                <w:sz w:val="18"/>
              </w:rPr>
              <w:t>566</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-131</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95,1</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bez vzdělání, s neúplným základním a se základním vzděláním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2 238</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1</w:t>
            </w:r>
            <w:r>
              <w:rPr>
                <w:rFonts w:asciiTheme="minorHAnsi" w:hAnsiTheme="minorHAnsi" w:cstheme="minorHAnsi"/>
                <w:sz w:val="18"/>
              </w:rPr>
              <w:t xml:space="preserve"> </w:t>
            </w:r>
            <w:r w:rsidRPr="00B429B1">
              <w:rPr>
                <w:rFonts w:asciiTheme="minorHAnsi" w:hAnsiTheme="minorHAnsi" w:cstheme="minorHAnsi"/>
                <w:sz w:val="18"/>
              </w:rPr>
              <w:t>976</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-262</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88,3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podíl nezaměstnaných osob (v %)</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8,1</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6,9</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-1,2</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85,2</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volná pracovní místa</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415</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881</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+466</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212,3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volných pracovních míst od začátku roku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379</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710</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+331</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187,3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připadající na 1 volné pracovní místo</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21,0</w:t>
            </w:r>
          </w:p>
        </w:tc>
        <w:tc>
          <w:tcPr>
            <w:tcW w:w="1028" w:type="dxa"/>
            <w:vAlign w:val="center"/>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9</w:t>
            </w:r>
            <w:r>
              <w:rPr>
                <w:rFonts w:asciiTheme="minorHAnsi" w:hAnsiTheme="minorHAnsi" w:cstheme="minorHAnsi"/>
                <w:sz w:val="18"/>
              </w:rPr>
              <w:t>,0</w:t>
            </w:r>
          </w:p>
        </w:tc>
        <w:tc>
          <w:tcPr>
            <w:tcW w:w="1028"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-12,0</w:t>
            </w:r>
          </w:p>
        </w:tc>
        <w:tc>
          <w:tcPr>
            <w:tcW w:w="1028"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42,9</w:t>
            </w:r>
          </w:p>
        </w:tc>
      </w:tr>
      <w:tr w:rsidR="00C723DD" w:rsidRPr="00113EE0" w:rsidTr="00C723DD">
        <w:trPr>
          <w:cantSplit/>
        </w:trPr>
        <w:tc>
          <w:tcPr>
            <w:tcW w:w="5387"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připadajících na 1 VPM v roce</w:t>
            </w:r>
          </w:p>
        </w:tc>
        <w:tc>
          <w:tcPr>
            <w:tcW w:w="1027"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24,0</w:t>
            </w:r>
          </w:p>
        </w:tc>
        <w:tc>
          <w:tcPr>
            <w:tcW w:w="1028" w:type="dxa"/>
            <w:tcBorders>
              <w:bottom w:val="double" w:sz="4" w:space="0" w:color="auto"/>
            </w:tcBorders>
            <w:vAlign w:val="center"/>
          </w:tcPr>
          <w:p w:rsidR="00C723DD" w:rsidRPr="00B429B1" w:rsidRDefault="00C723DD" w:rsidP="00C723DD">
            <w:pPr>
              <w:jc w:val="center"/>
              <w:rPr>
                <w:rFonts w:asciiTheme="minorHAnsi" w:hAnsiTheme="minorHAnsi" w:cstheme="minorHAnsi"/>
                <w:sz w:val="18"/>
              </w:rPr>
            </w:pPr>
            <w:r>
              <w:rPr>
                <w:rFonts w:asciiTheme="minorHAnsi" w:hAnsiTheme="minorHAnsi" w:cstheme="minorHAnsi"/>
                <w:sz w:val="18"/>
              </w:rPr>
              <w:t>12,0</w:t>
            </w:r>
          </w:p>
        </w:tc>
        <w:tc>
          <w:tcPr>
            <w:tcW w:w="1028" w:type="dxa"/>
            <w:tcBorders>
              <w:bottom w:val="double" w:sz="4" w:space="0" w:color="auto"/>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-12,0</w:t>
            </w:r>
          </w:p>
        </w:tc>
        <w:tc>
          <w:tcPr>
            <w:tcW w:w="1028" w:type="dxa"/>
            <w:tcBorders>
              <w:bottom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50,0</w:t>
            </w:r>
          </w:p>
        </w:tc>
      </w:tr>
    </w:tbl>
    <w:p w:rsidR="00C723DD" w:rsidRPr="00113EE0" w:rsidRDefault="00C723DD" w:rsidP="00C723DD">
      <w:pPr>
        <w:rPr>
          <w:rFonts w:asciiTheme="minorHAnsi" w:hAnsiTheme="minorHAnsi" w:cstheme="minorHAnsi"/>
          <w:b/>
          <w:sz w:val="24"/>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sz w:val="16"/>
        </w:rPr>
        <w:br w:type="page"/>
      </w:r>
      <w:r w:rsidRPr="00113EE0">
        <w:rPr>
          <w:rFonts w:asciiTheme="minorHAnsi" w:hAnsiTheme="minorHAnsi" w:cstheme="minorHAnsi"/>
          <w:b/>
          <w:sz w:val="22"/>
        </w:rPr>
        <w:t>4. Tok nezaměstnanosti</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113EE0" w:rsidTr="00C723DD">
        <w:trPr>
          <w:cantSplit/>
        </w:trPr>
        <w:tc>
          <w:tcPr>
            <w:tcW w:w="4536"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0"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1"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0" w:type="dxa"/>
            <w:tcBorders>
              <w:bottom w:val="nil"/>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1"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4536" w:type="dxa"/>
            <w:tcBorders>
              <w:top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evidenčního stavu uchazečů v roce</w:t>
            </w:r>
          </w:p>
        </w:tc>
        <w:tc>
          <w:tcPr>
            <w:tcW w:w="1240"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8 278</w:t>
            </w:r>
          </w:p>
        </w:tc>
        <w:tc>
          <w:tcPr>
            <w:tcW w:w="1241" w:type="dxa"/>
            <w:tcBorders>
              <w:top w:val="double" w:sz="4" w:space="0" w:color="auto"/>
              <w:bottom w:val="single" w:sz="4" w:space="0" w:color="auto"/>
            </w:tcBorders>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7 884</w:t>
            </w:r>
          </w:p>
        </w:tc>
        <w:tc>
          <w:tcPr>
            <w:tcW w:w="1240" w:type="dxa"/>
            <w:tcBorders>
              <w:top w:val="double" w:sz="4" w:space="0" w:color="auto"/>
              <w:bottom w:val="single" w:sz="4" w:space="0" w:color="auto"/>
            </w:tcBorders>
            <w:vAlign w:val="bottom"/>
          </w:tcPr>
          <w:p w:rsidR="00C723DD" w:rsidRPr="00113EE0" w:rsidRDefault="00C723DD" w:rsidP="00C723DD">
            <w:pPr>
              <w:ind w:left="360"/>
              <w:rPr>
                <w:rFonts w:asciiTheme="minorHAnsi" w:hAnsiTheme="minorHAnsi" w:cstheme="minorHAnsi"/>
                <w:sz w:val="18"/>
              </w:rPr>
            </w:pPr>
            <w:r>
              <w:rPr>
                <w:rFonts w:asciiTheme="minorHAnsi" w:hAnsiTheme="minorHAnsi" w:cstheme="minorHAnsi"/>
                <w:sz w:val="18"/>
              </w:rPr>
              <w:t>-394</w:t>
            </w:r>
          </w:p>
        </w:tc>
        <w:tc>
          <w:tcPr>
            <w:tcW w:w="1241"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95,2</w:t>
            </w:r>
          </w:p>
        </w:tc>
      </w:tr>
      <w:tr w:rsidR="00C723DD" w:rsidRPr="00113EE0" w:rsidTr="00C723DD">
        <w:trPr>
          <w:cantSplit/>
        </w:trPr>
        <w:tc>
          <w:tcPr>
            <w:tcW w:w="4536" w:type="dxa"/>
            <w:tcBorders>
              <w:top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uchazeči nově evidovaní v roce </w:t>
            </w:r>
          </w:p>
        </w:tc>
        <w:tc>
          <w:tcPr>
            <w:tcW w:w="1240" w:type="dxa"/>
            <w:tcBorders>
              <w:top w:val="nil"/>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10 279</w:t>
            </w:r>
          </w:p>
        </w:tc>
        <w:tc>
          <w:tcPr>
            <w:tcW w:w="1241" w:type="dxa"/>
            <w:tcBorders>
              <w:top w:val="nil"/>
            </w:tcBorders>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10 097</w:t>
            </w:r>
          </w:p>
        </w:tc>
        <w:tc>
          <w:tcPr>
            <w:tcW w:w="1240" w:type="dxa"/>
            <w:tcBorders>
              <w:top w:val="nil"/>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-182</w:t>
            </w:r>
          </w:p>
        </w:tc>
        <w:tc>
          <w:tcPr>
            <w:tcW w:w="1241" w:type="dxa"/>
            <w:tcBorders>
              <w:top w:val="nil"/>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98,2</w:t>
            </w:r>
          </w:p>
        </w:tc>
      </w:tr>
      <w:tr w:rsidR="00C723DD" w:rsidRPr="00113EE0" w:rsidTr="00C723DD">
        <w:trPr>
          <w:cantSplit/>
        </w:trPr>
        <w:tc>
          <w:tcPr>
            <w:tcW w:w="4536"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nově evidovaných uchazečů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857</w:t>
            </w:r>
          </w:p>
        </w:tc>
        <w:tc>
          <w:tcPr>
            <w:tcW w:w="1241" w:type="dxa"/>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841</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-16</w:t>
            </w:r>
          </w:p>
        </w:tc>
        <w:tc>
          <w:tcPr>
            <w:tcW w:w="124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98,1</w:t>
            </w:r>
          </w:p>
        </w:tc>
      </w:tr>
      <w:tr w:rsidR="00C723DD" w:rsidRPr="00113EE0" w:rsidTr="00C723DD">
        <w:trPr>
          <w:cantSplit/>
        </w:trPr>
        <w:tc>
          <w:tcPr>
            <w:tcW w:w="4536"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vyřazení z evidence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9 799</w:t>
            </w:r>
          </w:p>
        </w:tc>
        <w:tc>
          <w:tcPr>
            <w:tcW w:w="1241" w:type="dxa"/>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11 253</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+1 454</w:t>
            </w:r>
          </w:p>
        </w:tc>
        <w:tc>
          <w:tcPr>
            <w:tcW w:w="124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114,8</w:t>
            </w:r>
          </w:p>
        </w:tc>
      </w:tr>
      <w:tr w:rsidR="00C723DD" w:rsidRPr="00113EE0" w:rsidTr="00C723DD">
        <w:trPr>
          <w:cantSplit/>
        </w:trPr>
        <w:tc>
          <w:tcPr>
            <w:tcW w:w="4536"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4 823</w:t>
            </w:r>
          </w:p>
        </w:tc>
        <w:tc>
          <w:tcPr>
            <w:tcW w:w="1241" w:type="dxa"/>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7 741</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+2 918</w:t>
            </w:r>
          </w:p>
        </w:tc>
        <w:tc>
          <w:tcPr>
            <w:tcW w:w="124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160,5</w:t>
            </w:r>
          </w:p>
        </w:tc>
      </w:tr>
      <w:tr w:rsidR="00C723DD" w:rsidRPr="00113EE0" w:rsidTr="00C723DD">
        <w:trPr>
          <w:cantSplit/>
        </w:trPr>
        <w:tc>
          <w:tcPr>
            <w:tcW w:w="4536"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vyřazených z evidence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817</w:t>
            </w:r>
          </w:p>
        </w:tc>
        <w:tc>
          <w:tcPr>
            <w:tcW w:w="1241" w:type="dxa"/>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938</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+121</w:t>
            </w:r>
          </w:p>
        </w:tc>
        <w:tc>
          <w:tcPr>
            <w:tcW w:w="124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114,8</w:t>
            </w:r>
          </w:p>
        </w:tc>
      </w:tr>
      <w:tr w:rsidR="00C723DD" w:rsidRPr="00113EE0" w:rsidTr="00C723DD">
        <w:trPr>
          <w:cantSplit/>
        </w:trPr>
        <w:tc>
          <w:tcPr>
            <w:tcW w:w="4536"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402</w:t>
            </w:r>
          </w:p>
        </w:tc>
        <w:tc>
          <w:tcPr>
            <w:tcW w:w="1241" w:type="dxa"/>
            <w:vAlign w:val="bottom"/>
          </w:tcPr>
          <w:p w:rsidR="00C723DD" w:rsidRPr="00B429B1" w:rsidRDefault="00C723DD" w:rsidP="00C723DD">
            <w:pPr>
              <w:jc w:val="center"/>
              <w:rPr>
                <w:rFonts w:asciiTheme="minorHAnsi" w:hAnsiTheme="minorHAnsi" w:cstheme="minorHAnsi"/>
                <w:sz w:val="18"/>
              </w:rPr>
            </w:pPr>
            <w:r w:rsidRPr="00B429B1">
              <w:rPr>
                <w:rFonts w:asciiTheme="minorHAnsi" w:hAnsiTheme="minorHAnsi" w:cstheme="minorHAnsi"/>
                <w:sz w:val="18"/>
              </w:rPr>
              <w:t>645</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+243</w:t>
            </w:r>
          </w:p>
        </w:tc>
        <w:tc>
          <w:tcPr>
            <w:tcW w:w="124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160,4</w:t>
            </w:r>
          </w:p>
        </w:tc>
      </w:tr>
    </w:tbl>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b/>
          <w:sz w:val="22"/>
        </w:rPr>
        <w:t>5. Charakteristika mikroregionů</w:t>
      </w:r>
      <w:r w:rsidRPr="00113EE0">
        <w:rPr>
          <w:rFonts w:asciiTheme="minorHAnsi" w:hAnsiTheme="minorHAnsi" w:cstheme="minorHAnsi"/>
          <w:b/>
        </w:rPr>
        <w:t xml:space="preserve"> </w:t>
      </w:r>
      <w:r>
        <w:rPr>
          <w:rFonts w:asciiTheme="minorHAnsi" w:hAnsiTheme="minorHAnsi" w:cstheme="minorHAnsi"/>
          <w:b/>
          <w:sz w:val="18"/>
          <w:szCs w:val="18"/>
        </w:rPr>
        <w:t>(stav k 31.12.2014</w:t>
      </w:r>
      <w:r w:rsidRPr="00113EE0">
        <w:rPr>
          <w:rFonts w:asciiTheme="minorHAnsi" w:hAnsiTheme="minorHAnsi" w:cstheme="minorHAnsi"/>
          <w:b/>
          <w:sz w:val="18"/>
          <w:szCs w:val="18"/>
        </w:rPr>
        <w:t>)</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063"/>
        <w:gridCol w:w="1418"/>
      </w:tblGrid>
      <w:tr w:rsidR="00C723DD" w:rsidRPr="00113EE0" w:rsidTr="00C723DD">
        <w:tc>
          <w:tcPr>
            <w:tcW w:w="4536"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název mikroregionu</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počet obyvatel</w:t>
            </w:r>
          </w:p>
        </w:tc>
        <w:tc>
          <w:tcPr>
            <w:tcW w:w="1241"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obyv. 15-64 let</w:t>
            </w:r>
          </w:p>
        </w:tc>
        <w:tc>
          <w:tcPr>
            <w:tcW w:w="1063"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počet uchazečů</w:t>
            </w:r>
          </w:p>
        </w:tc>
        <w:tc>
          <w:tcPr>
            <w:tcW w:w="1418"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podíl nezaměstnaných osob v %</w:t>
            </w:r>
          </w:p>
        </w:tc>
      </w:tr>
      <w:tr w:rsidR="00C723DD" w:rsidRPr="00113EE0" w:rsidTr="00C723DD">
        <w:tc>
          <w:tcPr>
            <w:tcW w:w="4536" w:type="dxa"/>
            <w:tcBorders>
              <w:top w:val="single" w:sz="4" w:space="0" w:color="auto"/>
              <w:bottom w:val="single" w:sz="4" w:space="0" w:color="auto"/>
            </w:tcBorders>
          </w:tcPr>
          <w:p w:rsidR="00C723DD" w:rsidRPr="00B429B1" w:rsidRDefault="00C723DD" w:rsidP="00C723DD">
            <w:pPr>
              <w:rPr>
                <w:rFonts w:asciiTheme="minorHAnsi" w:hAnsiTheme="minorHAnsi" w:cstheme="minorHAnsi"/>
                <w:sz w:val="18"/>
                <w:szCs w:val="18"/>
              </w:rPr>
            </w:pPr>
            <w:r w:rsidRPr="00B429B1">
              <w:rPr>
                <w:rFonts w:asciiTheme="minorHAnsi" w:hAnsiTheme="minorHAnsi" w:cstheme="minorHAnsi"/>
                <w:sz w:val="18"/>
                <w:szCs w:val="18"/>
              </w:rPr>
              <w:t>Novojičínsko</w:t>
            </w:r>
          </w:p>
        </w:tc>
        <w:tc>
          <w:tcPr>
            <w:tcW w:w="1240"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48 453</w:t>
            </w:r>
          </w:p>
        </w:tc>
        <w:tc>
          <w:tcPr>
            <w:tcW w:w="1241"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33 035</w:t>
            </w:r>
          </w:p>
        </w:tc>
        <w:tc>
          <w:tcPr>
            <w:tcW w:w="1063"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2 407</w:t>
            </w:r>
          </w:p>
        </w:tc>
        <w:tc>
          <w:tcPr>
            <w:tcW w:w="1418"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6,9</w:t>
            </w:r>
          </w:p>
        </w:tc>
      </w:tr>
      <w:tr w:rsidR="00C723DD" w:rsidRPr="00113EE0" w:rsidTr="00C723DD">
        <w:tc>
          <w:tcPr>
            <w:tcW w:w="4536" w:type="dxa"/>
            <w:tcBorders>
              <w:top w:val="single" w:sz="4" w:space="0" w:color="auto"/>
              <w:bottom w:val="single" w:sz="4" w:space="0" w:color="auto"/>
            </w:tcBorders>
          </w:tcPr>
          <w:p w:rsidR="00C723DD" w:rsidRPr="00B429B1" w:rsidRDefault="00C723DD" w:rsidP="00C723DD">
            <w:pPr>
              <w:rPr>
                <w:rFonts w:asciiTheme="minorHAnsi" w:hAnsiTheme="minorHAnsi" w:cstheme="minorHAnsi"/>
                <w:sz w:val="18"/>
                <w:szCs w:val="18"/>
              </w:rPr>
            </w:pPr>
            <w:r w:rsidRPr="00B429B1">
              <w:rPr>
                <w:rFonts w:asciiTheme="minorHAnsi" w:hAnsiTheme="minorHAnsi" w:cstheme="minorHAnsi"/>
                <w:sz w:val="18"/>
                <w:szCs w:val="18"/>
              </w:rPr>
              <w:t>Kopřivnicko</w:t>
            </w:r>
          </w:p>
        </w:tc>
        <w:tc>
          <w:tcPr>
            <w:tcW w:w="1240"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41 209</w:t>
            </w:r>
          </w:p>
        </w:tc>
        <w:tc>
          <w:tcPr>
            <w:tcW w:w="1241"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28 458</w:t>
            </w:r>
          </w:p>
        </w:tc>
        <w:tc>
          <w:tcPr>
            <w:tcW w:w="1063"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1 906</w:t>
            </w:r>
          </w:p>
        </w:tc>
        <w:tc>
          <w:tcPr>
            <w:tcW w:w="1418"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6,4</w:t>
            </w:r>
          </w:p>
        </w:tc>
      </w:tr>
      <w:tr w:rsidR="00C723DD" w:rsidRPr="00113EE0" w:rsidTr="00C723DD">
        <w:tc>
          <w:tcPr>
            <w:tcW w:w="4536" w:type="dxa"/>
            <w:tcBorders>
              <w:top w:val="single" w:sz="4" w:space="0" w:color="auto"/>
              <w:bottom w:val="single" w:sz="4" w:space="0" w:color="auto"/>
            </w:tcBorders>
          </w:tcPr>
          <w:p w:rsidR="00C723DD" w:rsidRPr="00B429B1" w:rsidRDefault="00C723DD" w:rsidP="00C723DD">
            <w:pPr>
              <w:rPr>
                <w:rFonts w:asciiTheme="minorHAnsi" w:hAnsiTheme="minorHAnsi" w:cstheme="minorHAnsi"/>
                <w:sz w:val="18"/>
                <w:szCs w:val="18"/>
              </w:rPr>
            </w:pPr>
            <w:r w:rsidRPr="00B429B1">
              <w:rPr>
                <w:rFonts w:asciiTheme="minorHAnsi" w:hAnsiTheme="minorHAnsi" w:cstheme="minorHAnsi"/>
                <w:sz w:val="18"/>
                <w:szCs w:val="18"/>
              </w:rPr>
              <w:t>Bílovecko</w:t>
            </w:r>
          </w:p>
        </w:tc>
        <w:tc>
          <w:tcPr>
            <w:tcW w:w="1240"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25 885</w:t>
            </w:r>
          </w:p>
        </w:tc>
        <w:tc>
          <w:tcPr>
            <w:tcW w:w="1241"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17 725</w:t>
            </w:r>
          </w:p>
        </w:tc>
        <w:tc>
          <w:tcPr>
            <w:tcW w:w="1063"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1 274</w:t>
            </w:r>
          </w:p>
        </w:tc>
        <w:tc>
          <w:tcPr>
            <w:tcW w:w="1418"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6,7</w:t>
            </w:r>
          </w:p>
        </w:tc>
      </w:tr>
      <w:tr w:rsidR="00C723DD" w:rsidRPr="00113EE0" w:rsidTr="00C723DD">
        <w:tc>
          <w:tcPr>
            <w:tcW w:w="4536" w:type="dxa"/>
            <w:tcBorders>
              <w:top w:val="single" w:sz="4" w:space="0" w:color="auto"/>
              <w:bottom w:val="single" w:sz="4" w:space="0" w:color="auto"/>
            </w:tcBorders>
          </w:tcPr>
          <w:p w:rsidR="00C723DD" w:rsidRPr="00B429B1" w:rsidRDefault="00C723DD" w:rsidP="00C723DD">
            <w:pPr>
              <w:rPr>
                <w:rFonts w:asciiTheme="minorHAnsi" w:hAnsiTheme="minorHAnsi" w:cstheme="minorHAnsi"/>
                <w:sz w:val="18"/>
                <w:szCs w:val="18"/>
              </w:rPr>
            </w:pPr>
            <w:r w:rsidRPr="00B429B1">
              <w:rPr>
                <w:rFonts w:asciiTheme="minorHAnsi" w:hAnsiTheme="minorHAnsi" w:cstheme="minorHAnsi"/>
                <w:sz w:val="18"/>
                <w:szCs w:val="18"/>
              </w:rPr>
              <w:t>Frenštátsko</w:t>
            </w:r>
          </w:p>
        </w:tc>
        <w:tc>
          <w:tcPr>
            <w:tcW w:w="1240"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19 135</w:t>
            </w:r>
          </w:p>
        </w:tc>
        <w:tc>
          <w:tcPr>
            <w:tcW w:w="1241"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12 983</w:t>
            </w:r>
          </w:p>
        </w:tc>
        <w:tc>
          <w:tcPr>
            <w:tcW w:w="1063"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 xml:space="preserve">793 </w:t>
            </w:r>
          </w:p>
        </w:tc>
        <w:tc>
          <w:tcPr>
            <w:tcW w:w="1418" w:type="dxa"/>
            <w:tcBorders>
              <w:top w:val="single" w:sz="4" w:space="0" w:color="auto"/>
              <w:bottom w:val="sing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6,0</w:t>
            </w:r>
          </w:p>
        </w:tc>
      </w:tr>
      <w:tr w:rsidR="00C723DD" w:rsidRPr="00113EE0" w:rsidTr="00C723DD">
        <w:tc>
          <w:tcPr>
            <w:tcW w:w="4536" w:type="dxa"/>
            <w:tcBorders>
              <w:top w:val="single" w:sz="4" w:space="0" w:color="auto"/>
              <w:bottom w:val="double" w:sz="4" w:space="0" w:color="auto"/>
            </w:tcBorders>
          </w:tcPr>
          <w:p w:rsidR="00C723DD" w:rsidRPr="00B429B1" w:rsidRDefault="00C723DD" w:rsidP="00C723DD">
            <w:pPr>
              <w:rPr>
                <w:rFonts w:asciiTheme="minorHAnsi" w:hAnsiTheme="minorHAnsi" w:cstheme="minorHAnsi"/>
                <w:sz w:val="18"/>
                <w:szCs w:val="18"/>
              </w:rPr>
            </w:pPr>
            <w:r w:rsidRPr="00B429B1">
              <w:rPr>
                <w:rFonts w:asciiTheme="minorHAnsi" w:hAnsiTheme="minorHAnsi" w:cstheme="minorHAnsi"/>
                <w:sz w:val="18"/>
                <w:szCs w:val="18"/>
              </w:rPr>
              <w:t>Odersko</w:t>
            </w:r>
          </w:p>
        </w:tc>
        <w:tc>
          <w:tcPr>
            <w:tcW w:w="1240" w:type="dxa"/>
            <w:tcBorders>
              <w:top w:val="single" w:sz="4" w:space="0" w:color="auto"/>
              <w:bottom w:val="doub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17 217</w:t>
            </w:r>
          </w:p>
        </w:tc>
        <w:tc>
          <w:tcPr>
            <w:tcW w:w="1241" w:type="dxa"/>
            <w:tcBorders>
              <w:top w:val="single" w:sz="4" w:space="0" w:color="auto"/>
              <w:bottom w:val="doub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11 806</w:t>
            </w:r>
          </w:p>
        </w:tc>
        <w:tc>
          <w:tcPr>
            <w:tcW w:w="1063" w:type="dxa"/>
            <w:tcBorders>
              <w:top w:val="single" w:sz="4" w:space="0" w:color="auto"/>
              <w:bottom w:val="doub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1 105</w:t>
            </w:r>
          </w:p>
        </w:tc>
        <w:tc>
          <w:tcPr>
            <w:tcW w:w="1418" w:type="dxa"/>
            <w:tcBorders>
              <w:top w:val="single" w:sz="4" w:space="0" w:color="auto"/>
              <w:bottom w:val="double" w:sz="4" w:space="0" w:color="auto"/>
            </w:tcBorders>
          </w:tcPr>
          <w:p w:rsidR="00C723DD" w:rsidRPr="00B429B1" w:rsidRDefault="00C723DD" w:rsidP="00C723DD">
            <w:pPr>
              <w:jc w:val="center"/>
              <w:rPr>
                <w:rFonts w:asciiTheme="minorHAnsi" w:hAnsiTheme="minorHAnsi" w:cstheme="minorHAnsi"/>
                <w:sz w:val="18"/>
                <w:szCs w:val="18"/>
              </w:rPr>
            </w:pPr>
            <w:r w:rsidRPr="00B429B1">
              <w:rPr>
                <w:rFonts w:asciiTheme="minorHAnsi" w:hAnsiTheme="minorHAnsi" w:cstheme="minorHAnsi"/>
                <w:sz w:val="18"/>
                <w:szCs w:val="18"/>
              </w:rPr>
              <w:t>8,6</w:t>
            </w:r>
          </w:p>
        </w:tc>
      </w:tr>
    </w:tbl>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6. Aktivní politika zaměstnanosti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240"/>
        <w:gridCol w:w="1241"/>
        <w:gridCol w:w="1240"/>
        <w:gridCol w:w="1241"/>
      </w:tblGrid>
      <w:tr w:rsidR="00C723DD" w:rsidRPr="00113EE0" w:rsidTr="00C723DD">
        <w:trPr>
          <w:cantSplit/>
        </w:trPr>
        <w:tc>
          <w:tcPr>
            <w:tcW w:w="4536" w:type="dxa"/>
            <w:tcBorders>
              <w:top w:val="double" w:sz="4" w:space="0" w:color="auto"/>
              <w:left w:val="double" w:sz="4" w:space="0" w:color="auto"/>
              <w:bottom w:val="double" w:sz="4" w:space="0" w:color="auto"/>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1"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0" w:type="dxa"/>
            <w:tcBorders>
              <w:top w:val="double" w:sz="4" w:space="0" w:color="auto"/>
              <w:bottom w:val="double" w:sz="4" w:space="0" w:color="auto"/>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1" w:type="dxa"/>
            <w:tcBorders>
              <w:top w:val="double" w:sz="4" w:space="0" w:color="auto"/>
              <w:bottom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4536" w:type="dxa"/>
            <w:tcBorders>
              <w:top w:val="double" w:sz="4" w:space="0" w:color="auto"/>
              <w:left w:val="double" w:sz="4" w:space="0" w:color="auto"/>
              <w:bottom w:val="single" w:sz="12"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pracovní místa vytvořená s finančním příspěvkem ÚP </w:t>
            </w:r>
          </w:p>
        </w:tc>
        <w:tc>
          <w:tcPr>
            <w:tcW w:w="1240" w:type="dxa"/>
            <w:tcBorders>
              <w:top w:val="double" w:sz="4" w:space="0" w:color="auto"/>
              <w:bottom w:val="single" w:sz="12" w:space="0" w:color="auto"/>
            </w:tcBorders>
            <w:vAlign w:val="center"/>
          </w:tcPr>
          <w:p w:rsidR="00C723DD" w:rsidRPr="00113EE0" w:rsidRDefault="00C723DD" w:rsidP="00C723DD">
            <w:pPr>
              <w:jc w:val="center"/>
              <w:rPr>
                <w:rFonts w:asciiTheme="minorHAnsi" w:hAnsiTheme="minorHAnsi" w:cstheme="minorHAnsi"/>
                <w:b/>
                <w:sz w:val="18"/>
              </w:rPr>
            </w:pPr>
            <w:r w:rsidRPr="00113EE0">
              <w:rPr>
                <w:rFonts w:asciiTheme="minorHAnsi" w:hAnsiTheme="minorHAnsi" w:cstheme="minorHAnsi"/>
                <w:b/>
                <w:sz w:val="18"/>
              </w:rPr>
              <w:t>889</w:t>
            </w:r>
          </w:p>
        </w:tc>
        <w:tc>
          <w:tcPr>
            <w:tcW w:w="1241" w:type="dxa"/>
            <w:tcBorders>
              <w:top w:val="double" w:sz="4" w:space="0" w:color="auto"/>
              <w:bottom w:val="single" w:sz="12" w:space="0" w:color="auto"/>
            </w:tcBorders>
            <w:vAlign w:val="center"/>
          </w:tcPr>
          <w:p w:rsidR="00C723DD" w:rsidRPr="00786B3B" w:rsidRDefault="00C723DD" w:rsidP="00C723DD">
            <w:pPr>
              <w:jc w:val="center"/>
              <w:rPr>
                <w:rFonts w:ascii="Calibri" w:hAnsi="Calibri" w:cs="Calibri"/>
                <w:b/>
                <w:sz w:val="18"/>
              </w:rPr>
            </w:pPr>
            <w:r w:rsidRPr="00786B3B">
              <w:rPr>
                <w:rFonts w:ascii="Calibri" w:hAnsi="Calibri" w:cs="Calibri"/>
                <w:b/>
                <w:sz w:val="18"/>
              </w:rPr>
              <w:t xml:space="preserve">1 </w:t>
            </w:r>
            <w:r>
              <w:rPr>
                <w:rFonts w:ascii="Calibri" w:hAnsi="Calibri" w:cs="Calibri"/>
                <w:b/>
                <w:sz w:val="18"/>
              </w:rPr>
              <w:t>218</w:t>
            </w:r>
          </w:p>
        </w:tc>
        <w:tc>
          <w:tcPr>
            <w:tcW w:w="1240" w:type="dxa"/>
            <w:tcBorders>
              <w:top w:val="double" w:sz="4" w:space="0" w:color="auto"/>
              <w:bottom w:val="single" w:sz="12" w:space="0" w:color="auto"/>
            </w:tcBorders>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+329</w:t>
            </w:r>
          </w:p>
        </w:tc>
        <w:tc>
          <w:tcPr>
            <w:tcW w:w="1241" w:type="dxa"/>
            <w:tcBorders>
              <w:top w:val="double" w:sz="4" w:space="0" w:color="auto"/>
              <w:bottom w:val="single" w:sz="12" w:space="0" w:color="auto"/>
              <w:right w:val="double" w:sz="4" w:space="0" w:color="auto"/>
            </w:tcBorders>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137,0</w:t>
            </w:r>
          </w:p>
        </w:tc>
      </w:tr>
      <w:tr w:rsidR="00C723DD" w:rsidRPr="00113EE0" w:rsidTr="00C723DD">
        <w:trPr>
          <w:cantSplit/>
        </w:trPr>
        <w:tc>
          <w:tcPr>
            <w:tcW w:w="4536" w:type="dxa"/>
            <w:tcBorders>
              <w:top w:val="single" w:sz="12" w:space="0" w:color="auto"/>
              <w:left w:val="double" w:sz="4" w:space="0" w:color="auto"/>
            </w:tcBorders>
          </w:tcPr>
          <w:p w:rsidR="00C723DD" w:rsidRPr="00113EE0" w:rsidRDefault="00C723DD" w:rsidP="00C723DD">
            <w:pPr>
              <w:ind w:left="639" w:hanging="639"/>
              <w:rPr>
                <w:rFonts w:asciiTheme="minorHAnsi" w:hAnsiTheme="minorHAnsi" w:cstheme="minorHAnsi"/>
                <w:sz w:val="18"/>
              </w:rPr>
            </w:pPr>
            <w:r w:rsidRPr="00113EE0">
              <w:rPr>
                <w:rFonts w:asciiTheme="minorHAnsi" w:hAnsiTheme="minorHAnsi" w:cstheme="minorHAnsi"/>
                <w:sz w:val="18"/>
              </w:rPr>
              <w:t xml:space="preserve">z toho - SÚPM - SVČ zřízená uchazeči o zaměstnání </w:t>
            </w:r>
          </w:p>
        </w:tc>
        <w:tc>
          <w:tcPr>
            <w:tcW w:w="1240" w:type="dxa"/>
            <w:tcBorders>
              <w:top w:val="single" w:sz="12"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47</w:t>
            </w:r>
          </w:p>
        </w:tc>
        <w:tc>
          <w:tcPr>
            <w:tcW w:w="1241" w:type="dxa"/>
            <w:tcBorders>
              <w:top w:val="single" w:sz="12"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45</w:t>
            </w:r>
          </w:p>
        </w:tc>
        <w:tc>
          <w:tcPr>
            <w:tcW w:w="1240" w:type="dxa"/>
            <w:tcBorders>
              <w:top w:val="single" w:sz="12"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w:t>
            </w:r>
          </w:p>
        </w:tc>
        <w:tc>
          <w:tcPr>
            <w:tcW w:w="1241" w:type="dxa"/>
            <w:tcBorders>
              <w:top w:val="single" w:sz="12"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95,7</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tcBorders>
              <w:bottom w:val="sing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2</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w:t>
            </w:r>
          </w:p>
        </w:tc>
        <w:tc>
          <w:tcPr>
            <w:tcW w:w="1241"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50</w:t>
            </w:r>
          </w:p>
        </w:tc>
        <w:tc>
          <w:tcPr>
            <w:tcW w:w="1241" w:type="dxa"/>
            <w:tcBorders>
              <w:bottom w:val="sing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70</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+20</w:t>
            </w:r>
          </w:p>
        </w:tc>
        <w:tc>
          <w:tcPr>
            <w:tcW w:w="1241"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140,0</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 NIP ESF-OP LZZ</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361</w:t>
            </w:r>
          </w:p>
        </w:tc>
        <w:tc>
          <w:tcPr>
            <w:tcW w:w="1241" w:type="dxa"/>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472</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+111</w:t>
            </w:r>
          </w:p>
        </w:tc>
        <w:tc>
          <w:tcPr>
            <w:tcW w:w="1241" w:type="dxa"/>
            <w:tcBorders>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130,7</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0</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241"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 - NIP ESF-OP LZZ</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428</w:t>
            </w:r>
          </w:p>
        </w:tc>
        <w:tc>
          <w:tcPr>
            <w:tcW w:w="1241" w:type="dxa"/>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480</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+52</w:t>
            </w:r>
          </w:p>
        </w:tc>
        <w:tc>
          <w:tcPr>
            <w:tcW w:w="1241" w:type="dxa"/>
            <w:tcBorders>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112,1</w:t>
            </w:r>
          </w:p>
        </w:tc>
      </w:tr>
      <w:tr w:rsidR="00C723DD" w:rsidRPr="00113EE0" w:rsidTr="00C723DD">
        <w:trPr>
          <w:cantSplit/>
        </w:trPr>
        <w:tc>
          <w:tcPr>
            <w:tcW w:w="4536"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CHPM-SVČ osob se ZP</w:t>
            </w:r>
          </w:p>
        </w:tc>
        <w:tc>
          <w:tcPr>
            <w:tcW w:w="1240"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w:t>
            </w:r>
          </w:p>
        </w:tc>
        <w:tc>
          <w:tcPr>
            <w:tcW w:w="1241" w:type="dxa"/>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0</w:t>
            </w:r>
          </w:p>
        </w:tc>
        <w:tc>
          <w:tcPr>
            <w:tcW w:w="1240" w:type="dxa"/>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w:t>
            </w:r>
          </w:p>
        </w:tc>
        <w:tc>
          <w:tcPr>
            <w:tcW w:w="1241" w:type="dxa"/>
            <w:tcBorders>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13EE0" w:rsidTr="00C723DD">
        <w:trPr>
          <w:cantSplit/>
        </w:trPr>
        <w:tc>
          <w:tcPr>
            <w:tcW w:w="4536" w:type="dxa"/>
            <w:tcBorders>
              <w:left w:val="double" w:sz="4" w:space="0" w:color="auto"/>
              <w:bottom w:val="sing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tcBorders>
              <w:bottom w:val="sing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18</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+18</w:t>
            </w:r>
          </w:p>
        </w:tc>
        <w:tc>
          <w:tcPr>
            <w:tcW w:w="1241"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bottom w:val="single" w:sz="4" w:space="0" w:color="auto"/>
            </w:tcBorders>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0</w:t>
            </w:r>
          </w:p>
        </w:tc>
        <w:tc>
          <w:tcPr>
            <w:tcW w:w="1241" w:type="dxa"/>
            <w:tcBorders>
              <w:bottom w:val="sing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0</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241"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bottom w:val="single" w:sz="4" w:space="0" w:color="auto"/>
            </w:tcBorders>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0</w:t>
            </w:r>
          </w:p>
        </w:tc>
        <w:tc>
          <w:tcPr>
            <w:tcW w:w="1241" w:type="dxa"/>
            <w:tcBorders>
              <w:bottom w:val="single" w:sz="4" w:space="0" w:color="auto"/>
            </w:tcBorders>
            <w:vAlign w:val="center"/>
          </w:tcPr>
          <w:p w:rsidR="00C723DD" w:rsidRPr="00786B3B" w:rsidRDefault="00C723DD" w:rsidP="00C723DD">
            <w:pPr>
              <w:jc w:val="center"/>
              <w:rPr>
                <w:rFonts w:ascii="Calibri" w:hAnsi="Calibri" w:cs="Calibri"/>
                <w:sz w:val="18"/>
              </w:rPr>
            </w:pPr>
            <w:r>
              <w:rPr>
                <w:rFonts w:ascii="Calibri" w:hAnsi="Calibri" w:cs="Calibri"/>
                <w:sz w:val="18"/>
              </w:rPr>
              <w:t>131</w:t>
            </w:r>
          </w:p>
        </w:tc>
        <w:tc>
          <w:tcPr>
            <w:tcW w:w="1240" w:type="dxa"/>
            <w:tcBorders>
              <w:bottom w:val="single" w:sz="4" w:space="0" w:color="auto"/>
            </w:tcBorders>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+131</w:t>
            </w:r>
          </w:p>
        </w:tc>
        <w:tc>
          <w:tcPr>
            <w:tcW w:w="1241" w:type="dxa"/>
            <w:tcBorders>
              <w:bottom w:val="single" w:sz="4" w:space="0" w:color="auto"/>
              <w:right w:val="double" w:sz="4" w:space="0" w:color="auto"/>
            </w:tcBorders>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4536" w:type="dxa"/>
            <w:tcBorders>
              <w:top w:val="double" w:sz="4" w:space="0" w:color="auto"/>
              <w:left w:val="double" w:sz="4" w:space="0" w:color="auto"/>
              <w:bottom w:val="single" w:sz="12" w:space="0" w:color="auto"/>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 xml:space="preserve">příspěvky poskytnuté v rámci APZ </w:t>
            </w:r>
          </w:p>
        </w:tc>
        <w:tc>
          <w:tcPr>
            <w:tcW w:w="1240" w:type="dxa"/>
            <w:tcBorders>
              <w:top w:val="double" w:sz="4" w:space="0" w:color="auto"/>
              <w:bottom w:val="single" w:sz="12" w:space="0" w:color="auto"/>
            </w:tcBorders>
            <w:shd w:val="clear" w:color="auto" w:fill="FFFFFF"/>
            <w:vAlign w:val="center"/>
          </w:tcPr>
          <w:p w:rsidR="00C723DD" w:rsidRPr="00113EE0" w:rsidRDefault="00C723DD" w:rsidP="00C723DD">
            <w:pPr>
              <w:jc w:val="center"/>
              <w:rPr>
                <w:rFonts w:asciiTheme="minorHAnsi" w:hAnsiTheme="minorHAnsi" w:cstheme="minorHAnsi"/>
                <w:b/>
                <w:sz w:val="18"/>
              </w:rPr>
            </w:pPr>
            <w:r w:rsidRPr="00113EE0">
              <w:rPr>
                <w:rFonts w:asciiTheme="minorHAnsi" w:hAnsiTheme="minorHAnsi" w:cstheme="minorHAnsi"/>
                <w:b/>
                <w:sz w:val="18"/>
              </w:rPr>
              <w:t>3</w:t>
            </w:r>
          </w:p>
        </w:tc>
        <w:tc>
          <w:tcPr>
            <w:tcW w:w="1241" w:type="dxa"/>
            <w:tcBorders>
              <w:top w:val="double" w:sz="4" w:space="0" w:color="auto"/>
              <w:bottom w:val="single" w:sz="12" w:space="0" w:color="auto"/>
            </w:tcBorders>
            <w:shd w:val="clear" w:color="auto" w:fill="FFFFFF"/>
            <w:vAlign w:val="center"/>
          </w:tcPr>
          <w:p w:rsidR="00C723DD" w:rsidRPr="00786B3B" w:rsidRDefault="00C723DD" w:rsidP="00C723DD">
            <w:pPr>
              <w:jc w:val="center"/>
              <w:rPr>
                <w:rFonts w:ascii="Calibri" w:hAnsi="Calibri" w:cs="Calibri"/>
                <w:b/>
                <w:sz w:val="18"/>
              </w:rPr>
            </w:pPr>
            <w:r>
              <w:rPr>
                <w:rFonts w:ascii="Calibri" w:hAnsi="Calibri" w:cs="Calibri"/>
                <w:b/>
                <w:sz w:val="18"/>
              </w:rPr>
              <w:t>9</w:t>
            </w:r>
          </w:p>
        </w:tc>
        <w:tc>
          <w:tcPr>
            <w:tcW w:w="1240" w:type="dxa"/>
            <w:tcBorders>
              <w:top w:val="double" w:sz="4" w:space="0" w:color="auto"/>
              <w:bottom w:val="single" w:sz="12" w:space="0" w:color="auto"/>
            </w:tcBorders>
            <w:shd w:val="clear" w:color="auto" w:fill="auto"/>
          </w:tcPr>
          <w:p w:rsidR="00C723DD" w:rsidRPr="00626219" w:rsidRDefault="00C723DD" w:rsidP="00C723DD">
            <w:pPr>
              <w:jc w:val="center"/>
              <w:rPr>
                <w:rFonts w:asciiTheme="minorHAnsi" w:hAnsiTheme="minorHAnsi" w:cstheme="minorHAnsi"/>
                <w:b/>
                <w:sz w:val="18"/>
                <w:szCs w:val="18"/>
              </w:rPr>
            </w:pPr>
            <w:r w:rsidRPr="00626219">
              <w:rPr>
                <w:rFonts w:asciiTheme="minorHAnsi" w:hAnsiTheme="minorHAnsi" w:cstheme="minorHAnsi"/>
                <w:b/>
                <w:sz w:val="18"/>
                <w:szCs w:val="18"/>
              </w:rPr>
              <w:t>+6</w:t>
            </w:r>
          </w:p>
        </w:tc>
        <w:tc>
          <w:tcPr>
            <w:tcW w:w="1241" w:type="dxa"/>
            <w:tcBorders>
              <w:top w:val="double" w:sz="4" w:space="0" w:color="auto"/>
              <w:bottom w:val="single" w:sz="12" w:space="0" w:color="auto"/>
              <w:right w:val="double" w:sz="4" w:space="0" w:color="auto"/>
            </w:tcBorders>
            <w:shd w:val="clear" w:color="auto" w:fill="auto"/>
          </w:tcPr>
          <w:p w:rsidR="00C723DD" w:rsidRPr="00267952" w:rsidRDefault="00C723DD" w:rsidP="00C723DD">
            <w:pPr>
              <w:jc w:val="center"/>
              <w:rPr>
                <w:rFonts w:asciiTheme="minorHAnsi" w:hAnsiTheme="minorHAnsi" w:cstheme="minorHAnsi"/>
                <w:b/>
                <w:sz w:val="18"/>
                <w:szCs w:val="18"/>
              </w:rPr>
            </w:pPr>
            <w:r w:rsidRPr="00267952">
              <w:rPr>
                <w:rFonts w:asciiTheme="minorHAnsi" w:hAnsiTheme="minorHAnsi" w:cstheme="minorHAnsi"/>
                <w:b/>
                <w:sz w:val="18"/>
                <w:szCs w:val="18"/>
              </w:rPr>
              <w:t>300,0</w:t>
            </w:r>
          </w:p>
        </w:tc>
      </w:tr>
      <w:tr w:rsidR="00C723DD" w:rsidRPr="00113EE0" w:rsidTr="00C723DD">
        <w:trPr>
          <w:cantSplit/>
        </w:trPr>
        <w:tc>
          <w:tcPr>
            <w:tcW w:w="4536" w:type="dxa"/>
            <w:tcBorders>
              <w:top w:val="single" w:sz="12" w:space="0" w:color="auto"/>
              <w:left w:val="double" w:sz="4" w:space="0" w:color="auto"/>
              <w:bottom w:val="nil"/>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z toho - překlenovací příspěvek</w:t>
            </w:r>
          </w:p>
        </w:tc>
        <w:tc>
          <w:tcPr>
            <w:tcW w:w="1240" w:type="dxa"/>
            <w:tcBorders>
              <w:top w:val="single" w:sz="12" w:space="0" w:color="auto"/>
              <w:bottom w:val="single" w:sz="4" w:space="0" w:color="auto"/>
            </w:tcBorders>
            <w:shd w:val="clear" w:color="auto" w:fill="FFFFFF"/>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tcBorders>
              <w:top w:val="single" w:sz="12" w:space="0" w:color="auto"/>
              <w:bottom w:val="single" w:sz="4" w:space="0" w:color="auto"/>
            </w:tcBorders>
            <w:shd w:val="clear" w:color="auto" w:fill="FFFFFF"/>
            <w:vAlign w:val="center"/>
          </w:tcPr>
          <w:p w:rsidR="00C723DD" w:rsidRPr="00786B3B" w:rsidRDefault="00C723DD" w:rsidP="00C723DD">
            <w:pPr>
              <w:jc w:val="center"/>
              <w:rPr>
                <w:rFonts w:ascii="Calibri" w:hAnsi="Calibri" w:cs="Calibri"/>
                <w:sz w:val="18"/>
              </w:rPr>
            </w:pPr>
            <w:r>
              <w:rPr>
                <w:rFonts w:ascii="Calibri" w:hAnsi="Calibri" w:cs="Calibri"/>
                <w:sz w:val="18"/>
              </w:rPr>
              <w:t>5</w:t>
            </w:r>
          </w:p>
        </w:tc>
        <w:tc>
          <w:tcPr>
            <w:tcW w:w="1240" w:type="dxa"/>
            <w:tcBorders>
              <w:top w:val="single" w:sz="12" w:space="0" w:color="auto"/>
              <w:bottom w:val="single" w:sz="4" w:space="0" w:color="auto"/>
            </w:tcBorders>
            <w:shd w:val="clear" w:color="auto" w:fill="auto"/>
          </w:tcPr>
          <w:p w:rsidR="00C723DD" w:rsidRPr="00626219" w:rsidRDefault="00C723DD" w:rsidP="00C723DD">
            <w:pPr>
              <w:jc w:val="center"/>
              <w:rPr>
                <w:rFonts w:asciiTheme="minorHAnsi" w:hAnsiTheme="minorHAnsi" w:cstheme="minorHAnsi"/>
                <w:sz w:val="18"/>
                <w:szCs w:val="18"/>
              </w:rPr>
            </w:pPr>
            <w:r w:rsidRPr="00626219">
              <w:rPr>
                <w:rFonts w:asciiTheme="minorHAnsi" w:hAnsiTheme="minorHAnsi" w:cstheme="minorHAnsi"/>
                <w:sz w:val="18"/>
                <w:szCs w:val="18"/>
              </w:rPr>
              <w:t>+5</w:t>
            </w:r>
          </w:p>
        </w:tc>
        <w:tc>
          <w:tcPr>
            <w:tcW w:w="1241" w:type="dxa"/>
            <w:tcBorders>
              <w:top w:val="single" w:sz="12" w:space="0" w:color="auto"/>
              <w:bottom w:val="single" w:sz="4" w:space="0" w:color="auto"/>
              <w:right w:val="double" w:sz="4" w:space="0" w:color="auto"/>
            </w:tcBorders>
            <w:shd w:val="clear" w:color="auto" w:fill="auto"/>
          </w:tcPr>
          <w:p w:rsidR="00C723DD" w:rsidRPr="00267952" w:rsidRDefault="00C723DD" w:rsidP="00C723DD">
            <w:pPr>
              <w:jc w:val="center"/>
              <w:rPr>
                <w:rFonts w:asciiTheme="minorHAnsi" w:hAnsiTheme="minorHAnsi" w:cstheme="minorHAnsi"/>
                <w:sz w:val="18"/>
                <w:szCs w:val="18"/>
              </w:rPr>
            </w:pPr>
            <w:r w:rsidRPr="00267952">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bottom w:val="nil"/>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zapracování</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tcBorders>
              <w:bottom w:val="single" w:sz="4" w:space="0" w:color="auto"/>
            </w:tcBorders>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0</w:t>
            </w:r>
          </w:p>
        </w:tc>
        <w:tc>
          <w:tcPr>
            <w:tcW w:w="1240" w:type="dxa"/>
            <w:tcBorders>
              <w:bottom w:val="single" w:sz="4" w:space="0" w:color="auto"/>
            </w:tcBorders>
            <w:shd w:val="clear" w:color="auto" w:fill="auto"/>
          </w:tcPr>
          <w:p w:rsidR="00C723DD" w:rsidRPr="00626219" w:rsidRDefault="00C723DD" w:rsidP="00C723DD">
            <w:pPr>
              <w:jc w:val="center"/>
              <w:rPr>
                <w:rFonts w:asciiTheme="minorHAnsi" w:hAnsiTheme="minorHAnsi" w:cstheme="minorHAnsi"/>
                <w:sz w:val="18"/>
                <w:szCs w:val="18"/>
              </w:rPr>
            </w:pPr>
            <w:r w:rsidRPr="00626219">
              <w:rPr>
                <w:rFonts w:asciiTheme="minorHAnsi" w:hAnsiTheme="minorHAnsi" w:cstheme="minorHAnsi"/>
                <w:sz w:val="18"/>
                <w:szCs w:val="18"/>
              </w:rPr>
              <w:t>0</w:t>
            </w:r>
          </w:p>
        </w:tc>
        <w:tc>
          <w:tcPr>
            <w:tcW w:w="1241" w:type="dxa"/>
            <w:tcBorders>
              <w:bottom w:val="single" w:sz="4" w:space="0" w:color="auto"/>
              <w:right w:val="double" w:sz="4" w:space="0" w:color="auto"/>
            </w:tcBorders>
            <w:shd w:val="clear" w:color="auto" w:fill="auto"/>
          </w:tcPr>
          <w:p w:rsidR="00C723DD" w:rsidRPr="00267952" w:rsidRDefault="00C723DD" w:rsidP="00C723DD">
            <w:pPr>
              <w:jc w:val="center"/>
              <w:rPr>
                <w:rFonts w:asciiTheme="minorHAnsi" w:hAnsiTheme="minorHAnsi" w:cstheme="minorHAnsi"/>
                <w:sz w:val="18"/>
                <w:szCs w:val="18"/>
              </w:rPr>
            </w:pPr>
            <w:r w:rsidRPr="00267952">
              <w:rPr>
                <w:rFonts w:asciiTheme="minorHAnsi" w:hAnsiTheme="minorHAnsi" w:cstheme="minorHAnsi"/>
                <w:sz w:val="18"/>
                <w:szCs w:val="18"/>
              </w:rPr>
              <w:t>-</w:t>
            </w:r>
          </w:p>
        </w:tc>
      </w:tr>
      <w:tr w:rsidR="00C723DD" w:rsidRPr="00113EE0" w:rsidTr="00C723DD">
        <w:trPr>
          <w:cantSplit/>
        </w:trPr>
        <w:tc>
          <w:tcPr>
            <w:tcW w:w="4536" w:type="dxa"/>
            <w:tcBorders>
              <w:left w:val="double" w:sz="4" w:space="0" w:color="auto"/>
              <w:bottom w:val="nil"/>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provoz CHPM a CHPM-SVČ</w:t>
            </w:r>
          </w:p>
        </w:tc>
        <w:tc>
          <w:tcPr>
            <w:tcW w:w="1240"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w:t>
            </w:r>
          </w:p>
        </w:tc>
        <w:tc>
          <w:tcPr>
            <w:tcW w:w="1241" w:type="dxa"/>
            <w:tcBorders>
              <w:top w:val="single" w:sz="4" w:space="0" w:color="auto"/>
              <w:bottom w:val="double" w:sz="4" w:space="0" w:color="auto"/>
            </w:tcBorders>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4</w:t>
            </w:r>
          </w:p>
        </w:tc>
        <w:tc>
          <w:tcPr>
            <w:tcW w:w="1240" w:type="dxa"/>
            <w:tcBorders>
              <w:top w:val="sing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w:t>
            </w:r>
          </w:p>
        </w:tc>
        <w:tc>
          <w:tcPr>
            <w:tcW w:w="1241" w:type="dxa"/>
            <w:tcBorders>
              <w:top w:val="single" w:sz="4" w:space="0" w:color="auto"/>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133,3</w:t>
            </w:r>
          </w:p>
        </w:tc>
      </w:tr>
      <w:tr w:rsidR="00C723DD" w:rsidRPr="00113EE0" w:rsidTr="00C723DD">
        <w:trPr>
          <w:cantSplit/>
        </w:trPr>
        <w:tc>
          <w:tcPr>
            <w:tcW w:w="4536" w:type="dxa"/>
            <w:tcBorders>
              <w:top w:val="double" w:sz="4" w:space="0" w:color="auto"/>
              <w:left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zahájené rekvalifikační kurzy</w:t>
            </w:r>
            <w:r>
              <w:rPr>
                <w:rFonts w:asciiTheme="minorHAnsi" w:hAnsiTheme="minorHAnsi" w:cstheme="minorHAnsi"/>
                <w:sz w:val="18"/>
              </w:rPr>
              <w:t xml:space="preserve"> </w:t>
            </w:r>
            <w:r w:rsidRPr="00113EE0">
              <w:rPr>
                <w:rFonts w:asciiTheme="minorHAnsi" w:hAnsiTheme="minorHAnsi" w:cstheme="minorHAnsi"/>
                <w:sz w:val="18"/>
              </w:rPr>
              <w:t>(národní APZ + ESF)</w:t>
            </w:r>
          </w:p>
        </w:tc>
        <w:tc>
          <w:tcPr>
            <w:tcW w:w="1240"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47</w:t>
            </w:r>
          </w:p>
        </w:tc>
        <w:tc>
          <w:tcPr>
            <w:tcW w:w="1241" w:type="dxa"/>
            <w:tcBorders>
              <w:top w:val="double" w:sz="4" w:space="0" w:color="auto"/>
              <w:bottom w:val="sing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3</w:t>
            </w:r>
            <w:r>
              <w:rPr>
                <w:rFonts w:ascii="Calibri" w:hAnsi="Calibri" w:cs="Calibri"/>
                <w:sz w:val="18"/>
              </w:rPr>
              <w:t>5</w:t>
            </w:r>
          </w:p>
        </w:tc>
        <w:tc>
          <w:tcPr>
            <w:tcW w:w="1240" w:type="dxa"/>
            <w:tcBorders>
              <w:top w:val="double" w:sz="4"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w:t>
            </w:r>
          </w:p>
        </w:tc>
        <w:tc>
          <w:tcPr>
            <w:tcW w:w="1241" w:type="dxa"/>
            <w:tcBorders>
              <w:top w:val="double" w:sz="4"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74,5</w:t>
            </w:r>
          </w:p>
        </w:tc>
      </w:tr>
      <w:tr w:rsidR="00C723DD" w:rsidRPr="00113EE0" w:rsidTr="00C723DD">
        <w:trPr>
          <w:cantSplit/>
        </w:trPr>
        <w:tc>
          <w:tcPr>
            <w:tcW w:w="4536" w:type="dxa"/>
            <w:tcBorders>
              <w:left w:val="double" w:sz="4" w:space="0" w:color="auto"/>
              <w:bottom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počet osob zařaz</w:t>
            </w:r>
            <w:r>
              <w:rPr>
                <w:rFonts w:asciiTheme="minorHAnsi" w:hAnsiTheme="minorHAnsi" w:cstheme="minorHAnsi"/>
                <w:sz w:val="18"/>
              </w:rPr>
              <w:t>ených</w:t>
            </w:r>
            <w:r w:rsidRPr="00113EE0">
              <w:rPr>
                <w:rFonts w:asciiTheme="minorHAnsi" w:hAnsiTheme="minorHAnsi" w:cstheme="minorHAnsi"/>
                <w:sz w:val="18"/>
              </w:rPr>
              <w:t xml:space="preserve"> do rekvalifikací (národní APZ + ESF)</w:t>
            </w:r>
          </w:p>
        </w:tc>
        <w:tc>
          <w:tcPr>
            <w:tcW w:w="1240" w:type="dxa"/>
            <w:tcBorders>
              <w:bottom w:val="nil"/>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340</w:t>
            </w:r>
          </w:p>
        </w:tc>
        <w:tc>
          <w:tcPr>
            <w:tcW w:w="1241" w:type="dxa"/>
            <w:tcBorders>
              <w:bottom w:val="nil"/>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315</w:t>
            </w:r>
          </w:p>
        </w:tc>
        <w:tc>
          <w:tcPr>
            <w:tcW w:w="1240" w:type="dxa"/>
            <w:tcBorders>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-25</w:t>
            </w:r>
          </w:p>
        </w:tc>
        <w:tc>
          <w:tcPr>
            <w:tcW w:w="1241"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92,6</w:t>
            </w:r>
          </w:p>
        </w:tc>
      </w:tr>
      <w:tr w:rsidR="00C723DD" w:rsidRPr="00113EE0" w:rsidTr="00C723DD">
        <w:trPr>
          <w:cantSplit/>
        </w:trPr>
        <w:tc>
          <w:tcPr>
            <w:tcW w:w="4536"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zájemců o zaměstnání</w:t>
            </w:r>
          </w:p>
        </w:tc>
        <w:tc>
          <w:tcPr>
            <w:tcW w:w="1240"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w:t>
            </w:r>
          </w:p>
        </w:tc>
        <w:tc>
          <w:tcPr>
            <w:tcW w:w="1241" w:type="dxa"/>
            <w:tcBorders>
              <w:bottom w:val="double" w:sz="4" w:space="0" w:color="auto"/>
            </w:tcBorders>
            <w:vAlign w:val="center"/>
          </w:tcPr>
          <w:p w:rsidR="00C723DD" w:rsidRPr="00786B3B" w:rsidRDefault="00C723DD" w:rsidP="00C723DD">
            <w:pPr>
              <w:jc w:val="center"/>
              <w:rPr>
                <w:rFonts w:ascii="Calibri" w:hAnsi="Calibri" w:cs="Calibri"/>
                <w:sz w:val="18"/>
              </w:rPr>
            </w:pPr>
            <w:r>
              <w:rPr>
                <w:rFonts w:ascii="Calibri" w:hAnsi="Calibri" w:cs="Calibri"/>
                <w:sz w:val="18"/>
              </w:rPr>
              <w:t>0</w:t>
            </w:r>
          </w:p>
        </w:tc>
        <w:tc>
          <w:tcPr>
            <w:tcW w:w="1240"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w:t>
            </w:r>
          </w:p>
        </w:tc>
        <w:tc>
          <w:tcPr>
            <w:tcW w:w="1241"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13EE0" w:rsidTr="00C723DD">
        <w:trPr>
          <w:cantSplit/>
        </w:trPr>
        <w:tc>
          <w:tcPr>
            <w:tcW w:w="4536" w:type="dxa"/>
            <w:tcBorders>
              <w:top w:val="double" w:sz="4" w:space="0" w:color="auto"/>
              <w:left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národní APZ</w:t>
            </w:r>
          </w:p>
        </w:tc>
        <w:tc>
          <w:tcPr>
            <w:tcW w:w="1240" w:type="dxa"/>
            <w:tcBorders>
              <w:top w:val="double" w:sz="4" w:space="0" w:color="auto"/>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136</w:t>
            </w:r>
          </w:p>
        </w:tc>
        <w:tc>
          <w:tcPr>
            <w:tcW w:w="1241" w:type="dxa"/>
            <w:tcBorders>
              <w:top w:val="double" w:sz="4" w:space="0" w:color="auto"/>
              <w:bottom w:val="single" w:sz="4" w:space="0" w:color="auto"/>
            </w:tcBorders>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91</w:t>
            </w:r>
          </w:p>
        </w:tc>
        <w:tc>
          <w:tcPr>
            <w:tcW w:w="1240" w:type="dxa"/>
            <w:tcBorders>
              <w:top w:val="double" w:sz="4"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-45</w:t>
            </w:r>
          </w:p>
        </w:tc>
        <w:tc>
          <w:tcPr>
            <w:tcW w:w="1241" w:type="dxa"/>
            <w:tcBorders>
              <w:top w:val="double" w:sz="4"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66,9</w:t>
            </w:r>
          </w:p>
        </w:tc>
      </w:tr>
      <w:tr w:rsidR="00C723DD" w:rsidRPr="00113EE0" w:rsidTr="00C723DD">
        <w:trPr>
          <w:cantSplit/>
        </w:trPr>
        <w:tc>
          <w:tcPr>
            <w:tcW w:w="4536"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NIP ESF-OP LZZ</w:t>
            </w:r>
          </w:p>
        </w:tc>
        <w:tc>
          <w:tcPr>
            <w:tcW w:w="1240" w:type="dxa"/>
            <w:tcBorders>
              <w:bottom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105</w:t>
            </w:r>
          </w:p>
        </w:tc>
        <w:tc>
          <w:tcPr>
            <w:tcW w:w="1241" w:type="dxa"/>
            <w:tcBorders>
              <w:bottom w:val="double" w:sz="4" w:space="0" w:color="auto"/>
            </w:tcBorders>
            <w:shd w:val="clear" w:color="auto" w:fill="auto"/>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213</w:t>
            </w:r>
          </w:p>
        </w:tc>
        <w:tc>
          <w:tcPr>
            <w:tcW w:w="1240"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+108</w:t>
            </w:r>
          </w:p>
        </w:tc>
        <w:tc>
          <w:tcPr>
            <w:tcW w:w="1241"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202,9</w:t>
            </w:r>
          </w:p>
        </w:tc>
      </w:tr>
      <w:tr w:rsidR="00C723DD" w:rsidRPr="00113EE0" w:rsidTr="00C723DD">
        <w:trPr>
          <w:cantSplit/>
        </w:trPr>
        <w:tc>
          <w:tcPr>
            <w:tcW w:w="4536" w:type="dxa"/>
            <w:tcBorders>
              <w:top w:val="double" w:sz="4" w:space="0" w:color="auto"/>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zaměstnanci rekvalifikovaní s finančním příspěvkem ÚP</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1" w:type="dxa"/>
            <w:tcBorders>
              <w:top w:val="double" w:sz="4" w:space="0" w:color="auto"/>
              <w:bottom w:val="double" w:sz="4" w:space="0" w:color="auto"/>
            </w:tcBorders>
            <w:vAlign w:val="center"/>
          </w:tcPr>
          <w:p w:rsidR="00C723DD" w:rsidRPr="00786B3B" w:rsidRDefault="00C723DD" w:rsidP="00C723DD">
            <w:pPr>
              <w:jc w:val="center"/>
              <w:rPr>
                <w:rFonts w:ascii="Calibri" w:hAnsi="Calibri" w:cs="Calibri"/>
                <w:sz w:val="18"/>
              </w:rPr>
            </w:pPr>
            <w:r w:rsidRPr="00786B3B">
              <w:rPr>
                <w:rFonts w:ascii="Calibri" w:hAnsi="Calibri" w:cs="Calibri"/>
                <w:sz w:val="18"/>
              </w:rPr>
              <w:t>0</w:t>
            </w:r>
          </w:p>
        </w:tc>
        <w:tc>
          <w:tcPr>
            <w:tcW w:w="1240" w:type="dxa"/>
            <w:tcBorders>
              <w:top w:val="doub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241" w:type="dxa"/>
            <w:tcBorders>
              <w:top w:val="double" w:sz="4" w:space="0" w:color="auto"/>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bl>
    <w:p w:rsidR="00C723DD" w:rsidRPr="00113EE0" w:rsidRDefault="00C723DD" w:rsidP="00C723DD">
      <w:pPr>
        <w:rPr>
          <w:rFonts w:asciiTheme="minorHAnsi" w:hAnsiTheme="minorHAnsi" w:cstheme="minorHAnsi"/>
        </w:rPr>
      </w:pPr>
    </w:p>
    <w:p w:rsidR="00C723DD" w:rsidRPr="00113EE0" w:rsidRDefault="00C723DD" w:rsidP="00C723DD">
      <w:pPr>
        <w:ind w:right="-567"/>
        <w:jc w:val="both"/>
        <w:rPr>
          <w:rFonts w:asciiTheme="minorHAnsi" w:hAnsiTheme="minorHAnsi" w:cstheme="minorHAnsi"/>
          <w:b/>
          <w:i/>
          <w:sz w:val="22"/>
        </w:rPr>
      </w:pPr>
      <w:r w:rsidRPr="00113EE0">
        <w:rPr>
          <w:rFonts w:asciiTheme="minorHAnsi" w:hAnsiTheme="minorHAnsi" w:cstheme="minorHAnsi"/>
          <w:b/>
          <w:sz w:val="22"/>
        </w:rPr>
        <w:t>7. Prognóza vývoje trhu práce na rok 201</w:t>
      </w:r>
      <w:r>
        <w:rPr>
          <w:rFonts w:asciiTheme="minorHAnsi" w:hAnsiTheme="minorHAnsi" w:cstheme="minorHAnsi"/>
          <w:b/>
          <w:sz w:val="22"/>
        </w:rPr>
        <w:t>5</w:t>
      </w:r>
    </w:p>
    <w:tbl>
      <w:tblPr>
        <w:tblW w:w="9498"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772"/>
        <w:gridCol w:w="1772"/>
        <w:gridCol w:w="1772"/>
        <w:gridCol w:w="1772"/>
      </w:tblGrid>
      <w:tr w:rsidR="00C723DD" w:rsidRPr="00113EE0" w:rsidTr="00C723DD">
        <w:trPr>
          <w:cantSplit/>
        </w:trPr>
        <w:tc>
          <w:tcPr>
            <w:tcW w:w="2410" w:type="dxa"/>
            <w:vMerge w:val="restart"/>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očekávaný stav k</w:t>
            </w:r>
          </w:p>
        </w:tc>
        <w:tc>
          <w:tcPr>
            <w:tcW w:w="3544"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lepší vývoj</w:t>
            </w:r>
          </w:p>
        </w:tc>
        <w:tc>
          <w:tcPr>
            <w:tcW w:w="3544"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horší vývoj</w:t>
            </w:r>
          </w:p>
        </w:tc>
      </w:tr>
      <w:tr w:rsidR="00C723DD" w:rsidRPr="00113EE0" w:rsidTr="00C723DD">
        <w:trPr>
          <w:cantSplit/>
          <w:trHeight w:val="574"/>
        </w:trPr>
        <w:tc>
          <w:tcPr>
            <w:tcW w:w="2410" w:type="dxa"/>
            <w:vMerge/>
            <w:tcBorders>
              <w:bottom w:val="double" w:sz="4" w:space="0" w:color="auto"/>
            </w:tcBorders>
          </w:tcPr>
          <w:p w:rsidR="00C723DD" w:rsidRPr="00113EE0" w:rsidRDefault="00C723DD" w:rsidP="00C723DD">
            <w:pPr>
              <w:pStyle w:val="Texttabulky"/>
              <w:jc w:val="center"/>
              <w:rPr>
                <w:rFonts w:asciiTheme="minorHAnsi" w:hAnsiTheme="minorHAnsi" w:cstheme="minorHAnsi"/>
                <w:b/>
                <w:bCs/>
                <w:i/>
                <w:iCs/>
                <w:color w:val="auto"/>
                <w:sz w:val="18"/>
              </w:rPr>
            </w:pPr>
          </w:p>
        </w:tc>
        <w:tc>
          <w:tcPr>
            <w:tcW w:w="1772"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c>
          <w:tcPr>
            <w:tcW w:w="1772"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772"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r>
      <w:tr w:rsidR="00C723DD" w:rsidRPr="00113EE0" w:rsidTr="00C723DD">
        <w:trPr>
          <w:cantSplit/>
          <w:trHeight w:val="20"/>
        </w:trPr>
        <w:tc>
          <w:tcPr>
            <w:tcW w:w="2410" w:type="dxa"/>
            <w:tcBorders>
              <w:top w:val="double" w:sz="4" w:space="0" w:color="auto"/>
              <w:bottom w:val="single" w:sz="4" w:space="0" w:color="auto"/>
            </w:tcBorders>
            <w:vAlign w:val="center"/>
          </w:tcPr>
          <w:p w:rsidR="00C723DD" w:rsidRPr="00113EE0" w:rsidRDefault="00C723DD" w:rsidP="00C723DD">
            <w:pPr>
              <w:pStyle w:val="Nadpis2"/>
              <w:ind w:firstLine="0"/>
              <w:rPr>
                <w:rFonts w:asciiTheme="minorHAnsi" w:hAnsiTheme="minorHAnsi" w:cstheme="minorHAnsi"/>
                <w:sz w:val="18"/>
                <w:szCs w:val="18"/>
              </w:rPr>
            </w:pPr>
            <w:r w:rsidRPr="00113EE0">
              <w:rPr>
                <w:rFonts w:asciiTheme="minorHAnsi" w:hAnsiTheme="minorHAnsi" w:cstheme="minorHAnsi"/>
                <w:sz w:val="18"/>
                <w:szCs w:val="18"/>
              </w:rPr>
              <w:t>30.06.201</w:t>
            </w:r>
            <w:r>
              <w:rPr>
                <w:rFonts w:asciiTheme="minorHAnsi" w:hAnsiTheme="minorHAnsi" w:cstheme="minorHAnsi"/>
                <w:sz w:val="18"/>
                <w:szCs w:val="18"/>
              </w:rPr>
              <w:t>5</w:t>
            </w:r>
          </w:p>
        </w:tc>
        <w:tc>
          <w:tcPr>
            <w:tcW w:w="1772" w:type="dxa"/>
            <w:tcBorders>
              <w:top w:val="double" w:sz="4" w:space="0" w:color="auto"/>
              <w:bottom w:val="sing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6 700</w:t>
            </w:r>
          </w:p>
        </w:tc>
        <w:tc>
          <w:tcPr>
            <w:tcW w:w="1772" w:type="dxa"/>
            <w:tcBorders>
              <w:top w:val="double" w:sz="4" w:space="0" w:color="auto"/>
              <w:bottom w:val="single" w:sz="4" w:space="0" w:color="auto"/>
            </w:tcBorders>
            <w:vAlign w:val="center"/>
          </w:tcPr>
          <w:p w:rsidR="00C723DD" w:rsidRPr="00786B3B" w:rsidRDefault="00C723DD" w:rsidP="00C723DD">
            <w:pPr>
              <w:jc w:val="center"/>
              <w:rPr>
                <w:rFonts w:ascii="Calibri" w:hAnsi="Calibri" w:cs="Calibri"/>
                <w:bCs/>
                <w:iCs/>
                <w:sz w:val="18"/>
                <w:szCs w:val="18"/>
              </w:rPr>
            </w:pPr>
            <w:r w:rsidRPr="00786B3B">
              <w:rPr>
                <w:rFonts w:ascii="Calibri" w:hAnsi="Calibri" w:cs="Calibri"/>
                <w:bCs/>
                <w:iCs/>
                <w:sz w:val="18"/>
                <w:szCs w:val="18"/>
              </w:rPr>
              <w:t>6,2</w:t>
            </w:r>
          </w:p>
        </w:tc>
        <w:tc>
          <w:tcPr>
            <w:tcW w:w="1772" w:type="dxa"/>
            <w:tcBorders>
              <w:top w:val="double" w:sz="4" w:space="0" w:color="auto"/>
              <w:bottom w:val="sing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7 000</w:t>
            </w:r>
          </w:p>
        </w:tc>
        <w:tc>
          <w:tcPr>
            <w:tcW w:w="1772" w:type="dxa"/>
            <w:tcBorders>
              <w:top w:val="double" w:sz="4" w:space="0" w:color="auto"/>
              <w:bottom w:val="single" w:sz="4" w:space="0" w:color="auto"/>
            </w:tcBorders>
            <w:vAlign w:val="center"/>
          </w:tcPr>
          <w:p w:rsidR="00C723DD" w:rsidRPr="00786B3B" w:rsidRDefault="00C723DD" w:rsidP="00C723DD">
            <w:pPr>
              <w:jc w:val="center"/>
              <w:rPr>
                <w:rFonts w:ascii="Calibri" w:hAnsi="Calibri" w:cs="Calibri"/>
                <w:bCs/>
                <w:iCs/>
                <w:sz w:val="18"/>
                <w:szCs w:val="18"/>
              </w:rPr>
            </w:pPr>
            <w:r w:rsidRPr="00786B3B">
              <w:rPr>
                <w:rFonts w:ascii="Calibri" w:hAnsi="Calibri" w:cs="Calibri"/>
                <w:bCs/>
                <w:iCs/>
                <w:sz w:val="18"/>
                <w:szCs w:val="18"/>
              </w:rPr>
              <w:t>6,5</w:t>
            </w:r>
          </w:p>
        </w:tc>
      </w:tr>
      <w:tr w:rsidR="00C723DD" w:rsidRPr="00113EE0" w:rsidTr="00C723DD">
        <w:trPr>
          <w:cantSplit/>
          <w:trHeight w:val="20"/>
        </w:trPr>
        <w:tc>
          <w:tcPr>
            <w:tcW w:w="2410" w:type="dxa"/>
            <w:tcBorders>
              <w:top w:val="single" w:sz="4" w:space="0" w:color="auto"/>
              <w:bottom w:val="double" w:sz="4" w:space="0" w:color="auto"/>
            </w:tcBorders>
            <w:vAlign w:val="center"/>
          </w:tcPr>
          <w:p w:rsidR="00C723DD" w:rsidRPr="00113EE0" w:rsidRDefault="00C723DD" w:rsidP="00C723DD">
            <w:pPr>
              <w:pStyle w:val="Nadpis2"/>
              <w:ind w:firstLine="0"/>
              <w:rPr>
                <w:rFonts w:asciiTheme="minorHAnsi" w:hAnsiTheme="minorHAnsi" w:cstheme="minorHAnsi"/>
                <w:sz w:val="18"/>
                <w:szCs w:val="18"/>
              </w:rPr>
            </w:pPr>
            <w:r w:rsidRPr="00113EE0">
              <w:rPr>
                <w:rFonts w:asciiTheme="minorHAnsi" w:hAnsiTheme="minorHAnsi" w:cstheme="minorHAnsi"/>
                <w:sz w:val="18"/>
                <w:szCs w:val="18"/>
              </w:rPr>
              <w:t>31.12.201</w:t>
            </w:r>
            <w:r>
              <w:rPr>
                <w:rFonts w:asciiTheme="minorHAnsi" w:hAnsiTheme="minorHAnsi" w:cstheme="minorHAnsi"/>
                <w:sz w:val="18"/>
                <w:szCs w:val="18"/>
              </w:rPr>
              <w:t>5</w:t>
            </w:r>
          </w:p>
        </w:tc>
        <w:tc>
          <w:tcPr>
            <w:tcW w:w="1772" w:type="dxa"/>
            <w:tcBorders>
              <w:top w:val="single" w:sz="4" w:space="0" w:color="auto"/>
              <w:bottom w:val="doub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7 100</w:t>
            </w:r>
          </w:p>
        </w:tc>
        <w:tc>
          <w:tcPr>
            <w:tcW w:w="1772" w:type="dxa"/>
            <w:tcBorders>
              <w:top w:val="single" w:sz="4" w:space="0" w:color="auto"/>
              <w:bottom w:val="doub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6,6</w:t>
            </w:r>
          </w:p>
        </w:tc>
        <w:tc>
          <w:tcPr>
            <w:tcW w:w="1772" w:type="dxa"/>
            <w:tcBorders>
              <w:top w:val="single" w:sz="4" w:space="0" w:color="auto"/>
              <w:bottom w:val="doub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7 300</w:t>
            </w:r>
          </w:p>
        </w:tc>
        <w:tc>
          <w:tcPr>
            <w:tcW w:w="1772" w:type="dxa"/>
            <w:tcBorders>
              <w:top w:val="single" w:sz="4" w:space="0" w:color="auto"/>
              <w:bottom w:val="double" w:sz="4" w:space="0" w:color="auto"/>
            </w:tcBorders>
            <w:vAlign w:val="center"/>
          </w:tcPr>
          <w:p w:rsidR="00C723DD" w:rsidRPr="00786B3B" w:rsidRDefault="00C723DD" w:rsidP="00C723DD">
            <w:pPr>
              <w:jc w:val="center"/>
              <w:rPr>
                <w:rFonts w:ascii="Calibri" w:hAnsi="Calibri" w:cs="Calibri"/>
                <w:sz w:val="18"/>
                <w:szCs w:val="18"/>
              </w:rPr>
            </w:pPr>
            <w:r w:rsidRPr="00786B3B">
              <w:rPr>
                <w:rFonts w:ascii="Calibri" w:hAnsi="Calibri" w:cs="Calibri"/>
                <w:sz w:val="18"/>
                <w:szCs w:val="18"/>
              </w:rPr>
              <w:t>6,9</w:t>
            </w:r>
          </w:p>
        </w:tc>
      </w:tr>
    </w:tbl>
    <w:p w:rsidR="00C723DD" w:rsidRPr="00113EE0" w:rsidRDefault="00C723DD" w:rsidP="00C723DD">
      <w:pPr>
        <w:pStyle w:val="Nadpis3"/>
        <w:rPr>
          <w:rFonts w:asciiTheme="minorHAnsi" w:hAnsiTheme="minorHAnsi" w:cstheme="minorHAnsi"/>
        </w:rPr>
      </w:pPr>
      <w:r w:rsidRPr="00113EE0">
        <w:rPr>
          <w:rFonts w:asciiTheme="minorHAnsi" w:hAnsiTheme="minorHAnsi" w:cstheme="minorHAnsi"/>
          <w:sz w:val="24"/>
          <w:szCs w:val="24"/>
        </w:rPr>
        <w:br w:type="page"/>
      </w:r>
      <w:r w:rsidRPr="00113EE0">
        <w:rPr>
          <w:rFonts w:asciiTheme="minorHAnsi" w:hAnsiTheme="minorHAnsi" w:cstheme="minorHAnsi"/>
        </w:rPr>
        <w:t>Okres Opava</w:t>
      </w:r>
    </w:p>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b/>
          <w:sz w:val="22"/>
        </w:rPr>
      </w:pPr>
      <w:r w:rsidRPr="00113EE0">
        <w:rPr>
          <w:rFonts w:asciiTheme="minorHAnsi" w:hAnsiTheme="minorHAnsi" w:cstheme="minorHAnsi"/>
          <w:b/>
          <w:sz w:val="22"/>
        </w:rPr>
        <w:t xml:space="preserve">1. Celková charakteristika okresu </w:t>
      </w:r>
    </w:p>
    <w:tbl>
      <w:tblPr>
        <w:tblW w:w="9283" w:type="dxa"/>
        <w:tblLayout w:type="fixed"/>
        <w:tblCellMar>
          <w:left w:w="70" w:type="dxa"/>
          <w:right w:w="70" w:type="dxa"/>
        </w:tblCellMar>
        <w:tblLook w:val="0000" w:firstRow="0" w:lastRow="0" w:firstColumn="0" w:lastColumn="0" w:noHBand="0" w:noVBand="0"/>
      </w:tblPr>
      <w:tblGrid>
        <w:gridCol w:w="1771"/>
        <w:gridCol w:w="7512"/>
      </w:tblGrid>
      <w:tr w:rsidR="00C723DD" w:rsidRPr="00113EE0" w:rsidTr="00C723DD">
        <w:trPr>
          <w:trHeight w:val="1227"/>
        </w:trPr>
        <w:tc>
          <w:tcPr>
            <w:tcW w:w="1771" w:type="dxa"/>
          </w:tcPr>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Rozloha:</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Počet obyvatel:</w:t>
            </w:r>
          </w:p>
          <w:p w:rsidR="00C723DD" w:rsidRPr="00113EE0" w:rsidRDefault="00C723DD" w:rsidP="00C723DD">
            <w:pPr>
              <w:ind w:right="-70"/>
              <w:jc w:val="both"/>
              <w:rPr>
                <w:rFonts w:asciiTheme="minorHAnsi" w:hAnsiTheme="minorHAnsi" w:cstheme="minorHAnsi"/>
              </w:rPr>
            </w:pPr>
            <w:r w:rsidRPr="00113EE0">
              <w:rPr>
                <w:rFonts w:asciiTheme="minorHAnsi" w:hAnsiTheme="minorHAnsi" w:cstheme="minorHAnsi"/>
              </w:rPr>
              <w:t>Hustota osídlení:</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Charakter:</w:t>
            </w:r>
          </w:p>
        </w:tc>
        <w:tc>
          <w:tcPr>
            <w:tcW w:w="7512" w:type="dxa"/>
          </w:tcPr>
          <w:p w:rsidR="00C723DD" w:rsidRPr="00113EE0" w:rsidRDefault="00C723DD" w:rsidP="00C723DD">
            <w:pPr>
              <w:ind w:right="-567"/>
              <w:jc w:val="both"/>
              <w:rPr>
                <w:rFonts w:asciiTheme="minorHAnsi" w:hAnsiTheme="minorHAnsi" w:cstheme="minorHAnsi"/>
                <w:vertAlign w:val="superscript"/>
              </w:rPr>
            </w:pPr>
            <w:r w:rsidRPr="00113EE0">
              <w:rPr>
                <w:rFonts w:asciiTheme="minorHAnsi" w:hAnsiTheme="minorHAnsi" w:cstheme="minorHAnsi"/>
              </w:rPr>
              <w:t>1 113 km</w:t>
            </w:r>
            <w:r w:rsidRPr="00113EE0">
              <w:rPr>
                <w:rFonts w:asciiTheme="minorHAnsi" w:hAnsiTheme="minorHAnsi" w:cstheme="minorHAnsi"/>
                <w:vertAlign w:val="superscript"/>
              </w:rPr>
              <w:t>2</w:t>
            </w:r>
          </w:p>
          <w:p w:rsidR="00C723DD" w:rsidRPr="00113EE0" w:rsidRDefault="00C723DD" w:rsidP="00C723DD">
            <w:pPr>
              <w:jc w:val="both"/>
              <w:rPr>
                <w:rFonts w:asciiTheme="minorHAnsi" w:hAnsiTheme="minorHAnsi" w:cstheme="minorHAnsi"/>
              </w:rPr>
            </w:pPr>
            <w:r w:rsidRPr="00113EE0">
              <w:rPr>
                <w:rFonts w:asciiTheme="minorHAnsi" w:hAnsiTheme="minorHAnsi" w:cstheme="minorHAnsi"/>
                <w:snapToGrid w:val="0"/>
              </w:rPr>
              <w:t xml:space="preserve">cca 177 tis. </w:t>
            </w:r>
          </w:p>
          <w:p w:rsidR="00C723DD" w:rsidRPr="00113EE0" w:rsidRDefault="00C723DD" w:rsidP="00C723DD">
            <w:pPr>
              <w:ind w:right="-567"/>
              <w:jc w:val="both"/>
              <w:rPr>
                <w:rFonts w:asciiTheme="minorHAnsi" w:hAnsiTheme="minorHAnsi" w:cstheme="minorHAnsi"/>
                <w:vertAlign w:val="superscript"/>
              </w:rPr>
            </w:pPr>
            <w:r w:rsidRPr="00113EE0">
              <w:rPr>
                <w:rFonts w:asciiTheme="minorHAnsi" w:hAnsiTheme="minorHAnsi" w:cstheme="minorHAnsi"/>
              </w:rPr>
              <w:t>159 obyvatel/km</w:t>
            </w:r>
            <w:r w:rsidRPr="00113EE0">
              <w:rPr>
                <w:rFonts w:asciiTheme="minorHAnsi" w:hAnsiTheme="minorHAnsi" w:cstheme="minorHAnsi"/>
                <w:vertAlign w:val="superscript"/>
              </w:rPr>
              <w:t>2</w:t>
            </w:r>
          </w:p>
          <w:p w:rsidR="00C723DD" w:rsidRPr="00113EE0" w:rsidRDefault="00C723DD" w:rsidP="00C723DD">
            <w:pPr>
              <w:ind w:right="-68"/>
              <w:jc w:val="both"/>
              <w:rPr>
                <w:rFonts w:asciiTheme="minorHAnsi" w:hAnsiTheme="minorHAnsi" w:cstheme="minorHAnsi"/>
              </w:rPr>
            </w:pPr>
            <w:r w:rsidRPr="00113EE0">
              <w:rPr>
                <w:rFonts w:asciiTheme="minorHAnsi" w:hAnsiTheme="minorHAnsi" w:cstheme="minorHAnsi"/>
              </w:rPr>
              <w:t>průmyslově zemědělská oblast, v rámci kraje nejvýraznější zastoupení venkovského osídlení, největší podíl zaměstnanosti v zemědělství a zpracovatelském průmyslu</w:t>
            </w:r>
          </w:p>
        </w:tc>
      </w:tr>
    </w:tbl>
    <w:p w:rsidR="00C723DD" w:rsidRPr="00113EE0" w:rsidRDefault="00C723DD" w:rsidP="00C723DD">
      <w:pPr>
        <w:spacing w:before="120"/>
        <w:rPr>
          <w:rFonts w:asciiTheme="minorHAnsi" w:hAnsiTheme="minorHAnsi" w:cstheme="minorHAnsi"/>
          <w:b/>
          <w:i/>
          <w:sz w:val="22"/>
          <w:szCs w:val="22"/>
        </w:rPr>
      </w:pPr>
      <w:r w:rsidRPr="00113EE0">
        <w:rPr>
          <w:rFonts w:asciiTheme="minorHAnsi" w:hAnsiTheme="minorHAnsi" w:cstheme="minorHAnsi"/>
          <w:b/>
          <w:i/>
          <w:sz w:val="22"/>
          <w:szCs w:val="22"/>
        </w:rPr>
        <w:t>Silné stránky okresu (specifika, která nejsou obsažena v krajské analýze)</w:t>
      </w:r>
    </w:p>
    <w:p w:rsidR="00C723DD" w:rsidRPr="00113EE0" w:rsidRDefault="00C723DD" w:rsidP="00C723DD">
      <w:pPr>
        <w:pStyle w:val="Odstavecseseznamem"/>
        <w:numPr>
          <w:ilvl w:val="0"/>
          <w:numId w:val="23"/>
        </w:numPr>
        <w:ind w:left="426"/>
        <w:jc w:val="both"/>
        <w:rPr>
          <w:rFonts w:asciiTheme="minorHAnsi" w:hAnsiTheme="minorHAnsi" w:cstheme="minorHAnsi"/>
          <w:szCs w:val="24"/>
        </w:rPr>
      </w:pPr>
      <w:r w:rsidRPr="00113EE0">
        <w:rPr>
          <w:rFonts w:asciiTheme="minorHAnsi" w:hAnsiTheme="minorHAnsi" w:cstheme="minorHAnsi"/>
          <w:szCs w:val="24"/>
        </w:rPr>
        <w:t>Trvalý růst počtu obyvatel s vyšším stupněm vzdělání.</w:t>
      </w:r>
    </w:p>
    <w:p w:rsidR="00C723DD" w:rsidRPr="00113EE0" w:rsidRDefault="00C723DD" w:rsidP="00C723DD">
      <w:pPr>
        <w:pStyle w:val="Odstavecseseznamem"/>
        <w:numPr>
          <w:ilvl w:val="0"/>
          <w:numId w:val="23"/>
        </w:numPr>
        <w:ind w:left="426"/>
        <w:jc w:val="both"/>
        <w:rPr>
          <w:rFonts w:asciiTheme="minorHAnsi" w:hAnsiTheme="minorHAnsi" w:cstheme="minorHAnsi"/>
          <w:szCs w:val="24"/>
        </w:rPr>
      </w:pPr>
      <w:r w:rsidRPr="00113EE0">
        <w:rPr>
          <w:rFonts w:asciiTheme="minorHAnsi" w:hAnsiTheme="minorHAnsi" w:cstheme="minorHAnsi"/>
          <w:szCs w:val="24"/>
        </w:rPr>
        <w:t>Pestrá nabídka vzdělávacích zařízení - základních, středních škol. Město Opava je sídlem Slezské univerzity.</w:t>
      </w:r>
    </w:p>
    <w:p w:rsidR="00C723DD" w:rsidRPr="00113EE0" w:rsidRDefault="00C723DD" w:rsidP="00C723DD">
      <w:pPr>
        <w:pStyle w:val="Odstavecseseznamem"/>
        <w:numPr>
          <w:ilvl w:val="0"/>
          <w:numId w:val="23"/>
        </w:numPr>
        <w:ind w:left="426"/>
        <w:jc w:val="both"/>
        <w:rPr>
          <w:rFonts w:asciiTheme="minorHAnsi" w:hAnsiTheme="minorHAnsi" w:cstheme="minorHAnsi"/>
          <w:szCs w:val="24"/>
        </w:rPr>
      </w:pPr>
      <w:r w:rsidRPr="00113EE0">
        <w:rPr>
          <w:rFonts w:asciiTheme="minorHAnsi" w:hAnsiTheme="minorHAnsi" w:cstheme="minorHAnsi"/>
          <w:szCs w:val="24"/>
        </w:rPr>
        <w:t>Dostatečné množství volné pracovní síly s umírněnými mzdovými požadavky.</w:t>
      </w:r>
    </w:p>
    <w:p w:rsidR="00C723DD" w:rsidRPr="00113EE0" w:rsidRDefault="00C723DD" w:rsidP="00C723DD">
      <w:pPr>
        <w:pStyle w:val="Odstavecseseznamem"/>
        <w:numPr>
          <w:ilvl w:val="0"/>
          <w:numId w:val="23"/>
        </w:numPr>
        <w:ind w:left="426" w:hanging="357"/>
        <w:jc w:val="both"/>
        <w:rPr>
          <w:rFonts w:asciiTheme="minorHAnsi" w:hAnsiTheme="minorHAnsi" w:cstheme="minorHAnsi"/>
          <w:szCs w:val="24"/>
        </w:rPr>
      </w:pPr>
      <w:r w:rsidRPr="00113EE0">
        <w:rPr>
          <w:rFonts w:asciiTheme="minorHAnsi" w:hAnsiTheme="minorHAnsi" w:cstheme="minorHAnsi"/>
          <w:szCs w:val="24"/>
        </w:rPr>
        <w:t>Volný pohyb osob na pracovním trhu EU.</w:t>
      </w:r>
    </w:p>
    <w:p w:rsidR="00C723DD" w:rsidRPr="00113EE0" w:rsidRDefault="00C723DD" w:rsidP="00C723DD">
      <w:pPr>
        <w:pStyle w:val="Odstavecseseznamem"/>
        <w:numPr>
          <w:ilvl w:val="0"/>
          <w:numId w:val="23"/>
        </w:numPr>
        <w:ind w:left="426" w:hanging="357"/>
        <w:jc w:val="both"/>
        <w:rPr>
          <w:rFonts w:asciiTheme="minorHAnsi" w:hAnsiTheme="minorHAnsi" w:cstheme="minorHAnsi"/>
          <w:szCs w:val="24"/>
        </w:rPr>
      </w:pPr>
      <w:r w:rsidRPr="00113EE0">
        <w:rPr>
          <w:rFonts w:asciiTheme="minorHAnsi" w:hAnsiTheme="minorHAnsi" w:cstheme="minorHAnsi"/>
          <w:szCs w:val="24"/>
        </w:rPr>
        <w:t>Příznivá poloha okresu v blízkosti státní hranice s Polskou republikou.</w:t>
      </w:r>
    </w:p>
    <w:p w:rsidR="00C723DD" w:rsidRPr="00113EE0" w:rsidRDefault="00C723DD" w:rsidP="00C723DD">
      <w:pPr>
        <w:pStyle w:val="Odstavecseseznamem"/>
        <w:numPr>
          <w:ilvl w:val="0"/>
          <w:numId w:val="23"/>
        </w:numPr>
        <w:ind w:left="426" w:hanging="357"/>
        <w:jc w:val="both"/>
        <w:rPr>
          <w:rFonts w:asciiTheme="minorHAnsi" w:hAnsiTheme="minorHAnsi" w:cstheme="minorHAnsi"/>
          <w:szCs w:val="24"/>
        </w:rPr>
      </w:pPr>
      <w:r w:rsidRPr="00113EE0">
        <w:rPr>
          <w:rFonts w:asciiTheme="minorHAnsi" w:hAnsiTheme="minorHAnsi" w:cstheme="minorHAnsi"/>
          <w:szCs w:val="24"/>
        </w:rPr>
        <w:t>Rozsáhlé zásoby štěrků, písků, břidlice, průmyslová zóna Bolatice, která nabízí 16 hektarů půdy.</w:t>
      </w:r>
    </w:p>
    <w:p w:rsidR="00C723DD" w:rsidRPr="00113EE0" w:rsidRDefault="00C723DD" w:rsidP="00C723DD">
      <w:pPr>
        <w:pStyle w:val="Odstavecseseznamem"/>
        <w:numPr>
          <w:ilvl w:val="0"/>
          <w:numId w:val="23"/>
        </w:numPr>
        <w:ind w:left="426" w:hanging="357"/>
        <w:jc w:val="both"/>
        <w:rPr>
          <w:rFonts w:asciiTheme="minorHAnsi" w:hAnsiTheme="minorHAnsi" w:cstheme="minorHAnsi"/>
          <w:szCs w:val="24"/>
        </w:rPr>
      </w:pPr>
      <w:r w:rsidRPr="00113EE0">
        <w:rPr>
          <w:rFonts w:asciiTheme="minorHAnsi" w:hAnsiTheme="minorHAnsi" w:cstheme="minorHAnsi"/>
          <w:szCs w:val="24"/>
        </w:rPr>
        <w:t>Rozmanitost struktury zaměstnavatelů vzhledem k velikosti, druhu vlastnictví, předmětu podnikání a sortimentu výrobků, vzájemně si vesměs nekonkurující</w:t>
      </w:r>
      <w:r w:rsidR="00E7653C">
        <w:rPr>
          <w:rFonts w:asciiTheme="minorHAnsi" w:hAnsiTheme="minorHAnsi" w:cstheme="minorHAnsi"/>
          <w:szCs w:val="24"/>
        </w:rPr>
        <w:t>ch</w:t>
      </w:r>
      <w:r w:rsidRPr="00113EE0">
        <w:rPr>
          <w:rFonts w:asciiTheme="minorHAnsi" w:hAnsiTheme="minorHAnsi" w:cstheme="minorHAnsi"/>
          <w:szCs w:val="24"/>
        </w:rPr>
        <w:t>.</w:t>
      </w:r>
    </w:p>
    <w:p w:rsidR="00C723DD" w:rsidRPr="00113EE0" w:rsidRDefault="00C723DD" w:rsidP="00C723DD">
      <w:pPr>
        <w:pStyle w:val="Odstavecseseznamem"/>
        <w:numPr>
          <w:ilvl w:val="0"/>
          <w:numId w:val="23"/>
        </w:numPr>
        <w:ind w:left="426" w:hanging="357"/>
        <w:jc w:val="both"/>
        <w:rPr>
          <w:rFonts w:asciiTheme="minorHAnsi" w:hAnsiTheme="minorHAnsi" w:cstheme="minorHAnsi"/>
          <w:szCs w:val="24"/>
        </w:rPr>
      </w:pPr>
      <w:r w:rsidRPr="00113EE0">
        <w:rPr>
          <w:rFonts w:asciiTheme="minorHAnsi" w:hAnsiTheme="minorHAnsi" w:cstheme="minorHAnsi"/>
          <w:szCs w:val="24"/>
        </w:rPr>
        <w:t>Vlastnická struktura zaměstnavatelů, povětšinou spjatých s místem svého podnikání různými vazbami (vzájemně výhodná obchodní spojení mezi místními firmami s minimalizovanými náklady na dopravu - dodávka obalů, cukru, mouky, zemědělských výrobků atd.).</w:t>
      </w:r>
    </w:p>
    <w:p w:rsidR="00C723DD" w:rsidRPr="00113EE0" w:rsidRDefault="00C723DD" w:rsidP="00C723DD">
      <w:pPr>
        <w:pStyle w:val="Odstavecseseznamem"/>
        <w:numPr>
          <w:ilvl w:val="0"/>
          <w:numId w:val="23"/>
        </w:numPr>
        <w:ind w:left="426"/>
        <w:jc w:val="both"/>
        <w:rPr>
          <w:rFonts w:asciiTheme="minorHAnsi" w:hAnsiTheme="minorHAnsi" w:cstheme="minorHAnsi"/>
          <w:szCs w:val="24"/>
        </w:rPr>
      </w:pPr>
      <w:r w:rsidRPr="00113EE0">
        <w:rPr>
          <w:rFonts w:asciiTheme="minorHAnsi" w:hAnsiTheme="minorHAnsi" w:cstheme="minorHAnsi"/>
          <w:szCs w:val="24"/>
        </w:rPr>
        <w:t xml:space="preserve">Firmy v zahraničním vlastnictví s kvalitním sociálním programem, péčí o rozvoj zaměstnanců, vyššími mzdami, např. Teva Czech Industries s. r. o., Model Obaly a. s., </w:t>
      </w:r>
      <w:r w:rsidRPr="00113EE0">
        <w:rPr>
          <w:rFonts w:asciiTheme="minorHAnsi" w:hAnsiTheme="minorHAnsi" w:cstheme="minorHAnsi"/>
        </w:rPr>
        <w:t xml:space="preserve">Mondelez CR Biscuit Production s. r. o. (bývalá </w:t>
      </w:r>
      <w:r w:rsidRPr="00113EE0">
        <w:rPr>
          <w:rFonts w:asciiTheme="minorHAnsi" w:hAnsiTheme="minorHAnsi" w:cstheme="minorHAnsi"/>
          <w:szCs w:val="24"/>
        </w:rPr>
        <w:t>Opavia-LU a. s.).</w:t>
      </w:r>
    </w:p>
    <w:p w:rsidR="00C723DD" w:rsidRPr="00113EE0" w:rsidRDefault="00C723DD" w:rsidP="00C723DD">
      <w:pPr>
        <w:spacing w:before="120"/>
        <w:rPr>
          <w:rFonts w:asciiTheme="minorHAnsi" w:hAnsiTheme="minorHAnsi" w:cstheme="minorHAnsi"/>
          <w:b/>
          <w:i/>
          <w:sz w:val="22"/>
          <w:szCs w:val="22"/>
        </w:rPr>
      </w:pPr>
      <w:r w:rsidRPr="00113EE0">
        <w:rPr>
          <w:rFonts w:asciiTheme="minorHAnsi" w:hAnsiTheme="minorHAnsi" w:cstheme="minorHAnsi"/>
          <w:b/>
          <w:i/>
          <w:sz w:val="22"/>
          <w:szCs w:val="22"/>
        </w:rPr>
        <w:t>Slabé stránky okresu (specifika, která nejsou obsažena v krajské analýze)</w:t>
      </w:r>
    </w:p>
    <w:p w:rsidR="00C723DD" w:rsidRPr="00113EE0" w:rsidRDefault="00C723DD" w:rsidP="00C723DD">
      <w:pPr>
        <w:pStyle w:val="Odstavecseseznamem"/>
        <w:numPr>
          <w:ilvl w:val="0"/>
          <w:numId w:val="24"/>
        </w:numPr>
        <w:ind w:left="426"/>
        <w:jc w:val="both"/>
        <w:rPr>
          <w:rFonts w:asciiTheme="minorHAnsi" w:hAnsiTheme="minorHAnsi" w:cstheme="minorHAnsi"/>
        </w:rPr>
      </w:pPr>
      <w:r w:rsidRPr="00113EE0">
        <w:rPr>
          <w:rFonts w:asciiTheme="minorHAnsi" w:hAnsiTheme="minorHAnsi" w:cstheme="minorHAnsi"/>
        </w:rPr>
        <w:t>Nedostatečná dopravní infrastruktura. Absence odpovídajícího silničního napojení na Ostravu a evropskou dálniční síť, která brání většímu přílivu potenciálních investorů i dynamickému rozvoji některých podnikatelských aktivit.</w:t>
      </w:r>
    </w:p>
    <w:p w:rsidR="00C723DD" w:rsidRPr="00113EE0" w:rsidRDefault="00C723DD" w:rsidP="00C723DD">
      <w:pPr>
        <w:pStyle w:val="Odstavecseseznamem"/>
        <w:numPr>
          <w:ilvl w:val="0"/>
          <w:numId w:val="24"/>
        </w:numPr>
        <w:ind w:left="426"/>
        <w:jc w:val="both"/>
        <w:rPr>
          <w:rFonts w:asciiTheme="minorHAnsi" w:hAnsiTheme="minorHAnsi" w:cstheme="minorHAnsi"/>
        </w:rPr>
      </w:pPr>
      <w:r w:rsidRPr="00113EE0">
        <w:rPr>
          <w:rFonts w:asciiTheme="minorHAnsi" w:hAnsiTheme="minorHAnsi" w:cstheme="minorHAnsi"/>
        </w:rPr>
        <w:t>Stárnutí obyvatelstva okresu Opava.</w:t>
      </w:r>
    </w:p>
    <w:p w:rsidR="00C723DD" w:rsidRPr="00113EE0" w:rsidRDefault="00C723DD" w:rsidP="00C723DD">
      <w:pPr>
        <w:pStyle w:val="Odstavecseseznamem"/>
        <w:numPr>
          <w:ilvl w:val="0"/>
          <w:numId w:val="24"/>
        </w:numPr>
        <w:ind w:left="426"/>
        <w:jc w:val="both"/>
        <w:rPr>
          <w:rFonts w:asciiTheme="minorHAnsi" w:hAnsiTheme="minorHAnsi" w:cstheme="minorHAnsi"/>
        </w:rPr>
      </w:pPr>
      <w:r w:rsidRPr="00113EE0">
        <w:rPr>
          <w:rFonts w:asciiTheme="minorHAnsi" w:hAnsiTheme="minorHAnsi" w:cstheme="minorHAnsi"/>
        </w:rPr>
        <w:t>Nízká mzdová úroveň obyvatelstva v rámci ČR.</w:t>
      </w:r>
    </w:p>
    <w:p w:rsidR="00C723DD" w:rsidRPr="00113EE0" w:rsidRDefault="00C723DD" w:rsidP="00C723DD">
      <w:pPr>
        <w:pStyle w:val="Odstavecseseznamem"/>
        <w:numPr>
          <w:ilvl w:val="0"/>
          <w:numId w:val="24"/>
        </w:numPr>
        <w:ind w:left="426"/>
        <w:jc w:val="both"/>
        <w:rPr>
          <w:rFonts w:asciiTheme="minorHAnsi" w:hAnsiTheme="minorHAnsi" w:cstheme="minorHAnsi"/>
        </w:rPr>
      </w:pPr>
      <w:r w:rsidRPr="00113EE0">
        <w:rPr>
          <w:rFonts w:asciiTheme="minorHAnsi" w:hAnsiTheme="minorHAnsi" w:cstheme="minorHAnsi"/>
        </w:rPr>
        <w:t>Zhoršená kvalita životního prostředí, zejména ovzduší.</w:t>
      </w:r>
    </w:p>
    <w:p w:rsidR="00C723DD" w:rsidRPr="00113EE0" w:rsidRDefault="00C723DD" w:rsidP="00C723DD">
      <w:pPr>
        <w:pStyle w:val="Odstavecseseznamem"/>
        <w:numPr>
          <w:ilvl w:val="0"/>
          <w:numId w:val="24"/>
        </w:numPr>
        <w:ind w:left="426"/>
        <w:jc w:val="both"/>
        <w:rPr>
          <w:rFonts w:asciiTheme="minorHAnsi" w:hAnsiTheme="minorHAnsi" w:cstheme="minorHAnsi"/>
        </w:rPr>
      </w:pPr>
      <w:r w:rsidRPr="00113EE0">
        <w:rPr>
          <w:rFonts w:asciiTheme="minorHAnsi" w:hAnsiTheme="minorHAnsi" w:cstheme="minorHAnsi"/>
        </w:rPr>
        <w:t>Nedostatečná tvorba nových pracovních příležitostí.</w:t>
      </w:r>
    </w:p>
    <w:p w:rsidR="00C723DD" w:rsidRPr="00113EE0" w:rsidRDefault="00C723DD" w:rsidP="00C723DD">
      <w:pPr>
        <w:pStyle w:val="Odstavecseseznamem"/>
        <w:ind w:left="426"/>
        <w:jc w:val="both"/>
        <w:rPr>
          <w:rFonts w:asciiTheme="minorHAnsi" w:hAnsiTheme="minorHAnsi" w:cstheme="minorHAnsi"/>
        </w:rPr>
      </w:pPr>
    </w:p>
    <w:p w:rsidR="00C723DD" w:rsidRPr="00113EE0" w:rsidRDefault="00C723DD" w:rsidP="00C723DD">
      <w:pPr>
        <w:ind w:right="-567"/>
        <w:jc w:val="both"/>
        <w:rPr>
          <w:rFonts w:asciiTheme="minorHAnsi" w:hAnsiTheme="minorHAnsi" w:cstheme="minorHAnsi"/>
          <w:sz w:val="22"/>
        </w:rPr>
      </w:pPr>
      <w:r w:rsidRPr="00113EE0">
        <w:rPr>
          <w:rFonts w:asciiTheme="minorHAnsi" w:hAnsiTheme="minorHAnsi" w:cstheme="minorHAnsi"/>
          <w:b/>
          <w:sz w:val="22"/>
        </w:rPr>
        <w:t>2. Zaměstnanost</w:t>
      </w:r>
    </w:p>
    <w:tbl>
      <w:tblPr>
        <w:tblW w:w="9490"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1026"/>
        <w:gridCol w:w="1026"/>
        <w:gridCol w:w="1026"/>
        <w:gridCol w:w="1026"/>
      </w:tblGrid>
      <w:tr w:rsidR="00C723DD" w:rsidRPr="00113EE0" w:rsidTr="00C723DD">
        <w:trPr>
          <w:cantSplit/>
        </w:trPr>
        <w:tc>
          <w:tcPr>
            <w:tcW w:w="5386"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6"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6"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6" w:type="dxa"/>
            <w:tcBorders>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6"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5386" w:type="dxa"/>
            <w:tcBorders>
              <w:top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zaměstnavatelé se stavem 26 a více osob (monitorované firmy)</w:t>
            </w:r>
          </w:p>
        </w:tc>
        <w:tc>
          <w:tcPr>
            <w:tcW w:w="1026"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316</w:t>
            </w:r>
          </w:p>
        </w:tc>
        <w:tc>
          <w:tcPr>
            <w:tcW w:w="1026" w:type="dxa"/>
            <w:tcBorders>
              <w:top w:val="double" w:sz="4" w:space="0" w:color="auto"/>
              <w:bottom w:val="single" w:sz="4" w:space="0" w:color="auto"/>
            </w:tcBorders>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326</w:t>
            </w:r>
          </w:p>
        </w:tc>
        <w:tc>
          <w:tcPr>
            <w:tcW w:w="1026" w:type="dxa"/>
            <w:tcBorders>
              <w:top w:val="double" w:sz="4" w:space="0" w:color="auto"/>
              <w:bottom w:val="single" w:sz="4" w:space="0" w:color="auto"/>
            </w:tcBorders>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+10</w:t>
            </w:r>
          </w:p>
        </w:tc>
        <w:tc>
          <w:tcPr>
            <w:tcW w:w="1026" w:type="dxa"/>
            <w:tcBorders>
              <w:top w:val="double" w:sz="4" w:space="0" w:color="auto"/>
              <w:bottom w:val="single" w:sz="4" w:space="0" w:color="auto"/>
            </w:tcBorders>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103,2</w:t>
            </w:r>
          </w:p>
        </w:tc>
      </w:tr>
      <w:tr w:rsidR="00C723DD" w:rsidRPr="00113EE0" w:rsidTr="00C723DD">
        <w:trPr>
          <w:cantSplit/>
        </w:trPr>
        <w:tc>
          <w:tcPr>
            <w:tcW w:w="5386"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zaměstnanci u monitorovaných firem (se stavem 26 a více osob)</w:t>
            </w:r>
          </w:p>
        </w:tc>
        <w:tc>
          <w:tcPr>
            <w:tcW w:w="1026"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32 999</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33 649</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+650</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102,0</w:t>
            </w:r>
          </w:p>
        </w:tc>
      </w:tr>
      <w:tr w:rsidR="00C723DD" w:rsidRPr="00113EE0" w:rsidTr="00C723DD">
        <w:trPr>
          <w:cantSplit/>
        </w:trPr>
        <w:tc>
          <w:tcPr>
            <w:tcW w:w="5386"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OSVČ (vykonávající činnost)</w:t>
            </w:r>
          </w:p>
        </w:tc>
        <w:tc>
          <w:tcPr>
            <w:tcW w:w="1026"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14 304</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14 256</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-48</w:t>
            </w:r>
          </w:p>
        </w:tc>
        <w:tc>
          <w:tcPr>
            <w:tcW w:w="1026"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99,7</w:t>
            </w:r>
          </w:p>
        </w:tc>
      </w:tr>
    </w:tbl>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Default="00C723DD" w:rsidP="00C723DD">
      <w:pPr>
        <w:rPr>
          <w:rFonts w:asciiTheme="minorHAnsi" w:hAnsiTheme="minorHAnsi" w:cstheme="minorHAnsi"/>
        </w:rPr>
      </w:pPr>
    </w:p>
    <w:p w:rsidR="00C723DD" w:rsidRPr="00113EE0" w:rsidRDefault="00C723DD" w:rsidP="00C723DD">
      <w:pPr>
        <w:rPr>
          <w:rFonts w:asciiTheme="minorHAnsi" w:hAnsiTheme="minorHAnsi" w:cstheme="minorHAnsi"/>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3. Evidovaná nezaměstnanost a volná pracovní místa</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7"/>
        <w:gridCol w:w="1027"/>
        <w:gridCol w:w="1028"/>
        <w:gridCol w:w="1028"/>
        <w:gridCol w:w="1028"/>
      </w:tblGrid>
      <w:tr w:rsidR="00C723DD" w:rsidRPr="00113EE0" w:rsidTr="00C723DD">
        <w:trPr>
          <w:cantSplit/>
        </w:trPr>
        <w:tc>
          <w:tcPr>
            <w:tcW w:w="5387" w:type="dxa"/>
            <w:tcBorders>
              <w:top w:val="double" w:sz="4" w:space="0" w:color="auto"/>
              <w:left w:val="double" w:sz="4" w:space="0" w:color="auto"/>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27"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28"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28" w:type="dxa"/>
            <w:tcBorders>
              <w:top w:val="double" w:sz="4" w:space="0" w:color="auto"/>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28" w:type="dxa"/>
            <w:tcBorders>
              <w:top w:val="double" w:sz="4" w:space="0" w:color="auto"/>
              <w:bottom w:val="nil"/>
              <w:right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157"/>
        </w:trPr>
        <w:tc>
          <w:tcPr>
            <w:tcW w:w="5387" w:type="dxa"/>
            <w:tcBorders>
              <w:top w:val="double" w:sz="4" w:space="0" w:color="auto"/>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evidovaní uchazeči o zaměstnání</w:t>
            </w:r>
          </w:p>
        </w:tc>
        <w:tc>
          <w:tcPr>
            <w:tcW w:w="1027" w:type="dxa"/>
            <w:tcBorders>
              <w:top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11 214</w:t>
            </w:r>
          </w:p>
        </w:tc>
        <w:tc>
          <w:tcPr>
            <w:tcW w:w="1028" w:type="dxa"/>
            <w:tcBorders>
              <w:top w:val="double" w:sz="4" w:space="0" w:color="auto"/>
            </w:tcBorders>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10 229</w:t>
            </w:r>
          </w:p>
        </w:tc>
        <w:tc>
          <w:tcPr>
            <w:tcW w:w="1028" w:type="dxa"/>
            <w:tcBorders>
              <w:top w:val="double" w:sz="4" w:space="0" w:color="auto"/>
            </w:tcBorders>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-985</w:t>
            </w:r>
          </w:p>
        </w:tc>
        <w:tc>
          <w:tcPr>
            <w:tcW w:w="1028" w:type="dxa"/>
            <w:tcBorders>
              <w:top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91,2</w:t>
            </w:r>
          </w:p>
        </w:tc>
      </w:tr>
      <w:tr w:rsidR="00C723DD" w:rsidRPr="00113EE0" w:rsidTr="00C723DD">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ženy</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5 062</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4 634</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-428</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91,5</w:t>
            </w:r>
          </w:p>
        </w:tc>
      </w:tr>
      <w:tr w:rsidR="00C723DD" w:rsidRPr="00113EE0" w:rsidTr="00C723DD">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osoby se zdravotním postižením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1 074</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1 048</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-26</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97,6</w:t>
            </w:r>
          </w:p>
        </w:tc>
      </w:tr>
      <w:tr w:rsidR="00C723DD" w:rsidRPr="00113EE0" w:rsidTr="00C723DD">
        <w:tc>
          <w:tcPr>
            <w:tcW w:w="5387"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absolventi škol a mladiství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867</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597</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-270</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68,9</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6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6 220</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6 077</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-143</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97,7</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12 měsíců</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4 313</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4 500</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+187</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104,3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evidovaných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604</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695</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+91</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115,1</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vyřazených uchazečů (ve dnech)</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363</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324</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-39</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89,3</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do 19 let věku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357</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287</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-70</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80,4</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ve věku 50 let a starší</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3 147</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3 091</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-56</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98,2</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bez vzdělání, s neúplným základním a se základním vzděláním</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2 581</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2 341</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-240</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90,7</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podíl nezaměstnaných osob (v %)</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9,0</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8,2</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-0,8</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91,1</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volná pracovní místa</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307</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546</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+239</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177,9</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volných pracovních míst od začátku roku</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356</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526</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+170</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147,8</w:t>
            </w:r>
          </w:p>
        </w:tc>
      </w:tr>
      <w:tr w:rsidR="00C723DD" w:rsidRPr="00113EE0" w:rsidTr="00C723DD">
        <w:trPr>
          <w:cantSplit/>
        </w:trPr>
        <w:tc>
          <w:tcPr>
            <w:tcW w:w="5387"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připadající na 1 volné pracovní místo</w:t>
            </w:r>
          </w:p>
        </w:tc>
        <w:tc>
          <w:tcPr>
            <w:tcW w:w="1027"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36,5</w:t>
            </w:r>
          </w:p>
        </w:tc>
        <w:tc>
          <w:tcPr>
            <w:tcW w:w="1028" w:type="dxa"/>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18,7</w:t>
            </w:r>
          </w:p>
        </w:tc>
        <w:tc>
          <w:tcPr>
            <w:tcW w:w="1028" w:type="dxa"/>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-17,8</w:t>
            </w:r>
          </w:p>
        </w:tc>
        <w:tc>
          <w:tcPr>
            <w:tcW w:w="1028" w:type="dxa"/>
            <w:tcBorders>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51,2</w:t>
            </w:r>
          </w:p>
        </w:tc>
      </w:tr>
      <w:tr w:rsidR="00C723DD" w:rsidRPr="00113EE0" w:rsidTr="00C723DD">
        <w:trPr>
          <w:cantSplit/>
        </w:trPr>
        <w:tc>
          <w:tcPr>
            <w:tcW w:w="5387"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připadajících na 1 VPM v roce</w:t>
            </w:r>
          </w:p>
        </w:tc>
        <w:tc>
          <w:tcPr>
            <w:tcW w:w="1027"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28,8</w:t>
            </w:r>
          </w:p>
        </w:tc>
        <w:tc>
          <w:tcPr>
            <w:tcW w:w="1028" w:type="dxa"/>
            <w:tcBorders>
              <w:bottom w:val="double" w:sz="4" w:space="0" w:color="auto"/>
            </w:tcBorders>
            <w:vAlign w:val="center"/>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21,0</w:t>
            </w:r>
          </w:p>
        </w:tc>
        <w:tc>
          <w:tcPr>
            <w:tcW w:w="1028" w:type="dxa"/>
            <w:tcBorders>
              <w:bottom w:val="double" w:sz="4" w:space="0" w:color="auto"/>
            </w:tcBorders>
            <w:vAlign w:val="center"/>
          </w:tcPr>
          <w:p w:rsidR="00C723DD" w:rsidRPr="00113EE0" w:rsidRDefault="00C723DD" w:rsidP="00C723DD">
            <w:pPr>
              <w:ind w:left="-70"/>
              <w:jc w:val="center"/>
              <w:rPr>
                <w:rFonts w:asciiTheme="minorHAnsi" w:hAnsiTheme="minorHAnsi" w:cstheme="minorHAnsi"/>
                <w:sz w:val="18"/>
              </w:rPr>
            </w:pPr>
            <w:r>
              <w:rPr>
                <w:rFonts w:asciiTheme="minorHAnsi" w:hAnsiTheme="minorHAnsi" w:cstheme="minorHAnsi"/>
                <w:sz w:val="18"/>
              </w:rPr>
              <w:t>-7,8</w:t>
            </w:r>
          </w:p>
        </w:tc>
        <w:tc>
          <w:tcPr>
            <w:tcW w:w="1028" w:type="dxa"/>
            <w:tcBorders>
              <w:bottom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72,9</w:t>
            </w:r>
          </w:p>
        </w:tc>
      </w:tr>
    </w:tbl>
    <w:p w:rsidR="00C723DD" w:rsidRDefault="00C723DD" w:rsidP="00C723DD">
      <w:pPr>
        <w:ind w:right="-567"/>
        <w:jc w:val="both"/>
        <w:rPr>
          <w:rFonts w:asciiTheme="minorHAnsi" w:hAnsiTheme="minorHAnsi" w:cstheme="minorHAnsi"/>
          <w:b/>
          <w:sz w:val="22"/>
        </w:rPr>
      </w:pPr>
    </w:p>
    <w:p w:rsidR="00C723DD" w:rsidRPr="00113EE0" w:rsidRDefault="00C723DD" w:rsidP="00C723DD">
      <w:pPr>
        <w:ind w:right="-567"/>
        <w:jc w:val="both"/>
        <w:rPr>
          <w:rFonts w:asciiTheme="minorHAnsi" w:hAnsiTheme="minorHAnsi" w:cstheme="minorHAnsi"/>
          <w:sz w:val="22"/>
        </w:rPr>
      </w:pPr>
      <w:r w:rsidRPr="00113EE0">
        <w:rPr>
          <w:rFonts w:asciiTheme="minorHAnsi" w:hAnsiTheme="minorHAnsi" w:cstheme="minorHAnsi"/>
          <w:b/>
          <w:sz w:val="22"/>
        </w:rPr>
        <w:t>4. Tok nezaměstnanosti</w:t>
      </w:r>
    </w:p>
    <w:tbl>
      <w:tblPr>
        <w:tblW w:w="9639"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1240"/>
        <w:gridCol w:w="1240"/>
        <w:gridCol w:w="1240"/>
        <w:gridCol w:w="1241"/>
      </w:tblGrid>
      <w:tr w:rsidR="00C723DD" w:rsidRPr="00113EE0" w:rsidTr="00C723DD">
        <w:trPr>
          <w:cantSplit/>
        </w:trPr>
        <w:tc>
          <w:tcPr>
            <w:tcW w:w="4678"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0"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0"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0" w:type="dxa"/>
            <w:tcBorders>
              <w:bottom w:val="nil"/>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1"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4678" w:type="dxa"/>
            <w:tcBorders>
              <w:top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evidenčního stavu uchazečů v roce</w:t>
            </w:r>
          </w:p>
        </w:tc>
        <w:tc>
          <w:tcPr>
            <w:tcW w:w="1240"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10 259</w:t>
            </w:r>
          </w:p>
        </w:tc>
        <w:tc>
          <w:tcPr>
            <w:tcW w:w="1240" w:type="dxa"/>
            <w:tcBorders>
              <w:top w:val="double" w:sz="4" w:space="0" w:color="auto"/>
              <w:bottom w:val="single" w:sz="4" w:space="0" w:color="auto"/>
            </w:tcBorders>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10 375</w:t>
            </w:r>
          </w:p>
        </w:tc>
        <w:tc>
          <w:tcPr>
            <w:tcW w:w="1240"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+116</w:t>
            </w:r>
          </w:p>
        </w:tc>
        <w:tc>
          <w:tcPr>
            <w:tcW w:w="1241"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101,1</w:t>
            </w:r>
          </w:p>
        </w:tc>
      </w:tr>
      <w:tr w:rsidR="00C723DD" w:rsidRPr="00113EE0" w:rsidTr="00C723DD">
        <w:trPr>
          <w:cantSplit/>
        </w:trPr>
        <w:tc>
          <w:tcPr>
            <w:tcW w:w="4678" w:type="dxa"/>
            <w:tcBorders>
              <w:top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uchazeči nově evidovaní v roce </w:t>
            </w:r>
          </w:p>
        </w:tc>
        <w:tc>
          <w:tcPr>
            <w:tcW w:w="1240" w:type="dxa"/>
            <w:tcBorders>
              <w:top w:val="nil"/>
            </w:tcBorders>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11 628</w:t>
            </w:r>
          </w:p>
        </w:tc>
        <w:tc>
          <w:tcPr>
            <w:tcW w:w="1240" w:type="dxa"/>
            <w:tcBorders>
              <w:top w:val="nil"/>
            </w:tcBorders>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11 059</w:t>
            </w:r>
          </w:p>
        </w:tc>
        <w:tc>
          <w:tcPr>
            <w:tcW w:w="1240" w:type="dxa"/>
            <w:tcBorders>
              <w:top w:val="nil"/>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-569</w:t>
            </w:r>
          </w:p>
        </w:tc>
        <w:tc>
          <w:tcPr>
            <w:tcW w:w="1241" w:type="dxa"/>
            <w:tcBorders>
              <w:top w:val="nil"/>
            </w:tcBorders>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95,1</w:t>
            </w:r>
          </w:p>
        </w:tc>
      </w:tr>
      <w:tr w:rsidR="00C723DD" w:rsidRPr="00113EE0" w:rsidTr="00C723DD">
        <w:trPr>
          <w:cantSplit/>
        </w:trPr>
        <w:tc>
          <w:tcPr>
            <w:tcW w:w="4678"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nově evidovaných uchazečů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969</w:t>
            </w:r>
          </w:p>
        </w:tc>
        <w:tc>
          <w:tcPr>
            <w:tcW w:w="1240" w:type="dxa"/>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922</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-47</w:t>
            </w:r>
          </w:p>
        </w:tc>
        <w:tc>
          <w:tcPr>
            <w:tcW w:w="1241"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95,1</w:t>
            </w:r>
          </w:p>
        </w:tc>
      </w:tr>
      <w:tr w:rsidR="00C723DD" w:rsidRPr="00113EE0" w:rsidTr="00C723DD">
        <w:trPr>
          <w:cantSplit/>
        </w:trPr>
        <w:tc>
          <w:tcPr>
            <w:tcW w:w="4678"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vyřazení z evidence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10 675</w:t>
            </w:r>
          </w:p>
        </w:tc>
        <w:tc>
          <w:tcPr>
            <w:tcW w:w="1240" w:type="dxa"/>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12 044</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+1 369</w:t>
            </w:r>
          </w:p>
        </w:tc>
        <w:tc>
          <w:tcPr>
            <w:tcW w:w="1241"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112,8</w:t>
            </w:r>
          </w:p>
        </w:tc>
      </w:tr>
      <w:tr w:rsidR="00C723DD" w:rsidRPr="00113EE0" w:rsidTr="00C723DD">
        <w:trPr>
          <w:cantSplit/>
        </w:trPr>
        <w:tc>
          <w:tcPr>
            <w:tcW w:w="4678"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6 066</w:t>
            </w:r>
          </w:p>
        </w:tc>
        <w:tc>
          <w:tcPr>
            <w:tcW w:w="1240" w:type="dxa"/>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8 970</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+2 904</w:t>
            </w:r>
          </w:p>
        </w:tc>
        <w:tc>
          <w:tcPr>
            <w:tcW w:w="1241"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147,9</w:t>
            </w:r>
          </w:p>
        </w:tc>
      </w:tr>
      <w:tr w:rsidR="00C723DD" w:rsidRPr="00113EE0" w:rsidTr="00C723DD">
        <w:trPr>
          <w:cantSplit/>
        </w:trPr>
        <w:tc>
          <w:tcPr>
            <w:tcW w:w="4678"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vyřazených z evidence v roce</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890</w:t>
            </w:r>
          </w:p>
        </w:tc>
        <w:tc>
          <w:tcPr>
            <w:tcW w:w="1240" w:type="dxa"/>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1 004</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+114</w:t>
            </w:r>
          </w:p>
        </w:tc>
        <w:tc>
          <w:tcPr>
            <w:tcW w:w="1241"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112,8</w:t>
            </w:r>
          </w:p>
        </w:tc>
      </w:tr>
      <w:tr w:rsidR="00C723DD" w:rsidRPr="00113EE0" w:rsidTr="00C723DD">
        <w:trPr>
          <w:cantSplit/>
        </w:trPr>
        <w:tc>
          <w:tcPr>
            <w:tcW w:w="4678"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240" w:type="dxa"/>
            <w:vAlign w:val="bottom"/>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506</w:t>
            </w:r>
          </w:p>
        </w:tc>
        <w:tc>
          <w:tcPr>
            <w:tcW w:w="1240" w:type="dxa"/>
            <w:vAlign w:val="bottom"/>
          </w:tcPr>
          <w:p w:rsidR="00C723DD" w:rsidRPr="006433A5" w:rsidRDefault="00C723DD" w:rsidP="00C723DD">
            <w:pPr>
              <w:jc w:val="center"/>
              <w:rPr>
                <w:rFonts w:asciiTheme="minorHAnsi" w:hAnsiTheme="minorHAnsi" w:cstheme="minorHAnsi"/>
                <w:sz w:val="18"/>
              </w:rPr>
            </w:pPr>
            <w:r w:rsidRPr="006433A5">
              <w:rPr>
                <w:rFonts w:asciiTheme="minorHAnsi" w:hAnsiTheme="minorHAnsi" w:cstheme="minorHAnsi"/>
                <w:sz w:val="18"/>
              </w:rPr>
              <w:t>748</w:t>
            </w:r>
          </w:p>
        </w:tc>
        <w:tc>
          <w:tcPr>
            <w:tcW w:w="1240"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+242</w:t>
            </w:r>
          </w:p>
        </w:tc>
        <w:tc>
          <w:tcPr>
            <w:tcW w:w="1241" w:type="dxa"/>
            <w:vAlign w:val="bottom"/>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147,8</w:t>
            </w:r>
          </w:p>
        </w:tc>
      </w:tr>
    </w:tbl>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sz w:val="18"/>
        </w:rPr>
      </w:pPr>
      <w:r w:rsidRPr="00113EE0">
        <w:rPr>
          <w:rFonts w:asciiTheme="minorHAnsi" w:hAnsiTheme="minorHAnsi" w:cstheme="minorHAnsi"/>
          <w:b/>
          <w:sz w:val="22"/>
        </w:rPr>
        <w:t>5. Charakteristika mikroregionů</w:t>
      </w:r>
    </w:p>
    <w:tbl>
      <w:tblPr>
        <w:tblW w:w="9639"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1240"/>
        <w:gridCol w:w="1240"/>
        <w:gridCol w:w="1064"/>
        <w:gridCol w:w="1417"/>
      </w:tblGrid>
      <w:tr w:rsidR="00C723DD" w:rsidRPr="00113EE0" w:rsidTr="00C723DD">
        <w:tc>
          <w:tcPr>
            <w:tcW w:w="4678" w:type="dxa"/>
            <w:tcBorders>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název mikroregionu</w:t>
            </w:r>
          </w:p>
        </w:tc>
        <w:tc>
          <w:tcPr>
            <w:tcW w:w="1240" w:type="dxa"/>
            <w:tcBorders>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počet obyvatel</w:t>
            </w:r>
          </w:p>
        </w:tc>
        <w:tc>
          <w:tcPr>
            <w:tcW w:w="1240" w:type="dxa"/>
            <w:tcBorders>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obyv. 15-64 let</w:t>
            </w:r>
          </w:p>
        </w:tc>
        <w:tc>
          <w:tcPr>
            <w:tcW w:w="1064" w:type="dxa"/>
            <w:tcBorders>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počet uchazečů</w:t>
            </w:r>
          </w:p>
        </w:tc>
        <w:tc>
          <w:tcPr>
            <w:tcW w:w="1417" w:type="dxa"/>
            <w:tcBorders>
              <w:bottom w:val="double" w:sz="4" w:space="0" w:color="auto"/>
            </w:tcBorders>
            <w:vAlign w:val="center"/>
          </w:tcPr>
          <w:p w:rsidR="00C723DD" w:rsidRPr="00113EE0" w:rsidRDefault="00C723DD" w:rsidP="00C723DD">
            <w:pPr>
              <w:jc w:val="center"/>
              <w:rPr>
                <w:rFonts w:asciiTheme="minorHAnsi" w:hAnsiTheme="minorHAnsi" w:cstheme="minorHAnsi"/>
                <w:b/>
                <w:i/>
                <w:iCs/>
                <w:sz w:val="18"/>
                <w:szCs w:val="18"/>
              </w:rPr>
            </w:pPr>
            <w:r w:rsidRPr="00113EE0">
              <w:rPr>
                <w:rFonts w:asciiTheme="minorHAnsi" w:hAnsiTheme="minorHAnsi" w:cstheme="minorHAnsi"/>
                <w:b/>
                <w:i/>
                <w:iCs/>
                <w:sz w:val="18"/>
                <w:szCs w:val="18"/>
              </w:rPr>
              <w:t>podíl nezaměstnaných osob v %</w:t>
            </w:r>
          </w:p>
        </w:tc>
      </w:tr>
      <w:tr w:rsidR="00C723DD" w:rsidRPr="00113EE0" w:rsidTr="00C723DD">
        <w:tc>
          <w:tcPr>
            <w:tcW w:w="4678" w:type="dxa"/>
            <w:tcBorders>
              <w:top w:val="double" w:sz="4" w:space="0" w:color="auto"/>
              <w:bottom w:val="single" w:sz="4" w:space="0" w:color="auto"/>
            </w:tcBorders>
          </w:tcPr>
          <w:p w:rsidR="00C723DD" w:rsidRPr="00113EE0" w:rsidRDefault="00C723DD" w:rsidP="00C723DD">
            <w:pPr>
              <w:rPr>
                <w:rFonts w:asciiTheme="minorHAnsi" w:hAnsiTheme="minorHAnsi" w:cstheme="minorHAnsi"/>
                <w:bCs/>
                <w:iCs/>
                <w:sz w:val="18"/>
                <w:szCs w:val="18"/>
              </w:rPr>
            </w:pPr>
            <w:r w:rsidRPr="00113EE0">
              <w:rPr>
                <w:rFonts w:asciiTheme="minorHAnsi" w:hAnsiTheme="minorHAnsi" w:cstheme="minorHAnsi"/>
                <w:sz w:val="18"/>
                <w:szCs w:val="18"/>
              </w:rPr>
              <w:t>Vítkovsko</w:t>
            </w:r>
          </w:p>
        </w:tc>
        <w:tc>
          <w:tcPr>
            <w:tcW w:w="1240" w:type="dxa"/>
            <w:tcBorders>
              <w:top w:val="doub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13 696</w:t>
            </w:r>
          </w:p>
        </w:tc>
        <w:tc>
          <w:tcPr>
            <w:tcW w:w="1240" w:type="dxa"/>
            <w:tcBorders>
              <w:top w:val="doub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9 291</w:t>
            </w:r>
          </w:p>
        </w:tc>
        <w:tc>
          <w:tcPr>
            <w:tcW w:w="1064" w:type="dxa"/>
            <w:tcBorders>
              <w:top w:val="doub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1 255</w:t>
            </w:r>
          </w:p>
        </w:tc>
        <w:tc>
          <w:tcPr>
            <w:tcW w:w="1417" w:type="dxa"/>
            <w:tcBorders>
              <w:top w:val="doub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13,4</w:t>
            </w:r>
          </w:p>
        </w:tc>
      </w:tr>
      <w:tr w:rsidR="00C723DD" w:rsidRPr="00113EE0" w:rsidTr="00C723DD">
        <w:tc>
          <w:tcPr>
            <w:tcW w:w="4678" w:type="dxa"/>
            <w:tcBorders>
              <w:top w:val="single" w:sz="4" w:space="0" w:color="auto"/>
              <w:bottom w:val="single" w:sz="4" w:space="0" w:color="auto"/>
            </w:tcBorders>
          </w:tcPr>
          <w:p w:rsidR="00C723DD" w:rsidRPr="00113EE0" w:rsidRDefault="00C723DD" w:rsidP="00C723DD">
            <w:pPr>
              <w:pStyle w:val="Nadpis1"/>
              <w:rPr>
                <w:rFonts w:asciiTheme="minorHAnsi" w:hAnsiTheme="minorHAnsi" w:cstheme="minorHAnsi"/>
                <w:i w:val="0"/>
                <w:sz w:val="18"/>
                <w:szCs w:val="18"/>
              </w:rPr>
            </w:pPr>
            <w:r w:rsidRPr="00113EE0">
              <w:rPr>
                <w:rFonts w:asciiTheme="minorHAnsi" w:hAnsiTheme="minorHAnsi" w:cstheme="minorHAnsi"/>
                <w:i w:val="0"/>
                <w:sz w:val="18"/>
                <w:szCs w:val="18"/>
              </w:rPr>
              <w:t>Kravařsko</w:t>
            </w:r>
          </w:p>
        </w:tc>
        <w:tc>
          <w:tcPr>
            <w:tcW w:w="1240" w:type="dxa"/>
            <w:tcBorders>
              <w:top w:val="sing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21 280</w:t>
            </w:r>
          </w:p>
        </w:tc>
        <w:tc>
          <w:tcPr>
            <w:tcW w:w="1240" w:type="dxa"/>
            <w:tcBorders>
              <w:top w:val="sing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14 894</w:t>
            </w:r>
          </w:p>
        </w:tc>
        <w:tc>
          <w:tcPr>
            <w:tcW w:w="1064" w:type="dxa"/>
            <w:tcBorders>
              <w:top w:val="sing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1 433</w:t>
            </w:r>
          </w:p>
        </w:tc>
        <w:tc>
          <w:tcPr>
            <w:tcW w:w="1417" w:type="dxa"/>
            <w:tcBorders>
              <w:top w:val="single" w:sz="4" w:space="0" w:color="auto"/>
              <w:bottom w:val="single" w:sz="4" w:space="0" w:color="auto"/>
            </w:tcBorders>
          </w:tcPr>
          <w:p w:rsidR="00C723DD" w:rsidRPr="006433A5"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w:t>
            </w:r>
          </w:p>
        </w:tc>
      </w:tr>
      <w:tr w:rsidR="00C723DD" w:rsidRPr="00113EE0" w:rsidTr="00C723DD">
        <w:tc>
          <w:tcPr>
            <w:tcW w:w="4678" w:type="dxa"/>
          </w:tcPr>
          <w:p w:rsidR="00C723DD" w:rsidRPr="00113EE0" w:rsidRDefault="00C723DD" w:rsidP="00C723DD">
            <w:pPr>
              <w:rPr>
                <w:rFonts w:asciiTheme="minorHAnsi" w:hAnsiTheme="minorHAnsi" w:cstheme="minorHAnsi"/>
                <w:bCs/>
                <w:iCs/>
                <w:sz w:val="18"/>
                <w:szCs w:val="18"/>
              </w:rPr>
            </w:pPr>
            <w:r w:rsidRPr="00113EE0">
              <w:rPr>
                <w:rFonts w:asciiTheme="minorHAnsi" w:hAnsiTheme="minorHAnsi" w:cstheme="minorHAnsi"/>
                <w:bCs/>
                <w:iCs/>
                <w:sz w:val="18"/>
                <w:szCs w:val="18"/>
              </w:rPr>
              <w:t>Opavsko</w:t>
            </w:r>
          </w:p>
        </w:tc>
        <w:tc>
          <w:tcPr>
            <w:tcW w:w="1240" w:type="dxa"/>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101 750</w:t>
            </w:r>
          </w:p>
        </w:tc>
        <w:tc>
          <w:tcPr>
            <w:tcW w:w="1240" w:type="dxa"/>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69 483</w:t>
            </w:r>
          </w:p>
        </w:tc>
        <w:tc>
          <w:tcPr>
            <w:tcW w:w="1064" w:type="dxa"/>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5 735</w:t>
            </w:r>
          </w:p>
        </w:tc>
        <w:tc>
          <w:tcPr>
            <w:tcW w:w="1417" w:type="dxa"/>
          </w:tcPr>
          <w:p w:rsidR="00C723DD" w:rsidRPr="006433A5" w:rsidRDefault="00C723DD" w:rsidP="00C723DD">
            <w:pPr>
              <w:jc w:val="center"/>
              <w:rPr>
                <w:rFonts w:asciiTheme="minorHAnsi" w:hAnsiTheme="minorHAnsi" w:cstheme="minorHAnsi"/>
                <w:sz w:val="18"/>
                <w:szCs w:val="18"/>
              </w:rPr>
            </w:pPr>
            <w:r>
              <w:rPr>
                <w:rFonts w:asciiTheme="minorHAnsi" w:hAnsiTheme="minorHAnsi" w:cstheme="minorHAnsi"/>
                <w:sz w:val="18"/>
                <w:szCs w:val="18"/>
              </w:rPr>
              <w:t>7,8</w:t>
            </w:r>
          </w:p>
        </w:tc>
      </w:tr>
      <w:tr w:rsidR="00C723DD" w:rsidRPr="00113EE0" w:rsidTr="00C723DD">
        <w:tc>
          <w:tcPr>
            <w:tcW w:w="4678" w:type="dxa"/>
          </w:tcPr>
          <w:p w:rsidR="00C723DD" w:rsidRPr="00113EE0" w:rsidRDefault="00C723DD" w:rsidP="00C723DD">
            <w:pPr>
              <w:rPr>
                <w:rFonts w:asciiTheme="minorHAnsi" w:hAnsiTheme="minorHAnsi" w:cstheme="minorHAnsi"/>
                <w:bCs/>
                <w:iCs/>
                <w:sz w:val="18"/>
                <w:szCs w:val="18"/>
              </w:rPr>
            </w:pPr>
            <w:r w:rsidRPr="00113EE0">
              <w:rPr>
                <w:rFonts w:asciiTheme="minorHAnsi" w:hAnsiTheme="minorHAnsi" w:cstheme="minorHAnsi"/>
                <w:bCs/>
                <w:iCs/>
                <w:sz w:val="18"/>
                <w:szCs w:val="18"/>
              </w:rPr>
              <w:t>Hlučínsko</w:t>
            </w:r>
          </w:p>
        </w:tc>
        <w:tc>
          <w:tcPr>
            <w:tcW w:w="1240" w:type="dxa"/>
          </w:tcPr>
          <w:p w:rsidR="00C723DD" w:rsidRPr="006433A5" w:rsidRDefault="00C723DD" w:rsidP="00C723DD">
            <w:pPr>
              <w:jc w:val="center"/>
              <w:rPr>
                <w:rFonts w:asciiTheme="minorHAnsi" w:hAnsiTheme="minorHAnsi" w:cstheme="minorHAnsi"/>
                <w:sz w:val="18"/>
                <w:szCs w:val="18"/>
              </w:rPr>
            </w:pPr>
            <w:r>
              <w:rPr>
                <w:rFonts w:asciiTheme="minorHAnsi" w:hAnsiTheme="minorHAnsi" w:cstheme="minorHAnsi"/>
                <w:sz w:val="18"/>
                <w:szCs w:val="18"/>
              </w:rPr>
              <w:t>40 284</w:t>
            </w:r>
          </w:p>
        </w:tc>
        <w:tc>
          <w:tcPr>
            <w:tcW w:w="1240" w:type="dxa"/>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27 609</w:t>
            </w:r>
          </w:p>
        </w:tc>
        <w:tc>
          <w:tcPr>
            <w:tcW w:w="1064" w:type="dxa"/>
          </w:tcPr>
          <w:p w:rsidR="00C723DD" w:rsidRPr="006433A5" w:rsidRDefault="00C723DD" w:rsidP="00C723DD">
            <w:pPr>
              <w:jc w:val="center"/>
              <w:rPr>
                <w:rFonts w:asciiTheme="minorHAnsi" w:hAnsiTheme="minorHAnsi" w:cstheme="minorHAnsi"/>
                <w:sz w:val="18"/>
                <w:szCs w:val="18"/>
              </w:rPr>
            </w:pPr>
            <w:r w:rsidRPr="006433A5">
              <w:rPr>
                <w:rFonts w:asciiTheme="minorHAnsi" w:hAnsiTheme="minorHAnsi" w:cstheme="minorHAnsi"/>
                <w:sz w:val="18"/>
                <w:szCs w:val="18"/>
              </w:rPr>
              <w:t>1 806</w:t>
            </w:r>
          </w:p>
        </w:tc>
        <w:tc>
          <w:tcPr>
            <w:tcW w:w="1417" w:type="dxa"/>
          </w:tcPr>
          <w:p w:rsidR="00C723DD" w:rsidRPr="006433A5" w:rsidRDefault="00C723DD" w:rsidP="00C723DD">
            <w:pPr>
              <w:jc w:val="center"/>
              <w:rPr>
                <w:rFonts w:asciiTheme="minorHAnsi" w:hAnsiTheme="minorHAnsi" w:cstheme="minorHAnsi"/>
                <w:sz w:val="18"/>
                <w:szCs w:val="18"/>
              </w:rPr>
            </w:pPr>
            <w:r>
              <w:rPr>
                <w:rFonts w:asciiTheme="minorHAnsi" w:hAnsiTheme="minorHAnsi" w:cstheme="minorHAnsi"/>
                <w:sz w:val="18"/>
                <w:szCs w:val="18"/>
              </w:rPr>
              <w:t>6,5</w:t>
            </w:r>
          </w:p>
        </w:tc>
      </w:tr>
    </w:tbl>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 xml:space="preserve">6. Aktivní politika zaměstnanosti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1240"/>
        <w:gridCol w:w="1240"/>
        <w:gridCol w:w="1240"/>
        <w:gridCol w:w="1241"/>
      </w:tblGrid>
      <w:tr w:rsidR="00C723DD" w:rsidRPr="00113EE0" w:rsidTr="00C723DD">
        <w:trPr>
          <w:cantSplit/>
        </w:trPr>
        <w:tc>
          <w:tcPr>
            <w:tcW w:w="4678" w:type="dxa"/>
            <w:tcBorders>
              <w:top w:val="double" w:sz="4" w:space="0" w:color="auto"/>
              <w:left w:val="double" w:sz="4" w:space="0" w:color="auto"/>
              <w:bottom w:val="double" w:sz="4" w:space="0" w:color="auto"/>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240" w:type="dxa"/>
            <w:tcBorders>
              <w:top w:val="double" w:sz="4" w:space="0" w:color="auto"/>
              <w:bottom w:val="double" w:sz="4" w:space="0" w:color="auto"/>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241" w:type="dxa"/>
            <w:tcBorders>
              <w:top w:val="double" w:sz="4" w:space="0" w:color="auto"/>
              <w:bottom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4678" w:type="dxa"/>
            <w:tcBorders>
              <w:top w:val="double" w:sz="4" w:space="0" w:color="auto"/>
              <w:left w:val="double" w:sz="4" w:space="0" w:color="auto"/>
              <w:bottom w:val="single" w:sz="12"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pracovní místa vytvořená s finančním příspěvkem ÚP </w:t>
            </w:r>
          </w:p>
        </w:tc>
        <w:tc>
          <w:tcPr>
            <w:tcW w:w="1240" w:type="dxa"/>
            <w:tcBorders>
              <w:top w:val="double" w:sz="4" w:space="0" w:color="auto"/>
              <w:bottom w:val="single" w:sz="12" w:space="0" w:color="auto"/>
            </w:tcBorders>
            <w:vAlign w:val="center"/>
          </w:tcPr>
          <w:p w:rsidR="00C723DD" w:rsidRPr="00113EE0" w:rsidRDefault="00C723DD" w:rsidP="00C723DD">
            <w:pPr>
              <w:jc w:val="center"/>
              <w:rPr>
                <w:rFonts w:asciiTheme="minorHAnsi" w:hAnsiTheme="minorHAnsi" w:cstheme="minorHAnsi"/>
                <w:b/>
                <w:sz w:val="18"/>
              </w:rPr>
            </w:pPr>
            <w:r w:rsidRPr="00113EE0">
              <w:rPr>
                <w:rFonts w:asciiTheme="minorHAnsi" w:hAnsiTheme="minorHAnsi" w:cstheme="minorHAnsi"/>
                <w:b/>
                <w:sz w:val="18"/>
              </w:rPr>
              <w:t>91</w:t>
            </w:r>
            <w:r>
              <w:rPr>
                <w:rFonts w:asciiTheme="minorHAnsi" w:hAnsiTheme="minorHAnsi" w:cstheme="minorHAnsi"/>
                <w:b/>
                <w:sz w:val="18"/>
              </w:rPr>
              <w:t>5</w:t>
            </w:r>
          </w:p>
        </w:tc>
        <w:tc>
          <w:tcPr>
            <w:tcW w:w="1240" w:type="dxa"/>
            <w:tcBorders>
              <w:top w:val="double" w:sz="4" w:space="0" w:color="auto"/>
              <w:bottom w:val="single" w:sz="12" w:space="0" w:color="auto"/>
            </w:tcBorders>
            <w:vAlign w:val="center"/>
          </w:tcPr>
          <w:p w:rsidR="00C723DD" w:rsidRPr="00A83812" w:rsidRDefault="00C723DD" w:rsidP="00C723DD">
            <w:pPr>
              <w:jc w:val="center"/>
              <w:rPr>
                <w:rFonts w:asciiTheme="minorHAnsi" w:hAnsiTheme="minorHAnsi" w:cstheme="minorHAnsi"/>
                <w:b/>
                <w:sz w:val="18"/>
              </w:rPr>
            </w:pPr>
            <w:r w:rsidRPr="00A83812">
              <w:rPr>
                <w:rFonts w:asciiTheme="minorHAnsi" w:hAnsiTheme="minorHAnsi" w:cstheme="minorHAnsi"/>
                <w:b/>
                <w:sz w:val="18"/>
              </w:rPr>
              <w:t>1 3</w:t>
            </w:r>
            <w:r>
              <w:rPr>
                <w:rFonts w:asciiTheme="minorHAnsi" w:hAnsiTheme="minorHAnsi" w:cstheme="minorHAnsi"/>
                <w:b/>
                <w:sz w:val="18"/>
              </w:rPr>
              <w:t>65</w:t>
            </w:r>
          </w:p>
        </w:tc>
        <w:tc>
          <w:tcPr>
            <w:tcW w:w="1240" w:type="dxa"/>
            <w:tcBorders>
              <w:top w:val="double" w:sz="4" w:space="0" w:color="auto"/>
              <w:bottom w:val="single" w:sz="12" w:space="0" w:color="auto"/>
            </w:tcBorders>
          </w:tcPr>
          <w:p w:rsidR="00C723DD" w:rsidRPr="00F0351D" w:rsidRDefault="00C723DD" w:rsidP="00C723DD">
            <w:pPr>
              <w:jc w:val="center"/>
              <w:rPr>
                <w:rFonts w:asciiTheme="minorHAnsi" w:hAnsiTheme="minorHAnsi" w:cstheme="minorHAnsi"/>
                <w:b/>
                <w:sz w:val="18"/>
                <w:szCs w:val="18"/>
              </w:rPr>
            </w:pPr>
            <w:r w:rsidRPr="00F0351D">
              <w:rPr>
                <w:rFonts w:asciiTheme="minorHAnsi" w:hAnsiTheme="minorHAnsi" w:cstheme="minorHAnsi"/>
                <w:b/>
                <w:sz w:val="18"/>
                <w:szCs w:val="18"/>
              </w:rPr>
              <w:t>+450</w:t>
            </w:r>
          </w:p>
        </w:tc>
        <w:tc>
          <w:tcPr>
            <w:tcW w:w="1241" w:type="dxa"/>
            <w:tcBorders>
              <w:top w:val="double" w:sz="4" w:space="0" w:color="auto"/>
              <w:bottom w:val="single" w:sz="12" w:space="0" w:color="auto"/>
              <w:right w:val="double" w:sz="4" w:space="0" w:color="auto"/>
            </w:tcBorders>
          </w:tcPr>
          <w:p w:rsidR="00C723DD" w:rsidRPr="003813FA" w:rsidRDefault="00C723DD" w:rsidP="00C723DD">
            <w:pPr>
              <w:jc w:val="center"/>
              <w:rPr>
                <w:rFonts w:asciiTheme="minorHAnsi" w:hAnsiTheme="minorHAnsi" w:cstheme="minorHAnsi"/>
                <w:b/>
                <w:sz w:val="18"/>
                <w:szCs w:val="18"/>
              </w:rPr>
            </w:pPr>
            <w:r w:rsidRPr="003813FA">
              <w:rPr>
                <w:rFonts w:asciiTheme="minorHAnsi" w:hAnsiTheme="minorHAnsi" w:cstheme="minorHAnsi"/>
                <w:b/>
                <w:sz w:val="18"/>
                <w:szCs w:val="18"/>
              </w:rPr>
              <w:t>149,2</w:t>
            </w:r>
          </w:p>
        </w:tc>
      </w:tr>
      <w:tr w:rsidR="00C723DD" w:rsidRPr="00113EE0" w:rsidTr="00C723DD">
        <w:trPr>
          <w:cantSplit/>
        </w:trPr>
        <w:tc>
          <w:tcPr>
            <w:tcW w:w="4678" w:type="dxa"/>
            <w:tcBorders>
              <w:top w:val="single" w:sz="12" w:space="0" w:color="auto"/>
              <w:left w:val="double" w:sz="4" w:space="0" w:color="auto"/>
            </w:tcBorders>
          </w:tcPr>
          <w:p w:rsidR="00C723DD" w:rsidRPr="00113EE0" w:rsidRDefault="00C723DD" w:rsidP="00C723DD">
            <w:pPr>
              <w:ind w:left="639" w:hanging="639"/>
              <w:rPr>
                <w:rFonts w:asciiTheme="minorHAnsi" w:hAnsiTheme="minorHAnsi" w:cstheme="minorHAnsi"/>
                <w:sz w:val="18"/>
              </w:rPr>
            </w:pPr>
            <w:r w:rsidRPr="00113EE0">
              <w:rPr>
                <w:rFonts w:asciiTheme="minorHAnsi" w:hAnsiTheme="minorHAnsi" w:cstheme="minorHAnsi"/>
                <w:sz w:val="18"/>
              </w:rPr>
              <w:t xml:space="preserve">z toho - SÚPM - SVČ zřízená uchazeči o zaměstnání </w:t>
            </w:r>
          </w:p>
        </w:tc>
        <w:tc>
          <w:tcPr>
            <w:tcW w:w="1240" w:type="dxa"/>
            <w:tcBorders>
              <w:top w:val="single" w:sz="12"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85</w:t>
            </w:r>
          </w:p>
        </w:tc>
        <w:tc>
          <w:tcPr>
            <w:tcW w:w="1240" w:type="dxa"/>
            <w:tcBorders>
              <w:top w:val="single" w:sz="12"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94</w:t>
            </w:r>
          </w:p>
        </w:tc>
        <w:tc>
          <w:tcPr>
            <w:tcW w:w="1240" w:type="dxa"/>
            <w:tcBorders>
              <w:top w:val="single" w:sz="12" w:space="0" w:color="auto"/>
            </w:tcBorders>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+9</w:t>
            </w:r>
          </w:p>
        </w:tc>
        <w:tc>
          <w:tcPr>
            <w:tcW w:w="1241" w:type="dxa"/>
            <w:tcBorders>
              <w:top w:val="single" w:sz="12"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110,6</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25</w:t>
            </w:r>
          </w:p>
        </w:tc>
        <w:tc>
          <w:tcPr>
            <w:tcW w:w="1240" w:type="dxa"/>
            <w:tcBorders>
              <w:bottom w:val="sing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21</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-4</w:t>
            </w:r>
          </w:p>
        </w:tc>
        <w:tc>
          <w:tcPr>
            <w:tcW w:w="1241" w:type="dxa"/>
            <w:tcBorders>
              <w:bottom w:val="single" w:sz="4"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84,0</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180</w:t>
            </w:r>
          </w:p>
        </w:tc>
        <w:tc>
          <w:tcPr>
            <w:tcW w:w="1240" w:type="dxa"/>
            <w:tcBorders>
              <w:bottom w:val="sing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197</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+17</w:t>
            </w:r>
          </w:p>
        </w:tc>
        <w:tc>
          <w:tcPr>
            <w:tcW w:w="1241" w:type="dxa"/>
            <w:tcBorders>
              <w:bottom w:val="single" w:sz="4"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109,4</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 NIP ESF-OP LZZ</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289</w:t>
            </w:r>
          </w:p>
        </w:tc>
        <w:tc>
          <w:tcPr>
            <w:tcW w:w="1240" w:type="dxa"/>
            <w:shd w:val="clear" w:color="auto" w:fill="auto"/>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571</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+282</w:t>
            </w:r>
          </w:p>
        </w:tc>
        <w:tc>
          <w:tcPr>
            <w:tcW w:w="1241" w:type="dxa"/>
            <w:tcBorders>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197,6</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18</w:t>
            </w:r>
          </w:p>
        </w:tc>
        <w:tc>
          <w:tcPr>
            <w:tcW w:w="1240" w:type="dxa"/>
            <w:shd w:val="clear" w:color="auto" w:fill="auto"/>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41</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+23</w:t>
            </w:r>
          </w:p>
        </w:tc>
        <w:tc>
          <w:tcPr>
            <w:tcW w:w="1241" w:type="dxa"/>
            <w:tcBorders>
              <w:bottom w:val="sing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227,8</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 - NIP ESF-OP LZZ</w:t>
            </w:r>
          </w:p>
        </w:tc>
        <w:tc>
          <w:tcPr>
            <w:tcW w:w="1240" w:type="dxa"/>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314</w:t>
            </w:r>
          </w:p>
        </w:tc>
        <w:tc>
          <w:tcPr>
            <w:tcW w:w="1240" w:type="dxa"/>
            <w:shd w:val="clear" w:color="auto" w:fill="auto"/>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300</w:t>
            </w:r>
          </w:p>
        </w:tc>
        <w:tc>
          <w:tcPr>
            <w:tcW w:w="1240" w:type="dxa"/>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-14</w:t>
            </w:r>
          </w:p>
        </w:tc>
        <w:tc>
          <w:tcPr>
            <w:tcW w:w="1241" w:type="dxa"/>
            <w:tcBorders>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95,5</w:t>
            </w:r>
          </w:p>
        </w:tc>
      </w:tr>
      <w:tr w:rsidR="00C723DD" w:rsidRPr="00113EE0" w:rsidTr="00C723DD">
        <w:trPr>
          <w:cantSplit/>
        </w:trPr>
        <w:tc>
          <w:tcPr>
            <w:tcW w:w="4678"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CHPM-SVČ osob se ZP</w:t>
            </w:r>
          </w:p>
        </w:tc>
        <w:tc>
          <w:tcPr>
            <w:tcW w:w="1240"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w:t>
            </w:r>
          </w:p>
        </w:tc>
        <w:tc>
          <w:tcPr>
            <w:tcW w:w="1240" w:type="dxa"/>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1</w:t>
            </w:r>
          </w:p>
        </w:tc>
        <w:tc>
          <w:tcPr>
            <w:tcW w:w="1240" w:type="dxa"/>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0</w:t>
            </w:r>
          </w:p>
        </w:tc>
        <w:tc>
          <w:tcPr>
            <w:tcW w:w="1241" w:type="dxa"/>
            <w:tcBorders>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100,0</w:t>
            </w:r>
          </w:p>
        </w:tc>
      </w:tr>
      <w:tr w:rsidR="00C723DD" w:rsidRPr="00113EE0" w:rsidTr="00C723DD">
        <w:trPr>
          <w:cantSplit/>
        </w:trPr>
        <w:tc>
          <w:tcPr>
            <w:tcW w:w="4678" w:type="dxa"/>
            <w:tcBorders>
              <w:left w:val="double" w:sz="4" w:space="0" w:color="auto"/>
              <w:bottom w:val="sing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 zřízená zaměstnavateli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0" w:type="dxa"/>
            <w:tcBorders>
              <w:bottom w:val="sing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5</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+5</w:t>
            </w:r>
          </w:p>
        </w:tc>
        <w:tc>
          <w:tcPr>
            <w:tcW w:w="1241" w:type="dxa"/>
            <w:tcBorders>
              <w:bottom w:val="single" w:sz="4"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w:t>
            </w:r>
          </w:p>
        </w:tc>
      </w:tr>
      <w:tr w:rsidR="00C723DD" w:rsidRPr="00113EE0" w:rsidTr="00C723DD">
        <w:trPr>
          <w:cantSplit/>
        </w:trPr>
        <w:tc>
          <w:tcPr>
            <w:tcW w:w="4678" w:type="dxa"/>
            <w:tcBorders>
              <w:left w:val="double" w:sz="4" w:space="0" w:color="auto"/>
              <w:bottom w:val="single" w:sz="4" w:space="0" w:color="auto"/>
            </w:tcBorders>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3</w:t>
            </w:r>
          </w:p>
        </w:tc>
        <w:tc>
          <w:tcPr>
            <w:tcW w:w="1240" w:type="dxa"/>
            <w:tcBorders>
              <w:bottom w:val="single" w:sz="4" w:space="0" w:color="auto"/>
            </w:tcBorders>
            <w:vAlign w:val="center"/>
          </w:tcPr>
          <w:p w:rsidR="00C723DD" w:rsidRPr="00A83812" w:rsidRDefault="00C723DD" w:rsidP="00C723DD">
            <w:pPr>
              <w:jc w:val="center"/>
              <w:rPr>
                <w:rFonts w:asciiTheme="minorHAnsi" w:hAnsiTheme="minorHAnsi" w:cstheme="minorHAnsi"/>
                <w:sz w:val="18"/>
              </w:rPr>
            </w:pPr>
            <w:r>
              <w:rPr>
                <w:rFonts w:asciiTheme="minorHAnsi" w:hAnsiTheme="minorHAnsi" w:cstheme="minorHAnsi"/>
                <w:sz w:val="18"/>
              </w:rPr>
              <w:t>2</w:t>
            </w:r>
          </w:p>
        </w:tc>
        <w:tc>
          <w:tcPr>
            <w:tcW w:w="1240"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w:t>
            </w:r>
          </w:p>
        </w:tc>
        <w:tc>
          <w:tcPr>
            <w:tcW w:w="1241" w:type="dxa"/>
            <w:tcBorders>
              <w:bottom w:val="single" w:sz="4"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66,7</w:t>
            </w:r>
          </w:p>
        </w:tc>
      </w:tr>
      <w:tr w:rsidR="00C723DD" w:rsidRPr="00113EE0" w:rsidTr="00C723DD">
        <w:trPr>
          <w:cantSplit/>
        </w:trPr>
        <w:tc>
          <w:tcPr>
            <w:tcW w:w="4678" w:type="dxa"/>
            <w:tcBorders>
              <w:left w:val="double" w:sz="4" w:space="0" w:color="auto"/>
              <w:bottom w:val="single" w:sz="4" w:space="0" w:color="auto"/>
            </w:tcBorders>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0</w:t>
            </w:r>
          </w:p>
        </w:tc>
        <w:tc>
          <w:tcPr>
            <w:tcW w:w="1240" w:type="dxa"/>
            <w:tcBorders>
              <w:bottom w:val="single" w:sz="4" w:space="0" w:color="auto"/>
            </w:tcBorders>
            <w:vAlign w:val="center"/>
          </w:tcPr>
          <w:p w:rsidR="00C723DD" w:rsidRPr="00A83812" w:rsidRDefault="00C723DD" w:rsidP="00C723DD">
            <w:pPr>
              <w:jc w:val="center"/>
              <w:rPr>
                <w:rFonts w:asciiTheme="minorHAnsi" w:hAnsiTheme="minorHAnsi" w:cstheme="minorHAnsi"/>
                <w:sz w:val="18"/>
              </w:rPr>
            </w:pPr>
            <w:r>
              <w:rPr>
                <w:rFonts w:asciiTheme="minorHAnsi" w:hAnsiTheme="minorHAnsi" w:cstheme="minorHAnsi"/>
                <w:sz w:val="18"/>
              </w:rPr>
              <w:t>133</w:t>
            </w:r>
          </w:p>
        </w:tc>
        <w:tc>
          <w:tcPr>
            <w:tcW w:w="1240" w:type="dxa"/>
            <w:tcBorders>
              <w:bottom w:val="single" w:sz="4" w:space="0" w:color="auto"/>
            </w:tcBorders>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+133</w:t>
            </w:r>
          </w:p>
        </w:tc>
        <w:tc>
          <w:tcPr>
            <w:tcW w:w="1241" w:type="dxa"/>
            <w:tcBorders>
              <w:bottom w:val="single" w:sz="4" w:space="0" w:color="auto"/>
              <w:right w:val="double" w:sz="4" w:space="0" w:color="auto"/>
            </w:tcBorders>
            <w:vAlign w:val="center"/>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w:t>
            </w:r>
          </w:p>
        </w:tc>
      </w:tr>
      <w:tr w:rsidR="00C723DD" w:rsidRPr="00113EE0" w:rsidTr="00C723DD">
        <w:trPr>
          <w:cantSplit/>
        </w:trPr>
        <w:tc>
          <w:tcPr>
            <w:tcW w:w="4678" w:type="dxa"/>
            <w:tcBorders>
              <w:top w:val="double" w:sz="4" w:space="0" w:color="auto"/>
              <w:left w:val="double" w:sz="4" w:space="0" w:color="auto"/>
              <w:bottom w:val="single" w:sz="12" w:space="0" w:color="auto"/>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 xml:space="preserve">příspěvky poskytnuté v rámci APZ </w:t>
            </w:r>
          </w:p>
        </w:tc>
        <w:tc>
          <w:tcPr>
            <w:tcW w:w="1240" w:type="dxa"/>
            <w:tcBorders>
              <w:top w:val="double" w:sz="4" w:space="0" w:color="auto"/>
              <w:bottom w:val="single" w:sz="12" w:space="0" w:color="auto"/>
            </w:tcBorders>
            <w:shd w:val="clear" w:color="auto" w:fill="FFFFFF"/>
            <w:vAlign w:val="center"/>
          </w:tcPr>
          <w:p w:rsidR="00C723DD" w:rsidRPr="00113EE0" w:rsidRDefault="00C723DD" w:rsidP="00C723DD">
            <w:pPr>
              <w:jc w:val="center"/>
              <w:rPr>
                <w:rFonts w:asciiTheme="minorHAnsi" w:hAnsiTheme="minorHAnsi" w:cstheme="minorHAnsi"/>
                <w:b/>
                <w:sz w:val="18"/>
              </w:rPr>
            </w:pPr>
            <w:r w:rsidRPr="00113EE0">
              <w:rPr>
                <w:rFonts w:asciiTheme="minorHAnsi" w:hAnsiTheme="minorHAnsi" w:cstheme="minorHAnsi"/>
                <w:b/>
                <w:sz w:val="18"/>
              </w:rPr>
              <w:t>26</w:t>
            </w:r>
          </w:p>
        </w:tc>
        <w:tc>
          <w:tcPr>
            <w:tcW w:w="1240" w:type="dxa"/>
            <w:tcBorders>
              <w:top w:val="double" w:sz="4" w:space="0" w:color="auto"/>
              <w:bottom w:val="single" w:sz="12" w:space="0" w:color="auto"/>
            </w:tcBorders>
            <w:shd w:val="clear" w:color="auto" w:fill="FFFFFF"/>
            <w:vAlign w:val="center"/>
          </w:tcPr>
          <w:p w:rsidR="00C723DD" w:rsidRPr="00A83812" w:rsidRDefault="00C723DD" w:rsidP="00C723DD">
            <w:pPr>
              <w:jc w:val="center"/>
              <w:rPr>
                <w:rFonts w:asciiTheme="minorHAnsi" w:hAnsiTheme="minorHAnsi" w:cstheme="minorHAnsi"/>
                <w:b/>
                <w:sz w:val="18"/>
              </w:rPr>
            </w:pPr>
            <w:r w:rsidRPr="00A83812">
              <w:rPr>
                <w:rFonts w:asciiTheme="minorHAnsi" w:hAnsiTheme="minorHAnsi" w:cstheme="minorHAnsi"/>
                <w:b/>
                <w:sz w:val="18"/>
              </w:rPr>
              <w:t>22</w:t>
            </w:r>
          </w:p>
        </w:tc>
        <w:tc>
          <w:tcPr>
            <w:tcW w:w="1240" w:type="dxa"/>
            <w:tcBorders>
              <w:top w:val="double" w:sz="4" w:space="0" w:color="auto"/>
              <w:bottom w:val="single" w:sz="12" w:space="0" w:color="auto"/>
            </w:tcBorders>
            <w:shd w:val="clear" w:color="auto" w:fill="auto"/>
          </w:tcPr>
          <w:p w:rsidR="00C723DD" w:rsidRPr="00D91C5B" w:rsidRDefault="00C723DD" w:rsidP="00C723DD">
            <w:pPr>
              <w:jc w:val="center"/>
              <w:rPr>
                <w:rFonts w:asciiTheme="minorHAnsi" w:hAnsiTheme="minorHAnsi" w:cstheme="minorHAnsi"/>
                <w:b/>
                <w:sz w:val="18"/>
                <w:szCs w:val="18"/>
              </w:rPr>
            </w:pPr>
            <w:r w:rsidRPr="00D91C5B">
              <w:rPr>
                <w:rFonts w:asciiTheme="minorHAnsi" w:hAnsiTheme="minorHAnsi" w:cstheme="minorHAnsi"/>
                <w:b/>
                <w:sz w:val="18"/>
                <w:szCs w:val="18"/>
              </w:rPr>
              <w:t>-4</w:t>
            </w:r>
          </w:p>
        </w:tc>
        <w:tc>
          <w:tcPr>
            <w:tcW w:w="1241" w:type="dxa"/>
            <w:tcBorders>
              <w:top w:val="double" w:sz="4" w:space="0" w:color="auto"/>
              <w:bottom w:val="single" w:sz="12"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b/>
                <w:sz w:val="18"/>
                <w:szCs w:val="18"/>
              </w:rPr>
            </w:pPr>
            <w:r w:rsidRPr="003813FA">
              <w:rPr>
                <w:rFonts w:asciiTheme="minorHAnsi" w:hAnsiTheme="minorHAnsi" w:cstheme="minorHAnsi"/>
                <w:b/>
                <w:sz w:val="18"/>
                <w:szCs w:val="18"/>
              </w:rPr>
              <w:t>84,6</w:t>
            </w:r>
          </w:p>
        </w:tc>
      </w:tr>
      <w:tr w:rsidR="00C723DD" w:rsidRPr="00113EE0" w:rsidTr="00C723DD">
        <w:trPr>
          <w:cantSplit/>
        </w:trPr>
        <w:tc>
          <w:tcPr>
            <w:tcW w:w="4678" w:type="dxa"/>
            <w:tcBorders>
              <w:top w:val="single" w:sz="12" w:space="0" w:color="auto"/>
              <w:left w:val="double" w:sz="4" w:space="0" w:color="auto"/>
              <w:bottom w:val="nil"/>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z toho - překlenovací příspěvek</w:t>
            </w:r>
          </w:p>
        </w:tc>
        <w:tc>
          <w:tcPr>
            <w:tcW w:w="1240" w:type="dxa"/>
            <w:tcBorders>
              <w:top w:val="single" w:sz="12" w:space="0" w:color="auto"/>
              <w:bottom w:val="single" w:sz="4" w:space="0" w:color="auto"/>
            </w:tcBorders>
            <w:shd w:val="clear" w:color="auto" w:fill="FFFFFF"/>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25</w:t>
            </w:r>
          </w:p>
        </w:tc>
        <w:tc>
          <w:tcPr>
            <w:tcW w:w="1240" w:type="dxa"/>
            <w:tcBorders>
              <w:top w:val="single" w:sz="12" w:space="0" w:color="auto"/>
              <w:bottom w:val="single" w:sz="4" w:space="0" w:color="auto"/>
            </w:tcBorders>
            <w:shd w:val="clear" w:color="auto" w:fill="FFFFFF"/>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21</w:t>
            </w:r>
          </w:p>
        </w:tc>
        <w:tc>
          <w:tcPr>
            <w:tcW w:w="1240" w:type="dxa"/>
            <w:tcBorders>
              <w:top w:val="single" w:sz="12"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-4</w:t>
            </w:r>
          </w:p>
        </w:tc>
        <w:tc>
          <w:tcPr>
            <w:tcW w:w="1241" w:type="dxa"/>
            <w:tcBorders>
              <w:top w:val="single" w:sz="12" w:space="0" w:color="auto"/>
              <w:bottom w:val="sing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84,0</w:t>
            </w:r>
          </w:p>
        </w:tc>
      </w:tr>
      <w:tr w:rsidR="00C723DD" w:rsidRPr="00113EE0" w:rsidTr="00C723DD">
        <w:trPr>
          <w:cantSplit/>
        </w:trPr>
        <w:tc>
          <w:tcPr>
            <w:tcW w:w="4678" w:type="dxa"/>
            <w:tcBorders>
              <w:left w:val="double" w:sz="4" w:space="0" w:color="auto"/>
              <w:bottom w:val="nil"/>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zapracování</w:t>
            </w:r>
          </w:p>
        </w:tc>
        <w:tc>
          <w:tcPr>
            <w:tcW w:w="1240"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0</w:t>
            </w:r>
          </w:p>
        </w:tc>
        <w:tc>
          <w:tcPr>
            <w:tcW w:w="1240" w:type="dxa"/>
            <w:tcBorders>
              <w:bottom w:val="single" w:sz="4" w:space="0" w:color="auto"/>
            </w:tcBorders>
            <w:shd w:val="clear" w:color="auto" w:fill="auto"/>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0</w:t>
            </w:r>
          </w:p>
        </w:tc>
        <w:tc>
          <w:tcPr>
            <w:tcW w:w="1240" w:type="dxa"/>
            <w:tcBorders>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0</w:t>
            </w:r>
          </w:p>
        </w:tc>
        <w:tc>
          <w:tcPr>
            <w:tcW w:w="1241" w:type="dxa"/>
            <w:tcBorders>
              <w:bottom w:val="sing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w:t>
            </w:r>
          </w:p>
        </w:tc>
      </w:tr>
      <w:tr w:rsidR="00C723DD" w:rsidRPr="00113EE0" w:rsidTr="00C723DD">
        <w:trPr>
          <w:cantSplit/>
        </w:trPr>
        <w:tc>
          <w:tcPr>
            <w:tcW w:w="4678" w:type="dxa"/>
            <w:tcBorders>
              <w:left w:val="double" w:sz="4" w:space="0" w:color="auto"/>
              <w:bottom w:val="nil"/>
            </w:tcBorders>
          </w:tcPr>
          <w:p w:rsidR="00C723DD" w:rsidRPr="00113EE0" w:rsidRDefault="00C723DD" w:rsidP="00C723DD">
            <w:pPr>
              <w:ind w:left="110" w:firstLine="360"/>
              <w:rPr>
                <w:rFonts w:asciiTheme="minorHAnsi" w:hAnsiTheme="minorHAnsi" w:cstheme="minorHAnsi"/>
                <w:sz w:val="18"/>
              </w:rPr>
            </w:pPr>
            <w:r w:rsidRPr="00113EE0">
              <w:rPr>
                <w:rFonts w:asciiTheme="minorHAnsi" w:hAnsiTheme="minorHAnsi" w:cstheme="minorHAnsi"/>
                <w:sz w:val="18"/>
              </w:rPr>
              <w:t xml:space="preserve"> - příspěvek na provoz CHPM a CHPM-SVČ</w:t>
            </w:r>
          </w:p>
        </w:tc>
        <w:tc>
          <w:tcPr>
            <w:tcW w:w="1240"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w:t>
            </w:r>
          </w:p>
        </w:tc>
        <w:tc>
          <w:tcPr>
            <w:tcW w:w="1240" w:type="dxa"/>
            <w:tcBorders>
              <w:top w:val="single" w:sz="4" w:space="0" w:color="auto"/>
              <w:bottom w:val="double" w:sz="4" w:space="0" w:color="auto"/>
            </w:tcBorders>
            <w:shd w:val="clear" w:color="auto" w:fill="auto"/>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1</w:t>
            </w:r>
          </w:p>
        </w:tc>
        <w:tc>
          <w:tcPr>
            <w:tcW w:w="1240" w:type="dxa"/>
            <w:tcBorders>
              <w:top w:val="sing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sidRPr="00D91C5B">
              <w:rPr>
                <w:rFonts w:asciiTheme="minorHAnsi" w:hAnsiTheme="minorHAnsi" w:cstheme="minorHAnsi"/>
                <w:sz w:val="18"/>
                <w:szCs w:val="18"/>
              </w:rPr>
              <w:t>0</w:t>
            </w:r>
          </w:p>
        </w:tc>
        <w:tc>
          <w:tcPr>
            <w:tcW w:w="1241" w:type="dxa"/>
            <w:tcBorders>
              <w:top w:val="single" w:sz="4" w:space="0" w:color="auto"/>
              <w:bottom w:val="doub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100,0</w:t>
            </w:r>
          </w:p>
        </w:tc>
      </w:tr>
      <w:tr w:rsidR="00C723DD" w:rsidRPr="00113EE0" w:rsidTr="00C723DD">
        <w:trPr>
          <w:cantSplit/>
        </w:trPr>
        <w:tc>
          <w:tcPr>
            <w:tcW w:w="4678" w:type="dxa"/>
            <w:tcBorders>
              <w:top w:val="double" w:sz="4" w:space="0" w:color="auto"/>
              <w:left w:val="doub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zahájené rekvalifikační kurzy</w:t>
            </w:r>
            <w:r>
              <w:rPr>
                <w:rFonts w:asciiTheme="minorHAnsi" w:hAnsiTheme="minorHAnsi" w:cstheme="minorHAnsi"/>
                <w:sz w:val="18"/>
              </w:rPr>
              <w:t xml:space="preserve"> </w:t>
            </w:r>
            <w:r w:rsidRPr="00113EE0">
              <w:rPr>
                <w:rFonts w:asciiTheme="minorHAnsi" w:hAnsiTheme="minorHAnsi" w:cstheme="minorHAnsi"/>
                <w:sz w:val="18"/>
              </w:rPr>
              <w:t>(národní APZ + ESF)</w:t>
            </w:r>
          </w:p>
        </w:tc>
        <w:tc>
          <w:tcPr>
            <w:tcW w:w="1240" w:type="dxa"/>
            <w:tcBorders>
              <w:top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93</w:t>
            </w:r>
          </w:p>
        </w:tc>
        <w:tc>
          <w:tcPr>
            <w:tcW w:w="1240" w:type="dxa"/>
            <w:tcBorders>
              <w:top w:val="doub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22</w:t>
            </w:r>
          </w:p>
        </w:tc>
        <w:tc>
          <w:tcPr>
            <w:tcW w:w="1240" w:type="dxa"/>
            <w:tcBorders>
              <w:top w:val="double" w:sz="4" w:space="0" w:color="auto"/>
            </w:tcBorders>
            <w:shd w:val="clear" w:color="auto" w:fill="auto"/>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-71</w:t>
            </w:r>
          </w:p>
        </w:tc>
        <w:tc>
          <w:tcPr>
            <w:tcW w:w="1241" w:type="dxa"/>
            <w:tcBorders>
              <w:top w:val="doub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23,7</w:t>
            </w:r>
          </w:p>
        </w:tc>
      </w:tr>
      <w:tr w:rsidR="00C723DD" w:rsidRPr="00113EE0" w:rsidTr="00C723DD">
        <w:trPr>
          <w:cantSplit/>
        </w:trPr>
        <w:tc>
          <w:tcPr>
            <w:tcW w:w="4678" w:type="dxa"/>
            <w:tcBorders>
              <w:left w:val="double" w:sz="4" w:space="0" w:color="auto"/>
              <w:bottom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počet osob zařaz</w:t>
            </w:r>
            <w:r>
              <w:rPr>
                <w:rFonts w:asciiTheme="minorHAnsi" w:hAnsiTheme="minorHAnsi" w:cstheme="minorHAnsi"/>
                <w:sz w:val="18"/>
              </w:rPr>
              <w:t>ených</w:t>
            </w:r>
            <w:r w:rsidRPr="00113EE0">
              <w:rPr>
                <w:rFonts w:asciiTheme="minorHAnsi" w:hAnsiTheme="minorHAnsi" w:cstheme="minorHAnsi"/>
                <w:sz w:val="18"/>
              </w:rPr>
              <w:t xml:space="preserve"> do rekvalifikací (národní APZ + ESF)</w:t>
            </w:r>
          </w:p>
        </w:tc>
        <w:tc>
          <w:tcPr>
            <w:tcW w:w="1240" w:type="dxa"/>
            <w:tcBorders>
              <w:bottom w:val="nil"/>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500</w:t>
            </w:r>
          </w:p>
        </w:tc>
        <w:tc>
          <w:tcPr>
            <w:tcW w:w="1240" w:type="dxa"/>
            <w:tcBorders>
              <w:bottom w:val="nil"/>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218</w:t>
            </w:r>
          </w:p>
        </w:tc>
        <w:tc>
          <w:tcPr>
            <w:tcW w:w="1240" w:type="dxa"/>
            <w:tcBorders>
              <w:bottom w:val="single" w:sz="4" w:space="0" w:color="auto"/>
            </w:tcBorders>
            <w:shd w:val="clear" w:color="auto" w:fill="auto"/>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-282</w:t>
            </w:r>
          </w:p>
        </w:tc>
        <w:tc>
          <w:tcPr>
            <w:tcW w:w="1241" w:type="dxa"/>
            <w:tcBorders>
              <w:bottom w:val="sing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43,6</w:t>
            </w:r>
          </w:p>
        </w:tc>
      </w:tr>
      <w:tr w:rsidR="00C723DD" w:rsidRPr="00113EE0" w:rsidTr="00C723DD">
        <w:trPr>
          <w:cantSplit/>
        </w:trPr>
        <w:tc>
          <w:tcPr>
            <w:tcW w:w="4678"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zájemců o zaměstnání</w:t>
            </w:r>
          </w:p>
        </w:tc>
        <w:tc>
          <w:tcPr>
            <w:tcW w:w="1240"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5</w:t>
            </w:r>
          </w:p>
        </w:tc>
        <w:tc>
          <w:tcPr>
            <w:tcW w:w="1240" w:type="dxa"/>
            <w:tcBorders>
              <w:bottom w:val="doub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1</w:t>
            </w:r>
          </w:p>
        </w:tc>
        <w:tc>
          <w:tcPr>
            <w:tcW w:w="1240" w:type="dxa"/>
            <w:tcBorders>
              <w:bottom w:val="double" w:sz="4" w:space="0" w:color="auto"/>
            </w:tcBorders>
            <w:shd w:val="clear" w:color="auto" w:fill="auto"/>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-4</w:t>
            </w:r>
          </w:p>
        </w:tc>
        <w:tc>
          <w:tcPr>
            <w:tcW w:w="1241" w:type="dxa"/>
            <w:tcBorders>
              <w:bottom w:val="doub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20,0</w:t>
            </w:r>
          </w:p>
        </w:tc>
      </w:tr>
      <w:tr w:rsidR="00C723DD" w:rsidRPr="00113EE0" w:rsidTr="00C723DD">
        <w:trPr>
          <w:cantSplit/>
        </w:trPr>
        <w:tc>
          <w:tcPr>
            <w:tcW w:w="4678" w:type="dxa"/>
            <w:tcBorders>
              <w:top w:val="double" w:sz="4" w:space="0" w:color="auto"/>
              <w:left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národní APZ</w:t>
            </w:r>
          </w:p>
        </w:tc>
        <w:tc>
          <w:tcPr>
            <w:tcW w:w="1240" w:type="dxa"/>
            <w:tcBorders>
              <w:top w:val="double" w:sz="4" w:space="0" w:color="auto"/>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142</w:t>
            </w:r>
          </w:p>
        </w:tc>
        <w:tc>
          <w:tcPr>
            <w:tcW w:w="1240" w:type="dxa"/>
            <w:tcBorders>
              <w:top w:val="double" w:sz="4" w:space="0" w:color="auto"/>
              <w:bottom w:val="single" w:sz="4" w:space="0" w:color="auto"/>
            </w:tcBorders>
            <w:shd w:val="clear" w:color="auto" w:fill="auto"/>
            <w:vAlign w:val="center"/>
          </w:tcPr>
          <w:p w:rsidR="00C723DD" w:rsidRPr="00A83812" w:rsidRDefault="00C723DD" w:rsidP="00C723DD">
            <w:pPr>
              <w:jc w:val="center"/>
              <w:rPr>
                <w:rFonts w:asciiTheme="minorHAnsi" w:hAnsiTheme="minorHAnsi" w:cstheme="minorHAnsi"/>
                <w:sz w:val="18"/>
              </w:rPr>
            </w:pPr>
            <w:r>
              <w:rPr>
                <w:rFonts w:asciiTheme="minorHAnsi" w:hAnsiTheme="minorHAnsi" w:cstheme="minorHAnsi"/>
                <w:sz w:val="18"/>
              </w:rPr>
              <w:t>325</w:t>
            </w:r>
          </w:p>
        </w:tc>
        <w:tc>
          <w:tcPr>
            <w:tcW w:w="1240" w:type="dxa"/>
            <w:tcBorders>
              <w:top w:val="double" w:sz="4" w:space="0" w:color="auto"/>
              <w:bottom w:val="single" w:sz="4" w:space="0" w:color="auto"/>
            </w:tcBorders>
            <w:shd w:val="clear" w:color="auto" w:fill="auto"/>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+183</w:t>
            </w:r>
          </w:p>
        </w:tc>
        <w:tc>
          <w:tcPr>
            <w:tcW w:w="1241" w:type="dxa"/>
            <w:tcBorders>
              <w:top w:val="double" w:sz="4" w:space="0" w:color="auto"/>
              <w:bottom w:val="sing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228,9</w:t>
            </w:r>
          </w:p>
        </w:tc>
      </w:tr>
      <w:tr w:rsidR="00C723DD" w:rsidRPr="00113EE0" w:rsidTr="00C723DD">
        <w:trPr>
          <w:cantSplit/>
        </w:trPr>
        <w:tc>
          <w:tcPr>
            <w:tcW w:w="4678"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NIP ESF-OP LZZ</w:t>
            </w:r>
          </w:p>
        </w:tc>
        <w:tc>
          <w:tcPr>
            <w:tcW w:w="1240" w:type="dxa"/>
            <w:tcBorders>
              <w:bottom w:val="double" w:sz="4" w:space="0" w:color="auto"/>
            </w:tcBorders>
            <w:shd w:val="clear" w:color="auto" w:fill="auto"/>
            <w:vAlign w:val="center"/>
          </w:tcPr>
          <w:p w:rsidR="00C723DD" w:rsidRPr="00113EE0" w:rsidRDefault="00C723DD" w:rsidP="00C723DD">
            <w:pPr>
              <w:jc w:val="center"/>
              <w:rPr>
                <w:rFonts w:asciiTheme="minorHAnsi" w:eastAsia="Calibri" w:hAnsiTheme="minorHAnsi" w:cstheme="minorHAnsi"/>
                <w:sz w:val="18"/>
                <w:szCs w:val="18"/>
              </w:rPr>
            </w:pPr>
            <w:r w:rsidRPr="00113EE0">
              <w:rPr>
                <w:rFonts w:asciiTheme="minorHAnsi" w:eastAsia="Calibri" w:hAnsiTheme="minorHAnsi" w:cstheme="minorHAnsi"/>
                <w:sz w:val="18"/>
                <w:szCs w:val="18"/>
              </w:rPr>
              <w:t>78</w:t>
            </w:r>
          </w:p>
        </w:tc>
        <w:tc>
          <w:tcPr>
            <w:tcW w:w="1240" w:type="dxa"/>
            <w:tcBorders>
              <w:bottom w:val="double" w:sz="4" w:space="0" w:color="auto"/>
            </w:tcBorders>
            <w:shd w:val="clear" w:color="auto" w:fill="auto"/>
            <w:vAlign w:val="center"/>
          </w:tcPr>
          <w:p w:rsidR="00C723DD" w:rsidRPr="00A83812" w:rsidRDefault="00C723DD" w:rsidP="00C723DD">
            <w:pPr>
              <w:jc w:val="center"/>
              <w:rPr>
                <w:rFonts w:asciiTheme="minorHAnsi" w:hAnsiTheme="minorHAnsi" w:cstheme="minorHAnsi"/>
                <w:sz w:val="18"/>
              </w:rPr>
            </w:pPr>
            <w:r>
              <w:rPr>
                <w:rFonts w:asciiTheme="minorHAnsi" w:hAnsiTheme="minorHAnsi" w:cstheme="minorHAnsi"/>
                <w:sz w:val="18"/>
              </w:rPr>
              <w:t>237</w:t>
            </w:r>
          </w:p>
        </w:tc>
        <w:tc>
          <w:tcPr>
            <w:tcW w:w="1240" w:type="dxa"/>
            <w:tcBorders>
              <w:bottom w:val="double" w:sz="4" w:space="0" w:color="auto"/>
            </w:tcBorders>
            <w:shd w:val="clear" w:color="auto" w:fill="auto"/>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+159</w:t>
            </w:r>
          </w:p>
        </w:tc>
        <w:tc>
          <w:tcPr>
            <w:tcW w:w="1241" w:type="dxa"/>
            <w:tcBorders>
              <w:bottom w:val="double" w:sz="4" w:space="0" w:color="auto"/>
              <w:right w:val="double" w:sz="4" w:space="0" w:color="auto"/>
            </w:tcBorders>
            <w:shd w:val="clear" w:color="auto" w:fill="auto"/>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303,8</w:t>
            </w:r>
          </w:p>
        </w:tc>
      </w:tr>
      <w:tr w:rsidR="00C723DD" w:rsidRPr="00113EE0" w:rsidTr="00C723DD">
        <w:trPr>
          <w:cantSplit/>
        </w:trPr>
        <w:tc>
          <w:tcPr>
            <w:tcW w:w="4678" w:type="dxa"/>
            <w:tcBorders>
              <w:top w:val="double" w:sz="4" w:space="0" w:color="auto"/>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zaměstnanci rekvalifikovaní s finančním příspěvkem ÚP</w:t>
            </w:r>
          </w:p>
        </w:tc>
        <w:tc>
          <w:tcPr>
            <w:tcW w:w="1240" w:type="dxa"/>
            <w:tcBorders>
              <w:top w:val="double" w:sz="4" w:space="0" w:color="auto"/>
              <w:bottom w:val="double" w:sz="4" w:space="0" w:color="auto"/>
            </w:tcBorders>
            <w:vAlign w:val="center"/>
          </w:tcPr>
          <w:p w:rsidR="00C723DD" w:rsidRPr="00113EE0" w:rsidRDefault="00C723DD" w:rsidP="00C723DD">
            <w:pPr>
              <w:jc w:val="center"/>
              <w:rPr>
                <w:rFonts w:asciiTheme="minorHAnsi" w:eastAsia="Calibri" w:hAnsiTheme="minorHAnsi" w:cstheme="minorHAnsi"/>
                <w:sz w:val="18"/>
                <w:szCs w:val="18"/>
              </w:rPr>
            </w:pPr>
            <w:r w:rsidRPr="00113EE0">
              <w:rPr>
                <w:rFonts w:asciiTheme="minorHAnsi" w:eastAsia="Calibri" w:hAnsiTheme="minorHAnsi" w:cstheme="minorHAnsi"/>
                <w:sz w:val="18"/>
                <w:szCs w:val="18"/>
              </w:rPr>
              <w:t>0</w:t>
            </w:r>
          </w:p>
        </w:tc>
        <w:tc>
          <w:tcPr>
            <w:tcW w:w="1240" w:type="dxa"/>
            <w:tcBorders>
              <w:top w:val="double" w:sz="4" w:space="0" w:color="auto"/>
              <w:bottom w:val="double" w:sz="4" w:space="0" w:color="auto"/>
            </w:tcBorders>
            <w:vAlign w:val="center"/>
          </w:tcPr>
          <w:p w:rsidR="00C723DD" w:rsidRPr="00A83812" w:rsidRDefault="00C723DD" w:rsidP="00C723DD">
            <w:pPr>
              <w:jc w:val="center"/>
              <w:rPr>
                <w:rFonts w:asciiTheme="minorHAnsi" w:hAnsiTheme="minorHAnsi" w:cstheme="minorHAnsi"/>
                <w:sz w:val="18"/>
              </w:rPr>
            </w:pPr>
            <w:r w:rsidRPr="00A83812">
              <w:rPr>
                <w:rFonts w:asciiTheme="minorHAnsi" w:hAnsiTheme="minorHAnsi" w:cstheme="minorHAnsi"/>
                <w:sz w:val="18"/>
              </w:rPr>
              <w:t>0</w:t>
            </w:r>
          </w:p>
        </w:tc>
        <w:tc>
          <w:tcPr>
            <w:tcW w:w="1240" w:type="dxa"/>
            <w:tcBorders>
              <w:top w:val="double" w:sz="4" w:space="0" w:color="auto"/>
              <w:bottom w:val="double" w:sz="4" w:space="0" w:color="auto"/>
            </w:tcBorders>
          </w:tcPr>
          <w:p w:rsidR="00C723DD" w:rsidRPr="00F0351D" w:rsidRDefault="00C723DD" w:rsidP="00C723DD">
            <w:pPr>
              <w:jc w:val="center"/>
              <w:rPr>
                <w:rFonts w:asciiTheme="minorHAnsi" w:hAnsiTheme="minorHAnsi" w:cstheme="minorHAnsi"/>
                <w:sz w:val="18"/>
                <w:szCs w:val="18"/>
              </w:rPr>
            </w:pPr>
            <w:r w:rsidRPr="00F0351D">
              <w:rPr>
                <w:rFonts w:asciiTheme="minorHAnsi" w:hAnsiTheme="minorHAnsi" w:cstheme="minorHAnsi"/>
                <w:sz w:val="18"/>
                <w:szCs w:val="18"/>
              </w:rPr>
              <w:t>0</w:t>
            </w:r>
          </w:p>
        </w:tc>
        <w:tc>
          <w:tcPr>
            <w:tcW w:w="1241" w:type="dxa"/>
            <w:tcBorders>
              <w:top w:val="double" w:sz="4" w:space="0" w:color="auto"/>
              <w:bottom w:val="double" w:sz="4" w:space="0" w:color="auto"/>
              <w:right w:val="double" w:sz="4" w:space="0" w:color="auto"/>
            </w:tcBorders>
          </w:tcPr>
          <w:p w:rsidR="00C723DD" w:rsidRPr="003813FA" w:rsidRDefault="00C723DD" w:rsidP="00C723DD">
            <w:pPr>
              <w:jc w:val="center"/>
              <w:rPr>
                <w:rFonts w:asciiTheme="minorHAnsi" w:hAnsiTheme="minorHAnsi" w:cstheme="minorHAnsi"/>
                <w:sz w:val="18"/>
                <w:szCs w:val="18"/>
              </w:rPr>
            </w:pPr>
            <w:r w:rsidRPr="003813FA">
              <w:rPr>
                <w:rFonts w:asciiTheme="minorHAnsi" w:hAnsiTheme="minorHAnsi" w:cstheme="minorHAnsi"/>
                <w:sz w:val="18"/>
                <w:szCs w:val="18"/>
              </w:rPr>
              <w:t>-</w:t>
            </w:r>
          </w:p>
        </w:tc>
      </w:tr>
    </w:tbl>
    <w:p w:rsidR="00C723DD" w:rsidRPr="00113EE0" w:rsidRDefault="00C723DD" w:rsidP="00C723DD">
      <w:pPr>
        <w:rPr>
          <w:rFonts w:asciiTheme="minorHAnsi" w:hAnsiTheme="minorHAnsi" w:cstheme="minorHAnsi"/>
        </w:rPr>
      </w:pPr>
    </w:p>
    <w:p w:rsidR="00C723DD" w:rsidRPr="00113EE0" w:rsidRDefault="00C723DD" w:rsidP="00C723DD">
      <w:pPr>
        <w:ind w:right="-567"/>
        <w:jc w:val="both"/>
        <w:rPr>
          <w:rFonts w:asciiTheme="minorHAnsi" w:hAnsiTheme="minorHAnsi" w:cstheme="minorHAnsi"/>
          <w:b/>
          <w:i/>
          <w:sz w:val="22"/>
        </w:rPr>
      </w:pPr>
      <w:r w:rsidRPr="00113EE0">
        <w:rPr>
          <w:rFonts w:asciiTheme="minorHAnsi" w:hAnsiTheme="minorHAnsi" w:cstheme="minorHAnsi"/>
          <w:b/>
          <w:sz w:val="22"/>
        </w:rPr>
        <w:t>7. Prognóza vývoje trhu práce na rok 201</w:t>
      </w:r>
      <w:r>
        <w:rPr>
          <w:rFonts w:asciiTheme="minorHAnsi" w:hAnsiTheme="minorHAnsi" w:cstheme="minorHAnsi"/>
          <w:b/>
          <w:sz w:val="22"/>
        </w:rPr>
        <w:t>5</w:t>
      </w:r>
    </w:p>
    <w:tbl>
      <w:tblPr>
        <w:tblW w:w="9639"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07"/>
        <w:gridCol w:w="1807"/>
        <w:gridCol w:w="1807"/>
        <w:gridCol w:w="1808"/>
      </w:tblGrid>
      <w:tr w:rsidR="00C723DD" w:rsidRPr="00113EE0" w:rsidTr="00C723DD">
        <w:trPr>
          <w:cantSplit/>
        </w:trPr>
        <w:tc>
          <w:tcPr>
            <w:tcW w:w="2410" w:type="dxa"/>
            <w:vMerge w:val="restart"/>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očekávaný stav k</w:t>
            </w:r>
          </w:p>
        </w:tc>
        <w:tc>
          <w:tcPr>
            <w:tcW w:w="3614"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lepší vývoj</w:t>
            </w:r>
          </w:p>
        </w:tc>
        <w:tc>
          <w:tcPr>
            <w:tcW w:w="3615"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horší vývoj</w:t>
            </w:r>
          </w:p>
        </w:tc>
      </w:tr>
      <w:tr w:rsidR="00C723DD" w:rsidRPr="00113EE0" w:rsidTr="00C723DD">
        <w:trPr>
          <w:cantSplit/>
          <w:trHeight w:val="574"/>
        </w:trPr>
        <w:tc>
          <w:tcPr>
            <w:tcW w:w="2410" w:type="dxa"/>
            <w:vMerge/>
            <w:tcBorders>
              <w:bottom w:val="double" w:sz="4" w:space="0" w:color="auto"/>
            </w:tcBorders>
          </w:tcPr>
          <w:p w:rsidR="00C723DD" w:rsidRPr="00113EE0" w:rsidRDefault="00C723DD" w:rsidP="00C723DD">
            <w:pPr>
              <w:pStyle w:val="Texttabulky"/>
              <w:jc w:val="center"/>
              <w:rPr>
                <w:rFonts w:asciiTheme="minorHAnsi" w:hAnsiTheme="minorHAnsi" w:cstheme="minorHAnsi"/>
                <w:b/>
                <w:bCs/>
                <w:i/>
                <w:iCs/>
                <w:color w:val="auto"/>
                <w:sz w:val="18"/>
              </w:rPr>
            </w:pPr>
          </w:p>
        </w:tc>
        <w:tc>
          <w:tcPr>
            <w:tcW w:w="1807"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807"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c>
          <w:tcPr>
            <w:tcW w:w="1807"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808"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r>
      <w:tr w:rsidR="00C723DD" w:rsidRPr="00113EE0" w:rsidTr="00C723DD">
        <w:trPr>
          <w:cantSplit/>
          <w:trHeight w:val="20"/>
        </w:trPr>
        <w:tc>
          <w:tcPr>
            <w:tcW w:w="2410" w:type="dxa"/>
            <w:tcBorders>
              <w:top w:val="double" w:sz="4" w:space="0" w:color="auto"/>
              <w:bottom w:val="single" w:sz="4" w:space="0" w:color="auto"/>
            </w:tcBorders>
            <w:vAlign w:val="center"/>
          </w:tcPr>
          <w:p w:rsidR="00C723DD" w:rsidRPr="00113EE0" w:rsidRDefault="00C723DD" w:rsidP="00C723DD">
            <w:pPr>
              <w:pStyle w:val="Nadpis2"/>
              <w:ind w:firstLine="0"/>
              <w:rPr>
                <w:rFonts w:asciiTheme="minorHAnsi" w:hAnsiTheme="minorHAnsi" w:cstheme="minorHAnsi"/>
                <w:sz w:val="18"/>
              </w:rPr>
            </w:pPr>
            <w:r w:rsidRPr="00113EE0">
              <w:rPr>
                <w:rFonts w:asciiTheme="minorHAnsi" w:hAnsiTheme="minorHAnsi" w:cstheme="minorHAnsi"/>
                <w:sz w:val="18"/>
              </w:rPr>
              <w:t>30.06.201</w:t>
            </w:r>
            <w:r>
              <w:rPr>
                <w:rFonts w:asciiTheme="minorHAnsi" w:hAnsiTheme="minorHAnsi" w:cstheme="minorHAnsi"/>
                <w:sz w:val="18"/>
              </w:rPr>
              <w:t>5</w:t>
            </w:r>
          </w:p>
        </w:tc>
        <w:tc>
          <w:tcPr>
            <w:tcW w:w="1807" w:type="dxa"/>
            <w:tcBorders>
              <w:top w:val="double" w:sz="4" w:space="0" w:color="auto"/>
              <w:bottom w:val="sing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9 400</w:t>
            </w:r>
          </w:p>
        </w:tc>
        <w:tc>
          <w:tcPr>
            <w:tcW w:w="1807" w:type="dxa"/>
            <w:tcBorders>
              <w:top w:val="double" w:sz="4" w:space="0" w:color="auto"/>
              <w:bottom w:val="sing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7,5</w:t>
            </w:r>
          </w:p>
        </w:tc>
        <w:tc>
          <w:tcPr>
            <w:tcW w:w="1807" w:type="dxa"/>
            <w:tcBorders>
              <w:top w:val="double" w:sz="4" w:space="0" w:color="auto"/>
              <w:bottom w:val="sing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9 900</w:t>
            </w:r>
          </w:p>
        </w:tc>
        <w:tc>
          <w:tcPr>
            <w:tcW w:w="1808" w:type="dxa"/>
            <w:tcBorders>
              <w:top w:val="double" w:sz="4" w:space="0" w:color="auto"/>
              <w:bottom w:val="sing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7,9</w:t>
            </w:r>
          </w:p>
        </w:tc>
      </w:tr>
      <w:tr w:rsidR="00C723DD" w:rsidRPr="00113EE0" w:rsidTr="00C723DD">
        <w:trPr>
          <w:cantSplit/>
          <w:trHeight w:val="20"/>
        </w:trPr>
        <w:tc>
          <w:tcPr>
            <w:tcW w:w="2410" w:type="dxa"/>
            <w:tcBorders>
              <w:top w:val="single" w:sz="4" w:space="0" w:color="auto"/>
              <w:bottom w:val="double" w:sz="4" w:space="0" w:color="auto"/>
            </w:tcBorders>
            <w:vAlign w:val="center"/>
          </w:tcPr>
          <w:p w:rsidR="00C723DD" w:rsidRPr="00113EE0" w:rsidRDefault="00C723DD" w:rsidP="00C723DD">
            <w:pPr>
              <w:pStyle w:val="Nadpis2"/>
              <w:ind w:firstLine="0"/>
              <w:rPr>
                <w:rFonts w:asciiTheme="minorHAnsi" w:hAnsiTheme="minorHAnsi" w:cstheme="minorHAnsi"/>
                <w:sz w:val="18"/>
              </w:rPr>
            </w:pPr>
            <w:r w:rsidRPr="00113EE0">
              <w:rPr>
                <w:rFonts w:asciiTheme="minorHAnsi" w:hAnsiTheme="minorHAnsi" w:cstheme="minorHAnsi"/>
                <w:sz w:val="18"/>
              </w:rPr>
              <w:t>31.12.201</w:t>
            </w:r>
            <w:r>
              <w:rPr>
                <w:rFonts w:asciiTheme="minorHAnsi" w:hAnsiTheme="minorHAnsi" w:cstheme="minorHAnsi"/>
                <w:sz w:val="18"/>
              </w:rPr>
              <w:t>5</w:t>
            </w:r>
          </w:p>
        </w:tc>
        <w:tc>
          <w:tcPr>
            <w:tcW w:w="1807" w:type="dxa"/>
            <w:tcBorders>
              <w:top w:val="single" w:sz="4" w:space="0" w:color="auto"/>
              <w:bottom w:val="doub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9 900</w:t>
            </w:r>
          </w:p>
        </w:tc>
        <w:tc>
          <w:tcPr>
            <w:tcW w:w="1807" w:type="dxa"/>
            <w:tcBorders>
              <w:top w:val="single" w:sz="4" w:space="0" w:color="auto"/>
              <w:bottom w:val="doub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7,9</w:t>
            </w:r>
          </w:p>
        </w:tc>
        <w:tc>
          <w:tcPr>
            <w:tcW w:w="1807" w:type="dxa"/>
            <w:tcBorders>
              <w:top w:val="single" w:sz="4" w:space="0" w:color="auto"/>
              <w:bottom w:val="doub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10 400</w:t>
            </w:r>
          </w:p>
        </w:tc>
        <w:tc>
          <w:tcPr>
            <w:tcW w:w="1808" w:type="dxa"/>
            <w:tcBorders>
              <w:top w:val="single" w:sz="4" w:space="0" w:color="auto"/>
              <w:bottom w:val="double" w:sz="4" w:space="0" w:color="auto"/>
            </w:tcBorders>
            <w:vAlign w:val="center"/>
          </w:tcPr>
          <w:p w:rsidR="00C723DD" w:rsidRPr="00A83812" w:rsidRDefault="00C723DD" w:rsidP="00C723DD">
            <w:pPr>
              <w:jc w:val="center"/>
              <w:rPr>
                <w:rFonts w:asciiTheme="minorHAnsi" w:hAnsiTheme="minorHAnsi" w:cstheme="minorHAnsi"/>
                <w:sz w:val="18"/>
                <w:szCs w:val="18"/>
              </w:rPr>
            </w:pPr>
            <w:r w:rsidRPr="00A83812">
              <w:rPr>
                <w:rFonts w:asciiTheme="minorHAnsi" w:hAnsiTheme="minorHAnsi" w:cstheme="minorHAnsi"/>
                <w:sz w:val="18"/>
                <w:szCs w:val="18"/>
              </w:rPr>
              <w:t>8,4</w:t>
            </w:r>
          </w:p>
        </w:tc>
      </w:tr>
    </w:tbl>
    <w:p w:rsidR="00C723DD" w:rsidRPr="00113EE0" w:rsidRDefault="00C723DD" w:rsidP="00C723DD">
      <w:pPr>
        <w:pStyle w:val="Nadpis3"/>
        <w:rPr>
          <w:rFonts w:asciiTheme="minorHAnsi" w:hAnsiTheme="minorHAnsi" w:cstheme="minorHAnsi"/>
        </w:rPr>
      </w:pPr>
      <w:r w:rsidRPr="00113EE0">
        <w:rPr>
          <w:rFonts w:asciiTheme="minorHAnsi" w:hAnsiTheme="minorHAnsi" w:cstheme="minorHAnsi"/>
          <w:sz w:val="24"/>
          <w:szCs w:val="24"/>
        </w:rPr>
        <w:br w:type="page"/>
      </w:r>
      <w:r w:rsidRPr="00113EE0">
        <w:rPr>
          <w:rFonts w:asciiTheme="minorHAnsi" w:hAnsiTheme="minorHAnsi" w:cstheme="minorHAnsi"/>
        </w:rPr>
        <w:t>Okres Ostrava</w:t>
      </w:r>
    </w:p>
    <w:p w:rsidR="00C723DD" w:rsidRPr="00113EE0" w:rsidRDefault="00C723DD" w:rsidP="00C723DD">
      <w:pPr>
        <w:rPr>
          <w:rFonts w:asciiTheme="minorHAnsi" w:hAnsiTheme="minorHAnsi" w:cstheme="minorHAnsi"/>
          <w:b/>
        </w:rPr>
      </w:pPr>
    </w:p>
    <w:p w:rsidR="00C723DD" w:rsidRPr="00113EE0" w:rsidRDefault="00C723DD" w:rsidP="00C723DD">
      <w:pPr>
        <w:ind w:right="-567"/>
        <w:jc w:val="both"/>
        <w:rPr>
          <w:rFonts w:asciiTheme="minorHAnsi" w:hAnsiTheme="minorHAnsi" w:cstheme="minorHAnsi"/>
          <w:b/>
          <w:sz w:val="22"/>
        </w:rPr>
      </w:pPr>
      <w:r w:rsidRPr="00113EE0">
        <w:rPr>
          <w:rFonts w:asciiTheme="minorHAnsi" w:hAnsiTheme="minorHAnsi" w:cstheme="minorHAnsi"/>
          <w:b/>
          <w:sz w:val="22"/>
        </w:rPr>
        <w:t>1. Celková charakteristika okresu</w:t>
      </w:r>
    </w:p>
    <w:tbl>
      <w:tblPr>
        <w:tblW w:w="9922" w:type="dxa"/>
        <w:tblInd w:w="70" w:type="dxa"/>
        <w:tblLayout w:type="fixed"/>
        <w:tblCellMar>
          <w:left w:w="70" w:type="dxa"/>
          <w:right w:w="70" w:type="dxa"/>
        </w:tblCellMar>
        <w:tblLook w:val="0000" w:firstRow="0" w:lastRow="0" w:firstColumn="0" w:lastColumn="0" w:noHBand="0" w:noVBand="0"/>
      </w:tblPr>
      <w:tblGrid>
        <w:gridCol w:w="1701"/>
        <w:gridCol w:w="8221"/>
      </w:tblGrid>
      <w:tr w:rsidR="00C723DD" w:rsidRPr="00113EE0" w:rsidTr="00C723DD">
        <w:tc>
          <w:tcPr>
            <w:tcW w:w="1701" w:type="dxa"/>
          </w:tcPr>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Rozloha:</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Počet obyvatel:</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Hustota osídlení:</w:t>
            </w:r>
          </w:p>
          <w:p w:rsidR="00C723DD" w:rsidRPr="00113EE0" w:rsidRDefault="00C723DD" w:rsidP="00C723DD">
            <w:pPr>
              <w:ind w:right="-567"/>
              <w:jc w:val="both"/>
              <w:rPr>
                <w:rFonts w:asciiTheme="minorHAnsi" w:hAnsiTheme="minorHAnsi" w:cstheme="minorHAnsi"/>
              </w:rPr>
            </w:pPr>
            <w:r w:rsidRPr="00113EE0">
              <w:rPr>
                <w:rFonts w:asciiTheme="minorHAnsi" w:hAnsiTheme="minorHAnsi" w:cstheme="minorHAnsi"/>
              </w:rPr>
              <w:t>Charakter:</w:t>
            </w:r>
          </w:p>
        </w:tc>
        <w:tc>
          <w:tcPr>
            <w:tcW w:w="8221" w:type="dxa"/>
          </w:tcPr>
          <w:p w:rsidR="00C723DD" w:rsidRPr="00113EE0" w:rsidRDefault="00C723DD" w:rsidP="00C723DD">
            <w:pPr>
              <w:ind w:right="-567"/>
              <w:rPr>
                <w:rFonts w:asciiTheme="minorHAnsi" w:hAnsiTheme="minorHAnsi" w:cstheme="minorHAnsi"/>
                <w:vertAlign w:val="superscript"/>
              </w:rPr>
            </w:pPr>
            <w:r w:rsidRPr="00113EE0">
              <w:rPr>
                <w:rFonts w:asciiTheme="minorHAnsi" w:hAnsiTheme="minorHAnsi" w:cstheme="minorHAnsi"/>
              </w:rPr>
              <w:t>332 km</w:t>
            </w:r>
            <w:r w:rsidRPr="00113EE0">
              <w:rPr>
                <w:rFonts w:asciiTheme="minorHAnsi" w:hAnsiTheme="minorHAnsi" w:cstheme="minorHAnsi"/>
                <w:vertAlign w:val="superscript"/>
              </w:rPr>
              <w:t>2</w:t>
            </w:r>
          </w:p>
          <w:p w:rsidR="00C723DD" w:rsidRPr="00113EE0" w:rsidRDefault="00C723DD" w:rsidP="00C723DD">
            <w:pPr>
              <w:ind w:right="-567"/>
              <w:rPr>
                <w:rFonts w:asciiTheme="minorHAnsi" w:hAnsiTheme="minorHAnsi" w:cstheme="minorHAnsi"/>
              </w:rPr>
            </w:pPr>
            <w:r>
              <w:rPr>
                <w:rFonts w:asciiTheme="minorHAnsi" w:hAnsiTheme="minorHAnsi" w:cstheme="minorHAnsi"/>
                <w:snapToGrid w:val="0"/>
              </w:rPr>
              <w:t>cca 327</w:t>
            </w:r>
            <w:r w:rsidRPr="00113EE0">
              <w:rPr>
                <w:rFonts w:asciiTheme="minorHAnsi" w:hAnsiTheme="minorHAnsi" w:cstheme="minorHAnsi"/>
                <w:snapToGrid w:val="0"/>
              </w:rPr>
              <w:t xml:space="preserve"> tis.</w:t>
            </w:r>
          </w:p>
          <w:p w:rsidR="00C723DD" w:rsidRPr="00113EE0" w:rsidRDefault="00C723DD" w:rsidP="00C723DD">
            <w:pPr>
              <w:ind w:right="-567"/>
              <w:rPr>
                <w:rFonts w:asciiTheme="minorHAnsi" w:hAnsiTheme="minorHAnsi" w:cstheme="minorHAnsi"/>
                <w:vertAlign w:val="superscript"/>
              </w:rPr>
            </w:pPr>
            <w:r>
              <w:rPr>
                <w:rFonts w:asciiTheme="minorHAnsi" w:hAnsiTheme="minorHAnsi" w:cstheme="minorHAnsi"/>
              </w:rPr>
              <w:t>985</w:t>
            </w:r>
            <w:r w:rsidRPr="00113EE0">
              <w:rPr>
                <w:rFonts w:asciiTheme="minorHAnsi" w:hAnsiTheme="minorHAnsi" w:cstheme="minorHAnsi"/>
              </w:rPr>
              <w:t xml:space="preserve"> obyvatel/km</w:t>
            </w:r>
            <w:r w:rsidRPr="00113EE0">
              <w:rPr>
                <w:rFonts w:asciiTheme="minorHAnsi" w:hAnsiTheme="minorHAnsi" w:cstheme="minorHAnsi"/>
                <w:vertAlign w:val="superscript"/>
              </w:rPr>
              <w:t>2</w:t>
            </w:r>
          </w:p>
          <w:p w:rsidR="00C723DD" w:rsidRPr="00113EE0" w:rsidRDefault="00C723DD" w:rsidP="00C723DD">
            <w:pPr>
              <w:tabs>
                <w:tab w:val="left" w:pos="8009"/>
              </w:tabs>
              <w:ind w:right="72"/>
              <w:jc w:val="both"/>
              <w:rPr>
                <w:rFonts w:asciiTheme="minorHAnsi" w:hAnsiTheme="minorHAnsi" w:cstheme="minorHAnsi"/>
              </w:rPr>
            </w:pPr>
            <w:r w:rsidRPr="00113EE0">
              <w:rPr>
                <w:rFonts w:asciiTheme="minorHAnsi" w:hAnsiTheme="minorHAnsi" w:cstheme="minorHAnsi"/>
              </w:rPr>
              <w:t>přirozené centrum Moravskoslezského kraje, dominantní převaha hutnictví a těžkého strojírenství, dále výrazně zastoupen lehký strojírenský průmysl, koksárenství, rozvíjející se automobilový průmysl, stavebnictví</w:t>
            </w:r>
          </w:p>
        </w:tc>
      </w:tr>
    </w:tbl>
    <w:p w:rsidR="00C723DD" w:rsidRPr="00113EE0" w:rsidRDefault="00C723DD" w:rsidP="00C723DD">
      <w:pPr>
        <w:ind w:right="-284"/>
        <w:jc w:val="both"/>
        <w:rPr>
          <w:rFonts w:asciiTheme="minorHAnsi" w:hAnsiTheme="minorHAnsi" w:cstheme="minorHAnsi"/>
        </w:rPr>
      </w:pPr>
    </w:p>
    <w:p w:rsidR="00C723DD" w:rsidRPr="00113EE0" w:rsidRDefault="00C723DD" w:rsidP="00C723DD">
      <w:pPr>
        <w:spacing w:before="120"/>
        <w:ind w:right="-284"/>
        <w:jc w:val="both"/>
        <w:rPr>
          <w:rFonts w:asciiTheme="minorHAnsi" w:hAnsiTheme="minorHAnsi" w:cstheme="minorHAnsi"/>
          <w:b/>
          <w:i/>
          <w:sz w:val="22"/>
        </w:rPr>
      </w:pPr>
      <w:r w:rsidRPr="00113EE0">
        <w:rPr>
          <w:rFonts w:asciiTheme="minorHAnsi" w:hAnsiTheme="minorHAnsi" w:cstheme="minorHAnsi"/>
          <w:b/>
          <w:i/>
          <w:sz w:val="22"/>
        </w:rPr>
        <w:t>Silné stránky okresu (specifika, která nejsou obsažena v krajské analýze)</w:t>
      </w:r>
    </w:p>
    <w:p w:rsidR="00C723DD" w:rsidRPr="00113EE0" w:rsidRDefault="00C723DD" w:rsidP="00C723DD">
      <w:pPr>
        <w:numPr>
          <w:ilvl w:val="0"/>
          <w:numId w:val="8"/>
        </w:numPr>
        <w:tabs>
          <w:tab w:val="clear" w:pos="360"/>
        </w:tabs>
        <w:ind w:right="-285"/>
        <w:jc w:val="both"/>
        <w:rPr>
          <w:rFonts w:asciiTheme="minorHAnsi" w:hAnsiTheme="minorHAnsi" w:cstheme="minorHAnsi"/>
        </w:rPr>
      </w:pPr>
      <w:r w:rsidRPr="00113EE0">
        <w:rPr>
          <w:rFonts w:asciiTheme="minorHAnsi" w:hAnsiTheme="minorHAnsi" w:cstheme="minorHAnsi"/>
        </w:rPr>
        <w:t>Rozmanitost průmyslových odvětví, koncentrace velkého počtu zaměstnavatelů na relativně malém území.</w:t>
      </w:r>
    </w:p>
    <w:p w:rsidR="00C723DD" w:rsidRPr="00113EE0" w:rsidRDefault="00C723DD" w:rsidP="00C723DD">
      <w:pPr>
        <w:numPr>
          <w:ilvl w:val="0"/>
          <w:numId w:val="8"/>
        </w:numPr>
        <w:ind w:right="-285"/>
        <w:jc w:val="both"/>
        <w:rPr>
          <w:rFonts w:asciiTheme="minorHAnsi" w:hAnsiTheme="minorHAnsi" w:cstheme="minorHAnsi"/>
        </w:rPr>
      </w:pPr>
      <w:r w:rsidRPr="00113EE0">
        <w:rPr>
          <w:rFonts w:asciiTheme="minorHAnsi" w:hAnsiTheme="minorHAnsi" w:cstheme="minorHAnsi"/>
        </w:rPr>
        <w:t>Významný dopravní a komunikační uzel, důležité průmyslové centrum.</w:t>
      </w:r>
    </w:p>
    <w:p w:rsidR="00C723DD" w:rsidRPr="00113EE0" w:rsidRDefault="00C723DD" w:rsidP="00C723DD">
      <w:pPr>
        <w:numPr>
          <w:ilvl w:val="0"/>
          <w:numId w:val="8"/>
        </w:numPr>
        <w:ind w:right="-285"/>
        <w:jc w:val="both"/>
        <w:rPr>
          <w:rFonts w:asciiTheme="minorHAnsi" w:hAnsiTheme="minorHAnsi" w:cstheme="minorHAnsi"/>
        </w:rPr>
      </w:pPr>
      <w:r w:rsidRPr="00113EE0">
        <w:rPr>
          <w:rFonts w:asciiTheme="minorHAnsi" w:hAnsiTheme="minorHAnsi" w:cstheme="minorHAnsi"/>
        </w:rPr>
        <w:t>Existence dvou univerzit a soukromé Vysoké školy podnikání, a. s.</w:t>
      </w:r>
    </w:p>
    <w:p w:rsidR="00C723DD" w:rsidRPr="00113EE0" w:rsidRDefault="00C723DD" w:rsidP="00C723DD">
      <w:pPr>
        <w:spacing w:before="120"/>
        <w:ind w:right="-284"/>
        <w:jc w:val="both"/>
        <w:rPr>
          <w:rFonts w:asciiTheme="minorHAnsi" w:hAnsiTheme="minorHAnsi" w:cstheme="minorHAnsi"/>
          <w:b/>
          <w:i/>
          <w:sz w:val="22"/>
        </w:rPr>
      </w:pPr>
      <w:r w:rsidRPr="00113EE0">
        <w:rPr>
          <w:rFonts w:asciiTheme="minorHAnsi" w:hAnsiTheme="minorHAnsi" w:cstheme="minorHAnsi"/>
          <w:b/>
          <w:i/>
          <w:sz w:val="22"/>
        </w:rPr>
        <w:t>Slabé stránky okresu (specifika, která nejsou obsažena v krajské analýze)</w:t>
      </w:r>
    </w:p>
    <w:p w:rsidR="00C723DD" w:rsidRPr="00113EE0" w:rsidRDefault="00C723DD" w:rsidP="00C723DD">
      <w:pPr>
        <w:numPr>
          <w:ilvl w:val="0"/>
          <w:numId w:val="8"/>
        </w:numPr>
        <w:ind w:right="-285"/>
        <w:rPr>
          <w:rFonts w:asciiTheme="minorHAnsi" w:hAnsiTheme="minorHAnsi" w:cstheme="minorHAnsi"/>
        </w:rPr>
      </w:pPr>
      <w:r w:rsidRPr="00113EE0">
        <w:rPr>
          <w:rFonts w:asciiTheme="minorHAnsi" w:hAnsiTheme="minorHAnsi" w:cstheme="minorHAnsi"/>
        </w:rPr>
        <w:t>Silné soustředění průmyslu na hutnictví a strojírenství.</w:t>
      </w:r>
    </w:p>
    <w:p w:rsidR="00C723DD" w:rsidRPr="00113EE0" w:rsidRDefault="00C723DD" w:rsidP="00C723DD">
      <w:pPr>
        <w:numPr>
          <w:ilvl w:val="0"/>
          <w:numId w:val="8"/>
        </w:numPr>
        <w:ind w:right="-285"/>
        <w:jc w:val="both"/>
        <w:rPr>
          <w:rFonts w:asciiTheme="minorHAnsi" w:hAnsiTheme="minorHAnsi" w:cstheme="minorHAnsi"/>
        </w:rPr>
      </w:pPr>
      <w:r w:rsidRPr="00113EE0">
        <w:rPr>
          <w:rFonts w:asciiTheme="minorHAnsi" w:hAnsiTheme="minorHAnsi" w:cstheme="minorHAnsi"/>
        </w:rPr>
        <w:t>Vysoký podíl občanů se zdravotním postižením jako důsledek dlouholetého zaměstnání v těžkém průmyslu a jejich druhý největší počet ze všech okresů ČR.</w:t>
      </w:r>
    </w:p>
    <w:p w:rsidR="00C723DD" w:rsidRPr="00113EE0" w:rsidRDefault="00C723DD" w:rsidP="00C723DD">
      <w:pPr>
        <w:ind w:right="-569"/>
        <w:jc w:val="both"/>
        <w:rPr>
          <w:rFonts w:asciiTheme="minorHAnsi" w:hAnsiTheme="minorHAnsi" w:cstheme="minorHAnsi"/>
        </w:rPr>
      </w:pPr>
    </w:p>
    <w:p w:rsidR="00C723DD" w:rsidRPr="00113EE0" w:rsidRDefault="00C723DD" w:rsidP="00C723DD">
      <w:pPr>
        <w:ind w:right="-284"/>
        <w:rPr>
          <w:rFonts w:asciiTheme="minorHAnsi" w:hAnsiTheme="minorHAnsi" w:cstheme="minorHAnsi"/>
          <w:b/>
          <w:sz w:val="22"/>
          <w:szCs w:val="22"/>
        </w:rPr>
      </w:pPr>
      <w:r w:rsidRPr="00113EE0">
        <w:rPr>
          <w:rFonts w:asciiTheme="minorHAnsi" w:hAnsiTheme="minorHAnsi" w:cstheme="minorHAnsi"/>
          <w:b/>
          <w:sz w:val="22"/>
          <w:szCs w:val="22"/>
        </w:rPr>
        <w:t>Silné a slabé stránky okresu většinou kopírují krajská pozitiva a negativa.</w:t>
      </w:r>
    </w:p>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sz w:val="22"/>
        </w:rPr>
      </w:pPr>
      <w:r w:rsidRPr="00113EE0">
        <w:rPr>
          <w:rFonts w:asciiTheme="minorHAnsi" w:hAnsiTheme="minorHAnsi" w:cstheme="minorHAnsi"/>
          <w:b/>
          <w:sz w:val="22"/>
        </w:rPr>
        <w:t>2. Zaměstnanost</w:t>
      </w:r>
    </w:p>
    <w:tbl>
      <w:tblPr>
        <w:tblW w:w="9659"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19"/>
        <w:gridCol w:w="935"/>
        <w:gridCol w:w="935"/>
        <w:gridCol w:w="935"/>
        <w:gridCol w:w="935"/>
      </w:tblGrid>
      <w:tr w:rsidR="00C723DD" w:rsidRPr="00113EE0" w:rsidTr="00C723DD">
        <w:trPr>
          <w:cantSplit/>
          <w:trHeight w:val="607"/>
        </w:trPr>
        <w:tc>
          <w:tcPr>
            <w:tcW w:w="5919"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935"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935"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935" w:type="dxa"/>
            <w:tcBorders>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935" w:type="dxa"/>
            <w:tcBorders>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197"/>
        </w:trPr>
        <w:tc>
          <w:tcPr>
            <w:tcW w:w="5919" w:type="dxa"/>
            <w:tcBorders>
              <w:top w:val="double" w:sz="4" w:space="0" w:color="auto"/>
              <w:bottom w:val="sing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zaměstnavatelé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 (monitorované firmy)</w:t>
            </w:r>
          </w:p>
        </w:tc>
        <w:tc>
          <w:tcPr>
            <w:tcW w:w="93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736</w:t>
            </w:r>
          </w:p>
        </w:tc>
        <w:tc>
          <w:tcPr>
            <w:tcW w:w="93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742</w:t>
            </w:r>
          </w:p>
        </w:tc>
        <w:tc>
          <w:tcPr>
            <w:tcW w:w="93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+6</w:t>
            </w:r>
          </w:p>
        </w:tc>
        <w:tc>
          <w:tcPr>
            <w:tcW w:w="935"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100,8</w:t>
            </w:r>
          </w:p>
        </w:tc>
      </w:tr>
      <w:tr w:rsidR="00C723DD" w:rsidRPr="00113EE0" w:rsidTr="00C723DD">
        <w:trPr>
          <w:cantSplit/>
          <w:trHeight w:val="197"/>
        </w:trPr>
        <w:tc>
          <w:tcPr>
            <w:tcW w:w="5919"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zaměstnanci u monitorovaných firem (se stavem </w:t>
            </w:r>
            <w:smartTag w:uri="urn:schemas-microsoft-com:office:smarttags" w:element="metricconverter">
              <w:smartTagPr>
                <w:attr w:name="ProductID" w:val="26 a"/>
              </w:smartTagPr>
              <w:r w:rsidRPr="00113EE0">
                <w:rPr>
                  <w:rFonts w:asciiTheme="minorHAnsi" w:hAnsiTheme="minorHAnsi" w:cstheme="minorHAnsi"/>
                  <w:sz w:val="18"/>
                </w:rPr>
                <w:t>26 a</w:t>
              </w:r>
            </w:smartTag>
            <w:r w:rsidRPr="00113EE0">
              <w:rPr>
                <w:rFonts w:asciiTheme="minorHAnsi" w:hAnsiTheme="minorHAnsi" w:cstheme="minorHAnsi"/>
                <w:sz w:val="18"/>
              </w:rPr>
              <w:t xml:space="preserve"> více osob)</w:t>
            </w:r>
          </w:p>
        </w:tc>
        <w:tc>
          <w:tcPr>
            <w:tcW w:w="935"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95 610</w:t>
            </w:r>
          </w:p>
        </w:tc>
        <w:tc>
          <w:tcPr>
            <w:tcW w:w="935" w:type="dxa"/>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98 332</w:t>
            </w:r>
          </w:p>
        </w:tc>
        <w:tc>
          <w:tcPr>
            <w:tcW w:w="935" w:type="dxa"/>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+2 722</w:t>
            </w:r>
          </w:p>
        </w:tc>
        <w:tc>
          <w:tcPr>
            <w:tcW w:w="935"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102,8</w:t>
            </w:r>
          </w:p>
        </w:tc>
      </w:tr>
      <w:tr w:rsidR="00C723DD" w:rsidRPr="00113EE0" w:rsidTr="00C723DD">
        <w:trPr>
          <w:cantSplit/>
          <w:trHeight w:val="212"/>
        </w:trPr>
        <w:tc>
          <w:tcPr>
            <w:tcW w:w="5919" w:type="dxa"/>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OSVČ (vykonávající činnost)</w:t>
            </w:r>
          </w:p>
        </w:tc>
        <w:tc>
          <w:tcPr>
            <w:tcW w:w="935" w:type="dxa"/>
            <w:vAlign w:val="center"/>
          </w:tcPr>
          <w:p w:rsidR="00C723DD" w:rsidRPr="00113EE0" w:rsidRDefault="00C723DD" w:rsidP="00C723DD">
            <w:pPr>
              <w:jc w:val="center"/>
              <w:rPr>
                <w:rFonts w:asciiTheme="minorHAnsi" w:hAnsiTheme="minorHAnsi" w:cstheme="minorHAnsi"/>
                <w:sz w:val="18"/>
              </w:rPr>
            </w:pPr>
            <w:r w:rsidRPr="00113EE0">
              <w:rPr>
                <w:rFonts w:asciiTheme="minorHAnsi" w:hAnsiTheme="minorHAnsi" w:cstheme="minorHAnsi"/>
                <w:sz w:val="18"/>
              </w:rPr>
              <w:t>25 343</w:t>
            </w:r>
          </w:p>
        </w:tc>
        <w:tc>
          <w:tcPr>
            <w:tcW w:w="935" w:type="dxa"/>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24 452</w:t>
            </w:r>
          </w:p>
        </w:tc>
        <w:tc>
          <w:tcPr>
            <w:tcW w:w="935" w:type="dxa"/>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-891</w:t>
            </w:r>
          </w:p>
        </w:tc>
        <w:tc>
          <w:tcPr>
            <w:tcW w:w="935"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96,5</w:t>
            </w:r>
          </w:p>
        </w:tc>
      </w:tr>
    </w:tbl>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3. Evidovaná nezaměstnanost a volná pracovní místa</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921"/>
        <w:gridCol w:w="921"/>
        <w:gridCol w:w="921"/>
        <w:gridCol w:w="922"/>
      </w:tblGrid>
      <w:tr w:rsidR="00C723DD" w:rsidRPr="00113EE0" w:rsidTr="00C723DD">
        <w:trPr>
          <w:cantSplit/>
        </w:trPr>
        <w:tc>
          <w:tcPr>
            <w:tcW w:w="5954" w:type="dxa"/>
            <w:tcBorders>
              <w:top w:val="double" w:sz="4" w:space="0" w:color="auto"/>
              <w:left w:val="double" w:sz="4" w:space="0" w:color="auto"/>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921"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921" w:type="dxa"/>
            <w:tcBorders>
              <w:top w:val="double" w:sz="4" w:space="0" w:color="auto"/>
              <w:bottom w:val="nil"/>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stav k 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921" w:type="dxa"/>
            <w:tcBorders>
              <w:top w:val="double" w:sz="4" w:space="0" w:color="auto"/>
              <w:bottom w:val="nil"/>
            </w:tcBorders>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922" w:type="dxa"/>
            <w:tcBorders>
              <w:top w:val="double" w:sz="4" w:space="0" w:color="auto"/>
              <w:bottom w:val="nil"/>
              <w:right w:val="double" w:sz="4" w:space="0" w:color="auto"/>
            </w:tcBorders>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5954" w:type="dxa"/>
            <w:tcBorders>
              <w:top w:val="double" w:sz="4" w:space="0" w:color="auto"/>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evidovaní uchazeči o zaměstnání</w:t>
            </w:r>
          </w:p>
        </w:tc>
        <w:tc>
          <w:tcPr>
            <w:tcW w:w="921" w:type="dxa"/>
            <w:tcBorders>
              <w:top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26 193</w:t>
            </w:r>
          </w:p>
        </w:tc>
        <w:tc>
          <w:tcPr>
            <w:tcW w:w="921" w:type="dxa"/>
            <w:tcBorders>
              <w:top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25 110</w:t>
            </w:r>
          </w:p>
        </w:tc>
        <w:tc>
          <w:tcPr>
            <w:tcW w:w="921" w:type="dxa"/>
            <w:tcBorders>
              <w:top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-1 083</w:t>
            </w:r>
          </w:p>
        </w:tc>
        <w:tc>
          <w:tcPr>
            <w:tcW w:w="922" w:type="dxa"/>
            <w:tcBorders>
              <w:top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95,9</w:t>
            </w:r>
          </w:p>
        </w:tc>
      </w:tr>
      <w:tr w:rsidR="00C723DD" w:rsidRPr="00113EE0" w:rsidTr="00C723DD">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ženy</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12 241</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12 097</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-144</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98,8</w:t>
            </w:r>
          </w:p>
        </w:tc>
      </w:tr>
      <w:tr w:rsidR="00C723DD" w:rsidRPr="00113EE0" w:rsidTr="00C723DD">
        <w:tc>
          <w:tcPr>
            <w:tcW w:w="5954"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osoby se zdravotním postižením</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2 456</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2 400</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-56</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97,7</w:t>
            </w:r>
          </w:p>
        </w:tc>
      </w:tr>
      <w:tr w:rsidR="00C723DD" w:rsidRPr="00113EE0" w:rsidTr="00C723DD">
        <w:tc>
          <w:tcPr>
            <w:tcW w:w="5954" w:type="dxa"/>
            <w:tcBorders>
              <w:left w:val="double" w:sz="4" w:space="0" w:color="auto"/>
            </w:tcBorders>
          </w:tcPr>
          <w:p w:rsidR="00C723DD" w:rsidRPr="00113EE0" w:rsidRDefault="00C723DD" w:rsidP="00C723DD">
            <w:pPr>
              <w:ind w:firstLine="639"/>
              <w:rPr>
                <w:rFonts w:asciiTheme="minorHAnsi" w:hAnsiTheme="minorHAnsi" w:cstheme="minorHAnsi"/>
                <w:sz w:val="18"/>
              </w:rPr>
            </w:pPr>
            <w:r w:rsidRPr="00113EE0">
              <w:rPr>
                <w:rFonts w:asciiTheme="minorHAnsi" w:hAnsiTheme="minorHAnsi" w:cstheme="minorHAnsi"/>
                <w:sz w:val="18"/>
              </w:rPr>
              <w:t>- absolventi škol, učilišť a mladiství</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1 465</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1 064</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-401</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72,6</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6 měsíců</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17 653</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17 653</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100,0</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evidovaní déle než 12 měsíců</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12 795</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13 808</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+1 013</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107,9</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evidovaných uchazečů (ve dnech)</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774</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872</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112,7</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průměrná délka evidence vyřazených uchazečů (ve dnech)</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430</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359</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-71</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83,5</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do 19 let věku</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1 015</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906</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-109</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89,3</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ve věku 50 let a starší</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7 279</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7 289</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100,1</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bez vzdělání, s neúplným základním a se základním vzděláním</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9 295</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9 160</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-135</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98,5</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podíl nezaměstnaných osob (v %)</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11,6</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11,0</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-0,6</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94,8</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volná pracovní místa</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629</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2 155</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+1 526</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342,6</w:t>
            </w:r>
          </w:p>
        </w:tc>
      </w:tr>
      <w:tr w:rsidR="00C723DD" w:rsidRPr="00113EE0" w:rsidTr="00C723DD">
        <w:trPr>
          <w:cantSplit/>
        </w:trPr>
        <w:tc>
          <w:tcPr>
            <w:tcW w:w="5954" w:type="dxa"/>
            <w:tcBorders>
              <w:left w:val="double" w:sz="4" w:space="0" w:color="auto"/>
            </w:tcBorders>
          </w:tcPr>
          <w:p w:rsidR="00C723DD" w:rsidRPr="00113EE0" w:rsidRDefault="00C723DD" w:rsidP="00C723DD">
            <w:pPr>
              <w:tabs>
                <w:tab w:val="left" w:pos="990"/>
              </w:tabs>
              <w:rPr>
                <w:rFonts w:asciiTheme="minorHAnsi" w:hAnsiTheme="minorHAnsi" w:cstheme="minorHAnsi"/>
                <w:sz w:val="18"/>
              </w:rPr>
            </w:pPr>
            <w:r w:rsidRPr="00113EE0">
              <w:rPr>
                <w:rFonts w:asciiTheme="minorHAnsi" w:hAnsiTheme="minorHAnsi" w:cstheme="minorHAnsi"/>
                <w:sz w:val="18"/>
              </w:rPr>
              <w:t>měsíční průměr volných pracovních míst od začátku roku</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1 622</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1 549</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-73</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95,5</w:t>
            </w:r>
          </w:p>
        </w:tc>
      </w:tr>
      <w:tr w:rsidR="00C723DD" w:rsidRPr="00113EE0" w:rsidTr="00C723DD">
        <w:trPr>
          <w:cantSplit/>
        </w:trPr>
        <w:tc>
          <w:tcPr>
            <w:tcW w:w="5954" w:type="dxa"/>
            <w:tcBorders>
              <w:left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připadající na 1 volné pracovní místo</w:t>
            </w:r>
          </w:p>
        </w:tc>
        <w:tc>
          <w:tcPr>
            <w:tcW w:w="921"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41,6</w:t>
            </w:r>
          </w:p>
        </w:tc>
        <w:tc>
          <w:tcPr>
            <w:tcW w:w="921"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11,7</w:t>
            </w:r>
          </w:p>
        </w:tc>
        <w:tc>
          <w:tcPr>
            <w:tcW w:w="921"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-29,9</w:t>
            </w:r>
          </w:p>
        </w:tc>
        <w:tc>
          <w:tcPr>
            <w:tcW w:w="922" w:type="dxa"/>
            <w:tcBorders>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28,1</w:t>
            </w:r>
          </w:p>
        </w:tc>
      </w:tr>
      <w:tr w:rsidR="00C723DD" w:rsidRPr="00113EE0" w:rsidTr="00C723DD">
        <w:trPr>
          <w:cantSplit/>
        </w:trPr>
        <w:tc>
          <w:tcPr>
            <w:tcW w:w="5954"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připadajících na 1 VPM v roce</w:t>
            </w:r>
          </w:p>
        </w:tc>
        <w:tc>
          <w:tcPr>
            <w:tcW w:w="921"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18,5</w:t>
            </w:r>
          </w:p>
        </w:tc>
        <w:tc>
          <w:tcPr>
            <w:tcW w:w="921"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19,3</w:t>
            </w:r>
          </w:p>
        </w:tc>
        <w:tc>
          <w:tcPr>
            <w:tcW w:w="921" w:type="dxa"/>
            <w:tcBorders>
              <w:bottom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+0,8</w:t>
            </w:r>
          </w:p>
        </w:tc>
        <w:tc>
          <w:tcPr>
            <w:tcW w:w="922" w:type="dxa"/>
            <w:tcBorders>
              <w:bottom w:val="double" w:sz="4" w:space="0" w:color="auto"/>
              <w:right w:val="doub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104,3</w:t>
            </w:r>
          </w:p>
        </w:tc>
      </w:tr>
    </w:tbl>
    <w:p w:rsidR="00C723DD" w:rsidRPr="00113EE0" w:rsidRDefault="00C723DD" w:rsidP="00C723DD">
      <w:pPr>
        <w:ind w:right="-567"/>
        <w:jc w:val="both"/>
        <w:rPr>
          <w:rFonts w:asciiTheme="minorHAnsi" w:hAnsiTheme="minorHAnsi" w:cstheme="minorHAnsi"/>
          <w:b/>
          <w:sz w:val="16"/>
        </w:rPr>
      </w:pPr>
    </w:p>
    <w:p w:rsidR="00C723DD" w:rsidRPr="00113EE0" w:rsidRDefault="00C723DD" w:rsidP="00C723DD">
      <w:pPr>
        <w:ind w:right="-567"/>
        <w:jc w:val="both"/>
        <w:rPr>
          <w:rFonts w:asciiTheme="minorHAnsi" w:hAnsiTheme="minorHAnsi" w:cstheme="minorHAnsi"/>
          <w:b/>
          <w:sz w:val="16"/>
        </w:rPr>
      </w:pPr>
    </w:p>
    <w:p w:rsidR="00C723DD" w:rsidRPr="00113EE0" w:rsidRDefault="00C723DD" w:rsidP="00C723DD">
      <w:pPr>
        <w:rPr>
          <w:rFonts w:asciiTheme="minorHAnsi" w:hAnsiTheme="minorHAnsi" w:cstheme="minorHAnsi"/>
          <w:sz w:val="16"/>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sz w:val="16"/>
        </w:rPr>
        <w:br w:type="page"/>
      </w:r>
      <w:r w:rsidRPr="00113EE0">
        <w:rPr>
          <w:rFonts w:asciiTheme="minorHAnsi" w:hAnsiTheme="minorHAnsi" w:cstheme="minorHAnsi"/>
          <w:b/>
          <w:sz w:val="22"/>
        </w:rPr>
        <w:t>4. Tok nezaměstnanosti</w:t>
      </w:r>
    </w:p>
    <w:tbl>
      <w:tblPr>
        <w:tblW w:w="9555"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9"/>
        <w:gridCol w:w="1079"/>
        <w:gridCol w:w="1079"/>
        <w:gridCol w:w="1079"/>
        <w:gridCol w:w="1079"/>
      </w:tblGrid>
      <w:tr w:rsidR="00C723DD" w:rsidRPr="00113EE0" w:rsidTr="00C723DD">
        <w:trPr>
          <w:cantSplit/>
          <w:trHeight w:val="584"/>
        </w:trPr>
        <w:tc>
          <w:tcPr>
            <w:tcW w:w="5239" w:type="dxa"/>
            <w:tcBorders>
              <w:bottom w:val="nil"/>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79"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79"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79" w:type="dxa"/>
            <w:tcBorders>
              <w:bottom w:val="nil"/>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79" w:type="dxa"/>
            <w:tcBorders>
              <w:bottom w:val="nil"/>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2014/2013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Height w:val="190"/>
        </w:trPr>
        <w:tc>
          <w:tcPr>
            <w:tcW w:w="5239" w:type="dxa"/>
            <w:tcBorders>
              <w:top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evidenčního stavu uchazečů v roce</w:t>
            </w:r>
          </w:p>
        </w:tc>
        <w:tc>
          <w:tcPr>
            <w:tcW w:w="1079"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25 173</w:t>
            </w:r>
          </w:p>
        </w:tc>
        <w:tc>
          <w:tcPr>
            <w:tcW w:w="1079"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25 956</w:t>
            </w:r>
          </w:p>
        </w:tc>
        <w:tc>
          <w:tcPr>
            <w:tcW w:w="1079"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+783</w:t>
            </w:r>
          </w:p>
        </w:tc>
        <w:tc>
          <w:tcPr>
            <w:tcW w:w="1079" w:type="dxa"/>
            <w:tcBorders>
              <w:top w:val="double" w:sz="4" w:space="0" w:color="auto"/>
              <w:bottom w:val="single" w:sz="4" w:space="0" w:color="auto"/>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103,1</w:t>
            </w:r>
          </w:p>
        </w:tc>
      </w:tr>
      <w:tr w:rsidR="00C723DD" w:rsidRPr="00113EE0" w:rsidTr="00C723DD">
        <w:trPr>
          <w:cantSplit/>
          <w:trHeight w:val="190"/>
        </w:trPr>
        <w:tc>
          <w:tcPr>
            <w:tcW w:w="5239" w:type="dxa"/>
            <w:tcBorders>
              <w:top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uchazeči nově evidovaní v roce </w:t>
            </w:r>
          </w:p>
        </w:tc>
        <w:tc>
          <w:tcPr>
            <w:tcW w:w="1079" w:type="dxa"/>
            <w:tcBorders>
              <w:top w:val="nil"/>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22 495</w:t>
            </w:r>
          </w:p>
        </w:tc>
        <w:tc>
          <w:tcPr>
            <w:tcW w:w="1079" w:type="dxa"/>
            <w:tcBorders>
              <w:top w:val="nil"/>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22 100</w:t>
            </w:r>
          </w:p>
        </w:tc>
        <w:tc>
          <w:tcPr>
            <w:tcW w:w="1079" w:type="dxa"/>
            <w:tcBorders>
              <w:top w:val="nil"/>
            </w:tcBorders>
            <w:vAlign w:val="bottom"/>
          </w:tcPr>
          <w:p w:rsidR="00C723DD" w:rsidRPr="00113EE0" w:rsidRDefault="00C723DD" w:rsidP="00C723DD">
            <w:pPr>
              <w:pStyle w:val="Odstavecseseznamem"/>
              <w:ind w:left="360"/>
              <w:rPr>
                <w:rFonts w:asciiTheme="minorHAnsi" w:hAnsiTheme="minorHAnsi" w:cstheme="minorHAnsi"/>
                <w:sz w:val="18"/>
                <w:szCs w:val="18"/>
              </w:rPr>
            </w:pPr>
            <w:r>
              <w:rPr>
                <w:rFonts w:asciiTheme="minorHAnsi" w:hAnsiTheme="minorHAnsi" w:cstheme="minorHAnsi"/>
                <w:sz w:val="18"/>
                <w:szCs w:val="18"/>
              </w:rPr>
              <w:t>-395</w:t>
            </w:r>
          </w:p>
        </w:tc>
        <w:tc>
          <w:tcPr>
            <w:tcW w:w="1079" w:type="dxa"/>
            <w:tcBorders>
              <w:top w:val="nil"/>
            </w:tcBorders>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98,2</w:t>
            </w:r>
          </w:p>
        </w:tc>
      </w:tr>
      <w:tr w:rsidR="00C723DD" w:rsidRPr="00113EE0" w:rsidTr="00C723DD">
        <w:trPr>
          <w:cantSplit/>
          <w:trHeight w:val="204"/>
        </w:trPr>
        <w:tc>
          <w:tcPr>
            <w:tcW w:w="5239"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nově evidovaných uchazečů v roce</w:t>
            </w:r>
          </w:p>
        </w:tc>
        <w:tc>
          <w:tcPr>
            <w:tcW w:w="1079"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1 875</w:t>
            </w:r>
          </w:p>
        </w:tc>
        <w:tc>
          <w:tcPr>
            <w:tcW w:w="107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1 842</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-33</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98,2</w:t>
            </w:r>
          </w:p>
        </w:tc>
      </w:tr>
      <w:tr w:rsidR="00C723DD" w:rsidRPr="00113EE0" w:rsidTr="00C723DD">
        <w:trPr>
          <w:cantSplit/>
          <w:trHeight w:val="190"/>
        </w:trPr>
        <w:tc>
          <w:tcPr>
            <w:tcW w:w="5239"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uchazeči vyřazení z evidence v roce</w:t>
            </w:r>
          </w:p>
        </w:tc>
        <w:tc>
          <w:tcPr>
            <w:tcW w:w="1079"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19 084</w:t>
            </w:r>
          </w:p>
        </w:tc>
        <w:tc>
          <w:tcPr>
            <w:tcW w:w="107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23 183</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+4 099</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121,5</w:t>
            </w:r>
          </w:p>
        </w:tc>
      </w:tr>
      <w:tr w:rsidR="00C723DD" w:rsidRPr="00113EE0" w:rsidTr="00C723DD">
        <w:trPr>
          <w:cantSplit/>
          <w:trHeight w:val="204"/>
        </w:trPr>
        <w:tc>
          <w:tcPr>
            <w:tcW w:w="5239"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079"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8 991</w:t>
            </w:r>
          </w:p>
        </w:tc>
        <w:tc>
          <w:tcPr>
            <w:tcW w:w="107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14 120</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+5 129</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157,0</w:t>
            </w:r>
          </w:p>
        </w:tc>
      </w:tr>
      <w:tr w:rsidR="00C723DD" w:rsidRPr="00113EE0" w:rsidTr="00C723DD">
        <w:trPr>
          <w:cantSplit/>
          <w:trHeight w:val="190"/>
        </w:trPr>
        <w:tc>
          <w:tcPr>
            <w:tcW w:w="5239"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měsíční průměr uchazečů vyřazených z evidence v roce</w:t>
            </w:r>
          </w:p>
        </w:tc>
        <w:tc>
          <w:tcPr>
            <w:tcW w:w="1079"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1 590</w:t>
            </w:r>
          </w:p>
        </w:tc>
        <w:tc>
          <w:tcPr>
            <w:tcW w:w="107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1 932</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+342</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121,5</w:t>
            </w:r>
          </w:p>
        </w:tc>
      </w:tr>
      <w:tr w:rsidR="00C723DD" w:rsidRPr="00113EE0" w:rsidTr="00C723DD">
        <w:trPr>
          <w:cantSplit/>
          <w:trHeight w:val="204"/>
        </w:trPr>
        <w:tc>
          <w:tcPr>
            <w:tcW w:w="5239" w:type="dxa"/>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 umístění (ÚP + jinak)</w:t>
            </w:r>
          </w:p>
        </w:tc>
        <w:tc>
          <w:tcPr>
            <w:tcW w:w="1079"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749</w:t>
            </w:r>
          </w:p>
        </w:tc>
        <w:tc>
          <w:tcPr>
            <w:tcW w:w="107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1 177</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+428</w:t>
            </w:r>
          </w:p>
        </w:tc>
        <w:tc>
          <w:tcPr>
            <w:tcW w:w="1079" w:type="dxa"/>
            <w:vAlign w:val="bottom"/>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157,1</w:t>
            </w:r>
          </w:p>
        </w:tc>
      </w:tr>
    </w:tbl>
    <w:p w:rsidR="00C723DD" w:rsidRPr="00113EE0" w:rsidRDefault="00C723DD" w:rsidP="00C723DD">
      <w:pPr>
        <w:ind w:right="-567"/>
        <w:jc w:val="both"/>
        <w:rPr>
          <w:rFonts w:asciiTheme="minorHAnsi" w:hAnsiTheme="minorHAnsi" w:cstheme="minorHAnsi"/>
          <w:b/>
        </w:rPr>
      </w:pPr>
    </w:p>
    <w:p w:rsidR="00C723DD" w:rsidRPr="00113EE0" w:rsidRDefault="00C723DD" w:rsidP="00C723DD">
      <w:pPr>
        <w:ind w:right="-567"/>
        <w:jc w:val="both"/>
        <w:rPr>
          <w:rFonts w:asciiTheme="minorHAnsi" w:hAnsiTheme="minorHAnsi" w:cstheme="minorHAnsi"/>
          <w:b/>
          <w:sz w:val="22"/>
        </w:rPr>
      </w:pPr>
      <w:r w:rsidRPr="00113EE0">
        <w:rPr>
          <w:rFonts w:asciiTheme="minorHAnsi" w:hAnsiTheme="minorHAnsi" w:cstheme="minorHAnsi"/>
          <w:b/>
          <w:sz w:val="22"/>
        </w:rPr>
        <w:t xml:space="preserve">5. Charakteristika mikroregionů </w:t>
      </w:r>
    </w:p>
    <w:p w:rsidR="00C723DD" w:rsidRPr="00113EE0" w:rsidRDefault="00C723DD" w:rsidP="00C723DD">
      <w:pPr>
        <w:ind w:right="-567"/>
        <w:jc w:val="both"/>
        <w:rPr>
          <w:rFonts w:asciiTheme="minorHAnsi" w:hAnsiTheme="minorHAnsi" w:cstheme="minorHAnsi"/>
          <w:b/>
        </w:rPr>
      </w:pPr>
    </w:p>
    <w:p w:rsidR="00C723DD" w:rsidRPr="00113EE0" w:rsidRDefault="00C723DD" w:rsidP="00C723DD">
      <w:pPr>
        <w:pStyle w:val="Zkladntext2"/>
        <w:ind w:right="-285" w:firstLine="708"/>
        <w:jc w:val="both"/>
        <w:rPr>
          <w:rFonts w:asciiTheme="minorHAnsi" w:hAnsiTheme="minorHAnsi" w:cstheme="minorHAnsi"/>
          <w:sz w:val="22"/>
          <w:szCs w:val="22"/>
        </w:rPr>
      </w:pPr>
      <w:r w:rsidRPr="00113EE0">
        <w:rPr>
          <w:rFonts w:asciiTheme="minorHAnsi" w:hAnsiTheme="minorHAnsi" w:cstheme="minorHAnsi"/>
          <w:sz w:val="22"/>
          <w:szCs w:val="22"/>
        </w:rPr>
        <w:t>Členění okresu Ostrava, koncentrace jeho obyvatel i zaměstnavatelů na rozlohou relativně malém území, vzájemná propojenost a dostupnost jeho jednotlivých částí městskou hromadnou dopravou neumožňuje definovat mikroregiony, a to i přesto, že k okresu Ostrava bylo v roce 2007 přiřazeno dvanáct obcí z okresů Frýdek-Místek (Stará Ves nad Ondřejnicí, Šenov, Václavovice, Vratimov), Nový Jičín (Klimkovice, Olbramice, Vřesina, Zbyslavice) a Opava (Čavisov, Dolní Lhota, Horní Lhota, Velká Polom). Okres Ostrava se tak nyní skládá z 13 obcí, z nichž největší - Ostrava se rozděluje na 23 městských obvodů.</w:t>
      </w:r>
    </w:p>
    <w:p w:rsidR="00C723DD" w:rsidRPr="00113EE0" w:rsidRDefault="00C723DD" w:rsidP="00C723DD">
      <w:pPr>
        <w:rPr>
          <w:rFonts w:asciiTheme="minorHAnsi" w:hAnsiTheme="minorHAnsi" w:cstheme="minorHAnsi"/>
          <w:b/>
        </w:rPr>
      </w:pPr>
    </w:p>
    <w:p w:rsidR="00C723DD" w:rsidRPr="00113EE0" w:rsidRDefault="00C723DD" w:rsidP="00C723DD">
      <w:pPr>
        <w:rPr>
          <w:rFonts w:asciiTheme="minorHAnsi" w:hAnsiTheme="minorHAnsi" w:cstheme="minorHAnsi"/>
          <w:sz w:val="22"/>
        </w:rPr>
      </w:pPr>
      <w:r w:rsidRPr="00113EE0">
        <w:rPr>
          <w:rFonts w:asciiTheme="minorHAnsi" w:hAnsiTheme="minorHAnsi" w:cstheme="minorHAnsi"/>
          <w:b/>
          <w:sz w:val="22"/>
        </w:rPr>
        <w:t>6. Aktivní politika zaměstnanosti</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5"/>
        <w:gridCol w:w="1098"/>
        <w:gridCol w:w="1099"/>
        <w:gridCol w:w="1098"/>
        <w:gridCol w:w="1099"/>
      </w:tblGrid>
      <w:tr w:rsidR="00C723DD" w:rsidRPr="00113EE0" w:rsidTr="00C723DD">
        <w:trPr>
          <w:cantSplit/>
        </w:trPr>
        <w:tc>
          <w:tcPr>
            <w:tcW w:w="5245" w:type="dxa"/>
            <w:tcBorders>
              <w:top w:val="double" w:sz="4" w:space="0" w:color="auto"/>
              <w:left w:val="double" w:sz="4" w:space="0" w:color="auto"/>
              <w:bottom w:val="double" w:sz="4" w:space="0" w:color="auto"/>
            </w:tcBorders>
            <w:vAlign w:val="center"/>
          </w:tcPr>
          <w:p w:rsidR="00C723DD" w:rsidRPr="00113EE0" w:rsidRDefault="00C723DD" w:rsidP="00C723DD">
            <w:pPr>
              <w:tabs>
                <w:tab w:val="left" w:pos="6946"/>
              </w:tabs>
              <w:jc w:val="center"/>
              <w:rPr>
                <w:rFonts w:asciiTheme="minorHAnsi" w:hAnsiTheme="minorHAnsi" w:cstheme="minorHAnsi"/>
                <w:b/>
                <w:i/>
                <w:sz w:val="18"/>
              </w:rPr>
            </w:pPr>
            <w:r w:rsidRPr="00113EE0">
              <w:rPr>
                <w:rFonts w:asciiTheme="minorHAnsi" w:hAnsiTheme="minorHAnsi" w:cstheme="minorHAnsi"/>
                <w:b/>
                <w:i/>
                <w:sz w:val="18"/>
              </w:rPr>
              <w:t>ukazatel</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(celkový počet)</w:t>
            </w:r>
          </w:p>
        </w:tc>
        <w:tc>
          <w:tcPr>
            <w:tcW w:w="1098"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3</w:t>
            </w:r>
          </w:p>
        </w:tc>
        <w:tc>
          <w:tcPr>
            <w:tcW w:w="1099" w:type="dxa"/>
            <w:tcBorders>
              <w:top w:val="double" w:sz="4" w:space="0" w:color="auto"/>
              <w:bottom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 xml:space="preserve">stav k </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31.12.</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201</w:t>
            </w:r>
            <w:r>
              <w:rPr>
                <w:rFonts w:asciiTheme="minorHAnsi" w:hAnsiTheme="minorHAnsi" w:cstheme="minorHAnsi"/>
                <w:b/>
                <w:i/>
                <w:sz w:val="18"/>
              </w:rPr>
              <w:t>4</w:t>
            </w:r>
          </w:p>
        </w:tc>
        <w:tc>
          <w:tcPr>
            <w:tcW w:w="1098" w:type="dxa"/>
            <w:tcBorders>
              <w:top w:val="double" w:sz="4" w:space="0" w:color="auto"/>
              <w:bottom w:val="double" w:sz="4" w:space="0" w:color="auto"/>
            </w:tcBorders>
            <w:vAlign w:val="center"/>
          </w:tcPr>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meziroční rozdíl</w:t>
            </w:r>
          </w:p>
          <w:p w:rsidR="00C723DD" w:rsidRPr="00113EE0" w:rsidRDefault="00C723DD" w:rsidP="00C723DD">
            <w:pPr>
              <w:ind w:left="-70"/>
              <w:jc w:val="center"/>
              <w:rPr>
                <w:rFonts w:asciiTheme="minorHAnsi" w:hAnsiTheme="minorHAnsi" w:cstheme="minorHAnsi"/>
                <w:b/>
                <w:i/>
                <w:sz w:val="18"/>
              </w:rPr>
            </w:pPr>
            <w:r w:rsidRPr="00113EE0">
              <w:rPr>
                <w:rFonts w:asciiTheme="minorHAnsi" w:hAnsiTheme="minorHAnsi" w:cstheme="minorHAnsi"/>
                <w:b/>
                <w:i/>
                <w:sz w:val="18"/>
              </w:rPr>
              <w:t>absolutně</w:t>
            </w:r>
          </w:p>
        </w:tc>
        <w:tc>
          <w:tcPr>
            <w:tcW w:w="1099" w:type="dxa"/>
            <w:tcBorders>
              <w:top w:val="double" w:sz="4" w:space="0" w:color="auto"/>
              <w:bottom w:val="double" w:sz="4" w:space="0" w:color="auto"/>
              <w:right w:val="double" w:sz="4" w:space="0" w:color="auto"/>
            </w:tcBorders>
            <w:vAlign w:val="center"/>
          </w:tcPr>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index</w:t>
            </w:r>
          </w:p>
          <w:p w:rsidR="00C723DD" w:rsidRPr="00113EE0" w:rsidRDefault="00C723DD" w:rsidP="00C723DD">
            <w:pPr>
              <w:ind w:left="-69"/>
              <w:jc w:val="center"/>
              <w:rPr>
                <w:rFonts w:asciiTheme="minorHAnsi" w:hAnsiTheme="minorHAnsi" w:cstheme="minorHAnsi"/>
                <w:b/>
                <w:i/>
                <w:sz w:val="18"/>
              </w:rPr>
            </w:pPr>
            <w:r>
              <w:rPr>
                <w:rFonts w:asciiTheme="minorHAnsi" w:hAnsiTheme="minorHAnsi" w:cstheme="minorHAnsi"/>
                <w:b/>
                <w:i/>
                <w:sz w:val="18"/>
              </w:rPr>
              <w:t>2014</w:t>
            </w:r>
            <w:r w:rsidRPr="00113EE0">
              <w:rPr>
                <w:rFonts w:asciiTheme="minorHAnsi" w:hAnsiTheme="minorHAnsi" w:cstheme="minorHAnsi"/>
                <w:b/>
                <w:i/>
                <w:sz w:val="18"/>
              </w:rPr>
              <w:t>/201</w:t>
            </w:r>
            <w:r>
              <w:rPr>
                <w:rFonts w:asciiTheme="minorHAnsi" w:hAnsiTheme="minorHAnsi" w:cstheme="minorHAnsi"/>
                <w:b/>
                <w:i/>
                <w:sz w:val="18"/>
              </w:rPr>
              <w:t>3</w:t>
            </w:r>
          </w:p>
          <w:p w:rsidR="00C723DD" w:rsidRPr="00113EE0" w:rsidRDefault="00C723DD" w:rsidP="00C723DD">
            <w:pPr>
              <w:jc w:val="center"/>
              <w:rPr>
                <w:rFonts w:asciiTheme="minorHAnsi" w:hAnsiTheme="minorHAnsi" w:cstheme="minorHAnsi"/>
                <w:b/>
                <w:i/>
                <w:sz w:val="18"/>
              </w:rPr>
            </w:pPr>
            <w:r w:rsidRPr="00113EE0">
              <w:rPr>
                <w:rFonts w:asciiTheme="minorHAnsi" w:hAnsiTheme="minorHAnsi" w:cstheme="minorHAnsi"/>
                <w:b/>
                <w:i/>
                <w:sz w:val="18"/>
              </w:rPr>
              <w:t>v %</w:t>
            </w:r>
          </w:p>
        </w:tc>
      </w:tr>
      <w:tr w:rsidR="00C723DD" w:rsidRPr="00113EE0" w:rsidTr="00C723DD">
        <w:trPr>
          <w:cantSplit/>
        </w:trPr>
        <w:tc>
          <w:tcPr>
            <w:tcW w:w="5245" w:type="dxa"/>
            <w:tcBorders>
              <w:top w:val="double" w:sz="4" w:space="0" w:color="auto"/>
              <w:left w:val="double" w:sz="4" w:space="0" w:color="auto"/>
              <w:bottom w:val="single" w:sz="12"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 xml:space="preserve">pracovní místa vytvořená s finančním příspěvkem ÚP </w:t>
            </w:r>
          </w:p>
        </w:tc>
        <w:tc>
          <w:tcPr>
            <w:tcW w:w="1098" w:type="dxa"/>
            <w:tcBorders>
              <w:top w:val="double" w:sz="4" w:space="0" w:color="auto"/>
              <w:bottom w:val="single" w:sz="12" w:space="0" w:color="auto"/>
            </w:tcBorders>
            <w:vAlign w:val="center"/>
          </w:tcPr>
          <w:p w:rsidR="00C723DD" w:rsidRPr="00113EE0" w:rsidRDefault="00C723DD" w:rsidP="00C723DD">
            <w:pPr>
              <w:jc w:val="center"/>
              <w:rPr>
                <w:rFonts w:asciiTheme="minorHAnsi" w:hAnsiTheme="minorHAnsi" w:cstheme="minorHAnsi"/>
                <w:b/>
                <w:bCs/>
                <w:sz w:val="18"/>
                <w:szCs w:val="18"/>
              </w:rPr>
            </w:pPr>
            <w:r w:rsidRPr="00113EE0">
              <w:rPr>
                <w:rFonts w:asciiTheme="minorHAnsi" w:hAnsiTheme="minorHAnsi" w:cstheme="minorHAnsi"/>
                <w:b/>
                <w:bCs/>
                <w:sz w:val="18"/>
                <w:szCs w:val="18"/>
              </w:rPr>
              <w:t xml:space="preserve">1 </w:t>
            </w:r>
            <w:r>
              <w:rPr>
                <w:rFonts w:asciiTheme="minorHAnsi" w:hAnsiTheme="minorHAnsi" w:cstheme="minorHAnsi"/>
                <w:b/>
                <w:bCs/>
                <w:sz w:val="18"/>
                <w:szCs w:val="18"/>
              </w:rPr>
              <w:t>20</w:t>
            </w:r>
            <w:r w:rsidRPr="00113EE0">
              <w:rPr>
                <w:rFonts w:asciiTheme="minorHAnsi" w:hAnsiTheme="minorHAnsi" w:cstheme="minorHAnsi"/>
                <w:b/>
                <w:bCs/>
                <w:sz w:val="18"/>
                <w:szCs w:val="18"/>
              </w:rPr>
              <w:t>3</w:t>
            </w:r>
          </w:p>
        </w:tc>
        <w:tc>
          <w:tcPr>
            <w:tcW w:w="1099" w:type="dxa"/>
            <w:tcBorders>
              <w:top w:val="double" w:sz="4" w:space="0" w:color="auto"/>
              <w:bottom w:val="single" w:sz="12" w:space="0" w:color="auto"/>
            </w:tcBorders>
            <w:vAlign w:val="center"/>
          </w:tcPr>
          <w:p w:rsidR="00C723DD" w:rsidRPr="00113EE0" w:rsidRDefault="00C723DD" w:rsidP="00C723DD">
            <w:pPr>
              <w:jc w:val="center"/>
              <w:rPr>
                <w:rFonts w:asciiTheme="minorHAnsi" w:hAnsiTheme="minorHAnsi" w:cstheme="minorHAnsi"/>
                <w:b/>
                <w:bCs/>
                <w:sz w:val="18"/>
                <w:szCs w:val="18"/>
              </w:rPr>
            </w:pPr>
            <w:r>
              <w:rPr>
                <w:rFonts w:asciiTheme="minorHAnsi" w:hAnsiTheme="minorHAnsi" w:cstheme="minorHAnsi"/>
                <w:b/>
                <w:bCs/>
                <w:sz w:val="18"/>
                <w:szCs w:val="18"/>
              </w:rPr>
              <w:t>2 042</w:t>
            </w:r>
          </w:p>
        </w:tc>
        <w:tc>
          <w:tcPr>
            <w:tcW w:w="1098" w:type="dxa"/>
            <w:tcBorders>
              <w:top w:val="double" w:sz="4" w:space="0" w:color="auto"/>
              <w:bottom w:val="single" w:sz="12" w:space="0" w:color="auto"/>
            </w:tcBorders>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+839</w:t>
            </w:r>
          </w:p>
        </w:tc>
        <w:tc>
          <w:tcPr>
            <w:tcW w:w="1099" w:type="dxa"/>
            <w:tcBorders>
              <w:top w:val="double" w:sz="4" w:space="0" w:color="auto"/>
              <w:bottom w:val="single" w:sz="12" w:space="0" w:color="auto"/>
              <w:right w:val="double" w:sz="4" w:space="0" w:color="auto"/>
            </w:tcBorders>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169,7</w:t>
            </w:r>
          </w:p>
        </w:tc>
      </w:tr>
      <w:tr w:rsidR="00C723DD" w:rsidRPr="00113EE0" w:rsidTr="00C723DD">
        <w:trPr>
          <w:cantSplit/>
        </w:trPr>
        <w:tc>
          <w:tcPr>
            <w:tcW w:w="5245" w:type="dxa"/>
            <w:tcBorders>
              <w:top w:val="single" w:sz="12" w:space="0" w:color="auto"/>
              <w:left w:val="double" w:sz="4" w:space="0" w:color="auto"/>
            </w:tcBorders>
          </w:tcPr>
          <w:p w:rsidR="00C723DD" w:rsidRPr="00113EE0" w:rsidRDefault="00C723DD" w:rsidP="00C723DD">
            <w:pPr>
              <w:ind w:left="639" w:hanging="639"/>
              <w:rPr>
                <w:rFonts w:asciiTheme="minorHAnsi" w:hAnsiTheme="minorHAnsi" w:cstheme="minorHAnsi"/>
                <w:sz w:val="18"/>
              </w:rPr>
            </w:pPr>
            <w:r w:rsidRPr="00113EE0">
              <w:rPr>
                <w:rFonts w:asciiTheme="minorHAnsi" w:hAnsiTheme="minorHAnsi" w:cstheme="minorHAnsi"/>
                <w:sz w:val="18"/>
              </w:rPr>
              <w:t xml:space="preserve">z toho - SÚPM - SVČ zřízená uchazeči o zaměstnání </w:t>
            </w:r>
          </w:p>
        </w:tc>
        <w:tc>
          <w:tcPr>
            <w:tcW w:w="1098" w:type="dxa"/>
            <w:tcBorders>
              <w:top w:val="single" w:sz="12"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99</w:t>
            </w:r>
          </w:p>
        </w:tc>
        <w:tc>
          <w:tcPr>
            <w:tcW w:w="1099" w:type="dxa"/>
            <w:tcBorders>
              <w:top w:val="single" w:sz="12"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92</w:t>
            </w:r>
          </w:p>
        </w:tc>
        <w:tc>
          <w:tcPr>
            <w:tcW w:w="1098" w:type="dxa"/>
            <w:tcBorders>
              <w:top w:val="single" w:sz="12"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-7</w:t>
            </w:r>
          </w:p>
        </w:tc>
        <w:tc>
          <w:tcPr>
            <w:tcW w:w="1099" w:type="dxa"/>
            <w:tcBorders>
              <w:top w:val="single" w:sz="12"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92,9</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zřízená zaměstnavateli</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w:t>
            </w:r>
          </w:p>
        </w:tc>
        <w:tc>
          <w:tcPr>
            <w:tcW w:w="1099"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3</w:t>
            </w:r>
          </w:p>
        </w:tc>
        <w:tc>
          <w:tcPr>
            <w:tcW w:w="1098"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w:t>
            </w:r>
          </w:p>
        </w:tc>
        <w:tc>
          <w:tcPr>
            <w:tcW w:w="1099"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300,0</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zaměstnavateli</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183</w:t>
            </w:r>
          </w:p>
        </w:tc>
        <w:tc>
          <w:tcPr>
            <w:tcW w:w="1099"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126</w:t>
            </w:r>
          </w:p>
        </w:tc>
        <w:tc>
          <w:tcPr>
            <w:tcW w:w="1098"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-57</w:t>
            </w:r>
          </w:p>
        </w:tc>
        <w:tc>
          <w:tcPr>
            <w:tcW w:w="1099"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68,9</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SÚPM vyhrazená - NIP ESF-OP LZZ</w:t>
            </w:r>
          </w:p>
        </w:tc>
        <w:tc>
          <w:tcPr>
            <w:tcW w:w="1098" w:type="dxa"/>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537</w:t>
            </w:r>
          </w:p>
        </w:tc>
        <w:tc>
          <w:tcPr>
            <w:tcW w:w="1099" w:type="dxa"/>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989</w:t>
            </w:r>
          </w:p>
        </w:tc>
        <w:tc>
          <w:tcPr>
            <w:tcW w:w="1098" w:type="dxa"/>
            <w:tcBorders>
              <w:top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+452</w:t>
            </w:r>
          </w:p>
        </w:tc>
        <w:tc>
          <w:tcPr>
            <w:tcW w:w="1099"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184,2</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w:t>
            </w:r>
          </w:p>
        </w:tc>
        <w:tc>
          <w:tcPr>
            <w:tcW w:w="1098" w:type="dxa"/>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35</w:t>
            </w:r>
          </w:p>
        </w:tc>
        <w:tc>
          <w:tcPr>
            <w:tcW w:w="1099" w:type="dxa"/>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20</w:t>
            </w:r>
          </w:p>
        </w:tc>
        <w:tc>
          <w:tcPr>
            <w:tcW w:w="1098" w:type="dxa"/>
            <w:tcBorders>
              <w:top w:val="single" w:sz="4"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-15</w:t>
            </w:r>
          </w:p>
        </w:tc>
        <w:tc>
          <w:tcPr>
            <w:tcW w:w="1099"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57,1</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veřejně prospěšné práce - NIP ESF-OP LZZ</w:t>
            </w:r>
          </w:p>
        </w:tc>
        <w:tc>
          <w:tcPr>
            <w:tcW w:w="1098" w:type="dxa"/>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331</w:t>
            </w:r>
          </w:p>
        </w:tc>
        <w:tc>
          <w:tcPr>
            <w:tcW w:w="1099" w:type="dxa"/>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463</w:t>
            </w:r>
          </w:p>
        </w:tc>
        <w:tc>
          <w:tcPr>
            <w:tcW w:w="1098" w:type="dxa"/>
            <w:tcBorders>
              <w:top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+132</w:t>
            </w:r>
          </w:p>
        </w:tc>
        <w:tc>
          <w:tcPr>
            <w:tcW w:w="1099" w:type="dxa"/>
            <w:tcBorders>
              <w:top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139,9</w:t>
            </w:r>
          </w:p>
        </w:tc>
      </w:tr>
      <w:tr w:rsidR="00C723DD" w:rsidRPr="00113EE0" w:rsidTr="00C723DD">
        <w:trPr>
          <w:cantSplit/>
        </w:trPr>
        <w:tc>
          <w:tcPr>
            <w:tcW w:w="5245" w:type="dxa"/>
            <w:tcBorders>
              <w:left w:val="doub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CHPM-SVČ osob se ZP</w:t>
            </w:r>
          </w:p>
        </w:tc>
        <w:tc>
          <w:tcPr>
            <w:tcW w:w="1098" w:type="dxa"/>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099" w:type="dxa"/>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8" w:type="dxa"/>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9" w:type="dxa"/>
            <w:tcBorders>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5245" w:type="dxa"/>
            <w:tcBorders>
              <w:left w:val="double" w:sz="4" w:space="0" w:color="auto"/>
              <w:bottom w:val="single" w:sz="4" w:space="0" w:color="auto"/>
            </w:tcBorders>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CHPM zřízená zaměstnavateli</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w:t>
            </w:r>
          </w:p>
        </w:tc>
        <w:tc>
          <w:tcPr>
            <w:tcW w:w="1099"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158</w:t>
            </w:r>
          </w:p>
        </w:tc>
        <w:tc>
          <w:tcPr>
            <w:tcW w:w="1098"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+151</w:t>
            </w:r>
          </w:p>
        </w:tc>
        <w:tc>
          <w:tcPr>
            <w:tcW w:w="1099"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2 257,1</w:t>
            </w:r>
          </w:p>
        </w:tc>
      </w:tr>
      <w:tr w:rsidR="00C723DD" w:rsidRPr="00113EE0" w:rsidTr="00C723DD">
        <w:trPr>
          <w:cantSplit/>
        </w:trPr>
        <w:tc>
          <w:tcPr>
            <w:tcW w:w="5245" w:type="dxa"/>
            <w:tcBorders>
              <w:left w:val="double" w:sz="4" w:space="0" w:color="auto"/>
              <w:bottom w:val="single" w:sz="4" w:space="0" w:color="auto"/>
            </w:tcBorders>
          </w:tcPr>
          <w:p w:rsidR="00C723DD" w:rsidRPr="006D2E00" w:rsidRDefault="00C723DD" w:rsidP="00C723DD">
            <w:pPr>
              <w:ind w:left="497"/>
              <w:rPr>
                <w:rFonts w:asciiTheme="minorHAnsi" w:hAnsiTheme="minorHAnsi" w:cstheme="minorHAnsi"/>
                <w:sz w:val="18"/>
              </w:rPr>
            </w:pPr>
            <w:r>
              <w:rPr>
                <w:rFonts w:asciiTheme="minorHAnsi" w:hAnsiTheme="minorHAnsi" w:cstheme="minorHAnsi"/>
                <w:sz w:val="18"/>
              </w:rPr>
              <w:t>- RIP ESF-OP LZZ (bez odbor. praxí)</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w:t>
            </w:r>
          </w:p>
        </w:tc>
        <w:tc>
          <w:tcPr>
            <w:tcW w:w="1099"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w:t>
            </w:r>
          </w:p>
        </w:tc>
        <w:tc>
          <w:tcPr>
            <w:tcW w:w="1098" w:type="dxa"/>
            <w:tcBorders>
              <w:bottom w:val="sing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-8</w:t>
            </w:r>
          </w:p>
        </w:tc>
        <w:tc>
          <w:tcPr>
            <w:tcW w:w="1099" w:type="dxa"/>
            <w:tcBorders>
              <w:bottom w:val="single" w:sz="4" w:space="0" w:color="auto"/>
              <w:right w:val="double" w:sz="4" w:space="0" w:color="auto"/>
            </w:tcBorders>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20,0</w:t>
            </w:r>
          </w:p>
        </w:tc>
      </w:tr>
      <w:tr w:rsidR="00C723DD" w:rsidRPr="00113EE0" w:rsidTr="00C723DD">
        <w:trPr>
          <w:cantSplit/>
        </w:trPr>
        <w:tc>
          <w:tcPr>
            <w:tcW w:w="5245" w:type="dxa"/>
            <w:tcBorders>
              <w:left w:val="double" w:sz="4" w:space="0" w:color="auto"/>
              <w:bottom w:val="single" w:sz="4" w:space="0" w:color="auto"/>
            </w:tcBorders>
          </w:tcPr>
          <w:p w:rsidR="00C723DD" w:rsidRPr="006D2E00" w:rsidRDefault="00C723DD" w:rsidP="00C723DD">
            <w:pPr>
              <w:ind w:left="639" w:hanging="142"/>
              <w:rPr>
                <w:rFonts w:asciiTheme="minorHAnsi" w:hAnsiTheme="minorHAnsi" w:cstheme="minorHAnsi"/>
                <w:sz w:val="18"/>
              </w:rPr>
            </w:pPr>
            <w:r>
              <w:rPr>
                <w:rFonts w:asciiTheme="minorHAnsi" w:hAnsiTheme="minorHAnsi" w:cstheme="minorHAnsi"/>
                <w:sz w:val="18"/>
              </w:rPr>
              <w:t>- RIP ESF-OP LZZ – Odborné praxe pro mladé do 30 let v Moravskoslezském kraji</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9"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189</w:t>
            </w:r>
          </w:p>
        </w:tc>
        <w:tc>
          <w:tcPr>
            <w:tcW w:w="1098" w:type="dxa"/>
            <w:tcBorders>
              <w:bottom w:val="single" w:sz="4" w:space="0" w:color="auto"/>
            </w:tcBorders>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+189</w:t>
            </w:r>
          </w:p>
        </w:tc>
        <w:tc>
          <w:tcPr>
            <w:tcW w:w="1099" w:type="dxa"/>
            <w:tcBorders>
              <w:bottom w:val="single" w:sz="4" w:space="0" w:color="auto"/>
              <w:right w:val="double" w:sz="4" w:space="0" w:color="auto"/>
            </w:tcBorders>
            <w:vAlign w:val="center"/>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5245" w:type="dxa"/>
            <w:tcBorders>
              <w:top w:val="double" w:sz="4" w:space="0" w:color="auto"/>
              <w:left w:val="double" w:sz="4" w:space="0" w:color="auto"/>
              <w:bottom w:val="single" w:sz="12" w:space="0" w:color="auto"/>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 xml:space="preserve">příspěvky poskytnuté v rámci APZ </w:t>
            </w:r>
          </w:p>
        </w:tc>
        <w:tc>
          <w:tcPr>
            <w:tcW w:w="1098" w:type="dxa"/>
            <w:tcBorders>
              <w:top w:val="double" w:sz="4" w:space="0" w:color="auto"/>
              <w:bottom w:val="single" w:sz="12" w:space="0" w:color="auto"/>
            </w:tcBorders>
            <w:shd w:val="clear" w:color="auto" w:fill="FFFFFF"/>
            <w:vAlign w:val="center"/>
          </w:tcPr>
          <w:p w:rsidR="00C723DD" w:rsidRPr="00113EE0" w:rsidRDefault="00C723DD" w:rsidP="00C723DD">
            <w:pPr>
              <w:jc w:val="center"/>
              <w:rPr>
                <w:rFonts w:asciiTheme="minorHAnsi" w:hAnsiTheme="minorHAnsi" w:cstheme="minorHAnsi"/>
                <w:b/>
                <w:bCs/>
                <w:sz w:val="18"/>
                <w:szCs w:val="18"/>
              </w:rPr>
            </w:pPr>
            <w:r w:rsidRPr="00113EE0">
              <w:rPr>
                <w:rFonts w:asciiTheme="minorHAnsi" w:hAnsiTheme="minorHAnsi" w:cstheme="minorHAnsi"/>
                <w:b/>
                <w:bCs/>
                <w:sz w:val="18"/>
                <w:szCs w:val="18"/>
              </w:rPr>
              <w:t>21</w:t>
            </w:r>
          </w:p>
        </w:tc>
        <w:tc>
          <w:tcPr>
            <w:tcW w:w="1099" w:type="dxa"/>
            <w:tcBorders>
              <w:top w:val="double" w:sz="4" w:space="0" w:color="auto"/>
              <w:bottom w:val="single" w:sz="12" w:space="0" w:color="auto"/>
            </w:tcBorders>
            <w:shd w:val="clear" w:color="auto" w:fill="FFFFFF"/>
            <w:vAlign w:val="center"/>
          </w:tcPr>
          <w:p w:rsidR="00C723DD" w:rsidRPr="00113EE0" w:rsidRDefault="00C723DD" w:rsidP="00C723DD">
            <w:pPr>
              <w:jc w:val="center"/>
              <w:rPr>
                <w:rFonts w:asciiTheme="minorHAnsi" w:hAnsiTheme="minorHAnsi" w:cstheme="minorHAnsi"/>
                <w:b/>
                <w:bCs/>
                <w:sz w:val="18"/>
                <w:szCs w:val="18"/>
              </w:rPr>
            </w:pPr>
            <w:r>
              <w:rPr>
                <w:rFonts w:asciiTheme="minorHAnsi" w:hAnsiTheme="minorHAnsi" w:cstheme="minorHAnsi"/>
                <w:b/>
                <w:bCs/>
                <w:sz w:val="18"/>
                <w:szCs w:val="18"/>
              </w:rPr>
              <w:t>17</w:t>
            </w:r>
          </w:p>
        </w:tc>
        <w:tc>
          <w:tcPr>
            <w:tcW w:w="1098" w:type="dxa"/>
            <w:tcBorders>
              <w:top w:val="double" w:sz="4" w:space="0" w:color="auto"/>
              <w:bottom w:val="single" w:sz="12" w:space="0" w:color="auto"/>
            </w:tcBorders>
            <w:shd w:val="clear" w:color="auto" w:fill="auto"/>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-4</w:t>
            </w:r>
          </w:p>
        </w:tc>
        <w:tc>
          <w:tcPr>
            <w:tcW w:w="1099" w:type="dxa"/>
            <w:tcBorders>
              <w:top w:val="double" w:sz="4" w:space="0" w:color="auto"/>
              <w:bottom w:val="single" w:sz="12"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b/>
                <w:sz w:val="18"/>
                <w:szCs w:val="18"/>
              </w:rPr>
            </w:pPr>
            <w:r>
              <w:rPr>
                <w:rFonts w:asciiTheme="minorHAnsi" w:hAnsiTheme="minorHAnsi" w:cstheme="minorHAnsi"/>
                <w:b/>
                <w:sz w:val="18"/>
                <w:szCs w:val="18"/>
              </w:rPr>
              <w:t>81,0,</w:t>
            </w:r>
          </w:p>
        </w:tc>
      </w:tr>
      <w:tr w:rsidR="00C723DD" w:rsidRPr="00113EE0" w:rsidTr="00C723DD">
        <w:trPr>
          <w:cantSplit/>
        </w:trPr>
        <w:tc>
          <w:tcPr>
            <w:tcW w:w="5245" w:type="dxa"/>
            <w:tcBorders>
              <w:top w:val="single" w:sz="12" w:space="0" w:color="auto"/>
              <w:left w:val="double" w:sz="4" w:space="0" w:color="auto"/>
              <w:bottom w:val="nil"/>
            </w:tcBorders>
          </w:tcPr>
          <w:p w:rsidR="00C723DD" w:rsidRPr="00113EE0" w:rsidRDefault="00C723DD" w:rsidP="00C723DD">
            <w:pPr>
              <w:ind w:left="110" w:hanging="142"/>
              <w:rPr>
                <w:rFonts w:asciiTheme="minorHAnsi" w:hAnsiTheme="minorHAnsi" w:cstheme="minorHAnsi"/>
                <w:sz w:val="18"/>
              </w:rPr>
            </w:pPr>
            <w:r w:rsidRPr="00113EE0">
              <w:rPr>
                <w:rFonts w:asciiTheme="minorHAnsi" w:hAnsiTheme="minorHAnsi" w:cstheme="minorHAnsi"/>
                <w:sz w:val="18"/>
              </w:rPr>
              <w:t>z toho - překlenovací příspěvek</w:t>
            </w:r>
          </w:p>
        </w:tc>
        <w:tc>
          <w:tcPr>
            <w:tcW w:w="1098" w:type="dxa"/>
            <w:tcBorders>
              <w:top w:val="single" w:sz="12" w:space="0" w:color="auto"/>
              <w:bottom w:val="single" w:sz="4" w:space="0" w:color="auto"/>
            </w:tcBorders>
            <w:shd w:val="clear" w:color="auto" w:fill="FFFFFF"/>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20</w:t>
            </w:r>
          </w:p>
        </w:tc>
        <w:tc>
          <w:tcPr>
            <w:tcW w:w="1099" w:type="dxa"/>
            <w:tcBorders>
              <w:top w:val="single" w:sz="12" w:space="0" w:color="auto"/>
              <w:bottom w:val="single" w:sz="4" w:space="0" w:color="auto"/>
            </w:tcBorders>
            <w:shd w:val="clear" w:color="auto" w:fill="FFFFFF"/>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17</w:t>
            </w:r>
          </w:p>
        </w:tc>
        <w:tc>
          <w:tcPr>
            <w:tcW w:w="1098" w:type="dxa"/>
            <w:tcBorders>
              <w:top w:val="single" w:sz="12"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-3</w:t>
            </w:r>
          </w:p>
        </w:tc>
        <w:tc>
          <w:tcPr>
            <w:tcW w:w="1099" w:type="dxa"/>
            <w:tcBorders>
              <w:top w:val="single" w:sz="12"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85,0</w:t>
            </w:r>
          </w:p>
        </w:tc>
      </w:tr>
      <w:tr w:rsidR="00C723DD" w:rsidRPr="00113EE0" w:rsidTr="00C723DD">
        <w:trPr>
          <w:cantSplit/>
        </w:trPr>
        <w:tc>
          <w:tcPr>
            <w:tcW w:w="5245" w:type="dxa"/>
            <w:tcBorders>
              <w:left w:val="double" w:sz="4" w:space="0" w:color="auto"/>
              <w:bottom w:val="nil"/>
            </w:tcBorders>
            <w:shd w:val="clear" w:color="auto" w:fill="auto"/>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zapracování</w:t>
            </w:r>
          </w:p>
        </w:tc>
        <w:tc>
          <w:tcPr>
            <w:tcW w:w="1098" w:type="dxa"/>
            <w:tcBorders>
              <w:bottom w:val="sing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0</w:t>
            </w:r>
          </w:p>
        </w:tc>
        <w:tc>
          <w:tcPr>
            <w:tcW w:w="1099" w:type="dxa"/>
            <w:tcBorders>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8" w:type="dxa"/>
            <w:tcBorders>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9"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w:t>
            </w:r>
          </w:p>
        </w:tc>
      </w:tr>
      <w:tr w:rsidR="00C723DD" w:rsidRPr="00113EE0" w:rsidTr="00C723DD">
        <w:trPr>
          <w:cantSplit/>
        </w:trPr>
        <w:tc>
          <w:tcPr>
            <w:tcW w:w="5245" w:type="dxa"/>
            <w:tcBorders>
              <w:left w:val="double" w:sz="4" w:space="0" w:color="auto"/>
              <w:bottom w:val="nil"/>
            </w:tcBorders>
            <w:shd w:val="clear" w:color="auto" w:fill="auto"/>
          </w:tcPr>
          <w:p w:rsidR="00C723DD" w:rsidRPr="00113EE0" w:rsidRDefault="00C723DD" w:rsidP="00C723DD">
            <w:pPr>
              <w:ind w:left="497"/>
              <w:rPr>
                <w:rFonts w:asciiTheme="minorHAnsi" w:hAnsiTheme="minorHAnsi" w:cstheme="minorHAnsi"/>
                <w:sz w:val="18"/>
              </w:rPr>
            </w:pPr>
            <w:r w:rsidRPr="00113EE0">
              <w:rPr>
                <w:rFonts w:asciiTheme="minorHAnsi" w:hAnsiTheme="minorHAnsi" w:cstheme="minorHAnsi"/>
                <w:sz w:val="18"/>
              </w:rPr>
              <w:t>- příspěvek na provoz CHPM a CHPM-SVČ</w:t>
            </w:r>
          </w:p>
        </w:tc>
        <w:tc>
          <w:tcPr>
            <w:tcW w:w="1098"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1</w:t>
            </w:r>
          </w:p>
        </w:tc>
        <w:tc>
          <w:tcPr>
            <w:tcW w:w="1099" w:type="dxa"/>
            <w:tcBorders>
              <w:top w:val="single" w:sz="4" w:space="0" w:color="auto"/>
              <w:bottom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0</w:t>
            </w:r>
          </w:p>
        </w:tc>
        <w:tc>
          <w:tcPr>
            <w:tcW w:w="1098" w:type="dxa"/>
            <w:tcBorders>
              <w:top w:val="single" w:sz="4" w:space="0" w:color="auto"/>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w:t>
            </w:r>
          </w:p>
        </w:tc>
        <w:tc>
          <w:tcPr>
            <w:tcW w:w="1099" w:type="dxa"/>
            <w:tcBorders>
              <w:top w:val="single" w:sz="4" w:space="0" w:color="auto"/>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0,0</w:t>
            </w:r>
          </w:p>
        </w:tc>
      </w:tr>
      <w:tr w:rsidR="00C723DD" w:rsidRPr="00113EE0" w:rsidTr="00C723DD">
        <w:trPr>
          <w:cantSplit/>
        </w:trPr>
        <w:tc>
          <w:tcPr>
            <w:tcW w:w="5245" w:type="dxa"/>
            <w:tcBorders>
              <w:top w:val="double" w:sz="4" w:space="0" w:color="auto"/>
              <w:left w:val="double" w:sz="4" w:space="0" w:color="auto"/>
            </w:tcBorders>
            <w:vAlign w:val="center"/>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zahájené rekvalifikační kurzy</w:t>
            </w:r>
            <w:r>
              <w:rPr>
                <w:rFonts w:asciiTheme="minorHAnsi" w:hAnsiTheme="minorHAnsi" w:cstheme="minorHAnsi"/>
                <w:sz w:val="18"/>
              </w:rPr>
              <w:t xml:space="preserve"> </w:t>
            </w:r>
            <w:r w:rsidRPr="00113EE0">
              <w:rPr>
                <w:rFonts w:asciiTheme="minorHAnsi" w:hAnsiTheme="minorHAnsi" w:cstheme="minorHAnsi"/>
                <w:sz w:val="18"/>
              </w:rPr>
              <w:t>(národní APZ + ESF)</w:t>
            </w:r>
          </w:p>
        </w:tc>
        <w:tc>
          <w:tcPr>
            <w:tcW w:w="1098" w:type="dxa"/>
            <w:tcBorders>
              <w:top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107</w:t>
            </w:r>
          </w:p>
        </w:tc>
        <w:tc>
          <w:tcPr>
            <w:tcW w:w="1099" w:type="dxa"/>
            <w:tcBorders>
              <w:top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106</w:t>
            </w:r>
          </w:p>
        </w:tc>
        <w:tc>
          <w:tcPr>
            <w:tcW w:w="1098" w:type="dxa"/>
            <w:tcBorders>
              <w:top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w:t>
            </w:r>
          </w:p>
        </w:tc>
        <w:tc>
          <w:tcPr>
            <w:tcW w:w="1099" w:type="dxa"/>
            <w:tcBorders>
              <w:top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99,1</w:t>
            </w:r>
          </w:p>
        </w:tc>
      </w:tr>
      <w:tr w:rsidR="00C723DD" w:rsidRPr="00113EE0" w:rsidTr="00C723DD">
        <w:trPr>
          <w:cantSplit/>
        </w:trPr>
        <w:tc>
          <w:tcPr>
            <w:tcW w:w="5245" w:type="dxa"/>
            <w:tcBorders>
              <w:left w:val="double" w:sz="4" w:space="0" w:color="auto"/>
              <w:bottom w:val="nil"/>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počet osob zařaz</w:t>
            </w:r>
            <w:r>
              <w:rPr>
                <w:rFonts w:asciiTheme="minorHAnsi" w:hAnsiTheme="minorHAnsi" w:cstheme="minorHAnsi"/>
                <w:sz w:val="18"/>
              </w:rPr>
              <w:t>ených</w:t>
            </w:r>
            <w:r w:rsidRPr="00113EE0">
              <w:rPr>
                <w:rFonts w:asciiTheme="minorHAnsi" w:hAnsiTheme="minorHAnsi" w:cstheme="minorHAnsi"/>
                <w:sz w:val="18"/>
              </w:rPr>
              <w:t xml:space="preserve"> do rekvalifikací (národní APZ + ESF)</w:t>
            </w:r>
          </w:p>
        </w:tc>
        <w:tc>
          <w:tcPr>
            <w:tcW w:w="1098" w:type="dxa"/>
            <w:tcBorders>
              <w:bottom w:val="nil"/>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799</w:t>
            </w:r>
          </w:p>
        </w:tc>
        <w:tc>
          <w:tcPr>
            <w:tcW w:w="1099" w:type="dxa"/>
            <w:tcBorders>
              <w:bottom w:val="nil"/>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693</w:t>
            </w:r>
          </w:p>
        </w:tc>
        <w:tc>
          <w:tcPr>
            <w:tcW w:w="1098" w:type="dxa"/>
            <w:tcBorders>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-106</w:t>
            </w:r>
          </w:p>
        </w:tc>
        <w:tc>
          <w:tcPr>
            <w:tcW w:w="1099" w:type="dxa"/>
            <w:tcBorders>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86,7</w:t>
            </w:r>
          </w:p>
        </w:tc>
      </w:tr>
      <w:tr w:rsidR="00C723DD" w:rsidRPr="00113EE0" w:rsidTr="00C723DD">
        <w:trPr>
          <w:cantSplit/>
        </w:trPr>
        <w:tc>
          <w:tcPr>
            <w:tcW w:w="5245"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 toho zájemců o zaměstnání</w:t>
            </w:r>
          </w:p>
        </w:tc>
        <w:tc>
          <w:tcPr>
            <w:tcW w:w="1098"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4</w:t>
            </w:r>
          </w:p>
        </w:tc>
        <w:tc>
          <w:tcPr>
            <w:tcW w:w="1099"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26</w:t>
            </w:r>
          </w:p>
        </w:tc>
        <w:tc>
          <w:tcPr>
            <w:tcW w:w="1098"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+22</w:t>
            </w:r>
          </w:p>
        </w:tc>
        <w:tc>
          <w:tcPr>
            <w:tcW w:w="1099"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650,0</w:t>
            </w:r>
          </w:p>
        </w:tc>
      </w:tr>
      <w:tr w:rsidR="00C723DD" w:rsidRPr="00113EE0" w:rsidTr="00C723DD">
        <w:trPr>
          <w:cantSplit/>
        </w:trPr>
        <w:tc>
          <w:tcPr>
            <w:tcW w:w="5245" w:type="dxa"/>
            <w:tcBorders>
              <w:top w:val="double" w:sz="4" w:space="0" w:color="auto"/>
              <w:left w:val="double" w:sz="4" w:space="0" w:color="auto"/>
              <w:bottom w:val="sing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národní APZ</w:t>
            </w:r>
          </w:p>
        </w:tc>
        <w:tc>
          <w:tcPr>
            <w:tcW w:w="1098" w:type="dxa"/>
            <w:tcBorders>
              <w:top w:val="double" w:sz="4" w:space="0" w:color="auto"/>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775</w:t>
            </w:r>
          </w:p>
        </w:tc>
        <w:tc>
          <w:tcPr>
            <w:tcW w:w="1099" w:type="dxa"/>
            <w:tcBorders>
              <w:top w:val="double" w:sz="4" w:space="0" w:color="auto"/>
              <w:bottom w:val="sing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480</w:t>
            </w:r>
          </w:p>
        </w:tc>
        <w:tc>
          <w:tcPr>
            <w:tcW w:w="1098" w:type="dxa"/>
            <w:tcBorders>
              <w:top w:val="double" w:sz="4" w:space="0" w:color="auto"/>
              <w:bottom w:val="sing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-295</w:t>
            </w:r>
          </w:p>
        </w:tc>
        <w:tc>
          <w:tcPr>
            <w:tcW w:w="1099" w:type="dxa"/>
            <w:tcBorders>
              <w:top w:val="double" w:sz="4" w:space="0" w:color="auto"/>
              <w:bottom w:val="sing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61,9</w:t>
            </w:r>
          </w:p>
        </w:tc>
      </w:tr>
      <w:tr w:rsidR="00C723DD" w:rsidRPr="00113EE0" w:rsidTr="00C723DD">
        <w:trPr>
          <w:cantSplit/>
        </w:trPr>
        <w:tc>
          <w:tcPr>
            <w:tcW w:w="5245"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osoby, které zahájily zvol. rekvalifikaci - NIP ESF-OP LZZ</w:t>
            </w:r>
          </w:p>
        </w:tc>
        <w:tc>
          <w:tcPr>
            <w:tcW w:w="1098" w:type="dxa"/>
            <w:tcBorders>
              <w:bottom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804</w:t>
            </w:r>
          </w:p>
        </w:tc>
        <w:tc>
          <w:tcPr>
            <w:tcW w:w="1099" w:type="dxa"/>
            <w:tcBorders>
              <w:bottom w:val="double" w:sz="4" w:space="0" w:color="auto"/>
            </w:tcBorders>
            <w:shd w:val="clear" w:color="auto" w:fill="auto"/>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1 001</w:t>
            </w:r>
          </w:p>
        </w:tc>
        <w:tc>
          <w:tcPr>
            <w:tcW w:w="1098"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+197</w:t>
            </w:r>
          </w:p>
        </w:tc>
        <w:tc>
          <w:tcPr>
            <w:tcW w:w="1099"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124,5</w:t>
            </w:r>
          </w:p>
        </w:tc>
      </w:tr>
      <w:tr w:rsidR="00C723DD" w:rsidRPr="00113EE0" w:rsidTr="00C723DD">
        <w:trPr>
          <w:cantSplit/>
        </w:trPr>
        <w:tc>
          <w:tcPr>
            <w:tcW w:w="5245" w:type="dxa"/>
            <w:tcBorders>
              <w:left w:val="double" w:sz="4" w:space="0" w:color="auto"/>
              <w:bottom w:val="double" w:sz="4" w:space="0" w:color="auto"/>
            </w:tcBorders>
          </w:tcPr>
          <w:p w:rsidR="00C723DD" w:rsidRPr="00113EE0" w:rsidRDefault="00C723DD" w:rsidP="00C723DD">
            <w:pPr>
              <w:rPr>
                <w:rFonts w:asciiTheme="minorHAnsi" w:hAnsiTheme="minorHAnsi" w:cstheme="minorHAnsi"/>
                <w:sz w:val="18"/>
              </w:rPr>
            </w:pPr>
            <w:r w:rsidRPr="00113EE0">
              <w:rPr>
                <w:rFonts w:asciiTheme="minorHAnsi" w:hAnsiTheme="minorHAnsi" w:cstheme="minorHAnsi"/>
                <w:sz w:val="18"/>
              </w:rPr>
              <w:t>zaměstnanci rekvalifikovaní s finančním příspěvkem ÚP</w:t>
            </w:r>
          </w:p>
        </w:tc>
        <w:tc>
          <w:tcPr>
            <w:tcW w:w="1098"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sidRPr="00113EE0">
              <w:rPr>
                <w:rFonts w:asciiTheme="minorHAnsi" w:hAnsiTheme="minorHAnsi" w:cstheme="minorHAnsi"/>
                <w:sz w:val="18"/>
                <w:szCs w:val="18"/>
              </w:rPr>
              <w:t>3</w:t>
            </w:r>
          </w:p>
        </w:tc>
        <w:tc>
          <w:tcPr>
            <w:tcW w:w="1099" w:type="dxa"/>
            <w:tcBorders>
              <w:bottom w:val="double" w:sz="4" w:space="0" w:color="auto"/>
            </w:tcBorders>
            <w:vAlign w:val="center"/>
          </w:tcPr>
          <w:p w:rsidR="00C723DD" w:rsidRPr="00113EE0" w:rsidRDefault="00C723DD" w:rsidP="00C723DD">
            <w:pPr>
              <w:jc w:val="center"/>
              <w:rPr>
                <w:rFonts w:asciiTheme="minorHAnsi" w:hAnsiTheme="minorHAnsi" w:cstheme="minorHAnsi"/>
                <w:sz w:val="18"/>
                <w:szCs w:val="18"/>
              </w:rPr>
            </w:pPr>
            <w:r>
              <w:rPr>
                <w:rFonts w:asciiTheme="minorHAnsi" w:hAnsiTheme="minorHAnsi" w:cstheme="minorHAnsi"/>
                <w:sz w:val="18"/>
                <w:szCs w:val="18"/>
              </w:rPr>
              <w:t>44</w:t>
            </w:r>
          </w:p>
        </w:tc>
        <w:tc>
          <w:tcPr>
            <w:tcW w:w="1098" w:type="dxa"/>
            <w:tcBorders>
              <w:bottom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+41</w:t>
            </w:r>
          </w:p>
        </w:tc>
        <w:tc>
          <w:tcPr>
            <w:tcW w:w="1099" w:type="dxa"/>
            <w:tcBorders>
              <w:bottom w:val="double" w:sz="4" w:space="0" w:color="auto"/>
              <w:right w:val="double" w:sz="4" w:space="0" w:color="auto"/>
            </w:tcBorders>
            <w:shd w:val="clear" w:color="auto" w:fill="auto"/>
          </w:tcPr>
          <w:p w:rsidR="00C723DD" w:rsidRPr="00D91C5B" w:rsidRDefault="00C723DD" w:rsidP="00C723DD">
            <w:pPr>
              <w:jc w:val="center"/>
              <w:rPr>
                <w:rFonts w:asciiTheme="minorHAnsi" w:hAnsiTheme="minorHAnsi" w:cstheme="minorHAnsi"/>
                <w:sz w:val="18"/>
                <w:szCs w:val="18"/>
              </w:rPr>
            </w:pPr>
            <w:r>
              <w:rPr>
                <w:rFonts w:asciiTheme="minorHAnsi" w:hAnsiTheme="minorHAnsi" w:cstheme="minorHAnsi"/>
                <w:sz w:val="18"/>
                <w:szCs w:val="18"/>
              </w:rPr>
              <w:t>1 466,7</w:t>
            </w:r>
          </w:p>
        </w:tc>
      </w:tr>
    </w:tbl>
    <w:p w:rsidR="00C723DD" w:rsidRPr="00113EE0" w:rsidRDefault="00C723DD" w:rsidP="00C723DD">
      <w:pPr>
        <w:rPr>
          <w:rFonts w:asciiTheme="minorHAnsi" w:hAnsiTheme="minorHAnsi" w:cstheme="minorHAnsi"/>
        </w:rPr>
      </w:pPr>
    </w:p>
    <w:p w:rsidR="00C723DD" w:rsidRPr="00113EE0" w:rsidRDefault="00C723DD" w:rsidP="00C723DD">
      <w:pPr>
        <w:tabs>
          <w:tab w:val="left" w:pos="2268"/>
        </w:tabs>
        <w:ind w:right="-567"/>
        <w:jc w:val="both"/>
        <w:rPr>
          <w:rFonts w:asciiTheme="minorHAnsi" w:hAnsiTheme="minorHAnsi" w:cstheme="minorHAnsi"/>
          <w:b/>
          <w:i/>
          <w:sz w:val="22"/>
        </w:rPr>
      </w:pPr>
      <w:r w:rsidRPr="00113EE0">
        <w:rPr>
          <w:rFonts w:asciiTheme="minorHAnsi" w:hAnsiTheme="minorHAnsi" w:cstheme="minorHAnsi"/>
          <w:b/>
          <w:sz w:val="22"/>
        </w:rPr>
        <w:t>7. Prognóza vývoje trhu práce do konce roku 201</w:t>
      </w:r>
      <w:r>
        <w:rPr>
          <w:rFonts w:asciiTheme="minorHAnsi" w:hAnsiTheme="minorHAnsi" w:cstheme="minorHAnsi"/>
          <w:b/>
          <w:sz w:val="22"/>
        </w:rPr>
        <w:t>5</w:t>
      </w:r>
    </w:p>
    <w:tbl>
      <w:tblPr>
        <w:tblW w:w="9631"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805"/>
        <w:gridCol w:w="1805"/>
        <w:gridCol w:w="1805"/>
        <w:gridCol w:w="1806"/>
      </w:tblGrid>
      <w:tr w:rsidR="00C723DD" w:rsidRPr="00113EE0" w:rsidTr="00C723DD">
        <w:trPr>
          <w:cantSplit/>
          <w:trHeight w:val="193"/>
        </w:trPr>
        <w:tc>
          <w:tcPr>
            <w:tcW w:w="2410" w:type="dxa"/>
            <w:vMerge w:val="restart"/>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očekávaný stav k</w:t>
            </w:r>
          </w:p>
        </w:tc>
        <w:tc>
          <w:tcPr>
            <w:tcW w:w="3610"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lepší vývoj</w:t>
            </w:r>
          </w:p>
        </w:tc>
        <w:tc>
          <w:tcPr>
            <w:tcW w:w="3611" w:type="dxa"/>
            <w:gridSpan w:val="2"/>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horší vývoj</w:t>
            </w:r>
          </w:p>
        </w:tc>
      </w:tr>
      <w:tr w:rsidR="00C723DD" w:rsidRPr="00113EE0" w:rsidTr="00C723DD">
        <w:trPr>
          <w:cantSplit/>
          <w:trHeight w:val="526"/>
        </w:trPr>
        <w:tc>
          <w:tcPr>
            <w:tcW w:w="2410" w:type="dxa"/>
            <w:vMerge/>
            <w:tcBorders>
              <w:bottom w:val="double" w:sz="4" w:space="0" w:color="auto"/>
            </w:tcBorders>
          </w:tcPr>
          <w:p w:rsidR="00C723DD" w:rsidRPr="00113EE0" w:rsidRDefault="00C723DD" w:rsidP="00C723DD">
            <w:pPr>
              <w:pStyle w:val="Texttabulky"/>
              <w:jc w:val="center"/>
              <w:rPr>
                <w:rFonts w:asciiTheme="minorHAnsi" w:hAnsiTheme="minorHAnsi" w:cstheme="minorHAnsi"/>
                <w:b/>
                <w:bCs/>
                <w:i/>
                <w:iCs/>
                <w:color w:val="auto"/>
                <w:sz w:val="18"/>
              </w:rPr>
            </w:pPr>
          </w:p>
        </w:tc>
        <w:tc>
          <w:tcPr>
            <w:tcW w:w="1805"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805"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c>
          <w:tcPr>
            <w:tcW w:w="1805" w:type="dxa"/>
            <w:tcBorders>
              <w:bottom w:val="double" w:sz="4" w:space="0" w:color="auto"/>
            </w:tcBorders>
            <w:vAlign w:val="center"/>
          </w:tcPr>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počet</w:t>
            </w:r>
          </w:p>
          <w:p w:rsidR="00C723DD" w:rsidRPr="00113EE0" w:rsidRDefault="00C723DD" w:rsidP="00C723DD">
            <w:pPr>
              <w:pStyle w:val="Texttabulky"/>
              <w:jc w:val="center"/>
              <w:rPr>
                <w:rFonts w:asciiTheme="minorHAnsi" w:hAnsiTheme="minorHAnsi" w:cstheme="minorHAnsi"/>
                <w:b/>
                <w:bCs/>
                <w:i/>
                <w:iCs/>
                <w:color w:val="auto"/>
                <w:sz w:val="18"/>
              </w:rPr>
            </w:pPr>
            <w:r w:rsidRPr="00113EE0">
              <w:rPr>
                <w:rFonts w:asciiTheme="minorHAnsi" w:hAnsiTheme="minorHAnsi" w:cstheme="minorHAnsi"/>
                <w:b/>
                <w:bCs/>
                <w:i/>
                <w:iCs/>
                <w:color w:val="auto"/>
                <w:sz w:val="18"/>
              </w:rPr>
              <w:t>evidovaných uchazečů</w:t>
            </w:r>
          </w:p>
        </w:tc>
        <w:tc>
          <w:tcPr>
            <w:tcW w:w="1806" w:type="dxa"/>
            <w:tcBorders>
              <w:bottom w:val="double" w:sz="4" w:space="0" w:color="auto"/>
            </w:tcBorders>
            <w:vAlign w:val="center"/>
          </w:tcPr>
          <w:p w:rsidR="00C723DD" w:rsidRPr="00113EE0" w:rsidRDefault="00C723DD" w:rsidP="00C723DD">
            <w:pPr>
              <w:jc w:val="center"/>
              <w:rPr>
                <w:rFonts w:asciiTheme="minorHAnsi" w:hAnsiTheme="minorHAnsi" w:cstheme="minorHAnsi"/>
                <w:b/>
                <w:bCs/>
                <w:i/>
                <w:iCs/>
                <w:sz w:val="18"/>
              </w:rPr>
            </w:pPr>
            <w:r w:rsidRPr="00113EE0">
              <w:rPr>
                <w:rFonts w:asciiTheme="minorHAnsi" w:hAnsiTheme="minorHAnsi" w:cstheme="minorHAnsi"/>
                <w:b/>
                <w:bCs/>
                <w:i/>
                <w:iCs/>
                <w:sz w:val="18"/>
              </w:rPr>
              <w:t>podíl nezaměstnaných osob v %</w:t>
            </w:r>
          </w:p>
        </w:tc>
      </w:tr>
      <w:tr w:rsidR="00C723DD" w:rsidRPr="00113EE0" w:rsidTr="00C723DD">
        <w:trPr>
          <w:cantSplit/>
          <w:trHeight w:val="20"/>
        </w:trPr>
        <w:tc>
          <w:tcPr>
            <w:tcW w:w="2410" w:type="dxa"/>
            <w:tcBorders>
              <w:top w:val="double" w:sz="4" w:space="0" w:color="auto"/>
              <w:bottom w:val="single" w:sz="4" w:space="0" w:color="auto"/>
            </w:tcBorders>
            <w:vAlign w:val="center"/>
          </w:tcPr>
          <w:p w:rsidR="00C723DD" w:rsidRPr="00113EE0" w:rsidRDefault="00C723DD" w:rsidP="00C723DD">
            <w:pPr>
              <w:pStyle w:val="Nadpis2"/>
              <w:ind w:firstLine="0"/>
              <w:jc w:val="left"/>
              <w:rPr>
                <w:rFonts w:asciiTheme="minorHAnsi" w:hAnsiTheme="minorHAnsi" w:cstheme="minorHAnsi"/>
                <w:sz w:val="18"/>
              </w:rPr>
            </w:pPr>
            <w:r w:rsidRPr="00113EE0">
              <w:rPr>
                <w:rFonts w:asciiTheme="minorHAnsi" w:hAnsiTheme="minorHAnsi" w:cstheme="minorHAnsi"/>
                <w:sz w:val="18"/>
              </w:rPr>
              <w:t>30.06.201</w:t>
            </w:r>
            <w:r>
              <w:rPr>
                <w:rFonts w:asciiTheme="minorHAnsi" w:hAnsiTheme="minorHAnsi" w:cstheme="minorHAnsi"/>
                <w:sz w:val="18"/>
              </w:rPr>
              <w:t>5</w:t>
            </w:r>
          </w:p>
        </w:tc>
        <w:tc>
          <w:tcPr>
            <w:tcW w:w="180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24 000</w:t>
            </w:r>
          </w:p>
        </w:tc>
        <w:tc>
          <w:tcPr>
            <w:tcW w:w="180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10,7</w:t>
            </w:r>
          </w:p>
        </w:tc>
        <w:tc>
          <w:tcPr>
            <w:tcW w:w="1805"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25 100</w:t>
            </w:r>
          </w:p>
        </w:tc>
        <w:tc>
          <w:tcPr>
            <w:tcW w:w="1806" w:type="dxa"/>
            <w:tcBorders>
              <w:top w:val="double" w:sz="4" w:space="0" w:color="auto"/>
              <w:bottom w:val="sing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11,2</w:t>
            </w:r>
          </w:p>
        </w:tc>
      </w:tr>
      <w:tr w:rsidR="00C723DD" w:rsidRPr="00113EE0" w:rsidTr="00C723DD">
        <w:trPr>
          <w:cantSplit/>
          <w:trHeight w:val="20"/>
        </w:trPr>
        <w:tc>
          <w:tcPr>
            <w:tcW w:w="2410" w:type="dxa"/>
            <w:tcBorders>
              <w:top w:val="single" w:sz="4" w:space="0" w:color="auto"/>
              <w:bottom w:val="double" w:sz="4" w:space="0" w:color="auto"/>
            </w:tcBorders>
            <w:vAlign w:val="center"/>
          </w:tcPr>
          <w:p w:rsidR="00C723DD" w:rsidRPr="00113EE0" w:rsidRDefault="00C723DD" w:rsidP="00C723DD">
            <w:pPr>
              <w:pStyle w:val="Nadpis2"/>
              <w:ind w:firstLine="0"/>
              <w:jc w:val="left"/>
              <w:rPr>
                <w:rFonts w:asciiTheme="minorHAnsi" w:hAnsiTheme="minorHAnsi" w:cstheme="minorHAnsi"/>
                <w:sz w:val="18"/>
              </w:rPr>
            </w:pPr>
            <w:r w:rsidRPr="00113EE0">
              <w:rPr>
                <w:rFonts w:asciiTheme="minorHAnsi" w:hAnsiTheme="minorHAnsi" w:cstheme="minorHAnsi"/>
                <w:sz w:val="18"/>
              </w:rPr>
              <w:t>31.12.201</w:t>
            </w:r>
            <w:r>
              <w:rPr>
                <w:rFonts w:asciiTheme="minorHAnsi" w:hAnsiTheme="minorHAnsi" w:cstheme="minorHAnsi"/>
                <w:sz w:val="18"/>
              </w:rPr>
              <w:t>5</w:t>
            </w:r>
          </w:p>
        </w:tc>
        <w:tc>
          <w:tcPr>
            <w:tcW w:w="1805"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24 500</w:t>
            </w:r>
          </w:p>
        </w:tc>
        <w:tc>
          <w:tcPr>
            <w:tcW w:w="1805"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11,0</w:t>
            </w:r>
          </w:p>
        </w:tc>
        <w:tc>
          <w:tcPr>
            <w:tcW w:w="1805"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25 700</w:t>
            </w:r>
          </w:p>
        </w:tc>
        <w:tc>
          <w:tcPr>
            <w:tcW w:w="1806" w:type="dxa"/>
            <w:tcBorders>
              <w:top w:val="single" w:sz="4" w:space="0" w:color="auto"/>
              <w:bottom w:val="double" w:sz="4" w:space="0" w:color="auto"/>
            </w:tcBorders>
            <w:vAlign w:val="center"/>
          </w:tcPr>
          <w:p w:rsidR="00C723DD" w:rsidRPr="00113EE0" w:rsidRDefault="00C723DD" w:rsidP="00C723DD">
            <w:pPr>
              <w:jc w:val="center"/>
              <w:rPr>
                <w:rFonts w:asciiTheme="minorHAnsi" w:hAnsiTheme="minorHAnsi" w:cstheme="minorHAnsi"/>
                <w:sz w:val="18"/>
              </w:rPr>
            </w:pPr>
            <w:r>
              <w:rPr>
                <w:rFonts w:asciiTheme="minorHAnsi" w:hAnsiTheme="minorHAnsi" w:cstheme="minorHAnsi"/>
                <w:sz w:val="18"/>
              </w:rPr>
              <w:t>11,5</w:t>
            </w:r>
          </w:p>
        </w:tc>
      </w:tr>
    </w:tbl>
    <w:p w:rsidR="00C723DD" w:rsidRPr="00113EE0" w:rsidRDefault="00C723DD" w:rsidP="00C723DD">
      <w:pPr>
        <w:jc w:val="both"/>
        <w:rPr>
          <w:rFonts w:asciiTheme="minorHAnsi" w:hAnsiTheme="minorHAnsi" w:cstheme="minorHAnsi"/>
          <w:b/>
          <w:sz w:val="28"/>
          <w:szCs w:val="28"/>
        </w:rPr>
      </w:pPr>
      <w:r w:rsidRPr="00113EE0">
        <w:rPr>
          <w:rFonts w:asciiTheme="minorHAnsi" w:hAnsiTheme="minorHAnsi" w:cstheme="minorHAnsi"/>
          <w:sz w:val="24"/>
          <w:szCs w:val="24"/>
        </w:rPr>
        <w:br w:type="page"/>
        <w:t xml:space="preserve"> </w:t>
      </w:r>
      <w:r w:rsidRPr="00113EE0">
        <w:rPr>
          <w:rFonts w:asciiTheme="minorHAnsi" w:hAnsiTheme="minorHAnsi" w:cstheme="minorHAnsi"/>
          <w:b/>
          <w:sz w:val="28"/>
          <w:szCs w:val="28"/>
        </w:rPr>
        <w:t>SEZNAM  POUŽITÝCH  ZKRATEK</w:t>
      </w:r>
    </w:p>
    <w:p w:rsidR="00C723DD" w:rsidRPr="00113EE0" w:rsidRDefault="00C723DD" w:rsidP="00C723DD">
      <w:pPr>
        <w:pStyle w:val="Zkladntext"/>
        <w:rPr>
          <w:rFonts w:asciiTheme="minorHAnsi" w:hAnsiTheme="minorHAnsi" w:cstheme="minorHAnsi"/>
        </w:rPr>
      </w:pPr>
    </w:p>
    <w:tbl>
      <w:tblPr>
        <w:tblW w:w="9170" w:type="dxa"/>
        <w:tblInd w:w="55" w:type="dxa"/>
        <w:tblCellMar>
          <w:left w:w="70" w:type="dxa"/>
          <w:right w:w="70" w:type="dxa"/>
        </w:tblCellMar>
        <w:tblLook w:val="0000" w:firstRow="0" w:lastRow="0" w:firstColumn="0" w:lastColumn="0" w:noHBand="0" w:noVBand="0"/>
      </w:tblPr>
      <w:tblGrid>
        <w:gridCol w:w="1815"/>
        <w:gridCol w:w="7355"/>
      </w:tblGrid>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APZ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aktivní politika zaměstnanosti</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CZ-ISCO</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klasifikace zaměstnání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ČR</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Česká republika</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ČSSZ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Česká správa sociálního zabezpečení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ČSÚ</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Český statistický úřad</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DE VPM</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dlouhodobě evidovaná volná pracovní místa</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DPH</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daň z přidané hodnoty</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EHP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 xml:space="preserve">Evropský hospodářský prostor (Island, Norsko, Lichtenštejnsko) </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ESF</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Evropský sociální fond</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EU</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Evropská unie</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EURES</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Evropské služby zaměstnanosti</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GŘ</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generální ředitelství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HDP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hrubý domácí produkt</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CHPM</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chráněné pracovní místo</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CHPD</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chráněná pracovní dílna</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IPS</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Informační a poradenské středisko pro volbu a změnu povolání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KoP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kontaktní pracoviště</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KrP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krajská pobočka</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MF</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 xml:space="preserve">ministerstvo financí </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MPSV</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 xml:space="preserve">ministerstvo práce a sociálních věcí </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MSK</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Moravskoslezský kraj</w:t>
            </w:r>
          </w:p>
        </w:tc>
      </w:tr>
      <w:tr w:rsidR="00C723DD" w:rsidRPr="00113EE0" w:rsidTr="00C723DD">
        <w:trPr>
          <w:trHeight w:val="315"/>
        </w:trPr>
        <w:tc>
          <w:tcPr>
            <w:tcW w:w="1815" w:type="dxa"/>
            <w:tcBorders>
              <w:top w:val="nil"/>
              <w:left w:val="nil"/>
              <w:bottom w:val="nil"/>
              <w:right w:val="nil"/>
            </w:tcBorders>
            <w:shd w:val="clear" w:color="auto" w:fill="auto"/>
            <w:noWrap/>
            <w:vAlign w:val="center"/>
          </w:tcPr>
          <w:p w:rsidR="00C723DD" w:rsidRPr="00113EE0" w:rsidRDefault="00C723DD" w:rsidP="00C723DD">
            <w:pPr>
              <w:rPr>
                <w:rFonts w:asciiTheme="minorHAnsi" w:hAnsiTheme="minorHAnsi" w:cstheme="minorHAnsi"/>
                <w:sz w:val="24"/>
                <w:szCs w:val="24"/>
              </w:rPr>
            </w:pPr>
            <w:r>
              <w:rPr>
                <w:rFonts w:asciiTheme="minorHAnsi" w:hAnsiTheme="minorHAnsi" w:cstheme="minorHAnsi"/>
                <w:sz w:val="24"/>
                <w:szCs w:val="24"/>
              </w:rPr>
              <w:t>mzdy vč. pojištění</w:t>
            </w:r>
          </w:p>
        </w:tc>
        <w:tc>
          <w:tcPr>
            <w:tcW w:w="7355" w:type="dxa"/>
            <w:tcBorders>
              <w:top w:val="nil"/>
              <w:left w:val="nil"/>
              <w:bottom w:val="nil"/>
              <w:right w:val="nil"/>
            </w:tcBorders>
            <w:shd w:val="clear" w:color="auto" w:fill="auto"/>
            <w:noWrap/>
          </w:tcPr>
          <w:p w:rsidR="00C723DD" w:rsidRDefault="00C723DD" w:rsidP="00C723DD">
            <w:pPr>
              <w:rPr>
                <w:rFonts w:asciiTheme="minorHAnsi" w:hAnsiTheme="minorHAnsi" w:cstheme="minorHAnsi"/>
                <w:sz w:val="24"/>
                <w:szCs w:val="24"/>
              </w:rPr>
            </w:pPr>
            <w:r>
              <w:rPr>
                <w:rFonts w:asciiTheme="minorHAnsi" w:hAnsiTheme="minorHAnsi" w:cstheme="minorHAnsi"/>
                <w:sz w:val="24"/>
                <w:szCs w:val="24"/>
              </w:rPr>
              <w:t xml:space="preserve">Mzdy nebo platy na zaměstnance, včetně pojistného na sociální zabezpečení, příspěvku na státní politiky zaměstnanosti a pojistného </w:t>
            </w:r>
          </w:p>
          <w:p w:rsidR="00C723DD" w:rsidRPr="00113EE0" w:rsidRDefault="00C723DD" w:rsidP="00C723DD">
            <w:pPr>
              <w:rPr>
                <w:rFonts w:asciiTheme="minorHAnsi" w:hAnsiTheme="minorHAnsi" w:cstheme="minorHAnsi"/>
                <w:sz w:val="24"/>
                <w:szCs w:val="24"/>
              </w:rPr>
            </w:pPr>
            <w:r>
              <w:rPr>
                <w:rFonts w:asciiTheme="minorHAnsi" w:hAnsiTheme="minorHAnsi" w:cstheme="minorHAnsi"/>
                <w:sz w:val="24"/>
                <w:szCs w:val="24"/>
              </w:rPr>
              <w:t xml:space="preserve">na veřejné zdravotní pojištění odvedené zaměstnavatelem </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NI</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normativní instrukce</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NIP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národní individuální projekt</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OP LZZ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Operační program Lidské zdroje a zaměstnanost</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OSSZ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Okresní správa sociálního zabezpečení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OSVČ</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osoba samostatně výdělečně činná</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OZP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osoba se zdravotním postižením</w:t>
            </w:r>
          </w:p>
        </w:tc>
      </w:tr>
      <w:tr w:rsidR="00C723DD" w:rsidRPr="00113EE0" w:rsidTr="00C723DD">
        <w:trPr>
          <w:trHeight w:val="315"/>
        </w:trPr>
        <w:tc>
          <w:tcPr>
            <w:tcW w:w="1815" w:type="dxa"/>
            <w:tcBorders>
              <w:top w:val="nil"/>
              <w:left w:val="nil"/>
              <w:bottom w:val="nil"/>
              <w:right w:val="nil"/>
            </w:tcBorders>
            <w:shd w:val="clear" w:color="auto" w:fill="auto"/>
            <w:noWrap/>
          </w:tcPr>
          <w:p w:rsidR="00C723DD" w:rsidRPr="00113EE0" w:rsidRDefault="00C723DD" w:rsidP="00C723DD">
            <w:pPr>
              <w:rPr>
                <w:rFonts w:asciiTheme="minorHAnsi" w:hAnsiTheme="minorHAnsi" w:cstheme="minorHAnsi"/>
                <w:sz w:val="24"/>
                <w:szCs w:val="24"/>
              </w:rPr>
            </w:pPr>
            <w:r>
              <w:rPr>
                <w:rFonts w:asciiTheme="minorHAnsi" w:hAnsiTheme="minorHAnsi" w:cstheme="minorHAnsi"/>
                <w:sz w:val="24"/>
                <w:szCs w:val="24"/>
              </w:rPr>
              <w:t>POVEZ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Pr>
                <w:rFonts w:asciiTheme="minorHAnsi" w:hAnsiTheme="minorHAnsi" w:cstheme="minorHAnsi"/>
                <w:sz w:val="24"/>
                <w:szCs w:val="24"/>
              </w:rPr>
              <w:t>Podpora odborného vzdělávání zaměstnanců</w:t>
            </w:r>
          </w:p>
        </w:tc>
      </w:tr>
      <w:tr w:rsidR="00C723DD" w:rsidRPr="00113EE0" w:rsidTr="00C723DD">
        <w:trPr>
          <w:trHeight w:val="315"/>
        </w:trPr>
        <w:tc>
          <w:tcPr>
            <w:tcW w:w="1815" w:type="dxa"/>
            <w:tcBorders>
              <w:top w:val="nil"/>
              <w:left w:val="nil"/>
              <w:bottom w:val="nil"/>
              <w:right w:val="nil"/>
            </w:tcBorders>
            <w:shd w:val="clear" w:color="auto" w:fill="auto"/>
            <w:noWrap/>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RIP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regionální individuální projekt</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SÚPM</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společensky účelné pracovní místo</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SVČ</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 xml:space="preserve">samostatně výdělečná činnost </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UoZ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uchazeč o zaměstnání</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ÚP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úřad práce</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VPM</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volné pracovní místo</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VPP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veřejně prospěšné práce</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VS</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veřejná služba</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VZV</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vysokozdvižný vozík</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ZoZ</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zákon o zaměstnanosti</w:t>
            </w:r>
          </w:p>
        </w:tc>
      </w:tr>
      <w:tr w:rsidR="00C723DD" w:rsidRPr="00113EE0" w:rsidTr="00C723DD">
        <w:trPr>
          <w:trHeight w:val="315"/>
        </w:trPr>
        <w:tc>
          <w:tcPr>
            <w:tcW w:w="181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ZP</w:t>
            </w:r>
          </w:p>
        </w:tc>
        <w:tc>
          <w:tcPr>
            <w:tcW w:w="7355" w:type="dxa"/>
            <w:tcBorders>
              <w:top w:val="nil"/>
              <w:left w:val="nil"/>
              <w:bottom w:val="nil"/>
              <w:right w:val="nil"/>
            </w:tcBorders>
            <w:shd w:val="clear" w:color="auto" w:fill="auto"/>
            <w:noWrap/>
            <w:vAlign w:val="bottom"/>
          </w:tcPr>
          <w:p w:rsidR="00C723DD" w:rsidRPr="00113EE0" w:rsidRDefault="00C723DD" w:rsidP="00C723DD">
            <w:pPr>
              <w:rPr>
                <w:rFonts w:asciiTheme="minorHAnsi" w:hAnsiTheme="minorHAnsi" w:cstheme="minorHAnsi"/>
                <w:sz w:val="24"/>
                <w:szCs w:val="24"/>
              </w:rPr>
            </w:pPr>
            <w:r w:rsidRPr="00113EE0">
              <w:rPr>
                <w:rFonts w:asciiTheme="minorHAnsi" w:hAnsiTheme="minorHAnsi" w:cstheme="minorHAnsi"/>
                <w:sz w:val="24"/>
                <w:szCs w:val="24"/>
              </w:rPr>
              <w:t>zdravotní postižení</w:t>
            </w:r>
          </w:p>
        </w:tc>
      </w:tr>
    </w:tbl>
    <w:p w:rsidR="006C0C2A" w:rsidRPr="00BF3B12" w:rsidRDefault="006C0C2A" w:rsidP="00963147">
      <w:pPr>
        <w:rPr>
          <w:rFonts w:asciiTheme="minorHAnsi" w:hAnsiTheme="minorHAnsi" w:cstheme="minorHAnsi"/>
          <w:sz w:val="24"/>
          <w:szCs w:val="24"/>
        </w:rPr>
      </w:pPr>
    </w:p>
    <w:sectPr w:rsidR="006C0C2A" w:rsidRPr="00BF3B12" w:rsidSect="0009299C">
      <w:headerReference w:type="default" r:id="rId30"/>
      <w:footerReference w:type="default" r:id="rId31"/>
      <w:pgSz w:w="11906" w:h="16838" w:code="9"/>
      <w:pgMar w:top="1179" w:right="1134" w:bottom="1247" w:left="1418" w:header="567" w:footer="56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17C" w:rsidRDefault="00F4517C">
      <w:r>
        <w:separator/>
      </w:r>
    </w:p>
  </w:endnote>
  <w:endnote w:type="continuationSeparator" w:id="0">
    <w:p w:rsidR="00F4517C" w:rsidRDefault="00F4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CE">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D" w:rsidRDefault="0077022E">
    <w:pPr>
      <w:pStyle w:val="Zpat"/>
      <w:framePr w:wrap="around" w:vAnchor="text" w:hAnchor="margin" w:xAlign="right" w:y="1"/>
      <w:rPr>
        <w:rStyle w:val="slostrnky"/>
      </w:rPr>
    </w:pPr>
    <w:r>
      <w:rPr>
        <w:rStyle w:val="slostrnky"/>
      </w:rPr>
      <w:fldChar w:fldCharType="begin"/>
    </w:r>
    <w:r w:rsidR="00C723DD">
      <w:rPr>
        <w:rStyle w:val="slostrnky"/>
      </w:rPr>
      <w:instrText xml:space="preserve">PAGE  </w:instrText>
    </w:r>
    <w:r>
      <w:rPr>
        <w:rStyle w:val="slostrnky"/>
      </w:rPr>
      <w:fldChar w:fldCharType="end"/>
    </w:r>
  </w:p>
  <w:p w:rsidR="00C723DD" w:rsidRDefault="00C723DD">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D" w:rsidRDefault="00C723DD">
    <w:pPr>
      <w:pStyle w:val="Zpat"/>
      <w:rPr>
        <w:i/>
        <w:iCs/>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D" w:rsidRPr="00BA0EF9" w:rsidRDefault="00C54490" w:rsidP="00342589">
    <w:pPr>
      <w:pStyle w:val="Zpat"/>
      <w:ind w:right="360"/>
      <w:rPr>
        <w:rFonts w:asciiTheme="minorHAnsi" w:hAnsiTheme="minorHAnsi" w:cstheme="minorHAnsi"/>
        <w:sz w:val="16"/>
      </w:rPr>
    </w:pPr>
    <w:r>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-48895</wp:posOffset>
              </wp:positionH>
              <wp:positionV relativeFrom="paragraph">
                <wp:posOffset>76835</wp:posOffset>
              </wp:positionV>
              <wp:extent cx="6057900" cy="0"/>
              <wp:effectExtent l="8255" t="10160" r="10795" b="889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05pt" to="473.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jR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"/>
          </w:pict>
        </mc:Fallback>
      </mc:AlternateContent>
    </w:r>
  </w:p>
  <w:p w:rsidR="00C723DD" w:rsidRPr="00BA0EF9" w:rsidRDefault="00C723DD" w:rsidP="005724CB">
    <w:pPr>
      <w:pStyle w:val="Nadpis1"/>
      <w:ind w:left="360"/>
      <w:jc w:val="center"/>
      <w:rPr>
        <w:rFonts w:asciiTheme="minorHAnsi" w:hAnsiTheme="minorHAnsi" w:cstheme="minorHAnsi"/>
        <w:i w:val="0"/>
        <w:sz w:val="16"/>
        <w:szCs w:val="16"/>
      </w:rPr>
    </w:pPr>
    <w:r w:rsidRPr="00BA0EF9">
      <w:rPr>
        <w:rFonts w:asciiTheme="minorHAnsi" w:hAnsiTheme="minorHAnsi" w:cstheme="minorHAnsi"/>
        <w:i w:val="0"/>
        <w:sz w:val="16"/>
        <w:szCs w:val="16"/>
      </w:rPr>
      <w:t>Zpráva o situaci na trhu práce v Moravskoslezském kr</w:t>
    </w:r>
    <w:r>
      <w:rPr>
        <w:rFonts w:asciiTheme="minorHAnsi" w:hAnsiTheme="minorHAnsi" w:cstheme="minorHAnsi"/>
        <w:i w:val="0"/>
        <w:sz w:val="16"/>
        <w:szCs w:val="16"/>
      </w:rPr>
      <w:t>aji, o realizaci APZ v roce 2014 a strategie APZ pro rok 2015 - únor 2015</w:t>
    </w:r>
  </w:p>
  <w:p w:rsidR="00C723DD" w:rsidRDefault="00C723DD" w:rsidP="000A513D">
    <w:pPr>
      <w:pStyle w:val="Zpat"/>
    </w:pPr>
  </w:p>
  <w:p w:rsidR="00C723DD" w:rsidRDefault="00C723DD">
    <w:pPr>
      <w:pStyle w:val="Zpat"/>
      <w:ind w:right="36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17C" w:rsidRDefault="00F4517C">
      <w:r>
        <w:separator/>
      </w:r>
    </w:p>
  </w:footnote>
  <w:footnote w:type="continuationSeparator" w:id="0">
    <w:p w:rsidR="00F4517C" w:rsidRDefault="00F45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D" w:rsidRPr="00B044DD" w:rsidRDefault="00C723DD">
    <w:pPr>
      <w:pStyle w:val="Zhlav"/>
      <w:rPr>
        <w:rFonts w:ascii="Arial" w:hAnsi="Arial" w:cs="Arial"/>
        <w:sz w:val="24"/>
        <w:szCs w:val="24"/>
      </w:rP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DD" w:rsidRDefault="00C723DD">
    <w:pPr>
      <w:pStyle w:val="Zhlav"/>
      <w:tabs>
        <w:tab w:val="clear" w:pos="9072"/>
        <w:tab w:val="right" w:pos="9639"/>
      </w:tabs>
      <w:ind w:right="-569"/>
      <w:rPr>
        <w:rStyle w:val="slostrnky"/>
        <w:sz w:val="16"/>
        <w:u w:val="single"/>
      </w:rPr>
    </w:pPr>
  </w:p>
  <w:p w:rsidR="00C723DD" w:rsidRPr="00BA0EF9" w:rsidRDefault="007C681D" w:rsidP="00342589">
    <w:pPr>
      <w:pStyle w:val="Zhlav"/>
      <w:tabs>
        <w:tab w:val="clear" w:pos="9072"/>
        <w:tab w:val="right" w:pos="9639"/>
      </w:tabs>
      <w:ind w:right="-569"/>
      <w:rPr>
        <w:rStyle w:val="slostrnky"/>
        <w:rFonts w:ascii="Calibri" w:hAnsi="Calibri"/>
        <w:sz w:val="16"/>
        <w:u w:val="single"/>
      </w:rPr>
    </w:pPr>
    <w:r>
      <w:rPr>
        <w:rFonts w:ascii="Calibri" w:hAnsi="Calibri"/>
        <w:sz w:val="16"/>
        <w:u w:val="single"/>
      </w:rPr>
      <w:t>Úřad práce ČR, K</w:t>
    </w:r>
    <w:r w:rsidR="00C723DD" w:rsidRPr="00BA0EF9">
      <w:rPr>
        <w:rFonts w:ascii="Calibri" w:hAnsi="Calibri"/>
        <w:sz w:val="16"/>
        <w:u w:val="single"/>
      </w:rPr>
      <w:t xml:space="preserve">rajská pobočka v Ostravě                                                                                                      </w:t>
    </w:r>
    <w:r w:rsidR="00C723DD">
      <w:rPr>
        <w:rFonts w:ascii="Calibri" w:hAnsi="Calibri"/>
        <w:sz w:val="16"/>
        <w:u w:val="single"/>
      </w:rPr>
      <w:t xml:space="preserve">                                     </w:t>
    </w:r>
    <w:r w:rsidR="00C723DD" w:rsidRPr="00BA0EF9">
      <w:rPr>
        <w:rFonts w:ascii="Calibri" w:hAnsi="Calibri"/>
        <w:sz w:val="16"/>
        <w:u w:val="single"/>
      </w:rPr>
      <w:t xml:space="preserve">                                 strana </w:t>
    </w:r>
    <w:r w:rsidR="0077022E" w:rsidRPr="00BA0EF9">
      <w:rPr>
        <w:rStyle w:val="slostrnky"/>
        <w:rFonts w:ascii="Calibri" w:hAnsi="Calibri"/>
        <w:sz w:val="16"/>
        <w:szCs w:val="16"/>
        <w:u w:val="single"/>
      </w:rPr>
      <w:fldChar w:fldCharType="begin"/>
    </w:r>
    <w:r w:rsidR="00C723DD" w:rsidRPr="00BA0EF9">
      <w:rPr>
        <w:rStyle w:val="slostrnky"/>
        <w:rFonts w:ascii="Calibri" w:hAnsi="Calibri"/>
        <w:sz w:val="16"/>
        <w:szCs w:val="16"/>
        <w:u w:val="single"/>
      </w:rPr>
      <w:instrText xml:space="preserve"> PAGE </w:instrText>
    </w:r>
    <w:r w:rsidR="0077022E" w:rsidRPr="00BA0EF9">
      <w:rPr>
        <w:rStyle w:val="slostrnky"/>
        <w:rFonts w:ascii="Calibri" w:hAnsi="Calibri"/>
        <w:sz w:val="16"/>
        <w:szCs w:val="16"/>
        <w:u w:val="single"/>
      </w:rPr>
      <w:fldChar w:fldCharType="separate"/>
    </w:r>
    <w:r w:rsidR="00AA3CCE">
      <w:rPr>
        <w:rStyle w:val="slostrnky"/>
        <w:rFonts w:ascii="Calibri" w:hAnsi="Calibri"/>
        <w:noProof/>
        <w:sz w:val="16"/>
        <w:szCs w:val="16"/>
        <w:u w:val="single"/>
      </w:rPr>
      <w:t>39</w:t>
    </w:r>
    <w:r w:rsidR="0077022E" w:rsidRPr="00BA0EF9">
      <w:rPr>
        <w:rStyle w:val="slostrnky"/>
        <w:rFonts w:ascii="Calibri" w:hAnsi="Calibri"/>
        <w:sz w:val="16"/>
        <w:szCs w:val="16"/>
        <w:u w:val="single"/>
      </w:rPr>
      <w:fldChar w:fldCharType="end"/>
    </w:r>
  </w:p>
  <w:p w:rsidR="00C723DD" w:rsidRDefault="00C723DD" w:rsidP="00342589">
    <w:pPr>
      <w:pStyle w:val="Zhlav"/>
      <w:rPr>
        <w:sz w:val="16"/>
      </w:rPr>
    </w:pPr>
  </w:p>
  <w:p w:rsidR="00C723DD" w:rsidRDefault="00C723DD">
    <w:pPr>
      <w:pStyle w:val="Zhlav"/>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A2B3A"/>
    <w:multiLevelType w:val="singleLevel"/>
    <w:tmpl w:val="FB720C2A"/>
    <w:lvl w:ilvl="0">
      <w:start w:val="1"/>
      <w:numFmt w:val="upperRoman"/>
      <w:lvlText w:val="%1."/>
      <w:lvlJc w:val="left"/>
      <w:pPr>
        <w:tabs>
          <w:tab w:val="num" w:pos="720"/>
        </w:tabs>
        <w:ind w:left="720" w:hanging="720"/>
      </w:pPr>
      <w:rPr>
        <w:rFonts w:hint="default"/>
        <w:b/>
        <w:sz w:val="28"/>
      </w:rPr>
    </w:lvl>
  </w:abstractNum>
  <w:abstractNum w:abstractNumId="1">
    <w:nsid w:val="04E97EE7"/>
    <w:multiLevelType w:val="hybridMultilevel"/>
    <w:tmpl w:val="9056B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F0148C"/>
    <w:multiLevelType w:val="hybridMultilevel"/>
    <w:tmpl w:val="40AECFFC"/>
    <w:lvl w:ilvl="0" w:tplc="7BEC70E4">
      <w:start w:val="1"/>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6E81ABC"/>
    <w:multiLevelType w:val="hybridMultilevel"/>
    <w:tmpl w:val="1ABAD592"/>
    <w:lvl w:ilvl="0" w:tplc="8418F57C">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282729"/>
    <w:multiLevelType w:val="hybridMultilevel"/>
    <w:tmpl w:val="2AB601B6"/>
    <w:lvl w:ilvl="0" w:tplc="FE941322">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C3A2C39"/>
    <w:multiLevelType w:val="hybridMultilevel"/>
    <w:tmpl w:val="924297AE"/>
    <w:lvl w:ilvl="0" w:tplc="AA284DBC">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AF3B85"/>
    <w:multiLevelType w:val="hybridMultilevel"/>
    <w:tmpl w:val="18B8988A"/>
    <w:lvl w:ilvl="0" w:tplc="6EEE341E">
      <w:start w:val="27"/>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8C566B9"/>
    <w:multiLevelType w:val="hybridMultilevel"/>
    <w:tmpl w:val="4426EC44"/>
    <w:lvl w:ilvl="0" w:tplc="69DC886E">
      <w:start w:val="1"/>
      <w:numFmt w:val="bullet"/>
      <w:lvlText w:val="-"/>
      <w:lvlJc w:val="left"/>
      <w:pPr>
        <w:ind w:left="294" w:hanging="360"/>
      </w:pPr>
      <w:rPr>
        <w:rFonts w:ascii="Times New Roman" w:hAnsi="Times New Roman" w:cs="Times New Roman" w:hint="default"/>
      </w:rPr>
    </w:lvl>
    <w:lvl w:ilvl="1" w:tplc="04050003" w:tentative="1">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8">
    <w:nsid w:val="1AAC0135"/>
    <w:multiLevelType w:val="hybridMultilevel"/>
    <w:tmpl w:val="5B24F256"/>
    <w:lvl w:ilvl="0" w:tplc="5EAA3444">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B857A00"/>
    <w:multiLevelType w:val="hybridMultilevel"/>
    <w:tmpl w:val="3C62E7F4"/>
    <w:lvl w:ilvl="0" w:tplc="03E24C7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DC712F"/>
    <w:multiLevelType w:val="hybridMultilevel"/>
    <w:tmpl w:val="BFCECBC2"/>
    <w:lvl w:ilvl="0" w:tplc="5F48A4B6">
      <w:start w:val="1"/>
      <w:numFmt w:val="bullet"/>
      <w:lvlText w:val="•"/>
      <w:lvlJc w:val="left"/>
      <w:pPr>
        <w:tabs>
          <w:tab w:val="num" w:pos="720"/>
        </w:tabs>
        <w:ind w:left="720" w:hanging="360"/>
      </w:pPr>
      <w:rPr>
        <w:rFonts w:ascii="Arial" w:hAnsi="Arial" w:hint="default"/>
      </w:rPr>
    </w:lvl>
    <w:lvl w:ilvl="1" w:tplc="805CD612" w:tentative="1">
      <w:start w:val="1"/>
      <w:numFmt w:val="bullet"/>
      <w:lvlText w:val="•"/>
      <w:lvlJc w:val="left"/>
      <w:pPr>
        <w:tabs>
          <w:tab w:val="num" w:pos="1440"/>
        </w:tabs>
        <w:ind w:left="1440" w:hanging="360"/>
      </w:pPr>
      <w:rPr>
        <w:rFonts w:ascii="Arial" w:hAnsi="Arial" w:hint="default"/>
      </w:rPr>
    </w:lvl>
    <w:lvl w:ilvl="2" w:tplc="FB56C57E" w:tentative="1">
      <w:start w:val="1"/>
      <w:numFmt w:val="bullet"/>
      <w:lvlText w:val="•"/>
      <w:lvlJc w:val="left"/>
      <w:pPr>
        <w:tabs>
          <w:tab w:val="num" w:pos="2160"/>
        </w:tabs>
        <w:ind w:left="2160" w:hanging="360"/>
      </w:pPr>
      <w:rPr>
        <w:rFonts w:ascii="Arial" w:hAnsi="Arial" w:hint="default"/>
      </w:rPr>
    </w:lvl>
    <w:lvl w:ilvl="3" w:tplc="14E27BD4" w:tentative="1">
      <w:start w:val="1"/>
      <w:numFmt w:val="bullet"/>
      <w:lvlText w:val="•"/>
      <w:lvlJc w:val="left"/>
      <w:pPr>
        <w:tabs>
          <w:tab w:val="num" w:pos="2880"/>
        </w:tabs>
        <w:ind w:left="2880" w:hanging="360"/>
      </w:pPr>
      <w:rPr>
        <w:rFonts w:ascii="Arial" w:hAnsi="Arial" w:hint="default"/>
      </w:rPr>
    </w:lvl>
    <w:lvl w:ilvl="4" w:tplc="1786DE64" w:tentative="1">
      <w:start w:val="1"/>
      <w:numFmt w:val="bullet"/>
      <w:lvlText w:val="•"/>
      <w:lvlJc w:val="left"/>
      <w:pPr>
        <w:tabs>
          <w:tab w:val="num" w:pos="3600"/>
        </w:tabs>
        <w:ind w:left="3600" w:hanging="360"/>
      </w:pPr>
      <w:rPr>
        <w:rFonts w:ascii="Arial" w:hAnsi="Arial" w:hint="default"/>
      </w:rPr>
    </w:lvl>
    <w:lvl w:ilvl="5" w:tplc="5EC06736" w:tentative="1">
      <w:start w:val="1"/>
      <w:numFmt w:val="bullet"/>
      <w:lvlText w:val="•"/>
      <w:lvlJc w:val="left"/>
      <w:pPr>
        <w:tabs>
          <w:tab w:val="num" w:pos="4320"/>
        </w:tabs>
        <w:ind w:left="4320" w:hanging="360"/>
      </w:pPr>
      <w:rPr>
        <w:rFonts w:ascii="Arial" w:hAnsi="Arial" w:hint="default"/>
      </w:rPr>
    </w:lvl>
    <w:lvl w:ilvl="6" w:tplc="069C0F82" w:tentative="1">
      <w:start w:val="1"/>
      <w:numFmt w:val="bullet"/>
      <w:lvlText w:val="•"/>
      <w:lvlJc w:val="left"/>
      <w:pPr>
        <w:tabs>
          <w:tab w:val="num" w:pos="5040"/>
        </w:tabs>
        <w:ind w:left="5040" w:hanging="360"/>
      </w:pPr>
      <w:rPr>
        <w:rFonts w:ascii="Arial" w:hAnsi="Arial" w:hint="default"/>
      </w:rPr>
    </w:lvl>
    <w:lvl w:ilvl="7" w:tplc="6818BAA8" w:tentative="1">
      <w:start w:val="1"/>
      <w:numFmt w:val="bullet"/>
      <w:lvlText w:val="•"/>
      <w:lvlJc w:val="left"/>
      <w:pPr>
        <w:tabs>
          <w:tab w:val="num" w:pos="5760"/>
        </w:tabs>
        <w:ind w:left="5760" w:hanging="360"/>
      </w:pPr>
      <w:rPr>
        <w:rFonts w:ascii="Arial" w:hAnsi="Arial" w:hint="default"/>
      </w:rPr>
    </w:lvl>
    <w:lvl w:ilvl="8" w:tplc="674A11BC" w:tentative="1">
      <w:start w:val="1"/>
      <w:numFmt w:val="bullet"/>
      <w:lvlText w:val="•"/>
      <w:lvlJc w:val="left"/>
      <w:pPr>
        <w:tabs>
          <w:tab w:val="num" w:pos="6480"/>
        </w:tabs>
        <w:ind w:left="6480" w:hanging="360"/>
      </w:pPr>
      <w:rPr>
        <w:rFonts w:ascii="Arial" w:hAnsi="Arial" w:hint="default"/>
      </w:rPr>
    </w:lvl>
  </w:abstractNum>
  <w:abstractNum w:abstractNumId="11">
    <w:nsid w:val="28835EBB"/>
    <w:multiLevelType w:val="hybridMultilevel"/>
    <w:tmpl w:val="CC241A42"/>
    <w:lvl w:ilvl="0" w:tplc="C3CE28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1CC2357"/>
    <w:multiLevelType w:val="hybridMultilevel"/>
    <w:tmpl w:val="112876A8"/>
    <w:lvl w:ilvl="0" w:tplc="03E24C72">
      <w:numFmt w:val="bullet"/>
      <w:lvlText w:val="-"/>
      <w:lvlJc w:val="left"/>
      <w:pPr>
        <w:ind w:left="765" w:hanging="360"/>
      </w:pPr>
      <w:rPr>
        <w:rFont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nsid w:val="35425BA0"/>
    <w:multiLevelType w:val="singleLevel"/>
    <w:tmpl w:val="548AA18E"/>
    <w:lvl w:ilvl="0">
      <w:start w:val="1"/>
      <w:numFmt w:val="bullet"/>
      <w:lvlText w:val=""/>
      <w:lvlJc w:val="left"/>
      <w:pPr>
        <w:tabs>
          <w:tab w:val="num" w:pos="360"/>
        </w:tabs>
        <w:ind w:left="360" w:hanging="360"/>
      </w:pPr>
      <w:rPr>
        <w:rFonts w:ascii="Symbol" w:hAnsi="Symbol" w:hint="default"/>
        <w:sz w:val="20"/>
      </w:rPr>
    </w:lvl>
  </w:abstractNum>
  <w:abstractNum w:abstractNumId="14">
    <w:nsid w:val="366759AA"/>
    <w:multiLevelType w:val="singleLevel"/>
    <w:tmpl w:val="03E24C72"/>
    <w:lvl w:ilvl="0">
      <w:numFmt w:val="bullet"/>
      <w:lvlText w:val="-"/>
      <w:lvlJc w:val="left"/>
      <w:pPr>
        <w:tabs>
          <w:tab w:val="num" w:pos="360"/>
        </w:tabs>
        <w:ind w:left="360" w:hanging="360"/>
      </w:pPr>
      <w:rPr>
        <w:rFonts w:hint="default"/>
      </w:rPr>
    </w:lvl>
  </w:abstractNum>
  <w:abstractNum w:abstractNumId="15">
    <w:nsid w:val="3BC3775A"/>
    <w:multiLevelType w:val="hybridMultilevel"/>
    <w:tmpl w:val="17465FF0"/>
    <w:lvl w:ilvl="0" w:tplc="737E4A30">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37F1D8C"/>
    <w:multiLevelType w:val="hybridMultilevel"/>
    <w:tmpl w:val="6A0A73D6"/>
    <w:lvl w:ilvl="0" w:tplc="FFFFFFFF">
      <w:start w:val="2"/>
      <w:numFmt w:val="bullet"/>
      <w:pStyle w:val="Fous"/>
      <w:lvlText w:val="-"/>
      <w:lvlJc w:val="left"/>
      <w:pPr>
        <w:tabs>
          <w:tab w:val="num" w:pos="360"/>
        </w:tabs>
        <w:ind w:left="36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97F49A3"/>
    <w:multiLevelType w:val="hybridMultilevel"/>
    <w:tmpl w:val="5BD43F84"/>
    <w:lvl w:ilvl="0" w:tplc="04050001">
      <w:start w:val="1"/>
      <w:numFmt w:val="bullet"/>
      <w:lvlText w:val=""/>
      <w:lvlJc w:val="left"/>
      <w:pPr>
        <w:tabs>
          <w:tab w:val="num" w:pos="786"/>
        </w:tabs>
        <w:ind w:left="786" w:hanging="360"/>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18">
    <w:nsid w:val="52FF5701"/>
    <w:multiLevelType w:val="hybridMultilevel"/>
    <w:tmpl w:val="0D561364"/>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nsid w:val="57D00927"/>
    <w:multiLevelType w:val="singleLevel"/>
    <w:tmpl w:val="A9A0EF7E"/>
    <w:lvl w:ilvl="0">
      <w:start w:val="283"/>
      <w:numFmt w:val="bullet"/>
      <w:lvlText w:val="-"/>
      <w:lvlJc w:val="left"/>
      <w:pPr>
        <w:tabs>
          <w:tab w:val="num" w:pos="360"/>
        </w:tabs>
        <w:ind w:left="360" w:hanging="360"/>
      </w:pPr>
      <w:rPr>
        <w:rFonts w:hint="default"/>
      </w:rPr>
    </w:lvl>
  </w:abstractNum>
  <w:abstractNum w:abstractNumId="20">
    <w:nsid w:val="581E320D"/>
    <w:multiLevelType w:val="singleLevel"/>
    <w:tmpl w:val="3FA06056"/>
    <w:lvl w:ilvl="0">
      <w:start w:val="1"/>
      <w:numFmt w:val="bullet"/>
      <w:lvlText w:val=""/>
      <w:lvlJc w:val="left"/>
      <w:pPr>
        <w:tabs>
          <w:tab w:val="num" w:pos="360"/>
        </w:tabs>
        <w:ind w:left="360" w:hanging="360"/>
      </w:pPr>
      <w:rPr>
        <w:rFonts w:ascii="Wingdings" w:hAnsi="Wingdings" w:hint="default"/>
        <w:sz w:val="16"/>
      </w:rPr>
    </w:lvl>
  </w:abstractNum>
  <w:abstractNum w:abstractNumId="21">
    <w:nsid w:val="5CFA31DB"/>
    <w:multiLevelType w:val="singleLevel"/>
    <w:tmpl w:val="0400C458"/>
    <w:lvl w:ilvl="0">
      <w:numFmt w:val="bullet"/>
      <w:lvlText w:val="-"/>
      <w:lvlJc w:val="left"/>
      <w:pPr>
        <w:tabs>
          <w:tab w:val="num" w:pos="360"/>
        </w:tabs>
        <w:ind w:left="360" w:hanging="360"/>
      </w:pPr>
      <w:rPr>
        <w:rFonts w:hint="default"/>
      </w:rPr>
    </w:lvl>
  </w:abstractNum>
  <w:abstractNum w:abstractNumId="22">
    <w:nsid w:val="5FC144A0"/>
    <w:multiLevelType w:val="singleLevel"/>
    <w:tmpl w:val="CAB2845A"/>
    <w:lvl w:ilvl="0">
      <w:start w:val="1"/>
      <w:numFmt w:val="decimal"/>
      <w:lvlText w:val="%1)"/>
      <w:lvlJc w:val="left"/>
      <w:pPr>
        <w:tabs>
          <w:tab w:val="num" w:pos="360"/>
        </w:tabs>
        <w:ind w:left="360" w:hanging="360"/>
      </w:pPr>
      <w:rPr>
        <w:b w:val="0"/>
        <w:i w:val="0"/>
        <w:sz w:val="16"/>
        <w:vertAlign w:val="baseline"/>
      </w:rPr>
    </w:lvl>
  </w:abstractNum>
  <w:abstractNum w:abstractNumId="23">
    <w:nsid w:val="60515D87"/>
    <w:multiLevelType w:val="hybridMultilevel"/>
    <w:tmpl w:val="A11679A8"/>
    <w:lvl w:ilvl="0" w:tplc="FE941322">
      <w:numFmt w:val="bullet"/>
      <w:lvlText w:val="-"/>
      <w:lvlJc w:val="left"/>
      <w:pPr>
        <w:ind w:left="1428" w:hanging="360"/>
      </w:pPr>
      <w:rPr>
        <w:rFont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4">
    <w:nsid w:val="69177464"/>
    <w:multiLevelType w:val="singleLevel"/>
    <w:tmpl w:val="60DA15C8"/>
    <w:lvl w:ilvl="0">
      <w:numFmt w:val="bullet"/>
      <w:pStyle w:val="odsazen"/>
      <w:lvlText w:val="-"/>
      <w:lvlJc w:val="left"/>
      <w:pPr>
        <w:tabs>
          <w:tab w:val="num" w:pos="360"/>
        </w:tabs>
        <w:ind w:left="360" w:hanging="360"/>
      </w:pPr>
      <w:rPr>
        <w:rFonts w:hint="default"/>
      </w:rPr>
    </w:lvl>
  </w:abstractNum>
  <w:abstractNum w:abstractNumId="25">
    <w:nsid w:val="6DCC7470"/>
    <w:multiLevelType w:val="singleLevel"/>
    <w:tmpl w:val="32460E5E"/>
    <w:lvl w:ilvl="0">
      <w:start w:val="2"/>
      <w:numFmt w:val="decimal"/>
      <w:pStyle w:val="zkladn"/>
      <w:lvlText w:val="%1."/>
      <w:lvlJc w:val="left"/>
      <w:pPr>
        <w:tabs>
          <w:tab w:val="num" w:pos="360"/>
        </w:tabs>
        <w:ind w:left="360" w:hanging="360"/>
      </w:pPr>
    </w:lvl>
  </w:abstractNum>
  <w:abstractNum w:abstractNumId="26">
    <w:nsid w:val="71E40E3D"/>
    <w:multiLevelType w:val="hybridMultilevel"/>
    <w:tmpl w:val="EDEAB606"/>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
    <w:nsid w:val="73671507"/>
    <w:multiLevelType w:val="hybridMultilevel"/>
    <w:tmpl w:val="AECA234A"/>
    <w:lvl w:ilvl="0" w:tplc="3E04976C">
      <w:start w:val="1"/>
      <w:numFmt w:val="bullet"/>
      <w:pStyle w:val="Nadpis4"/>
      <w:lvlText w:val=""/>
      <w:lvlJc w:val="left"/>
      <w:pPr>
        <w:tabs>
          <w:tab w:val="num" w:pos="1004"/>
        </w:tabs>
        <w:ind w:left="1004" w:hanging="360"/>
      </w:pPr>
      <w:rPr>
        <w:rFonts w:ascii="Symbol" w:hAnsi="Symbol" w:hint="default"/>
        <w:sz w:val="20"/>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8">
    <w:nsid w:val="74B34A22"/>
    <w:multiLevelType w:val="hybridMultilevel"/>
    <w:tmpl w:val="D742981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9">
    <w:nsid w:val="768E657E"/>
    <w:multiLevelType w:val="hybridMultilevel"/>
    <w:tmpl w:val="C3784CB4"/>
    <w:lvl w:ilvl="0" w:tplc="6164C00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7A4E631E"/>
    <w:multiLevelType w:val="singleLevel"/>
    <w:tmpl w:val="FE941322"/>
    <w:lvl w:ilvl="0">
      <w:numFmt w:val="bullet"/>
      <w:lvlText w:val="-"/>
      <w:lvlJc w:val="left"/>
      <w:pPr>
        <w:tabs>
          <w:tab w:val="num" w:pos="360"/>
        </w:tabs>
        <w:ind w:left="360" w:hanging="360"/>
      </w:pPr>
      <w:rPr>
        <w:rFonts w:hint="default"/>
      </w:rPr>
    </w:lvl>
  </w:abstractNum>
  <w:abstractNum w:abstractNumId="31">
    <w:nsid w:val="7E821849"/>
    <w:multiLevelType w:val="singleLevel"/>
    <w:tmpl w:val="0400C458"/>
    <w:lvl w:ilvl="0">
      <w:start w:val="3"/>
      <w:numFmt w:val="bullet"/>
      <w:lvlText w:val="-"/>
      <w:lvlJc w:val="left"/>
      <w:pPr>
        <w:tabs>
          <w:tab w:val="num" w:pos="360"/>
        </w:tabs>
        <w:ind w:left="360" w:hanging="360"/>
      </w:pPr>
      <w:rPr>
        <w:rFonts w:hint="default"/>
      </w:rPr>
    </w:lvl>
  </w:abstractNum>
  <w:abstractNum w:abstractNumId="32">
    <w:nsid w:val="7E9F74C1"/>
    <w:multiLevelType w:val="singleLevel"/>
    <w:tmpl w:val="99B8D10E"/>
    <w:lvl w:ilvl="0">
      <w:start w:val="1"/>
      <w:numFmt w:val="bullet"/>
      <w:lvlText w:val="-"/>
      <w:lvlJc w:val="left"/>
      <w:pPr>
        <w:tabs>
          <w:tab w:val="num" w:pos="360"/>
        </w:tabs>
        <w:ind w:left="360" w:hanging="360"/>
      </w:pPr>
      <w:rPr>
        <w:rFonts w:ascii="Times New Roman" w:hAnsi="Times New Roman" w:hint="default"/>
      </w:rPr>
    </w:lvl>
  </w:abstractNum>
  <w:num w:numId="1">
    <w:abstractNumId w:val="25"/>
  </w:num>
  <w:num w:numId="2">
    <w:abstractNumId w:val="24"/>
  </w:num>
  <w:num w:numId="3">
    <w:abstractNumId w:val="13"/>
  </w:num>
  <w:num w:numId="4">
    <w:abstractNumId w:val="22"/>
  </w:num>
  <w:num w:numId="5">
    <w:abstractNumId w:val="14"/>
  </w:num>
  <w:num w:numId="6">
    <w:abstractNumId w:val="31"/>
  </w:num>
  <w:num w:numId="7">
    <w:abstractNumId w:val="21"/>
  </w:num>
  <w:num w:numId="8">
    <w:abstractNumId w:val="19"/>
  </w:num>
  <w:num w:numId="9">
    <w:abstractNumId w:val="30"/>
  </w:num>
  <w:num w:numId="10">
    <w:abstractNumId w:val="27"/>
  </w:num>
  <w:num w:numId="11">
    <w:abstractNumId w:val="16"/>
  </w:num>
  <w:num w:numId="12">
    <w:abstractNumId w:val="32"/>
  </w:num>
  <w:num w:numId="13">
    <w:abstractNumId w:val="6"/>
  </w:num>
  <w:num w:numId="14">
    <w:abstractNumId w:val="12"/>
  </w:num>
  <w:num w:numId="15">
    <w:abstractNumId w:val="9"/>
  </w:num>
  <w:num w:numId="16">
    <w:abstractNumId w:val="8"/>
  </w:num>
  <w:num w:numId="17">
    <w:abstractNumId w:val="20"/>
  </w:num>
  <w:num w:numId="18">
    <w:abstractNumId w:val="29"/>
  </w:num>
  <w:num w:numId="19">
    <w:abstractNumId w:val="18"/>
  </w:num>
  <w:num w:numId="20">
    <w:abstractNumId w:val="26"/>
  </w:num>
  <w:num w:numId="21">
    <w:abstractNumId w:val="17"/>
  </w:num>
  <w:num w:numId="22">
    <w:abstractNumId w:val="28"/>
  </w:num>
  <w:num w:numId="23">
    <w:abstractNumId w:val="3"/>
  </w:num>
  <w:num w:numId="24">
    <w:abstractNumId w:val="5"/>
  </w:num>
  <w:num w:numId="25">
    <w:abstractNumId w:val="0"/>
  </w:num>
  <w:num w:numId="26">
    <w:abstractNumId w:val="2"/>
  </w:num>
  <w:num w:numId="27">
    <w:abstractNumId w:val="4"/>
  </w:num>
  <w:num w:numId="28">
    <w:abstractNumId w:val="15"/>
  </w:num>
  <w:num w:numId="29">
    <w:abstractNumId w:val="7"/>
  </w:num>
  <w:num w:numId="30">
    <w:abstractNumId w:val="11"/>
  </w:num>
  <w:num w:numId="31">
    <w:abstractNumId w:val="23"/>
  </w:num>
  <w:num w:numId="32">
    <w:abstractNumId w:val="1"/>
  </w:num>
  <w:num w:numId="3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EF"/>
    <w:rsid w:val="0000529D"/>
    <w:rsid w:val="00011211"/>
    <w:rsid w:val="0001134A"/>
    <w:rsid w:val="00016CDD"/>
    <w:rsid w:val="00017AFF"/>
    <w:rsid w:val="000215BC"/>
    <w:rsid w:val="00027ABA"/>
    <w:rsid w:val="00030532"/>
    <w:rsid w:val="000339C0"/>
    <w:rsid w:val="00040DB1"/>
    <w:rsid w:val="00046713"/>
    <w:rsid w:val="00053DF6"/>
    <w:rsid w:val="000700E7"/>
    <w:rsid w:val="000836B9"/>
    <w:rsid w:val="00085A2D"/>
    <w:rsid w:val="0008771A"/>
    <w:rsid w:val="0009183B"/>
    <w:rsid w:val="0009299C"/>
    <w:rsid w:val="000954ED"/>
    <w:rsid w:val="00095D7C"/>
    <w:rsid w:val="00097176"/>
    <w:rsid w:val="00097AF2"/>
    <w:rsid w:val="000A1A38"/>
    <w:rsid w:val="000A513D"/>
    <w:rsid w:val="000B0298"/>
    <w:rsid w:val="000B238B"/>
    <w:rsid w:val="000C37C7"/>
    <w:rsid w:val="000E3045"/>
    <w:rsid w:val="000E6016"/>
    <w:rsid w:val="000E74D7"/>
    <w:rsid w:val="000F29CE"/>
    <w:rsid w:val="000F3EFF"/>
    <w:rsid w:val="000F5DCF"/>
    <w:rsid w:val="000F7E09"/>
    <w:rsid w:val="0010084F"/>
    <w:rsid w:val="00100C44"/>
    <w:rsid w:val="00104B03"/>
    <w:rsid w:val="0011294B"/>
    <w:rsid w:val="00113EE0"/>
    <w:rsid w:val="001147C2"/>
    <w:rsid w:val="0011567B"/>
    <w:rsid w:val="00117197"/>
    <w:rsid w:val="001223C8"/>
    <w:rsid w:val="00122528"/>
    <w:rsid w:val="00126DEF"/>
    <w:rsid w:val="00127687"/>
    <w:rsid w:val="00127D7B"/>
    <w:rsid w:val="00130AB7"/>
    <w:rsid w:val="00134589"/>
    <w:rsid w:val="0013594E"/>
    <w:rsid w:val="001361F6"/>
    <w:rsid w:val="00150E60"/>
    <w:rsid w:val="00153A08"/>
    <w:rsid w:val="001558E7"/>
    <w:rsid w:val="00157AF1"/>
    <w:rsid w:val="00175662"/>
    <w:rsid w:val="00183FC4"/>
    <w:rsid w:val="00186DFA"/>
    <w:rsid w:val="001A0130"/>
    <w:rsid w:val="001A3462"/>
    <w:rsid w:val="001A673D"/>
    <w:rsid w:val="001B2B2F"/>
    <w:rsid w:val="001B78AB"/>
    <w:rsid w:val="001C0B71"/>
    <w:rsid w:val="001C0C74"/>
    <w:rsid w:val="001C37B1"/>
    <w:rsid w:val="001C64F6"/>
    <w:rsid w:val="001D184F"/>
    <w:rsid w:val="001D43B2"/>
    <w:rsid w:val="001D7C26"/>
    <w:rsid w:val="001E09AB"/>
    <w:rsid w:val="001F152B"/>
    <w:rsid w:val="001F267E"/>
    <w:rsid w:val="001F72F9"/>
    <w:rsid w:val="002032D1"/>
    <w:rsid w:val="00204259"/>
    <w:rsid w:val="00205403"/>
    <w:rsid w:val="00207BCE"/>
    <w:rsid w:val="00207D6A"/>
    <w:rsid w:val="0021159B"/>
    <w:rsid w:val="00212802"/>
    <w:rsid w:val="00213384"/>
    <w:rsid w:val="00220790"/>
    <w:rsid w:val="002225D0"/>
    <w:rsid w:val="002238D7"/>
    <w:rsid w:val="00224D20"/>
    <w:rsid w:val="00231768"/>
    <w:rsid w:val="00236BF7"/>
    <w:rsid w:val="00241711"/>
    <w:rsid w:val="00252681"/>
    <w:rsid w:val="0025677C"/>
    <w:rsid w:val="00260B6E"/>
    <w:rsid w:val="002642E9"/>
    <w:rsid w:val="0026582E"/>
    <w:rsid w:val="0027358D"/>
    <w:rsid w:val="00274ADB"/>
    <w:rsid w:val="002768B3"/>
    <w:rsid w:val="00284CC7"/>
    <w:rsid w:val="00292C63"/>
    <w:rsid w:val="00293C34"/>
    <w:rsid w:val="00294463"/>
    <w:rsid w:val="002A022A"/>
    <w:rsid w:val="002A060A"/>
    <w:rsid w:val="002A0C41"/>
    <w:rsid w:val="002A6C6D"/>
    <w:rsid w:val="002B0EB2"/>
    <w:rsid w:val="002B30D1"/>
    <w:rsid w:val="002B3233"/>
    <w:rsid w:val="002B68DA"/>
    <w:rsid w:val="002B6BB8"/>
    <w:rsid w:val="002C05B1"/>
    <w:rsid w:val="002D1DEB"/>
    <w:rsid w:val="002E3184"/>
    <w:rsid w:val="002E5A1B"/>
    <w:rsid w:val="002E6DDA"/>
    <w:rsid w:val="002F0CE8"/>
    <w:rsid w:val="002F1374"/>
    <w:rsid w:val="002F3946"/>
    <w:rsid w:val="002F7EE2"/>
    <w:rsid w:val="00306DEE"/>
    <w:rsid w:val="003117E1"/>
    <w:rsid w:val="003127BC"/>
    <w:rsid w:val="003131FF"/>
    <w:rsid w:val="0031704D"/>
    <w:rsid w:val="003217B6"/>
    <w:rsid w:val="00322710"/>
    <w:rsid w:val="003253CE"/>
    <w:rsid w:val="0033118F"/>
    <w:rsid w:val="00340AB4"/>
    <w:rsid w:val="00342589"/>
    <w:rsid w:val="00343E71"/>
    <w:rsid w:val="00344CDD"/>
    <w:rsid w:val="00366A48"/>
    <w:rsid w:val="00367070"/>
    <w:rsid w:val="003821A8"/>
    <w:rsid w:val="003849B6"/>
    <w:rsid w:val="00385A13"/>
    <w:rsid w:val="003900DF"/>
    <w:rsid w:val="00390DBA"/>
    <w:rsid w:val="00392441"/>
    <w:rsid w:val="003936F7"/>
    <w:rsid w:val="003A33F2"/>
    <w:rsid w:val="003A7A0B"/>
    <w:rsid w:val="003B3D1A"/>
    <w:rsid w:val="003B68AC"/>
    <w:rsid w:val="003B7CAE"/>
    <w:rsid w:val="003C0741"/>
    <w:rsid w:val="003C21E9"/>
    <w:rsid w:val="003C3026"/>
    <w:rsid w:val="003C4E9B"/>
    <w:rsid w:val="003D206F"/>
    <w:rsid w:val="003D29C9"/>
    <w:rsid w:val="003E0D60"/>
    <w:rsid w:val="003E17FF"/>
    <w:rsid w:val="003E208C"/>
    <w:rsid w:val="003E5534"/>
    <w:rsid w:val="003E6FE8"/>
    <w:rsid w:val="004019D5"/>
    <w:rsid w:val="00406E17"/>
    <w:rsid w:val="0040705F"/>
    <w:rsid w:val="00412170"/>
    <w:rsid w:val="0041619D"/>
    <w:rsid w:val="00426752"/>
    <w:rsid w:val="00431DE3"/>
    <w:rsid w:val="00440E99"/>
    <w:rsid w:val="00446DE6"/>
    <w:rsid w:val="00450DD8"/>
    <w:rsid w:val="00451B1E"/>
    <w:rsid w:val="0045297C"/>
    <w:rsid w:val="004537A7"/>
    <w:rsid w:val="00453C4F"/>
    <w:rsid w:val="0045645F"/>
    <w:rsid w:val="004568B1"/>
    <w:rsid w:val="00460AC0"/>
    <w:rsid w:val="004613D9"/>
    <w:rsid w:val="00462260"/>
    <w:rsid w:val="004648FD"/>
    <w:rsid w:val="00467EFF"/>
    <w:rsid w:val="00470075"/>
    <w:rsid w:val="00472B95"/>
    <w:rsid w:val="00473FF6"/>
    <w:rsid w:val="0047662B"/>
    <w:rsid w:val="0049038D"/>
    <w:rsid w:val="00491173"/>
    <w:rsid w:val="00492E9E"/>
    <w:rsid w:val="004A0813"/>
    <w:rsid w:val="004A4AF7"/>
    <w:rsid w:val="004A5749"/>
    <w:rsid w:val="004A645A"/>
    <w:rsid w:val="004B35B5"/>
    <w:rsid w:val="004B5D98"/>
    <w:rsid w:val="004B748B"/>
    <w:rsid w:val="004B785B"/>
    <w:rsid w:val="004B789F"/>
    <w:rsid w:val="004B7C1B"/>
    <w:rsid w:val="004C4BEE"/>
    <w:rsid w:val="004C6AF5"/>
    <w:rsid w:val="004D1661"/>
    <w:rsid w:val="004E408C"/>
    <w:rsid w:val="004E41EE"/>
    <w:rsid w:val="004E44B4"/>
    <w:rsid w:val="004E5380"/>
    <w:rsid w:val="004E76D6"/>
    <w:rsid w:val="004E7C81"/>
    <w:rsid w:val="004F1F29"/>
    <w:rsid w:val="004F3AD6"/>
    <w:rsid w:val="004F6421"/>
    <w:rsid w:val="00500296"/>
    <w:rsid w:val="005016BD"/>
    <w:rsid w:val="00513227"/>
    <w:rsid w:val="005138B8"/>
    <w:rsid w:val="00513D29"/>
    <w:rsid w:val="00520C9F"/>
    <w:rsid w:val="00522D34"/>
    <w:rsid w:val="00537552"/>
    <w:rsid w:val="00542D24"/>
    <w:rsid w:val="005502DD"/>
    <w:rsid w:val="00563541"/>
    <w:rsid w:val="00564CC6"/>
    <w:rsid w:val="00566ADF"/>
    <w:rsid w:val="005724CB"/>
    <w:rsid w:val="00574BDB"/>
    <w:rsid w:val="00576EFE"/>
    <w:rsid w:val="005811BC"/>
    <w:rsid w:val="00581D4F"/>
    <w:rsid w:val="00584996"/>
    <w:rsid w:val="0058544E"/>
    <w:rsid w:val="0058745B"/>
    <w:rsid w:val="00593F31"/>
    <w:rsid w:val="00595FC1"/>
    <w:rsid w:val="00596191"/>
    <w:rsid w:val="00596ED2"/>
    <w:rsid w:val="005A0117"/>
    <w:rsid w:val="005A2D28"/>
    <w:rsid w:val="005A420F"/>
    <w:rsid w:val="005A42B7"/>
    <w:rsid w:val="005A5D09"/>
    <w:rsid w:val="005B12D2"/>
    <w:rsid w:val="005B3D7B"/>
    <w:rsid w:val="005C3884"/>
    <w:rsid w:val="005C6A09"/>
    <w:rsid w:val="005C6F1F"/>
    <w:rsid w:val="005D6ADC"/>
    <w:rsid w:val="005D798E"/>
    <w:rsid w:val="005E0047"/>
    <w:rsid w:val="005E7F8F"/>
    <w:rsid w:val="005F2609"/>
    <w:rsid w:val="005F553C"/>
    <w:rsid w:val="005F5FEA"/>
    <w:rsid w:val="005F7EA0"/>
    <w:rsid w:val="0060720B"/>
    <w:rsid w:val="00614CA0"/>
    <w:rsid w:val="00625C1E"/>
    <w:rsid w:val="00626926"/>
    <w:rsid w:val="00646FB8"/>
    <w:rsid w:val="00650A04"/>
    <w:rsid w:val="0066206A"/>
    <w:rsid w:val="00672DF8"/>
    <w:rsid w:val="00673C0C"/>
    <w:rsid w:val="00674507"/>
    <w:rsid w:val="00675770"/>
    <w:rsid w:val="00676BDD"/>
    <w:rsid w:val="00677886"/>
    <w:rsid w:val="00682DC9"/>
    <w:rsid w:val="00683B89"/>
    <w:rsid w:val="0068510A"/>
    <w:rsid w:val="006930D1"/>
    <w:rsid w:val="006933FC"/>
    <w:rsid w:val="00694D3B"/>
    <w:rsid w:val="00695914"/>
    <w:rsid w:val="006A15F6"/>
    <w:rsid w:val="006C049E"/>
    <w:rsid w:val="006C0C2A"/>
    <w:rsid w:val="006C3C97"/>
    <w:rsid w:val="006C4A09"/>
    <w:rsid w:val="006C5E93"/>
    <w:rsid w:val="006C71EA"/>
    <w:rsid w:val="006D2E00"/>
    <w:rsid w:val="006D4A24"/>
    <w:rsid w:val="006D53A5"/>
    <w:rsid w:val="006D63C0"/>
    <w:rsid w:val="006E0270"/>
    <w:rsid w:val="006E26AE"/>
    <w:rsid w:val="006E4E6B"/>
    <w:rsid w:val="006E781B"/>
    <w:rsid w:val="006F2E71"/>
    <w:rsid w:val="006F5416"/>
    <w:rsid w:val="006F7324"/>
    <w:rsid w:val="007014FF"/>
    <w:rsid w:val="007024DF"/>
    <w:rsid w:val="0070255C"/>
    <w:rsid w:val="00705DD5"/>
    <w:rsid w:val="00706E78"/>
    <w:rsid w:val="00707CB0"/>
    <w:rsid w:val="007120E3"/>
    <w:rsid w:val="00713193"/>
    <w:rsid w:val="00714524"/>
    <w:rsid w:val="00714DD6"/>
    <w:rsid w:val="007214CF"/>
    <w:rsid w:val="007222DC"/>
    <w:rsid w:val="007312E0"/>
    <w:rsid w:val="007403EB"/>
    <w:rsid w:val="00742EE2"/>
    <w:rsid w:val="00747365"/>
    <w:rsid w:val="0075013E"/>
    <w:rsid w:val="0075172F"/>
    <w:rsid w:val="00751887"/>
    <w:rsid w:val="00757C69"/>
    <w:rsid w:val="00757CC0"/>
    <w:rsid w:val="00764E8D"/>
    <w:rsid w:val="0077022E"/>
    <w:rsid w:val="007708A7"/>
    <w:rsid w:val="007746BC"/>
    <w:rsid w:val="00774EFD"/>
    <w:rsid w:val="00777874"/>
    <w:rsid w:val="0078103D"/>
    <w:rsid w:val="007829F9"/>
    <w:rsid w:val="007941C8"/>
    <w:rsid w:val="007C43AF"/>
    <w:rsid w:val="007C5FBA"/>
    <w:rsid w:val="007C681D"/>
    <w:rsid w:val="007C68BA"/>
    <w:rsid w:val="007D2628"/>
    <w:rsid w:val="007D3FE9"/>
    <w:rsid w:val="007D45DE"/>
    <w:rsid w:val="007E07A9"/>
    <w:rsid w:val="007E0DE3"/>
    <w:rsid w:val="007E51FE"/>
    <w:rsid w:val="007F02A1"/>
    <w:rsid w:val="007F2EFB"/>
    <w:rsid w:val="007F6712"/>
    <w:rsid w:val="007F6C93"/>
    <w:rsid w:val="007F77D9"/>
    <w:rsid w:val="00800981"/>
    <w:rsid w:val="0080293A"/>
    <w:rsid w:val="008050B8"/>
    <w:rsid w:val="00805165"/>
    <w:rsid w:val="00810D05"/>
    <w:rsid w:val="008132C4"/>
    <w:rsid w:val="0081398C"/>
    <w:rsid w:val="0082262F"/>
    <w:rsid w:val="008251E0"/>
    <w:rsid w:val="00826B71"/>
    <w:rsid w:val="00831DE2"/>
    <w:rsid w:val="0083462B"/>
    <w:rsid w:val="00836042"/>
    <w:rsid w:val="00837E60"/>
    <w:rsid w:val="00840736"/>
    <w:rsid w:val="0084210E"/>
    <w:rsid w:val="00847F8E"/>
    <w:rsid w:val="008503D0"/>
    <w:rsid w:val="008533A9"/>
    <w:rsid w:val="008624E3"/>
    <w:rsid w:val="008634DD"/>
    <w:rsid w:val="008647EE"/>
    <w:rsid w:val="00876DEF"/>
    <w:rsid w:val="008776D7"/>
    <w:rsid w:val="008860FB"/>
    <w:rsid w:val="00890479"/>
    <w:rsid w:val="008927BD"/>
    <w:rsid w:val="00893F26"/>
    <w:rsid w:val="00896FF8"/>
    <w:rsid w:val="008A57FD"/>
    <w:rsid w:val="008B44BE"/>
    <w:rsid w:val="008B6896"/>
    <w:rsid w:val="008B711C"/>
    <w:rsid w:val="008C0B6A"/>
    <w:rsid w:val="008C7337"/>
    <w:rsid w:val="008C7A92"/>
    <w:rsid w:val="008C7ED7"/>
    <w:rsid w:val="008D0C5A"/>
    <w:rsid w:val="008D4BB7"/>
    <w:rsid w:val="008D4C65"/>
    <w:rsid w:val="008E0337"/>
    <w:rsid w:val="008E4235"/>
    <w:rsid w:val="008F3A28"/>
    <w:rsid w:val="008F44BB"/>
    <w:rsid w:val="008F4E2C"/>
    <w:rsid w:val="00900815"/>
    <w:rsid w:val="009018F6"/>
    <w:rsid w:val="00903AFB"/>
    <w:rsid w:val="00904899"/>
    <w:rsid w:val="00910941"/>
    <w:rsid w:val="00912A4A"/>
    <w:rsid w:val="00914A09"/>
    <w:rsid w:val="009151A5"/>
    <w:rsid w:val="009165FB"/>
    <w:rsid w:val="009168E9"/>
    <w:rsid w:val="00916B6D"/>
    <w:rsid w:val="0091743E"/>
    <w:rsid w:val="00917CDF"/>
    <w:rsid w:val="00922579"/>
    <w:rsid w:val="00922E13"/>
    <w:rsid w:val="00923244"/>
    <w:rsid w:val="00926F79"/>
    <w:rsid w:val="00927E96"/>
    <w:rsid w:val="009308E8"/>
    <w:rsid w:val="00940536"/>
    <w:rsid w:val="009414D4"/>
    <w:rsid w:val="009451CB"/>
    <w:rsid w:val="009462D6"/>
    <w:rsid w:val="00947348"/>
    <w:rsid w:val="00963147"/>
    <w:rsid w:val="009661C9"/>
    <w:rsid w:val="00967254"/>
    <w:rsid w:val="009703D1"/>
    <w:rsid w:val="00970669"/>
    <w:rsid w:val="009816C7"/>
    <w:rsid w:val="00982D86"/>
    <w:rsid w:val="00984252"/>
    <w:rsid w:val="00984610"/>
    <w:rsid w:val="009865C2"/>
    <w:rsid w:val="0099569E"/>
    <w:rsid w:val="00995720"/>
    <w:rsid w:val="0099664E"/>
    <w:rsid w:val="009A2689"/>
    <w:rsid w:val="009A4BC0"/>
    <w:rsid w:val="009A5D3B"/>
    <w:rsid w:val="009A673B"/>
    <w:rsid w:val="009B1B6C"/>
    <w:rsid w:val="009B3410"/>
    <w:rsid w:val="009B3A48"/>
    <w:rsid w:val="009B45EF"/>
    <w:rsid w:val="009C5779"/>
    <w:rsid w:val="009C6099"/>
    <w:rsid w:val="009D2DFC"/>
    <w:rsid w:val="009D4F9E"/>
    <w:rsid w:val="009D59DB"/>
    <w:rsid w:val="009D797F"/>
    <w:rsid w:val="009E0D52"/>
    <w:rsid w:val="009F0045"/>
    <w:rsid w:val="009F05FB"/>
    <w:rsid w:val="009F6464"/>
    <w:rsid w:val="00A06264"/>
    <w:rsid w:val="00A06CD9"/>
    <w:rsid w:val="00A071BF"/>
    <w:rsid w:val="00A07632"/>
    <w:rsid w:val="00A07ADC"/>
    <w:rsid w:val="00A10662"/>
    <w:rsid w:val="00A122F5"/>
    <w:rsid w:val="00A21E69"/>
    <w:rsid w:val="00A234F2"/>
    <w:rsid w:val="00A2443F"/>
    <w:rsid w:val="00A3510E"/>
    <w:rsid w:val="00A37CD5"/>
    <w:rsid w:val="00A412CB"/>
    <w:rsid w:val="00A46DAB"/>
    <w:rsid w:val="00A57E4C"/>
    <w:rsid w:val="00A60C42"/>
    <w:rsid w:val="00A65118"/>
    <w:rsid w:val="00A71AF3"/>
    <w:rsid w:val="00A74DF6"/>
    <w:rsid w:val="00A751E0"/>
    <w:rsid w:val="00A77005"/>
    <w:rsid w:val="00A87AAA"/>
    <w:rsid w:val="00A90E96"/>
    <w:rsid w:val="00A91F2E"/>
    <w:rsid w:val="00A93118"/>
    <w:rsid w:val="00A97F43"/>
    <w:rsid w:val="00AA0222"/>
    <w:rsid w:val="00AA062A"/>
    <w:rsid w:val="00AA24A4"/>
    <w:rsid w:val="00AA3CCE"/>
    <w:rsid w:val="00AA57B0"/>
    <w:rsid w:val="00AB04C4"/>
    <w:rsid w:val="00AB0DEA"/>
    <w:rsid w:val="00AB1633"/>
    <w:rsid w:val="00AB5A19"/>
    <w:rsid w:val="00AC04B7"/>
    <w:rsid w:val="00AC0EAC"/>
    <w:rsid w:val="00AC5B80"/>
    <w:rsid w:val="00AC7E90"/>
    <w:rsid w:val="00AD1CEF"/>
    <w:rsid w:val="00AD292F"/>
    <w:rsid w:val="00AD2DBC"/>
    <w:rsid w:val="00AD6179"/>
    <w:rsid w:val="00AD61A3"/>
    <w:rsid w:val="00AE01C3"/>
    <w:rsid w:val="00AE5B96"/>
    <w:rsid w:val="00AF1E0A"/>
    <w:rsid w:val="00AF3159"/>
    <w:rsid w:val="00AF7B54"/>
    <w:rsid w:val="00B03A42"/>
    <w:rsid w:val="00B044DD"/>
    <w:rsid w:val="00B10A20"/>
    <w:rsid w:val="00B14898"/>
    <w:rsid w:val="00B164DA"/>
    <w:rsid w:val="00B16FC9"/>
    <w:rsid w:val="00B242E5"/>
    <w:rsid w:val="00B270EE"/>
    <w:rsid w:val="00B33B7F"/>
    <w:rsid w:val="00B40432"/>
    <w:rsid w:val="00B413FB"/>
    <w:rsid w:val="00B4672A"/>
    <w:rsid w:val="00B521BC"/>
    <w:rsid w:val="00B53175"/>
    <w:rsid w:val="00B53754"/>
    <w:rsid w:val="00B63038"/>
    <w:rsid w:val="00B63C85"/>
    <w:rsid w:val="00B70470"/>
    <w:rsid w:val="00B739E6"/>
    <w:rsid w:val="00B813FC"/>
    <w:rsid w:val="00B823A7"/>
    <w:rsid w:val="00B82FAC"/>
    <w:rsid w:val="00B84AB4"/>
    <w:rsid w:val="00B909BB"/>
    <w:rsid w:val="00B91605"/>
    <w:rsid w:val="00B939D9"/>
    <w:rsid w:val="00B93A01"/>
    <w:rsid w:val="00B9695F"/>
    <w:rsid w:val="00B96DB9"/>
    <w:rsid w:val="00B97902"/>
    <w:rsid w:val="00BA0575"/>
    <w:rsid w:val="00BA0EF9"/>
    <w:rsid w:val="00BA42B1"/>
    <w:rsid w:val="00BB1FD5"/>
    <w:rsid w:val="00BB2945"/>
    <w:rsid w:val="00BB2961"/>
    <w:rsid w:val="00BB33FD"/>
    <w:rsid w:val="00BB487D"/>
    <w:rsid w:val="00BC0CF6"/>
    <w:rsid w:val="00BC7385"/>
    <w:rsid w:val="00BD48C0"/>
    <w:rsid w:val="00BD61DC"/>
    <w:rsid w:val="00BD6608"/>
    <w:rsid w:val="00BE6589"/>
    <w:rsid w:val="00BF01AC"/>
    <w:rsid w:val="00BF0637"/>
    <w:rsid w:val="00BF2932"/>
    <w:rsid w:val="00BF3B12"/>
    <w:rsid w:val="00BF473F"/>
    <w:rsid w:val="00BF79B0"/>
    <w:rsid w:val="00C03794"/>
    <w:rsid w:val="00C10D21"/>
    <w:rsid w:val="00C16FB1"/>
    <w:rsid w:val="00C2081E"/>
    <w:rsid w:val="00C222E4"/>
    <w:rsid w:val="00C239C3"/>
    <w:rsid w:val="00C3289B"/>
    <w:rsid w:val="00C34F70"/>
    <w:rsid w:val="00C35547"/>
    <w:rsid w:val="00C355A2"/>
    <w:rsid w:val="00C36142"/>
    <w:rsid w:val="00C37AFA"/>
    <w:rsid w:val="00C42695"/>
    <w:rsid w:val="00C43F01"/>
    <w:rsid w:val="00C4592D"/>
    <w:rsid w:val="00C45E58"/>
    <w:rsid w:val="00C47A68"/>
    <w:rsid w:val="00C54490"/>
    <w:rsid w:val="00C57D9B"/>
    <w:rsid w:val="00C607F8"/>
    <w:rsid w:val="00C623EB"/>
    <w:rsid w:val="00C70E74"/>
    <w:rsid w:val="00C72318"/>
    <w:rsid w:val="00C723DD"/>
    <w:rsid w:val="00C84AEE"/>
    <w:rsid w:val="00C87174"/>
    <w:rsid w:val="00C978F3"/>
    <w:rsid w:val="00CA3F88"/>
    <w:rsid w:val="00CB5236"/>
    <w:rsid w:val="00CB7472"/>
    <w:rsid w:val="00CC079D"/>
    <w:rsid w:val="00CD1ECB"/>
    <w:rsid w:val="00CD5CB9"/>
    <w:rsid w:val="00CD7CE7"/>
    <w:rsid w:val="00CE208A"/>
    <w:rsid w:val="00CE4DBD"/>
    <w:rsid w:val="00CF6C24"/>
    <w:rsid w:val="00D00BC3"/>
    <w:rsid w:val="00D02A59"/>
    <w:rsid w:val="00D047A7"/>
    <w:rsid w:val="00D135AF"/>
    <w:rsid w:val="00D1692A"/>
    <w:rsid w:val="00D24BD1"/>
    <w:rsid w:val="00D3770B"/>
    <w:rsid w:val="00D42F34"/>
    <w:rsid w:val="00D538F8"/>
    <w:rsid w:val="00D539A6"/>
    <w:rsid w:val="00D53CD6"/>
    <w:rsid w:val="00D54CA8"/>
    <w:rsid w:val="00D55521"/>
    <w:rsid w:val="00D717EF"/>
    <w:rsid w:val="00D74DED"/>
    <w:rsid w:val="00D87157"/>
    <w:rsid w:val="00D9477E"/>
    <w:rsid w:val="00DA09BC"/>
    <w:rsid w:val="00DA1B8D"/>
    <w:rsid w:val="00DA61F6"/>
    <w:rsid w:val="00DB642A"/>
    <w:rsid w:val="00DC45CF"/>
    <w:rsid w:val="00DC5C8E"/>
    <w:rsid w:val="00DC5CF9"/>
    <w:rsid w:val="00DC7308"/>
    <w:rsid w:val="00DD08A6"/>
    <w:rsid w:val="00DD1002"/>
    <w:rsid w:val="00DD3EA6"/>
    <w:rsid w:val="00DD7769"/>
    <w:rsid w:val="00DE0B43"/>
    <w:rsid w:val="00DE11CD"/>
    <w:rsid w:val="00DE26CC"/>
    <w:rsid w:val="00DF7524"/>
    <w:rsid w:val="00E01F1C"/>
    <w:rsid w:val="00E054C9"/>
    <w:rsid w:val="00E05CBD"/>
    <w:rsid w:val="00E07959"/>
    <w:rsid w:val="00E11231"/>
    <w:rsid w:val="00E15A21"/>
    <w:rsid w:val="00E25B52"/>
    <w:rsid w:val="00E27755"/>
    <w:rsid w:val="00E27E46"/>
    <w:rsid w:val="00E33612"/>
    <w:rsid w:val="00E365DF"/>
    <w:rsid w:val="00E37D57"/>
    <w:rsid w:val="00E44445"/>
    <w:rsid w:val="00E447C1"/>
    <w:rsid w:val="00E47428"/>
    <w:rsid w:val="00E52688"/>
    <w:rsid w:val="00E61BA4"/>
    <w:rsid w:val="00E650B4"/>
    <w:rsid w:val="00E65BCC"/>
    <w:rsid w:val="00E676A5"/>
    <w:rsid w:val="00E70DF0"/>
    <w:rsid w:val="00E711CF"/>
    <w:rsid w:val="00E7245B"/>
    <w:rsid w:val="00E74A69"/>
    <w:rsid w:val="00E7653C"/>
    <w:rsid w:val="00E8317B"/>
    <w:rsid w:val="00E832BD"/>
    <w:rsid w:val="00E83C23"/>
    <w:rsid w:val="00E86DC3"/>
    <w:rsid w:val="00E94F21"/>
    <w:rsid w:val="00E97C96"/>
    <w:rsid w:val="00EA21FA"/>
    <w:rsid w:val="00EB0F79"/>
    <w:rsid w:val="00EB1960"/>
    <w:rsid w:val="00EB2FCC"/>
    <w:rsid w:val="00EB445F"/>
    <w:rsid w:val="00EB48AA"/>
    <w:rsid w:val="00EC25C7"/>
    <w:rsid w:val="00EC3D5C"/>
    <w:rsid w:val="00EC6A61"/>
    <w:rsid w:val="00ED168C"/>
    <w:rsid w:val="00ED2C08"/>
    <w:rsid w:val="00ED510D"/>
    <w:rsid w:val="00ED58DB"/>
    <w:rsid w:val="00ED7D52"/>
    <w:rsid w:val="00EE0269"/>
    <w:rsid w:val="00EF10FE"/>
    <w:rsid w:val="00EF2724"/>
    <w:rsid w:val="00EF3B76"/>
    <w:rsid w:val="00EF4285"/>
    <w:rsid w:val="00EF65EE"/>
    <w:rsid w:val="00F00CCF"/>
    <w:rsid w:val="00F01CD0"/>
    <w:rsid w:val="00F101B3"/>
    <w:rsid w:val="00F11061"/>
    <w:rsid w:val="00F126E6"/>
    <w:rsid w:val="00F16332"/>
    <w:rsid w:val="00F22690"/>
    <w:rsid w:val="00F23734"/>
    <w:rsid w:val="00F338E3"/>
    <w:rsid w:val="00F37937"/>
    <w:rsid w:val="00F41728"/>
    <w:rsid w:val="00F42447"/>
    <w:rsid w:val="00F43431"/>
    <w:rsid w:val="00F4517C"/>
    <w:rsid w:val="00F472E2"/>
    <w:rsid w:val="00F52C86"/>
    <w:rsid w:val="00F60712"/>
    <w:rsid w:val="00F60C32"/>
    <w:rsid w:val="00F62C7C"/>
    <w:rsid w:val="00F66491"/>
    <w:rsid w:val="00F7398E"/>
    <w:rsid w:val="00F74782"/>
    <w:rsid w:val="00F76C3F"/>
    <w:rsid w:val="00F80876"/>
    <w:rsid w:val="00FA330C"/>
    <w:rsid w:val="00FA4113"/>
    <w:rsid w:val="00FB169F"/>
    <w:rsid w:val="00FB4F54"/>
    <w:rsid w:val="00FB5809"/>
    <w:rsid w:val="00FB76FA"/>
    <w:rsid w:val="00FC03F9"/>
    <w:rsid w:val="00FC0440"/>
    <w:rsid w:val="00FC2B14"/>
    <w:rsid w:val="00FC39D2"/>
    <w:rsid w:val="00FC4C18"/>
    <w:rsid w:val="00FC5BE8"/>
    <w:rsid w:val="00FE3B91"/>
    <w:rsid w:val="00FE6EF0"/>
    <w:rsid w:val="00FF30BD"/>
    <w:rsid w:val="00FF39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FollowedHyperlink" w:uiPriority="99"/>
    <w:lsdException w:name="Strong" w:uiPriority="22"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978F3"/>
  </w:style>
  <w:style w:type="paragraph" w:styleId="Nadpis1">
    <w:name w:val="heading 1"/>
    <w:basedOn w:val="Normln"/>
    <w:next w:val="Normln"/>
    <w:link w:val="Nadpis1Char"/>
    <w:qFormat/>
    <w:rsid w:val="00C978F3"/>
    <w:pPr>
      <w:keepNext/>
      <w:outlineLvl w:val="0"/>
    </w:pPr>
    <w:rPr>
      <w:bCs/>
      <w:i/>
      <w:iCs/>
    </w:rPr>
  </w:style>
  <w:style w:type="paragraph" w:styleId="Nadpis2">
    <w:name w:val="heading 2"/>
    <w:basedOn w:val="Normln"/>
    <w:next w:val="Normln"/>
    <w:link w:val="Nadpis2Char"/>
    <w:qFormat/>
    <w:rsid w:val="00C978F3"/>
    <w:pPr>
      <w:keepNext/>
      <w:ind w:firstLine="360"/>
      <w:jc w:val="both"/>
      <w:outlineLvl w:val="1"/>
    </w:pPr>
    <w:rPr>
      <w:b/>
      <w:sz w:val="24"/>
    </w:rPr>
  </w:style>
  <w:style w:type="paragraph" w:styleId="Nadpis3">
    <w:name w:val="heading 3"/>
    <w:basedOn w:val="Normln"/>
    <w:next w:val="Normln"/>
    <w:link w:val="Nadpis3Char"/>
    <w:qFormat/>
    <w:rsid w:val="00C978F3"/>
    <w:pPr>
      <w:keepNext/>
      <w:outlineLvl w:val="2"/>
    </w:pPr>
    <w:rPr>
      <w:b/>
      <w:bCs/>
      <w:i/>
      <w:iCs/>
      <w:sz w:val="28"/>
    </w:rPr>
  </w:style>
  <w:style w:type="paragraph" w:styleId="Nadpis4">
    <w:name w:val="heading 4"/>
    <w:basedOn w:val="Normln"/>
    <w:next w:val="Normln"/>
    <w:link w:val="Nadpis4Char"/>
    <w:qFormat/>
    <w:rsid w:val="00C978F3"/>
    <w:pPr>
      <w:keepNext/>
      <w:numPr>
        <w:numId w:val="10"/>
      </w:numPr>
      <w:tabs>
        <w:tab w:val="clear" w:pos="1004"/>
      </w:tabs>
      <w:spacing w:after="120"/>
      <w:ind w:left="641" w:hanging="357"/>
      <w:outlineLvl w:val="3"/>
    </w:pPr>
    <w:rPr>
      <w:b/>
      <w:i/>
      <w:sz w:val="24"/>
    </w:rPr>
  </w:style>
  <w:style w:type="paragraph" w:styleId="Nadpis5">
    <w:name w:val="heading 5"/>
    <w:basedOn w:val="Normln"/>
    <w:next w:val="Normln"/>
    <w:link w:val="Nadpis5Char"/>
    <w:qFormat/>
    <w:rsid w:val="00C978F3"/>
    <w:pPr>
      <w:keepNext/>
      <w:spacing w:after="120"/>
      <w:jc w:val="both"/>
      <w:outlineLvl w:val="4"/>
    </w:pPr>
    <w:rPr>
      <w:b/>
      <w:i/>
      <w:sz w:val="24"/>
    </w:rPr>
  </w:style>
  <w:style w:type="paragraph" w:styleId="Nadpis6">
    <w:name w:val="heading 6"/>
    <w:basedOn w:val="Normln"/>
    <w:next w:val="Normln"/>
    <w:link w:val="Nadpis6Char"/>
    <w:qFormat/>
    <w:rsid w:val="00C978F3"/>
    <w:pPr>
      <w:keepNext/>
      <w:outlineLvl w:val="5"/>
    </w:pPr>
    <w:rPr>
      <w:b/>
      <w:i/>
      <w:sz w:val="24"/>
    </w:rPr>
  </w:style>
  <w:style w:type="paragraph" w:styleId="Nadpis7">
    <w:name w:val="heading 7"/>
    <w:basedOn w:val="Normln"/>
    <w:next w:val="Normln"/>
    <w:link w:val="Nadpis7Char"/>
    <w:qFormat/>
    <w:rsid w:val="00C978F3"/>
    <w:pPr>
      <w:keepNext/>
      <w:tabs>
        <w:tab w:val="left" w:pos="284"/>
      </w:tabs>
      <w:ind w:right="-448"/>
      <w:outlineLvl w:val="6"/>
    </w:pPr>
    <w:rPr>
      <w:b/>
      <w:i/>
      <w:sz w:val="28"/>
    </w:rPr>
  </w:style>
  <w:style w:type="paragraph" w:styleId="Nadpis8">
    <w:name w:val="heading 8"/>
    <w:basedOn w:val="Normln"/>
    <w:next w:val="Normln"/>
    <w:link w:val="Nadpis8Char"/>
    <w:qFormat/>
    <w:rsid w:val="00C978F3"/>
    <w:pPr>
      <w:keepNext/>
      <w:outlineLvl w:val="7"/>
    </w:pPr>
    <w:rPr>
      <w:b/>
      <w:bCs/>
      <w:sz w:val="24"/>
    </w:rPr>
  </w:style>
  <w:style w:type="paragraph" w:styleId="Nadpis9">
    <w:name w:val="heading 9"/>
    <w:basedOn w:val="Normln"/>
    <w:next w:val="Normln"/>
    <w:link w:val="Nadpis9Char"/>
    <w:qFormat/>
    <w:rsid w:val="00C978F3"/>
    <w:pPr>
      <w:keepNext/>
      <w:jc w:val="both"/>
      <w:outlineLvl w:val="8"/>
    </w:pPr>
    <w:rPr>
      <w:b/>
      <w: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azen">
    <w:name w:val="odsazení"/>
    <w:basedOn w:val="Normln"/>
    <w:link w:val="odsazenChar"/>
    <w:rsid w:val="00C978F3"/>
    <w:pPr>
      <w:numPr>
        <w:numId w:val="2"/>
      </w:numPr>
      <w:jc w:val="both"/>
    </w:pPr>
    <w:rPr>
      <w:sz w:val="24"/>
    </w:rPr>
  </w:style>
  <w:style w:type="paragraph" w:styleId="Zkladntextodsazen">
    <w:name w:val="Body Text Indent"/>
    <w:basedOn w:val="Normln"/>
    <w:link w:val="ZkladntextodsazenChar"/>
    <w:rsid w:val="00C978F3"/>
    <w:pPr>
      <w:ind w:firstLine="709"/>
      <w:jc w:val="both"/>
    </w:pPr>
    <w:rPr>
      <w:sz w:val="24"/>
    </w:rPr>
  </w:style>
  <w:style w:type="paragraph" w:styleId="Zhlav">
    <w:name w:val="header"/>
    <w:basedOn w:val="Normln"/>
    <w:link w:val="ZhlavChar"/>
    <w:rsid w:val="00C978F3"/>
    <w:pPr>
      <w:tabs>
        <w:tab w:val="center" w:pos="4536"/>
        <w:tab w:val="right" w:pos="9072"/>
      </w:tabs>
    </w:pPr>
  </w:style>
  <w:style w:type="paragraph" w:styleId="Zpat">
    <w:name w:val="footer"/>
    <w:basedOn w:val="Normln"/>
    <w:link w:val="ZpatChar"/>
    <w:rsid w:val="00C978F3"/>
    <w:pPr>
      <w:tabs>
        <w:tab w:val="center" w:pos="4536"/>
        <w:tab w:val="right" w:pos="9072"/>
      </w:tabs>
    </w:pPr>
  </w:style>
  <w:style w:type="paragraph" w:customStyle="1" w:styleId="dka">
    <w:name w:val="Řádka"/>
    <w:rsid w:val="00C978F3"/>
    <w:pPr>
      <w:widowControl w:val="0"/>
    </w:pPr>
    <w:rPr>
      <w:snapToGrid w:val="0"/>
      <w:color w:val="000000"/>
      <w:sz w:val="24"/>
    </w:rPr>
  </w:style>
  <w:style w:type="paragraph" w:customStyle="1" w:styleId="Texttabulky">
    <w:name w:val="Text tabulky"/>
    <w:rsid w:val="00C978F3"/>
    <w:pPr>
      <w:widowControl w:val="0"/>
    </w:pPr>
    <w:rPr>
      <w:snapToGrid w:val="0"/>
      <w:color w:val="000000"/>
      <w:sz w:val="24"/>
    </w:rPr>
  </w:style>
  <w:style w:type="character" w:styleId="slostrnky">
    <w:name w:val="page number"/>
    <w:basedOn w:val="Standardnpsmoodstavce"/>
    <w:rsid w:val="00C978F3"/>
  </w:style>
  <w:style w:type="paragraph" w:customStyle="1" w:styleId="Znaka">
    <w:name w:val="Značka"/>
    <w:rsid w:val="00C978F3"/>
    <w:pPr>
      <w:widowControl w:val="0"/>
      <w:ind w:left="289"/>
      <w:jc w:val="both"/>
    </w:pPr>
    <w:rPr>
      <w:snapToGrid w:val="0"/>
      <w:color w:val="000000"/>
      <w:sz w:val="24"/>
    </w:rPr>
  </w:style>
  <w:style w:type="character" w:styleId="Hypertextovodkaz">
    <w:name w:val="Hyperlink"/>
    <w:basedOn w:val="Standardnpsmoodstavce"/>
    <w:rsid w:val="00C978F3"/>
    <w:rPr>
      <w:color w:val="0000FF"/>
      <w:u w:val="single"/>
    </w:rPr>
  </w:style>
  <w:style w:type="paragraph" w:customStyle="1" w:styleId="Znaka1">
    <w:name w:val="Značka 1"/>
    <w:rsid w:val="00C978F3"/>
    <w:pPr>
      <w:widowControl w:val="0"/>
      <w:ind w:left="289"/>
      <w:jc w:val="both"/>
    </w:pPr>
    <w:rPr>
      <w:snapToGrid w:val="0"/>
      <w:color w:val="000000"/>
      <w:sz w:val="24"/>
    </w:rPr>
  </w:style>
  <w:style w:type="paragraph" w:styleId="Titulek">
    <w:name w:val="caption"/>
    <w:basedOn w:val="Normln"/>
    <w:next w:val="Normln"/>
    <w:qFormat/>
    <w:rsid w:val="00C978F3"/>
    <w:rPr>
      <w:b/>
      <w:bCs/>
      <w:sz w:val="24"/>
    </w:rPr>
  </w:style>
  <w:style w:type="paragraph" w:styleId="Zkladntext">
    <w:name w:val="Body Text"/>
    <w:aliases w:val="Základní text Char Char Char Char Char Char Char Char Char Char Char Char Char Char Char"/>
    <w:basedOn w:val="Normln"/>
    <w:link w:val="ZkladntextChar"/>
    <w:rsid w:val="00C978F3"/>
    <w:pPr>
      <w:spacing w:after="120"/>
    </w:pPr>
  </w:style>
  <w:style w:type="paragraph" w:customStyle="1" w:styleId="zkladn">
    <w:name w:val="základní"/>
    <w:basedOn w:val="Normln"/>
    <w:rsid w:val="00C978F3"/>
    <w:pPr>
      <w:numPr>
        <w:numId w:val="1"/>
      </w:numPr>
      <w:spacing w:before="120"/>
      <w:jc w:val="both"/>
    </w:pPr>
    <w:rPr>
      <w:sz w:val="24"/>
    </w:rPr>
  </w:style>
  <w:style w:type="paragraph" w:styleId="Zkladntext3">
    <w:name w:val="Body Text 3"/>
    <w:basedOn w:val="Normln"/>
    <w:link w:val="Zkladntext3Char"/>
    <w:rsid w:val="00C978F3"/>
    <w:pPr>
      <w:jc w:val="center"/>
    </w:pPr>
    <w:rPr>
      <w:b/>
      <w:i/>
      <w:sz w:val="18"/>
    </w:rPr>
  </w:style>
  <w:style w:type="paragraph" w:styleId="Zkladntext2">
    <w:name w:val="Body Text 2"/>
    <w:basedOn w:val="Normln"/>
    <w:link w:val="Zkladntext2Char"/>
    <w:rsid w:val="00C978F3"/>
    <w:rPr>
      <w:sz w:val="24"/>
    </w:rPr>
  </w:style>
  <w:style w:type="paragraph" w:styleId="Zkladntextodsazen2">
    <w:name w:val="Body Text Indent 2"/>
    <w:basedOn w:val="Normln"/>
    <w:link w:val="Zkladntextodsazen2Char"/>
    <w:rsid w:val="00C978F3"/>
    <w:pPr>
      <w:ind w:left="2198"/>
    </w:pPr>
    <w:rPr>
      <w:sz w:val="24"/>
    </w:rPr>
  </w:style>
  <w:style w:type="character" w:customStyle="1" w:styleId="odsazenChar">
    <w:name w:val="odsazení Char"/>
    <w:basedOn w:val="Standardnpsmoodstavce"/>
    <w:link w:val="odsazen"/>
    <w:rsid w:val="00FF30BD"/>
    <w:rPr>
      <w:sz w:val="24"/>
    </w:rPr>
  </w:style>
  <w:style w:type="paragraph" w:styleId="Textbubliny">
    <w:name w:val="Balloon Text"/>
    <w:basedOn w:val="Normln"/>
    <w:link w:val="TextbublinyChar"/>
    <w:rsid w:val="002225D0"/>
    <w:rPr>
      <w:rFonts w:ascii="Tahoma" w:hAnsi="Tahoma" w:cs="Tahoma"/>
      <w:sz w:val="16"/>
      <w:szCs w:val="16"/>
    </w:rPr>
  </w:style>
  <w:style w:type="character" w:customStyle="1" w:styleId="Nadpis1Char">
    <w:name w:val="Nadpis 1 Char"/>
    <w:basedOn w:val="Standardnpsmoodstavce"/>
    <w:link w:val="Nadpis1"/>
    <w:rsid w:val="0001134A"/>
    <w:rPr>
      <w:bCs/>
      <w:i/>
      <w:iCs/>
    </w:rPr>
  </w:style>
  <w:style w:type="character" w:customStyle="1" w:styleId="Nadpis2Char">
    <w:name w:val="Nadpis 2 Char"/>
    <w:basedOn w:val="Standardnpsmoodstavce"/>
    <w:link w:val="Nadpis2"/>
    <w:rsid w:val="0001134A"/>
    <w:rPr>
      <w:b/>
      <w:sz w:val="24"/>
    </w:rPr>
  </w:style>
  <w:style w:type="character" w:customStyle="1" w:styleId="Nadpis3Char">
    <w:name w:val="Nadpis 3 Char"/>
    <w:basedOn w:val="Standardnpsmoodstavce"/>
    <w:link w:val="Nadpis3"/>
    <w:rsid w:val="0001134A"/>
    <w:rPr>
      <w:b/>
      <w:bCs/>
      <w:i/>
      <w:iCs/>
      <w:sz w:val="28"/>
    </w:rPr>
  </w:style>
  <w:style w:type="character" w:customStyle="1" w:styleId="Nadpis4Char">
    <w:name w:val="Nadpis 4 Char"/>
    <w:basedOn w:val="Standardnpsmoodstavce"/>
    <w:link w:val="Nadpis4"/>
    <w:rsid w:val="0001134A"/>
    <w:rPr>
      <w:b/>
      <w:i/>
      <w:sz w:val="24"/>
    </w:rPr>
  </w:style>
  <w:style w:type="character" w:customStyle="1" w:styleId="Nadpis5Char">
    <w:name w:val="Nadpis 5 Char"/>
    <w:basedOn w:val="Standardnpsmoodstavce"/>
    <w:link w:val="Nadpis5"/>
    <w:rsid w:val="0001134A"/>
    <w:rPr>
      <w:b/>
      <w:i/>
      <w:sz w:val="24"/>
    </w:rPr>
  </w:style>
  <w:style w:type="character" w:customStyle="1" w:styleId="Nadpis6Char">
    <w:name w:val="Nadpis 6 Char"/>
    <w:basedOn w:val="Standardnpsmoodstavce"/>
    <w:link w:val="Nadpis6"/>
    <w:rsid w:val="0001134A"/>
    <w:rPr>
      <w:b/>
      <w:i/>
      <w:sz w:val="24"/>
    </w:rPr>
  </w:style>
  <w:style w:type="character" w:customStyle="1" w:styleId="Nadpis7Char">
    <w:name w:val="Nadpis 7 Char"/>
    <w:basedOn w:val="Standardnpsmoodstavce"/>
    <w:link w:val="Nadpis7"/>
    <w:rsid w:val="0001134A"/>
    <w:rPr>
      <w:b/>
      <w:i/>
      <w:sz w:val="28"/>
    </w:rPr>
  </w:style>
  <w:style w:type="character" w:customStyle="1" w:styleId="Nadpis8Char">
    <w:name w:val="Nadpis 8 Char"/>
    <w:basedOn w:val="Standardnpsmoodstavce"/>
    <w:link w:val="Nadpis8"/>
    <w:rsid w:val="0001134A"/>
    <w:rPr>
      <w:b/>
      <w:bCs/>
      <w:sz w:val="24"/>
    </w:rPr>
  </w:style>
  <w:style w:type="character" w:customStyle="1" w:styleId="Nadpis9Char">
    <w:name w:val="Nadpis 9 Char"/>
    <w:basedOn w:val="Standardnpsmoodstavce"/>
    <w:link w:val="Nadpis9"/>
    <w:rsid w:val="0001134A"/>
    <w:rPr>
      <w:b/>
      <w:i/>
      <w:sz w:val="24"/>
    </w:rPr>
  </w:style>
  <w:style w:type="character" w:customStyle="1" w:styleId="ZkladntextodsazenChar">
    <w:name w:val="Základní text odsazený Char"/>
    <w:basedOn w:val="Standardnpsmoodstavce"/>
    <w:link w:val="Zkladntextodsazen"/>
    <w:rsid w:val="0001134A"/>
    <w:rPr>
      <w:sz w:val="24"/>
    </w:rPr>
  </w:style>
  <w:style w:type="character" w:customStyle="1" w:styleId="ZhlavChar">
    <w:name w:val="Záhlaví Char"/>
    <w:basedOn w:val="Standardnpsmoodstavce"/>
    <w:link w:val="Zhlav"/>
    <w:rsid w:val="0001134A"/>
  </w:style>
  <w:style w:type="character" w:customStyle="1" w:styleId="ZpatChar">
    <w:name w:val="Zápatí Char"/>
    <w:basedOn w:val="Standardnpsmoodstavce"/>
    <w:link w:val="Zpat"/>
    <w:rsid w:val="0001134A"/>
  </w:style>
  <w:style w:type="character" w:customStyle="1" w:styleId="ZkladntextChar">
    <w:name w:val="Základní text Char"/>
    <w:aliases w:val="Základní text Char Char Char Char Char Char Char Char Char Char Char Char Char Char Char Char"/>
    <w:basedOn w:val="Standardnpsmoodstavce"/>
    <w:link w:val="Zkladntext"/>
    <w:rsid w:val="0001134A"/>
  </w:style>
  <w:style w:type="character" w:customStyle="1" w:styleId="Zkladntext3Char">
    <w:name w:val="Základní text 3 Char"/>
    <w:basedOn w:val="Standardnpsmoodstavce"/>
    <w:link w:val="Zkladntext3"/>
    <w:rsid w:val="0001134A"/>
    <w:rPr>
      <w:b/>
      <w:i/>
      <w:sz w:val="18"/>
    </w:rPr>
  </w:style>
  <w:style w:type="character" w:customStyle="1" w:styleId="Zkladntext2Char">
    <w:name w:val="Základní text 2 Char"/>
    <w:basedOn w:val="Standardnpsmoodstavce"/>
    <w:link w:val="Zkladntext2"/>
    <w:rsid w:val="0001134A"/>
    <w:rPr>
      <w:sz w:val="24"/>
    </w:rPr>
  </w:style>
  <w:style w:type="character" w:customStyle="1" w:styleId="Zkladntextodsazen2Char">
    <w:name w:val="Základní text odsazený 2 Char"/>
    <w:basedOn w:val="Standardnpsmoodstavce"/>
    <w:link w:val="Zkladntextodsazen2"/>
    <w:rsid w:val="0001134A"/>
    <w:rPr>
      <w:sz w:val="24"/>
    </w:rPr>
  </w:style>
  <w:style w:type="character" w:customStyle="1" w:styleId="TextbublinyChar">
    <w:name w:val="Text bubliny Char"/>
    <w:basedOn w:val="Standardnpsmoodstavce"/>
    <w:link w:val="Textbubliny"/>
    <w:rsid w:val="0001134A"/>
    <w:rPr>
      <w:rFonts w:ascii="Tahoma" w:hAnsi="Tahoma" w:cs="Tahoma"/>
      <w:sz w:val="16"/>
      <w:szCs w:val="16"/>
    </w:rPr>
  </w:style>
  <w:style w:type="paragraph" w:customStyle="1" w:styleId="nadpis10">
    <w:name w:val="nadpis1"/>
    <w:basedOn w:val="Zhlav"/>
    <w:link w:val="nadpis1Char0"/>
    <w:rsid w:val="0001134A"/>
    <w:pPr>
      <w:widowControl w:val="0"/>
      <w:tabs>
        <w:tab w:val="clear" w:pos="4536"/>
        <w:tab w:val="clear" w:pos="9072"/>
      </w:tabs>
      <w:spacing w:before="120"/>
    </w:pPr>
    <w:rPr>
      <w:b/>
      <w:i/>
      <w:snapToGrid w:val="0"/>
      <w:color w:val="000000"/>
      <w:sz w:val="24"/>
    </w:rPr>
  </w:style>
  <w:style w:type="character" w:customStyle="1" w:styleId="nadpis1Char0">
    <w:name w:val="nadpis1 Char"/>
    <w:link w:val="nadpis10"/>
    <w:rsid w:val="0001134A"/>
    <w:rPr>
      <w:b/>
      <w:i/>
      <w:snapToGrid w:val="0"/>
      <w:color w:val="000000"/>
      <w:sz w:val="24"/>
    </w:rPr>
  </w:style>
  <w:style w:type="paragraph" w:customStyle="1" w:styleId="Fous">
    <w:name w:val="Fous"/>
    <w:basedOn w:val="Normln"/>
    <w:link w:val="FousChar"/>
    <w:rsid w:val="0001134A"/>
    <w:pPr>
      <w:numPr>
        <w:numId w:val="11"/>
      </w:numPr>
      <w:spacing w:after="120"/>
      <w:jc w:val="both"/>
    </w:pPr>
    <w:rPr>
      <w:sz w:val="22"/>
    </w:rPr>
  </w:style>
  <w:style w:type="character" w:customStyle="1" w:styleId="FousChar">
    <w:name w:val="Fous Char"/>
    <w:link w:val="Fous"/>
    <w:rsid w:val="0001134A"/>
    <w:rPr>
      <w:sz w:val="22"/>
    </w:rPr>
  </w:style>
  <w:style w:type="paragraph" w:styleId="Odstavecseseznamem">
    <w:name w:val="List Paragraph"/>
    <w:basedOn w:val="Normln"/>
    <w:uiPriority w:val="34"/>
    <w:qFormat/>
    <w:rsid w:val="0001134A"/>
    <w:pPr>
      <w:ind w:left="720"/>
      <w:contextualSpacing/>
    </w:pPr>
  </w:style>
  <w:style w:type="paragraph" w:styleId="Zkladntextodsazen3">
    <w:name w:val="Body Text Indent 3"/>
    <w:basedOn w:val="Normln"/>
    <w:link w:val="Zkladntextodsazen3Char"/>
    <w:rsid w:val="0001134A"/>
    <w:pPr>
      <w:spacing w:after="120"/>
      <w:ind w:left="283"/>
    </w:pPr>
    <w:rPr>
      <w:sz w:val="16"/>
      <w:szCs w:val="16"/>
    </w:rPr>
  </w:style>
  <w:style w:type="character" w:customStyle="1" w:styleId="Zkladntextodsazen3Char">
    <w:name w:val="Základní text odsazený 3 Char"/>
    <w:basedOn w:val="Standardnpsmoodstavce"/>
    <w:link w:val="Zkladntextodsazen3"/>
    <w:rsid w:val="0001134A"/>
    <w:rPr>
      <w:sz w:val="16"/>
      <w:szCs w:val="16"/>
    </w:rPr>
  </w:style>
  <w:style w:type="paragraph" w:customStyle="1" w:styleId="Pata">
    <w:name w:val="Pata"/>
    <w:rsid w:val="0001134A"/>
    <w:pPr>
      <w:widowControl w:val="0"/>
    </w:pPr>
    <w:rPr>
      <w:snapToGrid w:val="0"/>
      <w:color w:val="000000"/>
      <w:sz w:val="24"/>
    </w:rPr>
  </w:style>
  <w:style w:type="character" w:customStyle="1" w:styleId="okbasic11">
    <w:name w:val="okbasic11"/>
    <w:basedOn w:val="Standardnpsmoodstavce"/>
    <w:rsid w:val="0001134A"/>
  </w:style>
  <w:style w:type="character" w:styleId="Sledovanodkaz">
    <w:name w:val="FollowedHyperlink"/>
    <w:uiPriority w:val="99"/>
    <w:rsid w:val="0001134A"/>
    <w:rPr>
      <w:color w:val="800080"/>
      <w:u w:val="single"/>
    </w:rPr>
  </w:style>
  <w:style w:type="paragraph" w:customStyle="1" w:styleId="poznmka">
    <w:name w:val="poznámka"/>
    <w:basedOn w:val="Normln"/>
    <w:link w:val="poznmkaChar"/>
    <w:rsid w:val="0001134A"/>
    <w:pPr>
      <w:ind w:left="340" w:hanging="340"/>
      <w:jc w:val="both"/>
    </w:pPr>
    <w:rPr>
      <w:rFonts w:ascii="Arial" w:hAnsi="Arial"/>
      <w:i/>
      <w:sz w:val="18"/>
    </w:rPr>
  </w:style>
  <w:style w:type="character" w:customStyle="1" w:styleId="poznmkaChar">
    <w:name w:val="poznámka Char"/>
    <w:link w:val="poznmka"/>
    <w:rsid w:val="0001134A"/>
    <w:rPr>
      <w:rFonts w:ascii="Arial" w:hAnsi="Arial"/>
      <w:i/>
      <w:sz w:val="18"/>
    </w:rPr>
  </w:style>
  <w:style w:type="table" w:styleId="Mkatabulky">
    <w:name w:val="Table Grid"/>
    <w:basedOn w:val="Normlntabulka"/>
    <w:rsid w:val="00011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2">
    <w:name w:val="text_tab2"/>
    <w:basedOn w:val="Normln"/>
    <w:rsid w:val="0001134A"/>
    <w:pPr>
      <w:spacing w:before="20"/>
      <w:jc w:val="right"/>
    </w:pPr>
    <w:rPr>
      <w:sz w:val="22"/>
    </w:rPr>
  </w:style>
  <w:style w:type="paragraph" w:styleId="Rozloendokumentu">
    <w:name w:val="Document Map"/>
    <w:basedOn w:val="Normln"/>
    <w:link w:val="RozloendokumentuChar"/>
    <w:rsid w:val="0001134A"/>
    <w:pPr>
      <w:shd w:val="clear" w:color="auto" w:fill="000080"/>
    </w:pPr>
    <w:rPr>
      <w:rFonts w:ascii="Tahoma" w:hAnsi="Tahoma" w:cs="Tahoma"/>
    </w:rPr>
  </w:style>
  <w:style w:type="character" w:customStyle="1" w:styleId="RozloendokumentuChar">
    <w:name w:val="Rozložení dokumentu Char"/>
    <w:basedOn w:val="Standardnpsmoodstavce"/>
    <w:link w:val="Rozloendokumentu"/>
    <w:rsid w:val="0001134A"/>
    <w:rPr>
      <w:rFonts w:ascii="Tahoma" w:hAnsi="Tahoma" w:cs="Tahoma"/>
      <w:shd w:val="clear" w:color="auto" w:fill="000080"/>
    </w:rPr>
  </w:style>
  <w:style w:type="character" w:styleId="Siln">
    <w:name w:val="Strong"/>
    <w:basedOn w:val="Standardnpsmoodstavce"/>
    <w:uiPriority w:val="22"/>
    <w:qFormat/>
    <w:rsid w:val="00922E13"/>
    <w:rPr>
      <w:b/>
      <w:bCs/>
    </w:rPr>
  </w:style>
  <w:style w:type="character" w:styleId="Zvraznn">
    <w:name w:val="Emphasis"/>
    <w:uiPriority w:val="20"/>
    <w:qFormat/>
    <w:rsid w:val="00922E13"/>
    <w:rPr>
      <w:i/>
      <w:iCs/>
    </w:rPr>
  </w:style>
  <w:style w:type="paragraph" w:styleId="Normlnweb">
    <w:name w:val="Normal (Web)"/>
    <w:basedOn w:val="Normln"/>
    <w:rsid w:val="002F0CE8"/>
    <w:pPr>
      <w:spacing w:after="100"/>
    </w:pPr>
    <w:rPr>
      <w:sz w:val="24"/>
      <w:szCs w:val="24"/>
    </w:rPr>
  </w:style>
  <w:style w:type="paragraph" w:styleId="Prosttext">
    <w:name w:val="Plain Text"/>
    <w:basedOn w:val="Normln"/>
    <w:link w:val="ProsttextChar"/>
    <w:uiPriority w:val="99"/>
    <w:unhideWhenUsed/>
    <w:rsid w:val="00FC2B14"/>
    <w:rPr>
      <w:rFonts w:ascii="Consolas" w:eastAsiaTheme="minorHAnsi" w:hAnsi="Consolas" w:cs="Consolas"/>
      <w:sz w:val="21"/>
      <w:szCs w:val="21"/>
      <w:lang w:eastAsia="en-US"/>
    </w:rPr>
  </w:style>
  <w:style w:type="character" w:customStyle="1" w:styleId="ProsttextChar">
    <w:name w:val="Prostý text Char"/>
    <w:basedOn w:val="Standardnpsmoodstavce"/>
    <w:link w:val="Prosttext"/>
    <w:uiPriority w:val="99"/>
    <w:rsid w:val="00FC2B14"/>
    <w:rPr>
      <w:rFonts w:ascii="Consolas" w:eastAsiaTheme="minorHAnsi" w:hAnsi="Consolas" w:cs="Consolas"/>
      <w:sz w:val="21"/>
      <w:szCs w:val="21"/>
      <w:lang w:eastAsia="en-US"/>
    </w:rPr>
  </w:style>
  <w:style w:type="character" w:customStyle="1" w:styleId="tsubjname">
    <w:name w:val="tsubjname"/>
    <w:basedOn w:val="Standardnpsmoodstavce"/>
    <w:rsid w:val="00027A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FollowedHyperlink" w:uiPriority="99"/>
    <w:lsdException w:name="Strong" w:uiPriority="22"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978F3"/>
  </w:style>
  <w:style w:type="paragraph" w:styleId="Nadpis1">
    <w:name w:val="heading 1"/>
    <w:basedOn w:val="Normln"/>
    <w:next w:val="Normln"/>
    <w:link w:val="Nadpis1Char"/>
    <w:qFormat/>
    <w:rsid w:val="00C978F3"/>
    <w:pPr>
      <w:keepNext/>
      <w:outlineLvl w:val="0"/>
    </w:pPr>
    <w:rPr>
      <w:bCs/>
      <w:i/>
      <w:iCs/>
    </w:rPr>
  </w:style>
  <w:style w:type="paragraph" w:styleId="Nadpis2">
    <w:name w:val="heading 2"/>
    <w:basedOn w:val="Normln"/>
    <w:next w:val="Normln"/>
    <w:link w:val="Nadpis2Char"/>
    <w:qFormat/>
    <w:rsid w:val="00C978F3"/>
    <w:pPr>
      <w:keepNext/>
      <w:ind w:firstLine="360"/>
      <w:jc w:val="both"/>
      <w:outlineLvl w:val="1"/>
    </w:pPr>
    <w:rPr>
      <w:b/>
      <w:sz w:val="24"/>
    </w:rPr>
  </w:style>
  <w:style w:type="paragraph" w:styleId="Nadpis3">
    <w:name w:val="heading 3"/>
    <w:basedOn w:val="Normln"/>
    <w:next w:val="Normln"/>
    <w:link w:val="Nadpis3Char"/>
    <w:qFormat/>
    <w:rsid w:val="00C978F3"/>
    <w:pPr>
      <w:keepNext/>
      <w:outlineLvl w:val="2"/>
    </w:pPr>
    <w:rPr>
      <w:b/>
      <w:bCs/>
      <w:i/>
      <w:iCs/>
      <w:sz w:val="28"/>
    </w:rPr>
  </w:style>
  <w:style w:type="paragraph" w:styleId="Nadpis4">
    <w:name w:val="heading 4"/>
    <w:basedOn w:val="Normln"/>
    <w:next w:val="Normln"/>
    <w:link w:val="Nadpis4Char"/>
    <w:qFormat/>
    <w:rsid w:val="00C978F3"/>
    <w:pPr>
      <w:keepNext/>
      <w:numPr>
        <w:numId w:val="10"/>
      </w:numPr>
      <w:tabs>
        <w:tab w:val="clear" w:pos="1004"/>
      </w:tabs>
      <w:spacing w:after="120"/>
      <w:ind w:left="641" w:hanging="357"/>
      <w:outlineLvl w:val="3"/>
    </w:pPr>
    <w:rPr>
      <w:b/>
      <w:i/>
      <w:sz w:val="24"/>
    </w:rPr>
  </w:style>
  <w:style w:type="paragraph" w:styleId="Nadpis5">
    <w:name w:val="heading 5"/>
    <w:basedOn w:val="Normln"/>
    <w:next w:val="Normln"/>
    <w:link w:val="Nadpis5Char"/>
    <w:qFormat/>
    <w:rsid w:val="00C978F3"/>
    <w:pPr>
      <w:keepNext/>
      <w:spacing w:after="120"/>
      <w:jc w:val="both"/>
      <w:outlineLvl w:val="4"/>
    </w:pPr>
    <w:rPr>
      <w:b/>
      <w:i/>
      <w:sz w:val="24"/>
    </w:rPr>
  </w:style>
  <w:style w:type="paragraph" w:styleId="Nadpis6">
    <w:name w:val="heading 6"/>
    <w:basedOn w:val="Normln"/>
    <w:next w:val="Normln"/>
    <w:link w:val="Nadpis6Char"/>
    <w:qFormat/>
    <w:rsid w:val="00C978F3"/>
    <w:pPr>
      <w:keepNext/>
      <w:outlineLvl w:val="5"/>
    </w:pPr>
    <w:rPr>
      <w:b/>
      <w:i/>
      <w:sz w:val="24"/>
    </w:rPr>
  </w:style>
  <w:style w:type="paragraph" w:styleId="Nadpis7">
    <w:name w:val="heading 7"/>
    <w:basedOn w:val="Normln"/>
    <w:next w:val="Normln"/>
    <w:link w:val="Nadpis7Char"/>
    <w:qFormat/>
    <w:rsid w:val="00C978F3"/>
    <w:pPr>
      <w:keepNext/>
      <w:tabs>
        <w:tab w:val="left" w:pos="284"/>
      </w:tabs>
      <w:ind w:right="-448"/>
      <w:outlineLvl w:val="6"/>
    </w:pPr>
    <w:rPr>
      <w:b/>
      <w:i/>
      <w:sz w:val="28"/>
    </w:rPr>
  </w:style>
  <w:style w:type="paragraph" w:styleId="Nadpis8">
    <w:name w:val="heading 8"/>
    <w:basedOn w:val="Normln"/>
    <w:next w:val="Normln"/>
    <w:link w:val="Nadpis8Char"/>
    <w:qFormat/>
    <w:rsid w:val="00C978F3"/>
    <w:pPr>
      <w:keepNext/>
      <w:outlineLvl w:val="7"/>
    </w:pPr>
    <w:rPr>
      <w:b/>
      <w:bCs/>
      <w:sz w:val="24"/>
    </w:rPr>
  </w:style>
  <w:style w:type="paragraph" w:styleId="Nadpis9">
    <w:name w:val="heading 9"/>
    <w:basedOn w:val="Normln"/>
    <w:next w:val="Normln"/>
    <w:link w:val="Nadpis9Char"/>
    <w:qFormat/>
    <w:rsid w:val="00C978F3"/>
    <w:pPr>
      <w:keepNext/>
      <w:jc w:val="both"/>
      <w:outlineLvl w:val="8"/>
    </w:pPr>
    <w:rPr>
      <w:b/>
      <w:i/>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azen">
    <w:name w:val="odsazení"/>
    <w:basedOn w:val="Normln"/>
    <w:link w:val="odsazenChar"/>
    <w:rsid w:val="00C978F3"/>
    <w:pPr>
      <w:numPr>
        <w:numId w:val="2"/>
      </w:numPr>
      <w:jc w:val="both"/>
    </w:pPr>
    <w:rPr>
      <w:sz w:val="24"/>
    </w:rPr>
  </w:style>
  <w:style w:type="paragraph" w:styleId="Zkladntextodsazen">
    <w:name w:val="Body Text Indent"/>
    <w:basedOn w:val="Normln"/>
    <w:link w:val="ZkladntextodsazenChar"/>
    <w:rsid w:val="00C978F3"/>
    <w:pPr>
      <w:ind w:firstLine="709"/>
      <w:jc w:val="both"/>
    </w:pPr>
    <w:rPr>
      <w:sz w:val="24"/>
    </w:rPr>
  </w:style>
  <w:style w:type="paragraph" w:styleId="Zhlav">
    <w:name w:val="header"/>
    <w:basedOn w:val="Normln"/>
    <w:link w:val="ZhlavChar"/>
    <w:rsid w:val="00C978F3"/>
    <w:pPr>
      <w:tabs>
        <w:tab w:val="center" w:pos="4536"/>
        <w:tab w:val="right" w:pos="9072"/>
      </w:tabs>
    </w:pPr>
  </w:style>
  <w:style w:type="paragraph" w:styleId="Zpat">
    <w:name w:val="footer"/>
    <w:basedOn w:val="Normln"/>
    <w:link w:val="ZpatChar"/>
    <w:rsid w:val="00C978F3"/>
    <w:pPr>
      <w:tabs>
        <w:tab w:val="center" w:pos="4536"/>
        <w:tab w:val="right" w:pos="9072"/>
      </w:tabs>
    </w:pPr>
  </w:style>
  <w:style w:type="paragraph" w:customStyle="1" w:styleId="dka">
    <w:name w:val="Řádka"/>
    <w:rsid w:val="00C978F3"/>
    <w:pPr>
      <w:widowControl w:val="0"/>
    </w:pPr>
    <w:rPr>
      <w:snapToGrid w:val="0"/>
      <w:color w:val="000000"/>
      <w:sz w:val="24"/>
    </w:rPr>
  </w:style>
  <w:style w:type="paragraph" w:customStyle="1" w:styleId="Texttabulky">
    <w:name w:val="Text tabulky"/>
    <w:rsid w:val="00C978F3"/>
    <w:pPr>
      <w:widowControl w:val="0"/>
    </w:pPr>
    <w:rPr>
      <w:snapToGrid w:val="0"/>
      <w:color w:val="000000"/>
      <w:sz w:val="24"/>
    </w:rPr>
  </w:style>
  <w:style w:type="character" w:styleId="slostrnky">
    <w:name w:val="page number"/>
    <w:basedOn w:val="Standardnpsmoodstavce"/>
    <w:rsid w:val="00C978F3"/>
  </w:style>
  <w:style w:type="paragraph" w:customStyle="1" w:styleId="Znaka">
    <w:name w:val="Značka"/>
    <w:rsid w:val="00C978F3"/>
    <w:pPr>
      <w:widowControl w:val="0"/>
      <w:ind w:left="289"/>
      <w:jc w:val="both"/>
    </w:pPr>
    <w:rPr>
      <w:snapToGrid w:val="0"/>
      <w:color w:val="000000"/>
      <w:sz w:val="24"/>
    </w:rPr>
  </w:style>
  <w:style w:type="character" w:styleId="Hypertextovodkaz">
    <w:name w:val="Hyperlink"/>
    <w:basedOn w:val="Standardnpsmoodstavce"/>
    <w:rsid w:val="00C978F3"/>
    <w:rPr>
      <w:color w:val="0000FF"/>
      <w:u w:val="single"/>
    </w:rPr>
  </w:style>
  <w:style w:type="paragraph" w:customStyle="1" w:styleId="Znaka1">
    <w:name w:val="Značka 1"/>
    <w:rsid w:val="00C978F3"/>
    <w:pPr>
      <w:widowControl w:val="0"/>
      <w:ind w:left="289"/>
      <w:jc w:val="both"/>
    </w:pPr>
    <w:rPr>
      <w:snapToGrid w:val="0"/>
      <w:color w:val="000000"/>
      <w:sz w:val="24"/>
    </w:rPr>
  </w:style>
  <w:style w:type="paragraph" w:styleId="Titulek">
    <w:name w:val="caption"/>
    <w:basedOn w:val="Normln"/>
    <w:next w:val="Normln"/>
    <w:qFormat/>
    <w:rsid w:val="00C978F3"/>
    <w:rPr>
      <w:b/>
      <w:bCs/>
      <w:sz w:val="24"/>
    </w:rPr>
  </w:style>
  <w:style w:type="paragraph" w:styleId="Zkladntext">
    <w:name w:val="Body Text"/>
    <w:aliases w:val="Základní text Char Char Char Char Char Char Char Char Char Char Char Char Char Char Char"/>
    <w:basedOn w:val="Normln"/>
    <w:link w:val="ZkladntextChar"/>
    <w:rsid w:val="00C978F3"/>
    <w:pPr>
      <w:spacing w:after="120"/>
    </w:pPr>
  </w:style>
  <w:style w:type="paragraph" w:customStyle="1" w:styleId="zkladn">
    <w:name w:val="základní"/>
    <w:basedOn w:val="Normln"/>
    <w:rsid w:val="00C978F3"/>
    <w:pPr>
      <w:numPr>
        <w:numId w:val="1"/>
      </w:numPr>
      <w:spacing w:before="120"/>
      <w:jc w:val="both"/>
    </w:pPr>
    <w:rPr>
      <w:sz w:val="24"/>
    </w:rPr>
  </w:style>
  <w:style w:type="paragraph" w:styleId="Zkladntext3">
    <w:name w:val="Body Text 3"/>
    <w:basedOn w:val="Normln"/>
    <w:link w:val="Zkladntext3Char"/>
    <w:rsid w:val="00C978F3"/>
    <w:pPr>
      <w:jc w:val="center"/>
    </w:pPr>
    <w:rPr>
      <w:b/>
      <w:i/>
      <w:sz w:val="18"/>
    </w:rPr>
  </w:style>
  <w:style w:type="paragraph" w:styleId="Zkladntext2">
    <w:name w:val="Body Text 2"/>
    <w:basedOn w:val="Normln"/>
    <w:link w:val="Zkladntext2Char"/>
    <w:rsid w:val="00C978F3"/>
    <w:rPr>
      <w:sz w:val="24"/>
    </w:rPr>
  </w:style>
  <w:style w:type="paragraph" w:styleId="Zkladntextodsazen2">
    <w:name w:val="Body Text Indent 2"/>
    <w:basedOn w:val="Normln"/>
    <w:link w:val="Zkladntextodsazen2Char"/>
    <w:rsid w:val="00C978F3"/>
    <w:pPr>
      <w:ind w:left="2198"/>
    </w:pPr>
    <w:rPr>
      <w:sz w:val="24"/>
    </w:rPr>
  </w:style>
  <w:style w:type="character" w:customStyle="1" w:styleId="odsazenChar">
    <w:name w:val="odsazení Char"/>
    <w:basedOn w:val="Standardnpsmoodstavce"/>
    <w:link w:val="odsazen"/>
    <w:rsid w:val="00FF30BD"/>
    <w:rPr>
      <w:sz w:val="24"/>
    </w:rPr>
  </w:style>
  <w:style w:type="paragraph" w:styleId="Textbubliny">
    <w:name w:val="Balloon Text"/>
    <w:basedOn w:val="Normln"/>
    <w:link w:val="TextbublinyChar"/>
    <w:rsid w:val="002225D0"/>
    <w:rPr>
      <w:rFonts w:ascii="Tahoma" w:hAnsi="Tahoma" w:cs="Tahoma"/>
      <w:sz w:val="16"/>
      <w:szCs w:val="16"/>
    </w:rPr>
  </w:style>
  <w:style w:type="character" w:customStyle="1" w:styleId="Nadpis1Char">
    <w:name w:val="Nadpis 1 Char"/>
    <w:basedOn w:val="Standardnpsmoodstavce"/>
    <w:link w:val="Nadpis1"/>
    <w:rsid w:val="0001134A"/>
    <w:rPr>
      <w:bCs/>
      <w:i/>
      <w:iCs/>
    </w:rPr>
  </w:style>
  <w:style w:type="character" w:customStyle="1" w:styleId="Nadpis2Char">
    <w:name w:val="Nadpis 2 Char"/>
    <w:basedOn w:val="Standardnpsmoodstavce"/>
    <w:link w:val="Nadpis2"/>
    <w:rsid w:val="0001134A"/>
    <w:rPr>
      <w:b/>
      <w:sz w:val="24"/>
    </w:rPr>
  </w:style>
  <w:style w:type="character" w:customStyle="1" w:styleId="Nadpis3Char">
    <w:name w:val="Nadpis 3 Char"/>
    <w:basedOn w:val="Standardnpsmoodstavce"/>
    <w:link w:val="Nadpis3"/>
    <w:rsid w:val="0001134A"/>
    <w:rPr>
      <w:b/>
      <w:bCs/>
      <w:i/>
      <w:iCs/>
      <w:sz w:val="28"/>
    </w:rPr>
  </w:style>
  <w:style w:type="character" w:customStyle="1" w:styleId="Nadpis4Char">
    <w:name w:val="Nadpis 4 Char"/>
    <w:basedOn w:val="Standardnpsmoodstavce"/>
    <w:link w:val="Nadpis4"/>
    <w:rsid w:val="0001134A"/>
    <w:rPr>
      <w:b/>
      <w:i/>
      <w:sz w:val="24"/>
    </w:rPr>
  </w:style>
  <w:style w:type="character" w:customStyle="1" w:styleId="Nadpis5Char">
    <w:name w:val="Nadpis 5 Char"/>
    <w:basedOn w:val="Standardnpsmoodstavce"/>
    <w:link w:val="Nadpis5"/>
    <w:rsid w:val="0001134A"/>
    <w:rPr>
      <w:b/>
      <w:i/>
      <w:sz w:val="24"/>
    </w:rPr>
  </w:style>
  <w:style w:type="character" w:customStyle="1" w:styleId="Nadpis6Char">
    <w:name w:val="Nadpis 6 Char"/>
    <w:basedOn w:val="Standardnpsmoodstavce"/>
    <w:link w:val="Nadpis6"/>
    <w:rsid w:val="0001134A"/>
    <w:rPr>
      <w:b/>
      <w:i/>
      <w:sz w:val="24"/>
    </w:rPr>
  </w:style>
  <w:style w:type="character" w:customStyle="1" w:styleId="Nadpis7Char">
    <w:name w:val="Nadpis 7 Char"/>
    <w:basedOn w:val="Standardnpsmoodstavce"/>
    <w:link w:val="Nadpis7"/>
    <w:rsid w:val="0001134A"/>
    <w:rPr>
      <w:b/>
      <w:i/>
      <w:sz w:val="28"/>
    </w:rPr>
  </w:style>
  <w:style w:type="character" w:customStyle="1" w:styleId="Nadpis8Char">
    <w:name w:val="Nadpis 8 Char"/>
    <w:basedOn w:val="Standardnpsmoodstavce"/>
    <w:link w:val="Nadpis8"/>
    <w:rsid w:val="0001134A"/>
    <w:rPr>
      <w:b/>
      <w:bCs/>
      <w:sz w:val="24"/>
    </w:rPr>
  </w:style>
  <w:style w:type="character" w:customStyle="1" w:styleId="Nadpis9Char">
    <w:name w:val="Nadpis 9 Char"/>
    <w:basedOn w:val="Standardnpsmoodstavce"/>
    <w:link w:val="Nadpis9"/>
    <w:rsid w:val="0001134A"/>
    <w:rPr>
      <w:b/>
      <w:i/>
      <w:sz w:val="24"/>
    </w:rPr>
  </w:style>
  <w:style w:type="character" w:customStyle="1" w:styleId="ZkladntextodsazenChar">
    <w:name w:val="Základní text odsazený Char"/>
    <w:basedOn w:val="Standardnpsmoodstavce"/>
    <w:link w:val="Zkladntextodsazen"/>
    <w:rsid w:val="0001134A"/>
    <w:rPr>
      <w:sz w:val="24"/>
    </w:rPr>
  </w:style>
  <w:style w:type="character" w:customStyle="1" w:styleId="ZhlavChar">
    <w:name w:val="Záhlaví Char"/>
    <w:basedOn w:val="Standardnpsmoodstavce"/>
    <w:link w:val="Zhlav"/>
    <w:rsid w:val="0001134A"/>
  </w:style>
  <w:style w:type="character" w:customStyle="1" w:styleId="ZpatChar">
    <w:name w:val="Zápatí Char"/>
    <w:basedOn w:val="Standardnpsmoodstavce"/>
    <w:link w:val="Zpat"/>
    <w:rsid w:val="0001134A"/>
  </w:style>
  <w:style w:type="character" w:customStyle="1" w:styleId="ZkladntextChar">
    <w:name w:val="Základní text Char"/>
    <w:aliases w:val="Základní text Char Char Char Char Char Char Char Char Char Char Char Char Char Char Char Char"/>
    <w:basedOn w:val="Standardnpsmoodstavce"/>
    <w:link w:val="Zkladntext"/>
    <w:rsid w:val="0001134A"/>
  </w:style>
  <w:style w:type="character" w:customStyle="1" w:styleId="Zkladntext3Char">
    <w:name w:val="Základní text 3 Char"/>
    <w:basedOn w:val="Standardnpsmoodstavce"/>
    <w:link w:val="Zkladntext3"/>
    <w:rsid w:val="0001134A"/>
    <w:rPr>
      <w:b/>
      <w:i/>
      <w:sz w:val="18"/>
    </w:rPr>
  </w:style>
  <w:style w:type="character" w:customStyle="1" w:styleId="Zkladntext2Char">
    <w:name w:val="Základní text 2 Char"/>
    <w:basedOn w:val="Standardnpsmoodstavce"/>
    <w:link w:val="Zkladntext2"/>
    <w:rsid w:val="0001134A"/>
    <w:rPr>
      <w:sz w:val="24"/>
    </w:rPr>
  </w:style>
  <w:style w:type="character" w:customStyle="1" w:styleId="Zkladntextodsazen2Char">
    <w:name w:val="Základní text odsazený 2 Char"/>
    <w:basedOn w:val="Standardnpsmoodstavce"/>
    <w:link w:val="Zkladntextodsazen2"/>
    <w:rsid w:val="0001134A"/>
    <w:rPr>
      <w:sz w:val="24"/>
    </w:rPr>
  </w:style>
  <w:style w:type="character" w:customStyle="1" w:styleId="TextbublinyChar">
    <w:name w:val="Text bubliny Char"/>
    <w:basedOn w:val="Standardnpsmoodstavce"/>
    <w:link w:val="Textbubliny"/>
    <w:rsid w:val="0001134A"/>
    <w:rPr>
      <w:rFonts w:ascii="Tahoma" w:hAnsi="Tahoma" w:cs="Tahoma"/>
      <w:sz w:val="16"/>
      <w:szCs w:val="16"/>
    </w:rPr>
  </w:style>
  <w:style w:type="paragraph" w:customStyle="1" w:styleId="nadpis10">
    <w:name w:val="nadpis1"/>
    <w:basedOn w:val="Zhlav"/>
    <w:link w:val="nadpis1Char0"/>
    <w:rsid w:val="0001134A"/>
    <w:pPr>
      <w:widowControl w:val="0"/>
      <w:tabs>
        <w:tab w:val="clear" w:pos="4536"/>
        <w:tab w:val="clear" w:pos="9072"/>
      </w:tabs>
      <w:spacing w:before="120"/>
    </w:pPr>
    <w:rPr>
      <w:b/>
      <w:i/>
      <w:snapToGrid w:val="0"/>
      <w:color w:val="000000"/>
      <w:sz w:val="24"/>
    </w:rPr>
  </w:style>
  <w:style w:type="character" w:customStyle="1" w:styleId="nadpis1Char0">
    <w:name w:val="nadpis1 Char"/>
    <w:link w:val="nadpis10"/>
    <w:rsid w:val="0001134A"/>
    <w:rPr>
      <w:b/>
      <w:i/>
      <w:snapToGrid w:val="0"/>
      <w:color w:val="000000"/>
      <w:sz w:val="24"/>
    </w:rPr>
  </w:style>
  <w:style w:type="paragraph" w:customStyle="1" w:styleId="Fous">
    <w:name w:val="Fous"/>
    <w:basedOn w:val="Normln"/>
    <w:link w:val="FousChar"/>
    <w:rsid w:val="0001134A"/>
    <w:pPr>
      <w:numPr>
        <w:numId w:val="11"/>
      </w:numPr>
      <w:spacing w:after="120"/>
      <w:jc w:val="both"/>
    </w:pPr>
    <w:rPr>
      <w:sz w:val="22"/>
    </w:rPr>
  </w:style>
  <w:style w:type="character" w:customStyle="1" w:styleId="FousChar">
    <w:name w:val="Fous Char"/>
    <w:link w:val="Fous"/>
    <w:rsid w:val="0001134A"/>
    <w:rPr>
      <w:sz w:val="22"/>
    </w:rPr>
  </w:style>
  <w:style w:type="paragraph" w:styleId="Odstavecseseznamem">
    <w:name w:val="List Paragraph"/>
    <w:basedOn w:val="Normln"/>
    <w:uiPriority w:val="34"/>
    <w:qFormat/>
    <w:rsid w:val="0001134A"/>
    <w:pPr>
      <w:ind w:left="720"/>
      <w:contextualSpacing/>
    </w:pPr>
  </w:style>
  <w:style w:type="paragraph" w:styleId="Zkladntextodsazen3">
    <w:name w:val="Body Text Indent 3"/>
    <w:basedOn w:val="Normln"/>
    <w:link w:val="Zkladntextodsazen3Char"/>
    <w:rsid w:val="0001134A"/>
    <w:pPr>
      <w:spacing w:after="120"/>
      <w:ind w:left="283"/>
    </w:pPr>
    <w:rPr>
      <w:sz w:val="16"/>
      <w:szCs w:val="16"/>
    </w:rPr>
  </w:style>
  <w:style w:type="character" w:customStyle="1" w:styleId="Zkladntextodsazen3Char">
    <w:name w:val="Základní text odsazený 3 Char"/>
    <w:basedOn w:val="Standardnpsmoodstavce"/>
    <w:link w:val="Zkladntextodsazen3"/>
    <w:rsid w:val="0001134A"/>
    <w:rPr>
      <w:sz w:val="16"/>
      <w:szCs w:val="16"/>
    </w:rPr>
  </w:style>
  <w:style w:type="paragraph" w:customStyle="1" w:styleId="Pata">
    <w:name w:val="Pata"/>
    <w:rsid w:val="0001134A"/>
    <w:pPr>
      <w:widowControl w:val="0"/>
    </w:pPr>
    <w:rPr>
      <w:snapToGrid w:val="0"/>
      <w:color w:val="000000"/>
      <w:sz w:val="24"/>
    </w:rPr>
  </w:style>
  <w:style w:type="character" w:customStyle="1" w:styleId="okbasic11">
    <w:name w:val="okbasic11"/>
    <w:basedOn w:val="Standardnpsmoodstavce"/>
    <w:rsid w:val="0001134A"/>
  </w:style>
  <w:style w:type="character" w:styleId="Sledovanodkaz">
    <w:name w:val="FollowedHyperlink"/>
    <w:uiPriority w:val="99"/>
    <w:rsid w:val="0001134A"/>
    <w:rPr>
      <w:color w:val="800080"/>
      <w:u w:val="single"/>
    </w:rPr>
  </w:style>
  <w:style w:type="paragraph" w:customStyle="1" w:styleId="poznmka">
    <w:name w:val="poznámka"/>
    <w:basedOn w:val="Normln"/>
    <w:link w:val="poznmkaChar"/>
    <w:rsid w:val="0001134A"/>
    <w:pPr>
      <w:ind w:left="340" w:hanging="340"/>
      <w:jc w:val="both"/>
    </w:pPr>
    <w:rPr>
      <w:rFonts w:ascii="Arial" w:hAnsi="Arial"/>
      <w:i/>
      <w:sz w:val="18"/>
    </w:rPr>
  </w:style>
  <w:style w:type="character" w:customStyle="1" w:styleId="poznmkaChar">
    <w:name w:val="poznámka Char"/>
    <w:link w:val="poznmka"/>
    <w:rsid w:val="0001134A"/>
    <w:rPr>
      <w:rFonts w:ascii="Arial" w:hAnsi="Arial"/>
      <w:i/>
      <w:sz w:val="18"/>
    </w:rPr>
  </w:style>
  <w:style w:type="table" w:styleId="Mkatabulky">
    <w:name w:val="Table Grid"/>
    <w:basedOn w:val="Normlntabulka"/>
    <w:rsid w:val="00011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2">
    <w:name w:val="text_tab2"/>
    <w:basedOn w:val="Normln"/>
    <w:rsid w:val="0001134A"/>
    <w:pPr>
      <w:spacing w:before="20"/>
      <w:jc w:val="right"/>
    </w:pPr>
    <w:rPr>
      <w:sz w:val="22"/>
    </w:rPr>
  </w:style>
  <w:style w:type="paragraph" w:styleId="Rozloendokumentu">
    <w:name w:val="Document Map"/>
    <w:basedOn w:val="Normln"/>
    <w:link w:val="RozloendokumentuChar"/>
    <w:rsid w:val="0001134A"/>
    <w:pPr>
      <w:shd w:val="clear" w:color="auto" w:fill="000080"/>
    </w:pPr>
    <w:rPr>
      <w:rFonts w:ascii="Tahoma" w:hAnsi="Tahoma" w:cs="Tahoma"/>
    </w:rPr>
  </w:style>
  <w:style w:type="character" w:customStyle="1" w:styleId="RozloendokumentuChar">
    <w:name w:val="Rozložení dokumentu Char"/>
    <w:basedOn w:val="Standardnpsmoodstavce"/>
    <w:link w:val="Rozloendokumentu"/>
    <w:rsid w:val="0001134A"/>
    <w:rPr>
      <w:rFonts w:ascii="Tahoma" w:hAnsi="Tahoma" w:cs="Tahoma"/>
      <w:shd w:val="clear" w:color="auto" w:fill="000080"/>
    </w:rPr>
  </w:style>
  <w:style w:type="character" w:styleId="Siln">
    <w:name w:val="Strong"/>
    <w:basedOn w:val="Standardnpsmoodstavce"/>
    <w:uiPriority w:val="22"/>
    <w:qFormat/>
    <w:rsid w:val="00922E13"/>
    <w:rPr>
      <w:b/>
      <w:bCs/>
    </w:rPr>
  </w:style>
  <w:style w:type="character" w:styleId="Zvraznn">
    <w:name w:val="Emphasis"/>
    <w:uiPriority w:val="20"/>
    <w:qFormat/>
    <w:rsid w:val="00922E13"/>
    <w:rPr>
      <w:i/>
      <w:iCs/>
    </w:rPr>
  </w:style>
  <w:style w:type="paragraph" w:styleId="Normlnweb">
    <w:name w:val="Normal (Web)"/>
    <w:basedOn w:val="Normln"/>
    <w:rsid w:val="002F0CE8"/>
    <w:pPr>
      <w:spacing w:after="100"/>
    </w:pPr>
    <w:rPr>
      <w:sz w:val="24"/>
      <w:szCs w:val="24"/>
    </w:rPr>
  </w:style>
  <w:style w:type="paragraph" w:styleId="Prosttext">
    <w:name w:val="Plain Text"/>
    <w:basedOn w:val="Normln"/>
    <w:link w:val="ProsttextChar"/>
    <w:uiPriority w:val="99"/>
    <w:unhideWhenUsed/>
    <w:rsid w:val="00FC2B14"/>
    <w:rPr>
      <w:rFonts w:ascii="Consolas" w:eastAsiaTheme="minorHAnsi" w:hAnsi="Consolas" w:cs="Consolas"/>
      <w:sz w:val="21"/>
      <w:szCs w:val="21"/>
      <w:lang w:eastAsia="en-US"/>
    </w:rPr>
  </w:style>
  <w:style w:type="character" w:customStyle="1" w:styleId="ProsttextChar">
    <w:name w:val="Prostý text Char"/>
    <w:basedOn w:val="Standardnpsmoodstavce"/>
    <w:link w:val="Prosttext"/>
    <w:uiPriority w:val="99"/>
    <w:rsid w:val="00FC2B14"/>
    <w:rPr>
      <w:rFonts w:ascii="Consolas" w:eastAsiaTheme="minorHAnsi" w:hAnsi="Consolas" w:cs="Consolas"/>
      <w:sz w:val="21"/>
      <w:szCs w:val="21"/>
      <w:lang w:eastAsia="en-US"/>
    </w:rPr>
  </w:style>
  <w:style w:type="character" w:customStyle="1" w:styleId="tsubjname">
    <w:name w:val="tsubjname"/>
    <w:basedOn w:val="Standardnpsmoodstavce"/>
    <w:rsid w:val="00027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600979">
      <w:bodyDiv w:val="1"/>
      <w:marLeft w:val="0"/>
      <w:marRight w:val="0"/>
      <w:marTop w:val="0"/>
      <w:marBottom w:val="0"/>
      <w:divBdr>
        <w:top w:val="none" w:sz="0" w:space="0" w:color="auto"/>
        <w:left w:val="none" w:sz="0" w:space="0" w:color="auto"/>
        <w:bottom w:val="none" w:sz="0" w:space="0" w:color="auto"/>
        <w:right w:val="none" w:sz="0" w:space="0" w:color="auto"/>
      </w:divBdr>
    </w:div>
    <w:div w:id="120410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hyperlink" Target="http://www.eures.cz"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eures.europa.e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www.esfcr.cz" TargetMode="Externa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www.eures.europa.eu" TargetMode="Externa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Tom&#225;&#353;\data\krajsk&#225;%20anal&#253;za\12-14\Podklady\graf%20uch-V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Tom&#225;&#353;\data\krajsk&#225;%20anal&#253;za\12-14\Podklady\graf%20uch-VM.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Tom&#225;&#353;\data\m&#283;s&#237;&#269;n&#237;\m&#237;ra%20nezam&#283;stnanost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300920590014439E-2"/>
          <c:y val="3.6866359447004768E-2"/>
          <c:w val="0.89973018786281855"/>
          <c:h val="0.78801843317972364"/>
        </c:manualLayout>
      </c:layout>
      <c:barChart>
        <c:barDir val="col"/>
        <c:grouping val="clustered"/>
        <c:varyColors val="0"/>
        <c:ser>
          <c:idx val="0"/>
          <c:order val="0"/>
          <c:tx>
            <c:strRef>
              <c:f>List1!$B$1</c:f>
              <c:strCache>
                <c:ptCount val="1"/>
                <c:pt idx="0">
                  <c:v>uchazeči o zaměstnání</c:v>
                </c:pt>
              </c:strCache>
            </c:strRef>
          </c:tx>
          <c:spPr>
            <a:solidFill>
              <a:srgbClr val="FFFF99"/>
            </a:solidFill>
            <a:ln w="12700">
              <a:solidFill>
                <a:srgbClr val="000000"/>
              </a:solidFill>
              <a:prstDash val="solid"/>
            </a:ln>
          </c:spPr>
          <c:invertIfNegative val="0"/>
          <c:dLbls>
            <c:dLbl>
              <c:idx val="0"/>
              <c:layout>
                <c:manualLayout>
                  <c:x val="9.0334236675700097E-4"/>
                  <c:y val="1.0735512899597241E-2"/>
                </c:manualLayout>
              </c:layout>
              <c:dLblPos val="outEnd"/>
              <c:showLegendKey val="0"/>
              <c:showVal val="1"/>
              <c:showCatName val="0"/>
              <c:showSerName val="0"/>
              <c:showPercent val="0"/>
              <c:showBubbleSize val="0"/>
            </c:dLbl>
            <c:dLbl>
              <c:idx val="1"/>
              <c:layout>
                <c:manualLayout>
                  <c:x val="0"/>
                  <c:y val="1.2288786482334868E-2"/>
                </c:manualLayout>
              </c:layout>
              <c:dLblPos val="outEnd"/>
              <c:showLegendKey val="0"/>
              <c:showVal val="1"/>
              <c:showCatName val="0"/>
              <c:showSerName val="0"/>
              <c:showPercent val="0"/>
              <c:showBubbleSize val="0"/>
            </c:dLbl>
            <c:dLbl>
              <c:idx val="2"/>
              <c:layout>
                <c:manualLayout>
                  <c:x val="3.3122170817613893E-17"/>
                  <c:y val="1.5360741197672948E-2"/>
                </c:manualLayout>
              </c:layout>
              <c:dLblPos val="outEnd"/>
              <c:showLegendKey val="0"/>
              <c:showVal val="1"/>
              <c:showCatName val="0"/>
              <c:showSerName val="0"/>
              <c:showPercent val="0"/>
              <c:showBubbleSize val="0"/>
            </c:dLbl>
            <c:dLbl>
              <c:idx val="3"/>
              <c:layout>
                <c:manualLayout>
                  <c:x val="0"/>
                  <c:y val="-3.0721966205837048E-3"/>
                </c:manualLayout>
              </c:layout>
              <c:dLblPos val="outEnd"/>
              <c:showLegendKey val="0"/>
              <c:showVal val="1"/>
              <c:showCatName val="0"/>
              <c:showSerName val="0"/>
              <c:showPercent val="0"/>
              <c:showBubbleSize val="0"/>
            </c:dLbl>
            <c:dLbl>
              <c:idx val="4"/>
              <c:layout>
                <c:manualLayout>
                  <c:x val="0"/>
                  <c:y val="1.9560990022812932E-2"/>
                </c:manualLayout>
              </c:layout>
              <c:showLegendKey val="0"/>
              <c:showVal val="1"/>
              <c:showCatName val="0"/>
              <c:showSerName val="0"/>
              <c:showPercent val="0"/>
              <c:showBubbleSize val="0"/>
            </c:dLbl>
            <c:dLbl>
              <c:idx val="5"/>
              <c:layout>
                <c:manualLayout>
                  <c:x val="1.8066295273065317E-3"/>
                  <c:y val="1.0908253854822313E-2"/>
                </c:manualLayout>
              </c:layout>
              <c:dLblPos val="outEnd"/>
              <c:showLegendKey val="0"/>
              <c:showVal val="1"/>
              <c:showCatName val="0"/>
              <c:showSerName val="0"/>
              <c:showPercent val="0"/>
              <c:showBubbleSize val="0"/>
            </c:dLbl>
            <c:dLbl>
              <c:idx val="6"/>
              <c:layout>
                <c:manualLayout>
                  <c:x val="-1.6835612033422214E-7"/>
                  <c:y val="7.2721692365482317E-3"/>
                </c:manualLayout>
              </c:layout>
              <c:dLblPos val="outEnd"/>
              <c:showLegendKey val="0"/>
              <c:showVal val="1"/>
              <c:showCatName val="0"/>
              <c:showSerName val="0"/>
              <c:showPercent val="0"/>
              <c:showBubbleSize val="0"/>
            </c:dLbl>
            <c:dLbl>
              <c:idx val="7"/>
              <c:layout>
                <c:manualLayout>
                  <c:x val="-3.6133694670280212E-3"/>
                  <c:y val="0"/>
                </c:manualLayout>
              </c:layout>
              <c:dLblPos val="outEnd"/>
              <c:showLegendKey val="0"/>
              <c:showVal val="1"/>
              <c:showCatName val="0"/>
              <c:showSerName val="0"/>
              <c:showPercent val="0"/>
              <c:showBubbleSize val="0"/>
            </c:dLbl>
            <c:dLbl>
              <c:idx val="8"/>
              <c:layout>
                <c:manualLayout>
                  <c:x val="0"/>
                  <c:y val="1.4080738515782876E-17"/>
                </c:manualLayout>
              </c:layout>
              <c:dLblPos val="outEnd"/>
              <c:showLegendKey val="0"/>
              <c:showVal val="1"/>
              <c:showCatName val="0"/>
              <c:showSerName val="0"/>
              <c:showPercent val="0"/>
              <c:showBubbleSize val="0"/>
            </c:dLbl>
            <c:dLbl>
              <c:idx val="9"/>
              <c:layout>
                <c:manualLayout>
                  <c:x val="-1.8066847335140106E-3"/>
                  <c:y val="-3.0721966205837182E-3"/>
                </c:manualLayout>
              </c:layout>
              <c:dLblPos val="outEnd"/>
              <c:showLegendKey val="0"/>
              <c:showVal val="1"/>
              <c:showCatName val="0"/>
              <c:showSerName val="0"/>
              <c:showPercent val="0"/>
              <c:showBubbleSize val="0"/>
            </c:dLbl>
            <c:dLbl>
              <c:idx val="10"/>
              <c:layout>
                <c:manualLayout>
                  <c:x val="0"/>
                  <c:y val="-3.0721966205837182E-3"/>
                </c:manualLayout>
              </c:layout>
              <c:dLblPos val="outEnd"/>
              <c:showLegendKey val="0"/>
              <c:showVal val="1"/>
              <c:showCatName val="0"/>
              <c:showSerName val="0"/>
              <c:showPercent val="0"/>
              <c:showBubbleSize val="0"/>
            </c:dLbl>
            <c:dLbl>
              <c:idx val="11"/>
              <c:layout>
                <c:manualLayout>
                  <c:x val="-1.8066847335140106E-3"/>
                  <c:y val="9.2165898617511746E-3"/>
                </c:manualLayout>
              </c:layout>
              <c:dLblPos val="outEnd"/>
              <c:showLegendKey val="0"/>
              <c:showVal val="1"/>
              <c:showCatName val="0"/>
              <c:showSerName val="0"/>
              <c:showPercent val="0"/>
              <c:showBubbleSize val="0"/>
            </c:dLbl>
            <c:numFmt formatCode="#,##0" sourceLinked="0"/>
            <c:spPr>
              <a:noFill/>
              <a:ln w="25400">
                <a:noFill/>
              </a:ln>
            </c:spPr>
            <c:txPr>
              <a:bodyPr/>
              <a:lstStyle/>
              <a:p>
                <a:pPr>
                  <a:defRPr sz="1000" b="0" i="0" u="none" strike="noStrike" baseline="0">
                    <a:solidFill>
                      <a:srgbClr val="000000"/>
                    </a:solidFill>
                    <a:latin typeface="Calibri" pitchFamily="34" charset="0"/>
                    <a:ea typeface="Times New Roman"/>
                    <a:cs typeface="Times New Roman"/>
                  </a:defRPr>
                </a:pPr>
                <a:endParaRPr lang="cs-CZ"/>
              </a:p>
            </c:txPr>
            <c:showLegendKey val="0"/>
            <c:showVal val="1"/>
            <c:showCatName val="0"/>
            <c:showSerName val="0"/>
            <c:showPercent val="0"/>
            <c:showBubbleSize val="0"/>
            <c:showLeaderLines val="0"/>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List1!$B$2:$B$13</c:f>
              <c:numCache>
                <c:formatCode>General</c:formatCode>
                <c:ptCount val="12"/>
                <c:pt idx="0">
                  <c:v>93714</c:v>
                </c:pt>
                <c:pt idx="1">
                  <c:v>93619</c:v>
                </c:pt>
                <c:pt idx="2">
                  <c:v>91837</c:v>
                </c:pt>
                <c:pt idx="3" formatCode="0">
                  <c:v>88369</c:v>
                </c:pt>
                <c:pt idx="4" formatCode="0">
                  <c:v>85588</c:v>
                </c:pt>
                <c:pt idx="5" formatCode="0">
                  <c:v>84254</c:v>
                </c:pt>
                <c:pt idx="6">
                  <c:v>84341</c:v>
                </c:pt>
                <c:pt idx="7" formatCode="0">
                  <c:v>83586</c:v>
                </c:pt>
                <c:pt idx="8" formatCode="0">
                  <c:v>83301</c:v>
                </c:pt>
                <c:pt idx="9" formatCode="0">
                  <c:v>81971</c:v>
                </c:pt>
                <c:pt idx="10" formatCode="0">
                  <c:v>81171</c:v>
                </c:pt>
                <c:pt idx="11" formatCode="0">
                  <c:v>83877</c:v>
                </c:pt>
              </c:numCache>
            </c:numRef>
          </c:val>
        </c:ser>
        <c:ser>
          <c:idx val="1"/>
          <c:order val="1"/>
          <c:tx>
            <c:strRef>
              <c:f>List1!$C$1</c:f>
              <c:strCache>
                <c:ptCount val="1"/>
                <c:pt idx="0">
                  <c:v>volná pracovní místa</c:v>
                </c:pt>
              </c:strCache>
            </c:strRef>
          </c:tx>
          <c:spPr>
            <a:solidFill>
              <a:srgbClr val="0000FF"/>
            </a:solidFill>
            <a:ln w="12700">
              <a:solidFill>
                <a:srgbClr val="000000"/>
              </a:solidFill>
              <a:prstDash val="solid"/>
            </a:ln>
          </c:spPr>
          <c:invertIfNegative val="0"/>
          <c:dLbls>
            <c:dLbl>
              <c:idx val="0"/>
              <c:layout>
                <c:manualLayout>
                  <c:x val="1.3550135501355113E-3"/>
                  <c:y val="-2.5692756147417087E-3"/>
                </c:manualLayout>
              </c:layout>
              <c:dLblPos val="outEnd"/>
              <c:showLegendKey val="0"/>
              <c:showVal val="1"/>
              <c:showCatName val="0"/>
              <c:showSerName val="0"/>
              <c:showPercent val="0"/>
              <c:showBubbleSize val="0"/>
            </c:dLbl>
            <c:dLbl>
              <c:idx val="1"/>
              <c:layout>
                <c:manualLayout>
                  <c:x val="2.7100271002710235E-3"/>
                  <c:y val="-1.006567727421174E-3"/>
                </c:manualLayout>
              </c:layout>
              <c:dLblPos val="outEnd"/>
              <c:showLegendKey val="0"/>
              <c:showVal val="1"/>
              <c:showCatName val="0"/>
              <c:showSerName val="0"/>
              <c:showPercent val="0"/>
              <c:showBubbleSize val="0"/>
            </c:dLbl>
            <c:dLbl>
              <c:idx val="2"/>
              <c:layout>
                <c:manualLayout>
                  <c:x val="3.6133694670280529E-3"/>
                  <c:y val="-4.0712652853877877E-4"/>
                </c:manualLayout>
              </c:layout>
              <c:dLblPos val="outEnd"/>
              <c:showLegendKey val="0"/>
              <c:showVal val="1"/>
              <c:showCatName val="0"/>
              <c:showSerName val="0"/>
              <c:showPercent val="0"/>
              <c:showBubbleSize val="0"/>
            </c:dLbl>
            <c:dLbl>
              <c:idx val="3"/>
              <c:layout>
                <c:manualLayout>
                  <c:x val="1.8066847335140106E-3"/>
                  <c:y val="-2.3960714588095841E-3"/>
                </c:manualLayout>
              </c:layout>
              <c:dLblPos val="outEnd"/>
              <c:showLegendKey val="0"/>
              <c:showVal val="1"/>
              <c:showCatName val="0"/>
              <c:showSerName val="0"/>
              <c:showPercent val="0"/>
              <c:showBubbleSize val="0"/>
            </c:dLbl>
            <c:dLbl>
              <c:idx val="4"/>
              <c:layout>
                <c:manualLayout>
                  <c:x val="2.2583559168925186E-3"/>
                  <c:y val="-2.2806826566034283E-3"/>
                </c:manualLayout>
              </c:layout>
              <c:dLblPos val="outEnd"/>
              <c:showLegendKey val="0"/>
              <c:showVal val="1"/>
              <c:showCatName val="0"/>
              <c:showSerName val="0"/>
              <c:showPercent val="0"/>
              <c:showBubbleSize val="0"/>
            </c:dLbl>
            <c:dLbl>
              <c:idx val="5"/>
              <c:layout>
                <c:manualLayout>
                  <c:x val="1.3550135501355113E-3"/>
                  <c:y val="8.2296164592329899E-4"/>
                </c:manualLayout>
              </c:layout>
              <c:dLblPos val="outEnd"/>
              <c:showLegendKey val="0"/>
              <c:showVal val="1"/>
              <c:showCatName val="0"/>
              <c:showSerName val="0"/>
              <c:showPercent val="0"/>
              <c:showBubbleSize val="0"/>
            </c:dLbl>
            <c:dLbl>
              <c:idx val="6"/>
              <c:layout>
                <c:manualLayout>
                  <c:x val="2.0472104232641198E-3"/>
                  <c:y val="-8.2456092130941028E-4"/>
                </c:manualLayout>
              </c:layout>
              <c:dLblPos val="outEnd"/>
              <c:showLegendKey val="0"/>
              <c:showVal val="1"/>
              <c:showCatName val="0"/>
              <c:showSerName val="0"/>
              <c:showPercent val="0"/>
              <c:showBubbleSize val="0"/>
            </c:dLbl>
            <c:dLbl>
              <c:idx val="7"/>
              <c:layout>
                <c:manualLayout>
                  <c:x val="1.9268357972251561E-3"/>
                  <c:y val="-1.6665865010215581E-3"/>
                </c:manualLayout>
              </c:layout>
              <c:dLblPos val="outEnd"/>
              <c:showLegendKey val="0"/>
              <c:showVal val="1"/>
              <c:showCatName val="0"/>
              <c:showSerName val="0"/>
              <c:showPercent val="0"/>
              <c:showBubbleSize val="0"/>
            </c:dLbl>
            <c:dLbl>
              <c:idx val="8"/>
              <c:layout>
                <c:manualLayout>
                  <c:x val="-2.8009407740004432E-3"/>
                  <c:y val="-2.8238348496092656E-3"/>
                </c:manualLayout>
              </c:layout>
              <c:dLblPos val="outEnd"/>
              <c:showLegendKey val="0"/>
              <c:showVal val="1"/>
              <c:showCatName val="0"/>
              <c:showSerName val="0"/>
              <c:showPercent val="0"/>
              <c:showBubbleSize val="0"/>
            </c:dLbl>
            <c:dLbl>
              <c:idx val="9"/>
              <c:layout>
                <c:manualLayout>
                  <c:x val="1.0236052116320618E-3"/>
                  <c:y val="-3.8304863077078255E-3"/>
                </c:manualLayout>
              </c:layout>
              <c:dLblPos val="outEnd"/>
              <c:showLegendKey val="0"/>
              <c:showVal val="1"/>
              <c:showCatName val="0"/>
              <c:showSerName val="0"/>
              <c:showPercent val="0"/>
              <c:showBubbleSize val="0"/>
            </c:dLbl>
            <c:dLbl>
              <c:idx val="10"/>
              <c:layout>
                <c:manualLayout>
                  <c:x val="3.1616982836495137E-3"/>
                  <c:y val="-3.6089843608258943E-3"/>
                </c:manualLayout>
              </c:layout>
              <c:dLblPos val="outEnd"/>
              <c:showLegendKey val="0"/>
              <c:showVal val="1"/>
              <c:showCatName val="0"/>
              <c:showSerName val="0"/>
              <c:showPercent val="0"/>
              <c:showBubbleSize val="0"/>
            </c:dLbl>
            <c:dLbl>
              <c:idx val="11"/>
              <c:layout>
                <c:manualLayout>
                  <c:x val="4.9684660024214983E-3"/>
                  <c:y val="-4.4679898883608987E-4"/>
                </c:manualLayout>
              </c:layout>
              <c:dLblPos val="outEnd"/>
              <c:showLegendKey val="0"/>
              <c:showVal val="1"/>
              <c:showCatName val="0"/>
              <c:showSerName val="0"/>
              <c:showPercent val="0"/>
              <c:showBubbleSize val="0"/>
            </c:dLbl>
            <c:numFmt formatCode="#,##0" sourceLinked="0"/>
            <c:spPr>
              <a:noFill/>
              <a:ln w="25400">
                <a:noFill/>
              </a:ln>
            </c:spPr>
            <c:txPr>
              <a:bodyPr/>
              <a:lstStyle/>
              <a:p>
                <a:pPr>
                  <a:defRPr sz="1000" b="0" i="0" u="none" strike="noStrike" baseline="0">
                    <a:solidFill>
                      <a:srgbClr val="000000"/>
                    </a:solidFill>
                    <a:latin typeface="Calibri" pitchFamily="34" charset="0"/>
                    <a:ea typeface="Times New Roman"/>
                    <a:cs typeface="Times New Roman"/>
                  </a:defRPr>
                </a:pPr>
                <a:endParaRPr lang="cs-CZ"/>
              </a:p>
            </c:txPr>
            <c:showLegendKey val="0"/>
            <c:showVal val="1"/>
            <c:showCatName val="0"/>
            <c:showSerName val="0"/>
            <c:showPercent val="0"/>
            <c:showBubbleSize val="0"/>
            <c:showLeaderLines val="0"/>
          </c:dLbls>
          <c:cat>
            <c:strRef>
              <c:f>List1!$A$2:$A$13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List1!$C$2:$C$13</c:f>
              <c:numCache>
                <c:formatCode>General</c:formatCode>
                <c:ptCount val="12"/>
                <c:pt idx="0">
                  <c:v>2807</c:v>
                </c:pt>
                <c:pt idx="1">
                  <c:v>3033</c:v>
                </c:pt>
                <c:pt idx="2">
                  <c:v>3759</c:v>
                </c:pt>
                <c:pt idx="3">
                  <c:v>3955</c:v>
                </c:pt>
                <c:pt idx="4">
                  <c:v>4035</c:v>
                </c:pt>
                <c:pt idx="5">
                  <c:v>3888</c:v>
                </c:pt>
                <c:pt idx="6">
                  <c:v>4478</c:v>
                </c:pt>
                <c:pt idx="7">
                  <c:v>4812</c:v>
                </c:pt>
                <c:pt idx="8">
                  <c:v>5300</c:v>
                </c:pt>
                <c:pt idx="9">
                  <c:v>5657</c:v>
                </c:pt>
                <c:pt idx="10">
                  <c:v>5757</c:v>
                </c:pt>
                <c:pt idx="11">
                  <c:v>5399</c:v>
                </c:pt>
              </c:numCache>
            </c:numRef>
          </c:val>
        </c:ser>
        <c:dLbls>
          <c:showLegendKey val="0"/>
          <c:showVal val="1"/>
          <c:showCatName val="0"/>
          <c:showSerName val="0"/>
          <c:showPercent val="0"/>
          <c:showBubbleSize val="0"/>
        </c:dLbls>
        <c:gapWidth val="30"/>
        <c:overlap val="100"/>
        <c:axId val="168342656"/>
        <c:axId val="168344192"/>
      </c:barChart>
      <c:catAx>
        <c:axId val="168342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pitchFamily="34" charset="0"/>
                <a:ea typeface="Times New Roman"/>
                <a:cs typeface="Times New Roman"/>
              </a:defRPr>
            </a:pPr>
            <a:endParaRPr lang="cs-CZ"/>
          </a:p>
        </c:txPr>
        <c:crossAx val="168344192"/>
        <c:crosses val="autoZero"/>
        <c:auto val="1"/>
        <c:lblAlgn val="ctr"/>
        <c:lblOffset val="100"/>
        <c:tickLblSkip val="1"/>
        <c:tickMarkSkip val="1"/>
        <c:noMultiLvlLbl val="0"/>
      </c:catAx>
      <c:valAx>
        <c:axId val="168344192"/>
        <c:scaling>
          <c:orientation val="minMax"/>
        </c:scaling>
        <c:delete val="0"/>
        <c:axPos val="l"/>
        <c:majorGridlines>
          <c:spPr>
            <a:ln w="3175">
              <a:solidFill>
                <a:srgbClr val="80808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pitchFamily="34" charset="0"/>
                <a:ea typeface="Times New Roman"/>
                <a:cs typeface="Times New Roman"/>
              </a:defRPr>
            </a:pPr>
            <a:endParaRPr lang="cs-CZ"/>
          </a:p>
        </c:txPr>
        <c:crossAx val="168342656"/>
        <c:crosses val="autoZero"/>
        <c:crossBetween val="between"/>
      </c:valAx>
      <c:spPr>
        <a:noFill/>
        <a:ln w="12700">
          <a:solidFill>
            <a:srgbClr val="808080"/>
          </a:solidFill>
          <a:prstDash val="solid"/>
        </a:ln>
      </c:spPr>
    </c:plotArea>
    <c:legend>
      <c:legendPos val="b"/>
      <c:layout>
        <c:manualLayout>
          <c:xMode val="edge"/>
          <c:yMode val="edge"/>
          <c:x val="0.30731557849688446"/>
          <c:y val="0.92165898221696951"/>
          <c:w val="0.5032920355770153"/>
          <c:h val="6.2211981566820521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Calibri" pitchFamily="34" charset="0"/>
              <a:ea typeface="Times New Roman"/>
              <a:cs typeface="Times New Roman"/>
            </a:defRPr>
          </a:pPr>
          <a:endParaRPr lang="cs-CZ"/>
        </a:p>
      </c:txPr>
    </c:legend>
    <c:plotVisOnly val="1"/>
    <c:dispBlanksAs val="gap"/>
    <c:showDLblsOverMax val="0"/>
  </c:chart>
  <c:spPr>
    <a:solidFill>
      <a:srgbClr val="FFFFFF"/>
    </a:solidFill>
    <a:ln w="9525">
      <a:noFill/>
    </a:ln>
  </c:spPr>
  <c:txPr>
    <a:bodyPr/>
    <a:lstStyle/>
    <a:p>
      <a:pPr>
        <a:defRPr sz="1075"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390131167513813E-2"/>
          <c:y val="3.9119851103887028E-2"/>
          <c:w val="0.92392932541456685"/>
          <c:h val="0.77506204999576156"/>
        </c:manualLayout>
      </c:layout>
      <c:lineChart>
        <c:grouping val="standard"/>
        <c:varyColors val="0"/>
        <c:ser>
          <c:idx val="0"/>
          <c:order val="0"/>
          <c:tx>
            <c:strRef>
              <c:f>List1!$B$43</c:f>
              <c:strCache>
                <c:ptCount val="1"/>
                <c:pt idx="0">
                  <c:v>ČR</c:v>
                </c:pt>
              </c:strCache>
            </c:strRef>
          </c:tx>
          <c:spPr>
            <a:ln w="25400">
              <a:solidFill>
                <a:srgbClr val="0000FF"/>
              </a:solidFill>
              <a:prstDash val="solid"/>
            </a:ln>
          </c:spPr>
          <c:marker>
            <c:symbol val="circle"/>
            <c:size val="7"/>
            <c:spPr>
              <a:solidFill>
                <a:srgbClr val="000080"/>
              </a:solidFill>
              <a:ln>
                <a:solidFill>
                  <a:srgbClr val="0000FF"/>
                </a:solidFill>
                <a:prstDash val="solid"/>
              </a:ln>
            </c:spPr>
          </c:marker>
          <c:dLbls>
            <c:dLbl>
              <c:idx val="0"/>
              <c:layout>
                <c:manualLayout>
                  <c:x val="-3.3845126205697317E-2"/>
                  <c:y val="-3.9454016903143832E-2"/>
                </c:manualLayout>
              </c:layout>
              <c:dLblPos val="r"/>
              <c:showLegendKey val="0"/>
              <c:showVal val="1"/>
              <c:showCatName val="0"/>
              <c:showSerName val="0"/>
              <c:showPercent val="0"/>
              <c:showBubbleSize val="0"/>
            </c:dLbl>
            <c:dLbl>
              <c:idx val="4"/>
              <c:layout>
                <c:manualLayout>
                  <c:x val="-3.3656062701705854E-2"/>
                  <c:y val="-3.1784841075794615E-2"/>
                </c:manualLayout>
              </c:layout>
              <c:dLblPos val="r"/>
              <c:showLegendKey val="0"/>
              <c:showVal val="1"/>
              <c:showCatName val="0"/>
              <c:showSerName val="0"/>
              <c:showPercent val="0"/>
              <c:showBubbleSize val="0"/>
            </c:dLbl>
            <c:dLbl>
              <c:idx val="5"/>
              <c:layout>
                <c:manualLayout>
                  <c:x val="-3.3656062701705854E-2"/>
                  <c:y val="3.0154849225753882E-2"/>
                </c:manualLayout>
              </c:layout>
              <c:dLblPos val="r"/>
              <c:showLegendKey val="0"/>
              <c:showVal val="1"/>
              <c:showCatName val="0"/>
              <c:showSerName val="0"/>
              <c:showPercent val="0"/>
              <c:showBubbleSize val="0"/>
            </c:dLbl>
            <c:dLbl>
              <c:idx val="6"/>
              <c:layout>
                <c:manualLayout>
                  <c:x val="-3.1811894882434251E-2"/>
                  <c:y val="3.3414832925835435E-2"/>
                </c:manualLayout>
              </c:layout>
              <c:dLblPos val="r"/>
              <c:showLegendKey val="0"/>
              <c:showVal val="1"/>
              <c:showCatName val="0"/>
              <c:showSerName val="0"/>
              <c:showPercent val="0"/>
              <c:showBubbleSize val="0"/>
            </c:dLbl>
            <c:dLbl>
              <c:idx val="7"/>
              <c:layout>
                <c:manualLayout>
                  <c:x val="-3.3656062701705854E-2"/>
                  <c:y val="2.6894865525672551E-2"/>
                </c:manualLayout>
              </c:layout>
              <c:dLblPos val="r"/>
              <c:showLegendKey val="0"/>
              <c:showVal val="1"/>
              <c:showCatName val="0"/>
              <c:showSerName val="0"/>
              <c:showPercent val="0"/>
              <c:showBubbleSize val="0"/>
            </c:dLbl>
            <c:dLbl>
              <c:idx val="8"/>
              <c:layout>
                <c:manualLayout>
                  <c:x val="-3.1811894882434452E-2"/>
                  <c:y val="3.0154849225753882E-2"/>
                </c:manualLayout>
              </c:layout>
              <c:dLblPos val="r"/>
              <c:showLegendKey val="0"/>
              <c:showVal val="1"/>
              <c:showCatName val="0"/>
              <c:showSerName val="0"/>
              <c:showPercent val="0"/>
              <c:showBubbleSize val="0"/>
            </c:dLbl>
            <c:dLbl>
              <c:idx val="9"/>
              <c:layout>
                <c:manualLayout>
                  <c:x val="-3.3656062701705854E-2"/>
                  <c:y val="-3.8304808475957651E-2"/>
                </c:manualLayout>
              </c:layout>
              <c:dLblPos val="r"/>
              <c:showLegendKey val="0"/>
              <c:showVal val="1"/>
              <c:showCatName val="0"/>
              <c:showSerName val="0"/>
              <c:showPercent val="0"/>
              <c:showBubbleSize val="0"/>
            </c:dLbl>
            <c:dLbl>
              <c:idx val="10"/>
              <c:layout>
                <c:manualLayout>
                  <c:x val="-3.3656062701705854E-2"/>
                  <c:y val="-4.4824775876120812E-2"/>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Calibri" pitchFamily="34" charset="0"/>
                    <a:ea typeface="Times New Roman"/>
                    <a:cs typeface="Times New Roman"/>
                  </a:defRPr>
                </a:pPr>
                <a:endParaRPr lang="cs-CZ"/>
              </a:p>
            </c:txPr>
            <c:dLblPos val="t"/>
            <c:showLegendKey val="0"/>
            <c:showVal val="1"/>
            <c:showCatName val="0"/>
            <c:showSerName val="0"/>
            <c:showPercent val="0"/>
            <c:showBubbleSize val="0"/>
            <c:showLeaderLines val="0"/>
          </c:dLbls>
          <c:cat>
            <c:strRef>
              <c:f>List1!$A$44:$A$55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List1!$B$44:$B$55</c:f>
              <c:numCache>
                <c:formatCode>0.0</c:formatCode>
                <c:ptCount val="12"/>
                <c:pt idx="0">
                  <c:v>17.290597351211726</c:v>
                </c:pt>
                <c:pt idx="1">
                  <c:v>16.328294300409912</c:v>
                </c:pt>
                <c:pt idx="2">
                  <c:v>14.906758478729676</c:v>
                </c:pt>
                <c:pt idx="3">
                  <c:v>12.961222833438542</c:v>
                </c:pt>
                <c:pt idx="4">
                  <c:v>11.452283280927954</c:v>
                </c:pt>
                <c:pt idx="5">
                  <c:v>10.856706885749588</c:v>
                </c:pt>
                <c:pt idx="6">
                  <c:v>10.598563010239042</c:v>
                </c:pt>
                <c:pt idx="7">
                  <c:v>9.7804436810174682</c:v>
                </c:pt>
                <c:pt idx="8">
                  <c:v>9.3552938680246793</c:v>
                </c:pt>
                <c:pt idx="9">
                  <c:v>8.9258807564800708</c:v>
                </c:pt>
                <c:pt idx="10">
                  <c:v>8.7126959274037468</c:v>
                </c:pt>
                <c:pt idx="11">
                  <c:v>9.2257954680876448</c:v>
                </c:pt>
              </c:numCache>
            </c:numRef>
          </c:val>
          <c:smooth val="0"/>
        </c:ser>
        <c:ser>
          <c:idx val="1"/>
          <c:order val="1"/>
          <c:tx>
            <c:strRef>
              <c:f>List1!$C$43</c:f>
              <c:strCache>
                <c:ptCount val="1"/>
                <c:pt idx="0">
                  <c:v>MSK</c:v>
                </c:pt>
              </c:strCache>
            </c:strRef>
          </c:tx>
          <c:spPr>
            <a:ln w="25400">
              <a:solidFill>
                <a:srgbClr val="FF0000"/>
              </a:solidFill>
              <a:prstDash val="solid"/>
            </a:ln>
          </c:spPr>
          <c:marker>
            <c:symbol val="square"/>
            <c:size val="7"/>
            <c:spPr>
              <a:solidFill>
                <a:srgbClr val="FF0000"/>
              </a:solidFill>
              <a:ln>
                <a:solidFill>
                  <a:srgbClr val="FF0000"/>
                </a:solidFill>
                <a:prstDash val="solid"/>
              </a:ln>
            </c:spPr>
          </c:marker>
          <c:dLbls>
            <c:dLbl>
              <c:idx val="0"/>
              <c:layout>
                <c:manualLayout>
                  <c:x val="-2.1438539808130409E-2"/>
                  <c:y val="-4.3734576985760082E-2"/>
                </c:manualLayout>
              </c:layout>
              <c:dLblPos val="r"/>
              <c:showLegendKey val="0"/>
              <c:showVal val="1"/>
              <c:showCatName val="0"/>
              <c:showSerName val="0"/>
              <c:showPercent val="0"/>
              <c:showBubbleSize val="0"/>
            </c:dLbl>
            <c:dLbl>
              <c:idx val="3"/>
              <c:layout>
                <c:manualLayout>
                  <c:x val="-3.3845126205697317E-2"/>
                  <c:y val="-3.9454016903143832E-2"/>
                </c:manualLayout>
              </c:layout>
              <c:dLblPos val="r"/>
              <c:showLegendKey val="0"/>
              <c:showVal val="1"/>
              <c:showCatName val="0"/>
              <c:showSerName val="0"/>
              <c:showPercent val="0"/>
              <c:showBubbleSize val="0"/>
            </c:dLbl>
            <c:dLbl>
              <c:idx val="5"/>
              <c:layout>
                <c:manualLayout>
                  <c:x val="-3.1811894882434452E-2"/>
                  <c:y val="-3.1784841075794656E-2"/>
                </c:manualLayout>
              </c:layout>
              <c:dLblPos val="r"/>
              <c:showLegendKey val="0"/>
              <c:showVal val="1"/>
              <c:showCatName val="0"/>
              <c:showSerName val="0"/>
              <c:showPercent val="0"/>
              <c:showBubbleSize val="0"/>
            </c:dLbl>
            <c:dLbl>
              <c:idx val="7"/>
              <c:layout>
                <c:manualLayout>
                  <c:x val="-3.3656062701705854E-2"/>
                  <c:y val="-4.1564792176039117E-2"/>
                </c:manualLayout>
              </c:layout>
              <c:dLblPos val="r"/>
              <c:showLegendKey val="0"/>
              <c:showVal val="1"/>
              <c:showCatName val="0"/>
              <c:showSerName val="0"/>
              <c:showPercent val="0"/>
              <c:showBubbleSize val="0"/>
            </c:dLbl>
            <c:dLbl>
              <c:idx val="8"/>
              <c:layout>
                <c:manualLayout>
                  <c:x val="-3.3656062701705854E-2"/>
                  <c:y val="-4.8084759576202056E-2"/>
                </c:manualLayout>
              </c:layout>
              <c:dLblPos val="r"/>
              <c:showLegendKey val="0"/>
              <c:showVal val="1"/>
              <c:showCatName val="0"/>
              <c:showSerName val="0"/>
              <c:showPercent val="0"/>
              <c:showBubbleSize val="0"/>
            </c:dLbl>
            <c:dLbl>
              <c:idx val="11"/>
              <c:layout>
                <c:manualLayout>
                  <c:x val="-2.6508532906415742E-2"/>
                  <c:y val="-3.8304808475957651E-2"/>
                </c:manualLayout>
              </c:layout>
              <c:dLblPos val="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Calibri" pitchFamily="34" charset="0"/>
                    <a:ea typeface="Times New Roman"/>
                    <a:cs typeface="Times New Roman"/>
                  </a:defRPr>
                </a:pPr>
                <a:endParaRPr lang="cs-CZ"/>
              </a:p>
            </c:txPr>
            <c:dLblPos val="t"/>
            <c:showLegendKey val="0"/>
            <c:showVal val="1"/>
            <c:showCatName val="0"/>
            <c:showSerName val="0"/>
            <c:showPercent val="0"/>
            <c:showBubbleSize val="0"/>
            <c:showLeaderLines val="0"/>
          </c:dLbls>
          <c:cat>
            <c:strRef>
              <c:f>List1!$A$44:$A$55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List1!$C$44:$C$55</c:f>
              <c:numCache>
                <c:formatCode>0.0</c:formatCode>
                <c:ptCount val="12"/>
                <c:pt idx="0">
                  <c:v>33.385821161381898</c:v>
                </c:pt>
                <c:pt idx="1">
                  <c:v>30.866798549291129</c:v>
                </c:pt>
                <c:pt idx="2">
                  <c:v>24.431231710561228</c:v>
                </c:pt>
                <c:pt idx="3">
                  <c:v>22.3</c:v>
                </c:pt>
                <c:pt idx="4">
                  <c:v>21.211400247831474</c:v>
                </c:pt>
                <c:pt idx="5">
                  <c:v>21.670267489711936</c:v>
                </c:pt>
                <c:pt idx="6">
                  <c:v>18.834524341223762</c:v>
                </c:pt>
                <c:pt idx="7">
                  <c:v>17.370324189526183</c:v>
                </c:pt>
                <c:pt idx="8">
                  <c:v>15.717169811320755</c:v>
                </c:pt>
                <c:pt idx="9">
                  <c:v>14.490189146190561</c:v>
                </c:pt>
                <c:pt idx="10">
                  <c:v>14.099531005732151</c:v>
                </c:pt>
                <c:pt idx="11">
                  <c:v>15.5356547508798</c:v>
                </c:pt>
              </c:numCache>
            </c:numRef>
          </c:val>
          <c:smooth val="0"/>
        </c:ser>
        <c:dLbls>
          <c:showLegendKey val="0"/>
          <c:showVal val="0"/>
          <c:showCatName val="0"/>
          <c:showSerName val="0"/>
          <c:showPercent val="0"/>
          <c:showBubbleSize val="0"/>
        </c:dLbls>
        <c:marker val="1"/>
        <c:smooth val="0"/>
        <c:axId val="168587648"/>
        <c:axId val="168589184"/>
      </c:lineChart>
      <c:catAx>
        <c:axId val="168587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pitchFamily="34" charset="0"/>
                <a:ea typeface="Times New Roman"/>
                <a:cs typeface="Times New Roman"/>
              </a:defRPr>
            </a:pPr>
            <a:endParaRPr lang="cs-CZ"/>
          </a:p>
        </c:txPr>
        <c:crossAx val="168589184"/>
        <c:crosses val="autoZero"/>
        <c:auto val="1"/>
        <c:lblAlgn val="ctr"/>
        <c:lblOffset val="100"/>
        <c:tickLblSkip val="1"/>
        <c:tickMarkSkip val="1"/>
        <c:noMultiLvlLbl val="0"/>
      </c:catAx>
      <c:valAx>
        <c:axId val="168589184"/>
        <c:scaling>
          <c:orientation val="minMax"/>
        </c:scaling>
        <c:delete val="0"/>
        <c:axPos val="l"/>
        <c:majorGridlines>
          <c:spPr>
            <a:ln w="3175">
              <a:solidFill>
                <a:srgbClr val="969696"/>
              </a:solidFill>
              <a:prstDash val="solid"/>
            </a:ln>
          </c:spPr>
        </c:majorGridlines>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pitchFamily="34" charset="0"/>
                <a:ea typeface="Times New Roman"/>
                <a:cs typeface="Times New Roman"/>
              </a:defRPr>
            </a:pPr>
            <a:endParaRPr lang="cs-CZ"/>
          </a:p>
        </c:txPr>
        <c:crossAx val="168587648"/>
        <c:crosses val="autoZero"/>
        <c:crossBetween val="between"/>
      </c:valAx>
      <c:spPr>
        <a:noFill/>
        <a:ln w="12700">
          <a:solidFill>
            <a:srgbClr val="808080"/>
          </a:solidFill>
          <a:prstDash val="solid"/>
        </a:ln>
      </c:spPr>
    </c:plotArea>
    <c:legend>
      <c:legendPos val="b"/>
      <c:layout>
        <c:manualLayout>
          <c:xMode val="edge"/>
          <c:yMode val="edge"/>
          <c:x val="0.42462022122753501"/>
          <c:y val="0.91687144241444596"/>
          <c:w val="0.19502103730809578"/>
          <c:h val="6.6014669926650421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Calibri" pitchFamily="34" charset="0"/>
              <a:ea typeface="Times New Roman"/>
              <a:cs typeface="Times New Roman"/>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69805519744595"/>
          <c:y val="4.3678258975976457E-2"/>
          <c:w val="0.87651064158887992"/>
          <c:h val="0.80919721892335461"/>
        </c:manualLayout>
      </c:layout>
      <c:lineChart>
        <c:grouping val="standard"/>
        <c:varyColors val="0"/>
        <c:ser>
          <c:idx val="0"/>
          <c:order val="0"/>
          <c:tx>
            <c:strRef>
              <c:f>grafy!$B$32</c:f>
              <c:strCache>
                <c:ptCount val="1"/>
                <c:pt idx="0">
                  <c:v>MSK</c:v>
                </c:pt>
              </c:strCache>
            </c:strRef>
          </c:tx>
          <c:spPr>
            <a:ln w="12700">
              <a:solidFill>
                <a:srgbClr val="FF0000"/>
              </a:solidFill>
              <a:prstDash val="solid"/>
            </a:ln>
          </c:spPr>
          <c:marker>
            <c:symbol val="square"/>
            <c:size val="7"/>
            <c:spPr>
              <a:solidFill>
                <a:srgbClr val="FF0000"/>
              </a:solidFill>
              <a:ln>
                <a:solidFill>
                  <a:srgbClr val="FF0000"/>
                </a:solidFill>
                <a:prstDash val="solid"/>
              </a:ln>
            </c:spPr>
          </c:marker>
          <c:dLbls>
            <c:spPr>
              <a:noFill/>
              <a:ln w="25400">
                <a:noFill/>
              </a:ln>
            </c:spPr>
            <c:txPr>
              <a:bodyPr/>
              <a:lstStyle/>
              <a:p>
                <a:pPr>
                  <a:defRPr sz="1200" b="0" i="0" u="none" strike="noStrike" baseline="0">
                    <a:solidFill>
                      <a:srgbClr val="000000"/>
                    </a:solidFill>
                    <a:latin typeface="Calibri" pitchFamily="34" charset="0"/>
                    <a:ea typeface="Times New Roman"/>
                    <a:cs typeface="Times New Roman"/>
                  </a:defRPr>
                </a:pPr>
                <a:endParaRPr lang="cs-CZ"/>
              </a:p>
            </c:txPr>
            <c:dLblPos val="t"/>
            <c:showLegendKey val="0"/>
            <c:showVal val="1"/>
            <c:showCatName val="0"/>
            <c:showSerName val="0"/>
            <c:showPercent val="0"/>
            <c:showBubbleSize val="0"/>
            <c:showLeaderLines val="0"/>
          </c:dLbls>
          <c:cat>
            <c:strRef>
              <c:f>grafy!$A$33:$A$44</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grafy!$B$33:$B$44</c:f>
              <c:numCache>
                <c:formatCode>0.0</c:formatCode>
                <c:ptCount val="12"/>
                <c:pt idx="0">
                  <c:v>10.917608559203876</c:v>
                </c:pt>
                <c:pt idx="1">
                  <c:v>10.91758718769036</c:v>
                </c:pt>
                <c:pt idx="2">
                  <c:v>10.717132334935444</c:v>
                </c:pt>
                <c:pt idx="3">
                  <c:v>10.322284583005066</c:v>
                </c:pt>
                <c:pt idx="4">
                  <c:v>9.9908057857447616</c:v>
                </c:pt>
                <c:pt idx="5">
                  <c:v>9.8441485590332327</c:v>
                </c:pt>
                <c:pt idx="6">
                  <c:v>9.8684044140583058</c:v>
                </c:pt>
                <c:pt idx="7">
                  <c:v>9.7867879207569626</c:v>
                </c:pt>
                <c:pt idx="8">
                  <c:v>9.724595588457289</c:v>
                </c:pt>
                <c:pt idx="9">
                  <c:v>9.5469981418593939</c:v>
                </c:pt>
                <c:pt idx="10">
                  <c:v>9.4338435324755707</c:v>
                </c:pt>
                <c:pt idx="11">
                  <c:v>9.7995893671530077</c:v>
                </c:pt>
              </c:numCache>
            </c:numRef>
          </c:val>
          <c:smooth val="0"/>
        </c:ser>
        <c:ser>
          <c:idx val="1"/>
          <c:order val="1"/>
          <c:tx>
            <c:strRef>
              <c:f>grafy!$C$32</c:f>
              <c:strCache>
                <c:ptCount val="1"/>
                <c:pt idx="0">
                  <c:v>ČR</c:v>
                </c:pt>
              </c:strCache>
            </c:strRef>
          </c:tx>
          <c:spPr>
            <a:ln w="12700">
              <a:solidFill>
                <a:srgbClr val="0000FF"/>
              </a:solidFill>
              <a:prstDash val="solid"/>
            </a:ln>
          </c:spPr>
          <c:marker>
            <c:symbol val="triangle"/>
            <c:size val="7"/>
            <c:spPr>
              <a:solidFill>
                <a:srgbClr val="0000FF"/>
              </a:solidFill>
              <a:ln>
                <a:solidFill>
                  <a:srgbClr val="0000FF"/>
                </a:solidFill>
                <a:prstDash val="solid"/>
              </a:ln>
            </c:spPr>
          </c:marker>
          <c:dLbls>
            <c:spPr>
              <a:noFill/>
              <a:ln w="25400">
                <a:noFill/>
              </a:ln>
            </c:spPr>
            <c:txPr>
              <a:bodyPr/>
              <a:lstStyle/>
              <a:p>
                <a:pPr>
                  <a:defRPr sz="1200" b="0" i="0" u="none" strike="noStrike" baseline="0">
                    <a:solidFill>
                      <a:srgbClr val="000000"/>
                    </a:solidFill>
                    <a:latin typeface="Calibri" pitchFamily="34" charset="0"/>
                    <a:ea typeface="Times New Roman"/>
                    <a:cs typeface="Times New Roman"/>
                  </a:defRPr>
                </a:pPr>
                <a:endParaRPr lang="cs-CZ"/>
              </a:p>
            </c:txPr>
            <c:dLblPos val="t"/>
            <c:showLegendKey val="0"/>
            <c:showVal val="1"/>
            <c:showCatName val="0"/>
            <c:showSerName val="0"/>
            <c:showPercent val="0"/>
            <c:showBubbleSize val="0"/>
            <c:showLeaderLines val="0"/>
          </c:dLbls>
          <c:cat>
            <c:strRef>
              <c:f>grafy!$A$33:$A$44</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grafy!$C$33:$C$44</c:f>
              <c:numCache>
                <c:formatCode>0.0</c:formatCode>
                <c:ptCount val="12"/>
                <c:pt idx="0">
                  <c:v>8.6268450567374302</c:v>
                </c:pt>
                <c:pt idx="1">
                  <c:v>8.5836570264515029</c:v>
                </c:pt>
                <c:pt idx="2">
                  <c:v>8.3358203224656826</c:v>
                </c:pt>
                <c:pt idx="3">
                  <c:v>7.8843460940863874</c:v>
                </c:pt>
                <c:pt idx="4">
                  <c:v>7.5381140001103155</c:v>
                </c:pt>
                <c:pt idx="5">
                  <c:v>7.3720647090670468</c:v>
                </c:pt>
                <c:pt idx="6">
                  <c:v>7.4439923840687134</c:v>
                </c:pt>
                <c:pt idx="7">
                  <c:v>7.3709933304213813</c:v>
                </c:pt>
                <c:pt idx="8">
                  <c:v>7.2563410491334714</c:v>
                </c:pt>
                <c:pt idx="9">
                  <c:v>7.1071210046182847</c:v>
                </c:pt>
                <c:pt idx="10">
                  <c:v>7.0891161038153809</c:v>
                </c:pt>
                <c:pt idx="11">
                  <c:v>7.4618353667801145</c:v>
                </c:pt>
              </c:numCache>
            </c:numRef>
          </c:val>
          <c:smooth val="0"/>
        </c:ser>
        <c:dLbls>
          <c:showLegendKey val="0"/>
          <c:showVal val="1"/>
          <c:showCatName val="0"/>
          <c:showSerName val="0"/>
          <c:showPercent val="0"/>
          <c:showBubbleSize val="0"/>
        </c:dLbls>
        <c:marker val="1"/>
        <c:smooth val="0"/>
        <c:axId val="168614912"/>
        <c:axId val="168690432"/>
      </c:lineChart>
      <c:catAx>
        <c:axId val="168614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pitchFamily="34" charset="0"/>
                <a:ea typeface="Times New Roman"/>
                <a:cs typeface="Times New Roman"/>
              </a:defRPr>
            </a:pPr>
            <a:endParaRPr lang="cs-CZ"/>
          </a:p>
        </c:txPr>
        <c:crossAx val="168690432"/>
        <c:crosses val="autoZero"/>
        <c:auto val="1"/>
        <c:lblAlgn val="ctr"/>
        <c:lblOffset val="100"/>
        <c:tickLblSkip val="1"/>
        <c:tickMarkSkip val="1"/>
        <c:noMultiLvlLbl val="0"/>
      </c:catAx>
      <c:valAx>
        <c:axId val="168690432"/>
        <c:scaling>
          <c:orientation val="minMax"/>
          <c:max val="14"/>
        </c:scaling>
        <c:delete val="0"/>
        <c:axPos val="l"/>
        <c:majorGridlines>
          <c:spPr>
            <a:ln w="3175">
              <a:solidFill>
                <a:srgbClr val="969696"/>
              </a:solidFill>
              <a:prstDash val="solid"/>
            </a:ln>
          </c:spPr>
        </c:majorGridlines>
        <c:title>
          <c:tx>
            <c:rich>
              <a:bodyPr rot="0" vert="horz"/>
              <a:lstStyle/>
              <a:p>
                <a:pPr algn="ctr">
                  <a:defRPr sz="1200" b="1" i="0" u="none" strike="noStrike" baseline="0">
                    <a:solidFill>
                      <a:srgbClr val="000000"/>
                    </a:solidFill>
                    <a:latin typeface="Calibri" pitchFamily="34" charset="0"/>
                    <a:ea typeface="Times New Roman"/>
                    <a:cs typeface="Times New Roman"/>
                  </a:defRPr>
                </a:pPr>
                <a:r>
                  <a:rPr lang="cs-CZ" baseline="0">
                    <a:latin typeface="Calibri" pitchFamily="34" charset="0"/>
                  </a:rPr>
                  <a:t>%</a:t>
                </a:r>
              </a:p>
            </c:rich>
          </c:tx>
          <c:layout>
            <c:manualLayout>
              <c:xMode val="edge"/>
              <c:yMode val="edge"/>
              <c:x val="2.1476510067114409E-2"/>
              <c:y val="0.4160929194195575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Calibri" pitchFamily="34" charset="0"/>
                <a:ea typeface="Times New Roman"/>
                <a:cs typeface="Times New Roman"/>
              </a:defRPr>
            </a:pPr>
            <a:endParaRPr lang="cs-CZ"/>
          </a:p>
        </c:txPr>
        <c:crossAx val="168614912"/>
        <c:crosses val="autoZero"/>
        <c:crossBetween val="between"/>
      </c:valAx>
      <c:spPr>
        <a:noFill/>
        <a:ln w="12700">
          <a:solidFill>
            <a:srgbClr val="808080"/>
          </a:solidFill>
          <a:prstDash val="solid"/>
        </a:ln>
      </c:spPr>
    </c:plotArea>
    <c:legend>
      <c:legendPos val="b"/>
      <c:layout>
        <c:manualLayout>
          <c:xMode val="edge"/>
          <c:yMode val="edge"/>
          <c:x val="0.44832242949497403"/>
          <c:y val="0.93103665490089604"/>
          <c:w val="0.18926188588842754"/>
          <c:h val="6.2069206866383432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Calibri" pitchFamily="34" charset="0"/>
              <a:ea typeface="Times New Roman"/>
              <a:cs typeface="Times New Roman"/>
            </a:defRPr>
          </a:pPr>
          <a:endParaRPr lang="cs-CZ"/>
        </a:p>
      </c:txPr>
    </c:legend>
    <c:plotVisOnly val="1"/>
    <c:dispBlanksAs val="gap"/>
    <c:showDLblsOverMax val="0"/>
  </c:chart>
  <c:spPr>
    <a:solidFill>
      <a:srgbClr val="FFFFFF"/>
    </a:solidFill>
    <a:ln w="9525">
      <a:noFill/>
    </a:ln>
  </c:spPr>
  <c:txPr>
    <a:bodyPr/>
    <a:lstStyle/>
    <a:p>
      <a:pPr>
        <a:defRPr sz="115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518F1-C4F5-4F54-A9A4-39CDB494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24276</Words>
  <Characters>143231</Characters>
  <Application>Microsoft Office Word</Application>
  <DocSecurity>0</DocSecurity>
  <Lines>1193</Lines>
  <Paragraphs>334</Paragraphs>
  <ScaleCrop>false</ScaleCrop>
  <HeadingPairs>
    <vt:vector size="2" baseType="variant">
      <vt:variant>
        <vt:lpstr>Název</vt:lpstr>
      </vt:variant>
      <vt:variant>
        <vt:i4>1</vt:i4>
      </vt:variant>
    </vt:vector>
  </HeadingPairs>
  <TitlesOfParts>
    <vt:vector size="1" baseType="lpstr">
      <vt:lpstr>Úřady práce Moravskoslezského kraje</vt:lpstr>
    </vt:vector>
  </TitlesOfParts>
  <Company>ÚP v Ostravě</Company>
  <LinksUpToDate>false</LinksUpToDate>
  <CharactersWithSpaces>167173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Úřady práce Moravskoslezského kraje</dc:title>
  <dc:creator>UPuzivatel</dc:creator>
  <cp:lastModifiedBy>Jiříček Petr Ing. (MPSV)</cp:lastModifiedBy>
  <cp:revision>2</cp:revision>
  <cp:lastPrinted>2015-01-20T12:22:00Z</cp:lastPrinted>
  <dcterms:created xsi:type="dcterms:W3CDTF">2015-03-20T08:58:00Z</dcterms:created>
  <dcterms:modified xsi:type="dcterms:W3CDTF">2015-03-20T08:58:00Z</dcterms:modified>
</cp:coreProperties>
</file>