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62D" w:rsidRDefault="00BA162D" w:rsidP="00BA162D">
      <w:pPr>
        <w:pStyle w:val="Nadpis1"/>
        <w:ind w:left="360"/>
        <w:jc w:val="center"/>
        <w:rPr>
          <w:rFonts w:cs="Arial"/>
          <w:sz w:val="48"/>
          <w:szCs w:val="48"/>
        </w:rPr>
      </w:pPr>
      <w:bookmarkStart w:id="0" w:name="_GoBack"/>
      <w:bookmarkEnd w:id="0"/>
    </w:p>
    <w:p w:rsidR="00BA162D" w:rsidRDefault="00BA162D" w:rsidP="00BA162D">
      <w:pPr>
        <w:pStyle w:val="Nadpis1"/>
        <w:ind w:left="360"/>
        <w:jc w:val="center"/>
        <w:rPr>
          <w:rFonts w:cs="Arial"/>
          <w:sz w:val="48"/>
          <w:szCs w:val="48"/>
        </w:rPr>
      </w:pPr>
    </w:p>
    <w:p w:rsidR="00BA162D" w:rsidRDefault="00BA162D" w:rsidP="00BA162D">
      <w:pPr>
        <w:pStyle w:val="Nadpis1"/>
        <w:ind w:left="360"/>
        <w:jc w:val="center"/>
        <w:rPr>
          <w:rFonts w:cs="Arial"/>
          <w:sz w:val="48"/>
          <w:szCs w:val="48"/>
        </w:rPr>
      </w:pPr>
    </w:p>
    <w:p w:rsidR="00BA162D" w:rsidRDefault="00BA162D" w:rsidP="00BA162D">
      <w:pPr>
        <w:pStyle w:val="Nadpis1"/>
        <w:ind w:left="360"/>
        <w:jc w:val="center"/>
        <w:rPr>
          <w:rFonts w:cs="Arial"/>
          <w:sz w:val="48"/>
          <w:szCs w:val="48"/>
        </w:rPr>
      </w:pPr>
    </w:p>
    <w:p w:rsidR="00BA162D" w:rsidRDefault="00BA162D" w:rsidP="00BA162D">
      <w:pPr>
        <w:pStyle w:val="Nadpis1"/>
        <w:ind w:left="360"/>
        <w:jc w:val="center"/>
        <w:rPr>
          <w:rFonts w:cs="Arial"/>
          <w:sz w:val="48"/>
          <w:szCs w:val="48"/>
        </w:rPr>
      </w:pPr>
    </w:p>
    <w:p w:rsidR="004D1731" w:rsidRDefault="00BA162D" w:rsidP="004D1731">
      <w:pPr>
        <w:jc w:val="center"/>
        <w:rPr>
          <w:rFonts w:ascii="Arial" w:hAnsi="Arial" w:cs="Arial"/>
          <w:b/>
          <w:sz w:val="48"/>
          <w:szCs w:val="48"/>
        </w:rPr>
      </w:pPr>
      <w:bookmarkStart w:id="1" w:name="_Toc381372875"/>
      <w:r w:rsidRPr="004D1731">
        <w:rPr>
          <w:rFonts w:ascii="Arial" w:hAnsi="Arial" w:cs="Arial"/>
          <w:b/>
          <w:sz w:val="48"/>
          <w:szCs w:val="48"/>
        </w:rPr>
        <w:t>Zpráva o situaci na krajském trhu práce, o realizaci APZ v roce 201</w:t>
      </w:r>
      <w:r w:rsidR="00730709" w:rsidRPr="004D1731">
        <w:rPr>
          <w:rFonts w:ascii="Arial" w:hAnsi="Arial" w:cs="Arial"/>
          <w:b/>
          <w:sz w:val="48"/>
          <w:szCs w:val="48"/>
        </w:rPr>
        <w:t xml:space="preserve">4 </w:t>
      </w:r>
      <w:r w:rsidRPr="004D1731">
        <w:rPr>
          <w:rFonts w:ascii="Arial" w:hAnsi="Arial" w:cs="Arial"/>
          <w:b/>
          <w:sz w:val="48"/>
          <w:szCs w:val="48"/>
        </w:rPr>
        <w:t>a strategie APZ pro rok 201</w:t>
      </w:r>
      <w:bookmarkEnd w:id="1"/>
      <w:r w:rsidR="00730709" w:rsidRPr="004D1731">
        <w:rPr>
          <w:rFonts w:ascii="Arial" w:hAnsi="Arial" w:cs="Arial"/>
          <w:b/>
          <w:sz w:val="48"/>
          <w:szCs w:val="48"/>
        </w:rPr>
        <w:t>5</w:t>
      </w:r>
    </w:p>
    <w:p w:rsidR="004D1731" w:rsidRDefault="009446BA">
      <w:pPr>
        <w:spacing w:after="200"/>
        <w:rPr>
          <w:rFonts w:ascii="Arial" w:hAnsi="Arial" w:cs="Arial"/>
          <w:b/>
          <w:sz w:val="48"/>
          <w:szCs w:val="48"/>
        </w:rPr>
      </w:pPr>
      <w:r w:rsidRPr="004D1731">
        <w:rPr>
          <w:rFonts w:ascii="Arial" w:hAnsi="Arial" w:cs="Arial"/>
          <w:noProof/>
        </w:rPr>
        <mc:AlternateContent>
          <mc:Choice Requires="wps">
            <w:drawing>
              <wp:anchor distT="0" distB="0" distL="114300" distR="114300" simplePos="0" relativeHeight="251665408" behindDoc="0" locked="0" layoutInCell="1" allowOverlap="1" wp14:anchorId="62141C80" wp14:editId="3896578E">
                <wp:simplePos x="0" y="0"/>
                <wp:positionH relativeFrom="column">
                  <wp:posOffset>2610832</wp:posOffset>
                </wp:positionH>
                <wp:positionV relativeFrom="paragraph">
                  <wp:posOffset>4030460</wp:posOffset>
                </wp:positionV>
                <wp:extent cx="485775" cy="304800"/>
                <wp:effectExtent l="0" t="0" r="9525"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04800"/>
                        </a:xfrm>
                        <a:prstGeom prst="rect">
                          <a:avLst/>
                        </a:prstGeom>
                        <a:solidFill>
                          <a:schemeClr val="bg1"/>
                        </a:solidFill>
                        <a:ln w="9525">
                          <a:noFill/>
                          <a:miter lim="800000"/>
                          <a:headEnd/>
                          <a:tailEnd/>
                        </a:ln>
                      </wps:spPr>
                      <wps:txbx>
                        <w:txbxContent>
                          <w:p w:rsidR="004378F3" w:rsidRDefault="004378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205.6pt;margin-top:317.35pt;width:38.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" fillcolor="white [3212]" stroked="f">
                <v:textbox>
                  <w:txbxContent>
                    <w:p w:rsidR="004378F3" w:rsidRDefault="004378F3"/>
                  </w:txbxContent>
                </v:textbox>
              </v:shape>
            </w:pict>
          </mc:Fallback>
        </mc:AlternateContent>
      </w:r>
      <w:r w:rsidR="004D1731">
        <w:rPr>
          <w:rFonts w:ascii="Arial" w:hAnsi="Arial" w:cs="Arial"/>
          <w:b/>
          <w:sz w:val="48"/>
          <w:szCs w:val="48"/>
        </w:rPr>
        <w:br w:type="page"/>
      </w:r>
    </w:p>
    <w:p w:rsidR="00730709" w:rsidRPr="004D1731" w:rsidRDefault="00730709" w:rsidP="004D1731">
      <w:pPr>
        <w:spacing w:line="240" w:lineRule="auto"/>
        <w:rPr>
          <w:rFonts w:ascii="Arial" w:hAnsi="Arial" w:cs="Arial"/>
        </w:rPr>
      </w:pPr>
      <w:r w:rsidRPr="004D1731">
        <w:rPr>
          <w:rFonts w:ascii="Arial" w:hAnsi="Arial" w:cs="Arial"/>
          <w:b/>
          <w:sz w:val="28"/>
          <w:szCs w:val="28"/>
        </w:rPr>
        <w:lastRenderedPageBreak/>
        <w:t>Obsah</w:t>
      </w:r>
    </w:p>
    <w:sdt>
      <w:sdtPr>
        <w:rPr>
          <w:rFonts w:ascii="Times New Roman" w:eastAsia="Times New Roman" w:hAnsi="Times New Roman" w:cs="Times New Roman"/>
          <w:b w:val="0"/>
          <w:bCs w:val="0"/>
          <w:color w:val="auto"/>
          <w:sz w:val="24"/>
          <w:szCs w:val="24"/>
        </w:rPr>
        <w:id w:val="1000853513"/>
        <w:docPartObj>
          <w:docPartGallery w:val="Table of Contents"/>
          <w:docPartUnique/>
        </w:docPartObj>
      </w:sdtPr>
      <w:sdtEndPr/>
      <w:sdtContent>
        <w:p w:rsidR="00B0094B" w:rsidRPr="00C837F3" w:rsidRDefault="00B0094B">
          <w:pPr>
            <w:pStyle w:val="Nadpisobsahu"/>
            <w:rPr>
              <w:rFonts w:ascii="Arial" w:hAnsi="Arial" w:cs="Arial"/>
            </w:rPr>
          </w:pPr>
        </w:p>
        <w:p w:rsidR="00C837F3" w:rsidRPr="00C837F3" w:rsidRDefault="00B0094B" w:rsidP="00C837F3">
          <w:pPr>
            <w:pStyle w:val="Obsah2"/>
            <w:tabs>
              <w:tab w:val="right" w:leader="dot" w:pos="9062"/>
            </w:tabs>
            <w:ind w:left="0"/>
            <w:rPr>
              <w:rFonts w:ascii="Arial" w:eastAsiaTheme="minorEastAsia" w:hAnsi="Arial" w:cs="Arial"/>
              <w:noProof/>
              <w:sz w:val="22"/>
              <w:szCs w:val="22"/>
            </w:rPr>
          </w:pPr>
          <w:r w:rsidRPr="00C837F3">
            <w:rPr>
              <w:rFonts w:ascii="Arial" w:hAnsi="Arial" w:cs="Arial"/>
            </w:rPr>
            <w:fldChar w:fldCharType="begin"/>
          </w:r>
          <w:r w:rsidRPr="00C837F3">
            <w:rPr>
              <w:rFonts w:ascii="Arial" w:hAnsi="Arial" w:cs="Arial"/>
            </w:rPr>
            <w:instrText xml:space="preserve"> TOC \o "1-3" \h \z \u </w:instrText>
          </w:r>
          <w:r w:rsidRPr="00C837F3">
            <w:rPr>
              <w:rFonts w:ascii="Arial" w:hAnsi="Arial" w:cs="Arial"/>
            </w:rPr>
            <w:fldChar w:fldCharType="separate"/>
          </w:r>
          <w:hyperlink w:anchor="_Toc411611466" w:history="1">
            <w:r w:rsidR="00C837F3" w:rsidRPr="00C837F3">
              <w:rPr>
                <w:rStyle w:val="Hypertextovodkaz"/>
                <w:rFonts w:ascii="Arial" w:hAnsi="Arial" w:cs="Arial"/>
                <w:noProof/>
              </w:rPr>
              <w:t>1. Zaměstnanost</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_Toc411611466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3</w:t>
            </w:r>
            <w:r w:rsidR="00C837F3" w:rsidRPr="00C837F3">
              <w:rPr>
                <w:rFonts w:ascii="Arial" w:hAnsi="Arial" w:cs="Arial"/>
                <w:noProof/>
                <w:webHidden/>
              </w:rPr>
              <w:fldChar w:fldCharType="end"/>
            </w:r>
          </w:hyperlink>
        </w:p>
        <w:p w:rsidR="00C837F3" w:rsidRPr="00C837F3" w:rsidRDefault="00B82B97">
          <w:pPr>
            <w:pStyle w:val="Obsah2"/>
            <w:tabs>
              <w:tab w:val="right" w:leader="dot" w:pos="9062"/>
            </w:tabs>
            <w:rPr>
              <w:rFonts w:ascii="Arial" w:eastAsiaTheme="minorEastAsia" w:hAnsi="Arial" w:cs="Arial"/>
              <w:noProof/>
              <w:sz w:val="22"/>
              <w:szCs w:val="22"/>
            </w:rPr>
          </w:pPr>
          <w:hyperlink w:anchor="_Toc411611467" w:history="1">
            <w:r w:rsidR="00C837F3" w:rsidRPr="00C837F3">
              <w:rPr>
                <w:rStyle w:val="Hypertextovodkaz"/>
                <w:rFonts w:ascii="Arial" w:hAnsi="Arial" w:cs="Arial"/>
                <w:noProof/>
              </w:rPr>
              <w:t>1.1 Celková zaměstnanost v kraji.</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_Toc411611467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3</w:t>
            </w:r>
            <w:r w:rsidR="00C837F3" w:rsidRPr="00C837F3">
              <w:rPr>
                <w:rFonts w:ascii="Arial" w:hAnsi="Arial" w:cs="Arial"/>
                <w:noProof/>
                <w:webHidden/>
              </w:rPr>
              <w:fldChar w:fldCharType="end"/>
            </w:r>
          </w:hyperlink>
        </w:p>
        <w:p w:rsidR="00C837F3" w:rsidRPr="00C837F3" w:rsidRDefault="00B82B97">
          <w:pPr>
            <w:pStyle w:val="Obsah2"/>
            <w:tabs>
              <w:tab w:val="right" w:leader="dot" w:pos="9062"/>
            </w:tabs>
            <w:rPr>
              <w:rFonts w:ascii="Arial" w:eastAsiaTheme="minorEastAsia" w:hAnsi="Arial" w:cs="Arial"/>
              <w:noProof/>
              <w:sz w:val="22"/>
              <w:szCs w:val="22"/>
            </w:rPr>
          </w:pPr>
          <w:hyperlink w:anchor="_Toc411611468" w:history="1">
            <w:r w:rsidR="00C837F3" w:rsidRPr="00C837F3">
              <w:rPr>
                <w:rStyle w:val="Hypertextovodkaz"/>
                <w:rFonts w:ascii="Arial" w:hAnsi="Arial" w:cs="Arial"/>
                <w:noProof/>
              </w:rPr>
              <w:t>1.2 Zaměstnanost u nejvýznamnějších zaměstnavatelů</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_Toc411611468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8</w:t>
            </w:r>
            <w:r w:rsidR="00C837F3" w:rsidRPr="00C837F3">
              <w:rPr>
                <w:rFonts w:ascii="Arial" w:hAnsi="Arial" w:cs="Arial"/>
                <w:noProof/>
                <w:webHidden/>
              </w:rPr>
              <w:fldChar w:fldCharType="end"/>
            </w:r>
          </w:hyperlink>
        </w:p>
        <w:p w:rsidR="00C837F3" w:rsidRPr="00C837F3" w:rsidRDefault="00B82B97">
          <w:pPr>
            <w:pStyle w:val="Obsah2"/>
            <w:tabs>
              <w:tab w:val="right" w:leader="dot" w:pos="9062"/>
            </w:tabs>
            <w:rPr>
              <w:rFonts w:ascii="Arial" w:eastAsiaTheme="minorEastAsia" w:hAnsi="Arial" w:cs="Arial"/>
              <w:noProof/>
              <w:sz w:val="22"/>
              <w:szCs w:val="22"/>
            </w:rPr>
          </w:pPr>
          <w:hyperlink w:anchor="_Toc411611469" w:history="1">
            <w:r w:rsidR="00C837F3" w:rsidRPr="00C837F3">
              <w:rPr>
                <w:rStyle w:val="Hypertextovodkaz"/>
                <w:rFonts w:ascii="Arial" w:hAnsi="Arial" w:cs="Arial"/>
                <w:noProof/>
              </w:rPr>
              <w:t>1.3 Stručná charakteristika poptávky po pracovní síle</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_Toc411611469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32</w:t>
            </w:r>
            <w:r w:rsidR="00C837F3" w:rsidRPr="00C837F3">
              <w:rPr>
                <w:rFonts w:ascii="Arial" w:hAnsi="Arial" w:cs="Arial"/>
                <w:noProof/>
                <w:webHidden/>
              </w:rPr>
              <w:fldChar w:fldCharType="end"/>
            </w:r>
          </w:hyperlink>
        </w:p>
        <w:p w:rsidR="00C837F3" w:rsidRPr="00C837F3" w:rsidRDefault="00B82B97">
          <w:pPr>
            <w:pStyle w:val="Obsah1"/>
            <w:tabs>
              <w:tab w:val="right" w:leader="dot" w:pos="9062"/>
            </w:tabs>
            <w:rPr>
              <w:rFonts w:ascii="Arial" w:eastAsiaTheme="minorEastAsia" w:hAnsi="Arial" w:cs="Arial"/>
              <w:noProof/>
              <w:sz w:val="22"/>
              <w:szCs w:val="22"/>
            </w:rPr>
          </w:pPr>
          <w:hyperlink w:anchor="_Toc411611470" w:history="1">
            <w:r w:rsidR="00C837F3" w:rsidRPr="00C837F3">
              <w:rPr>
                <w:rStyle w:val="Hypertextovodkaz"/>
                <w:rFonts w:ascii="Arial" w:hAnsi="Arial" w:cs="Arial"/>
                <w:noProof/>
              </w:rPr>
              <w:t>2. Nezaměstnanost</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_Toc411611470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36</w:t>
            </w:r>
            <w:r w:rsidR="00C837F3" w:rsidRPr="00C837F3">
              <w:rPr>
                <w:rFonts w:ascii="Arial" w:hAnsi="Arial" w:cs="Arial"/>
                <w:noProof/>
                <w:webHidden/>
              </w:rPr>
              <w:fldChar w:fldCharType="end"/>
            </w:r>
          </w:hyperlink>
        </w:p>
        <w:p w:rsidR="00C837F3" w:rsidRPr="00C837F3" w:rsidRDefault="00B82B97">
          <w:pPr>
            <w:pStyle w:val="Obsah2"/>
            <w:tabs>
              <w:tab w:val="right" w:leader="dot" w:pos="9062"/>
            </w:tabs>
            <w:rPr>
              <w:rFonts w:ascii="Arial" w:eastAsiaTheme="minorEastAsia" w:hAnsi="Arial" w:cs="Arial"/>
              <w:noProof/>
              <w:sz w:val="22"/>
              <w:szCs w:val="22"/>
            </w:rPr>
          </w:pPr>
          <w:hyperlink w:anchor="_Toc411611471" w:history="1">
            <w:r w:rsidR="00C837F3" w:rsidRPr="00C837F3">
              <w:rPr>
                <w:rStyle w:val="Hypertextovodkaz"/>
                <w:rFonts w:ascii="Arial" w:hAnsi="Arial" w:cs="Arial"/>
                <w:noProof/>
              </w:rPr>
              <w:t>2.1. Vývoj nezaměstnanosti</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_Toc411611471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37</w:t>
            </w:r>
            <w:r w:rsidR="00C837F3" w:rsidRPr="00C837F3">
              <w:rPr>
                <w:rFonts w:ascii="Arial" w:hAnsi="Arial" w:cs="Arial"/>
                <w:noProof/>
                <w:webHidden/>
              </w:rPr>
              <w:fldChar w:fldCharType="end"/>
            </w:r>
          </w:hyperlink>
        </w:p>
        <w:p w:rsidR="00C837F3" w:rsidRPr="00C837F3" w:rsidRDefault="00B82B97">
          <w:pPr>
            <w:pStyle w:val="Obsah2"/>
            <w:tabs>
              <w:tab w:val="right" w:leader="dot" w:pos="9062"/>
            </w:tabs>
            <w:rPr>
              <w:rFonts w:ascii="Arial" w:eastAsiaTheme="minorEastAsia" w:hAnsi="Arial" w:cs="Arial"/>
              <w:noProof/>
              <w:sz w:val="22"/>
              <w:szCs w:val="22"/>
            </w:rPr>
          </w:pPr>
          <w:hyperlink w:anchor="_Toc411611472" w:history="1">
            <w:r w:rsidR="00C837F3" w:rsidRPr="00C837F3">
              <w:rPr>
                <w:rStyle w:val="Hypertextovodkaz"/>
                <w:rFonts w:ascii="Arial" w:hAnsi="Arial" w:cs="Arial"/>
                <w:noProof/>
              </w:rPr>
              <w:t>2.2 Územní rozložení registrované nezaměstnanosti</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_Toc411611472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42</w:t>
            </w:r>
            <w:r w:rsidR="00C837F3" w:rsidRPr="00C837F3">
              <w:rPr>
                <w:rFonts w:ascii="Arial" w:hAnsi="Arial" w:cs="Arial"/>
                <w:noProof/>
                <w:webHidden/>
              </w:rPr>
              <w:fldChar w:fldCharType="end"/>
            </w:r>
          </w:hyperlink>
        </w:p>
        <w:p w:rsidR="00C837F3" w:rsidRPr="00C837F3" w:rsidRDefault="00B82B97">
          <w:pPr>
            <w:pStyle w:val="Obsah1"/>
            <w:tabs>
              <w:tab w:val="right" w:leader="dot" w:pos="9062"/>
            </w:tabs>
            <w:rPr>
              <w:rFonts w:ascii="Arial" w:eastAsiaTheme="minorEastAsia" w:hAnsi="Arial" w:cs="Arial"/>
              <w:noProof/>
              <w:sz w:val="22"/>
              <w:szCs w:val="22"/>
            </w:rPr>
          </w:pPr>
          <w:hyperlink w:anchor="_Toc411611473" w:history="1">
            <w:r w:rsidR="00C837F3" w:rsidRPr="00C837F3">
              <w:rPr>
                <w:rStyle w:val="Hypertextovodkaz"/>
                <w:rFonts w:ascii="Arial" w:hAnsi="Arial" w:cs="Arial"/>
                <w:noProof/>
              </w:rPr>
              <w:t>3. Charakteristika problémových skupin a problémových regionů</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_Toc411611473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63</w:t>
            </w:r>
            <w:r w:rsidR="00C837F3" w:rsidRPr="00C837F3">
              <w:rPr>
                <w:rFonts w:ascii="Arial" w:hAnsi="Arial" w:cs="Arial"/>
                <w:noProof/>
                <w:webHidden/>
              </w:rPr>
              <w:fldChar w:fldCharType="end"/>
            </w:r>
          </w:hyperlink>
        </w:p>
        <w:p w:rsidR="00C837F3" w:rsidRPr="00C837F3" w:rsidRDefault="00B82B97">
          <w:pPr>
            <w:pStyle w:val="Obsah2"/>
            <w:tabs>
              <w:tab w:val="right" w:leader="dot" w:pos="9062"/>
            </w:tabs>
            <w:rPr>
              <w:rFonts w:ascii="Arial" w:eastAsiaTheme="minorEastAsia" w:hAnsi="Arial" w:cs="Arial"/>
              <w:noProof/>
              <w:sz w:val="22"/>
              <w:szCs w:val="22"/>
            </w:rPr>
          </w:pPr>
          <w:hyperlink w:anchor="_Toc411611474" w:history="1">
            <w:r w:rsidR="00C837F3" w:rsidRPr="00C837F3">
              <w:rPr>
                <w:rStyle w:val="Hypertextovodkaz"/>
                <w:rFonts w:ascii="Arial" w:hAnsi="Arial" w:cs="Arial"/>
                <w:noProof/>
              </w:rPr>
              <w:t>3.1 Problémové skupiny</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_Toc411611474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63</w:t>
            </w:r>
            <w:r w:rsidR="00C837F3" w:rsidRPr="00C837F3">
              <w:rPr>
                <w:rFonts w:ascii="Arial" w:hAnsi="Arial" w:cs="Arial"/>
                <w:noProof/>
                <w:webHidden/>
              </w:rPr>
              <w:fldChar w:fldCharType="end"/>
            </w:r>
          </w:hyperlink>
        </w:p>
        <w:p w:rsidR="00C837F3" w:rsidRPr="00C837F3" w:rsidRDefault="00B82B97">
          <w:pPr>
            <w:pStyle w:val="Obsah2"/>
            <w:tabs>
              <w:tab w:val="right" w:leader="dot" w:pos="9062"/>
            </w:tabs>
            <w:rPr>
              <w:rFonts w:ascii="Arial" w:eastAsiaTheme="minorEastAsia" w:hAnsi="Arial" w:cs="Arial"/>
              <w:noProof/>
              <w:sz w:val="22"/>
              <w:szCs w:val="22"/>
            </w:rPr>
          </w:pPr>
          <w:hyperlink w:anchor="_Toc411611475" w:history="1">
            <w:r w:rsidR="00C837F3" w:rsidRPr="00C837F3">
              <w:rPr>
                <w:rStyle w:val="Hypertextovodkaz"/>
                <w:rFonts w:ascii="Arial" w:hAnsi="Arial" w:cs="Arial"/>
                <w:noProof/>
              </w:rPr>
              <w:t>3.2 Problémové regiony</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_Toc411611475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67</w:t>
            </w:r>
            <w:r w:rsidR="00C837F3" w:rsidRPr="00C837F3">
              <w:rPr>
                <w:rFonts w:ascii="Arial" w:hAnsi="Arial" w:cs="Arial"/>
                <w:noProof/>
                <w:webHidden/>
              </w:rPr>
              <w:fldChar w:fldCharType="end"/>
            </w:r>
          </w:hyperlink>
        </w:p>
        <w:p w:rsidR="00C837F3" w:rsidRPr="00C837F3" w:rsidRDefault="00B82B97">
          <w:pPr>
            <w:pStyle w:val="Obsah1"/>
            <w:tabs>
              <w:tab w:val="right" w:leader="dot" w:pos="9062"/>
            </w:tabs>
            <w:rPr>
              <w:rFonts w:ascii="Arial" w:eastAsiaTheme="minorEastAsia" w:hAnsi="Arial" w:cs="Arial"/>
              <w:noProof/>
              <w:sz w:val="22"/>
              <w:szCs w:val="22"/>
            </w:rPr>
          </w:pPr>
          <w:hyperlink w:anchor="_Toc411611476" w:history="1">
            <w:r w:rsidR="00C837F3" w:rsidRPr="00C837F3">
              <w:rPr>
                <w:rStyle w:val="Hypertextovodkaz"/>
                <w:rFonts w:ascii="Arial" w:hAnsi="Arial" w:cs="Arial"/>
                <w:noProof/>
              </w:rPr>
              <w:t>4. Cizinci na trhu práce</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_Toc411611476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68</w:t>
            </w:r>
            <w:r w:rsidR="00C837F3" w:rsidRPr="00C837F3">
              <w:rPr>
                <w:rFonts w:ascii="Arial" w:hAnsi="Arial" w:cs="Arial"/>
                <w:noProof/>
                <w:webHidden/>
              </w:rPr>
              <w:fldChar w:fldCharType="end"/>
            </w:r>
          </w:hyperlink>
        </w:p>
        <w:p w:rsidR="00C837F3" w:rsidRPr="00C837F3" w:rsidRDefault="00B82B97">
          <w:pPr>
            <w:pStyle w:val="Obsah1"/>
            <w:tabs>
              <w:tab w:val="right" w:leader="dot" w:pos="9062"/>
            </w:tabs>
            <w:rPr>
              <w:rFonts w:ascii="Arial" w:eastAsiaTheme="minorEastAsia" w:hAnsi="Arial" w:cs="Arial"/>
              <w:noProof/>
              <w:sz w:val="22"/>
              <w:szCs w:val="22"/>
            </w:rPr>
          </w:pPr>
          <w:hyperlink w:anchor="_Toc411611477" w:history="1">
            <w:r w:rsidR="00C837F3" w:rsidRPr="00C837F3">
              <w:rPr>
                <w:rStyle w:val="Hypertextovodkaz"/>
                <w:rFonts w:ascii="Arial" w:hAnsi="Arial" w:cs="Arial"/>
                <w:noProof/>
              </w:rPr>
              <w:t>5.  Prognóza vývoje trhu práce na rok 2015</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_Toc411611477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77</w:t>
            </w:r>
            <w:r w:rsidR="00C837F3" w:rsidRPr="00C837F3">
              <w:rPr>
                <w:rFonts w:ascii="Arial" w:hAnsi="Arial" w:cs="Arial"/>
                <w:noProof/>
                <w:webHidden/>
              </w:rPr>
              <w:fldChar w:fldCharType="end"/>
            </w:r>
          </w:hyperlink>
        </w:p>
        <w:p w:rsidR="00C837F3" w:rsidRPr="00C837F3" w:rsidRDefault="00B82B97">
          <w:pPr>
            <w:pStyle w:val="Obsah1"/>
            <w:tabs>
              <w:tab w:val="right" w:leader="dot" w:pos="9062"/>
            </w:tabs>
            <w:rPr>
              <w:rFonts w:ascii="Arial" w:eastAsiaTheme="minorEastAsia" w:hAnsi="Arial" w:cs="Arial"/>
              <w:noProof/>
              <w:sz w:val="22"/>
              <w:szCs w:val="22"/>
            </w:rPr>
          </w:pPr>
          <w:hyperlink w:anchor="_Toc411611478" w:history="1">
            <w:r w:rsidR="00C837F3" w:rsidRPr="00C837F3">
              <w:rPr>
                <w:rStyle w:val="Hypertextovodkaz"/>
                <w:rFonts w:ascii="Arial" w:hAnsi="Arial" w:cs="Arial"/>
                <w:noProof/>
              </w:rPr>
              <w:t>6. Realizace aktivní politiky zaměstnanosti v roce 2014</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_Toc411611478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78</w:t>
            </w:r>
            <w:r w:rsidR="00C837F3" w:rsidRPr="00C837F3">
              <w:rPr>
                <w:rFonts w:ascii="Arial" w:hAnsi="Arial" w:cs="Arial"/>
                <w:noProof/>
                <w:webHidden/>
              </w:rPr>
              <w:fldChar w:fldCharType="end"/>
            </w:r>
          </w:hyperlink>
        </w:p>
        <w:p w:rsidR="00C837F3" w:rsidRPr="00C837F3" w:rsidRDefault="00B82B97">
          <w:pPr>
            <w:pStyle w:val="Obsah2"/>
            <w:tabs>
              <w:tab w:val="right" w:leader="dot" w:pos="9062"/>
            </w:tabs>
            <w:rPr>
              <w:rFonts w:ascii="Arial" w:eastAsiaTheme="minorEastAsia" w:hAnsi="Arial" w:cs="Arial"/>
              <w:noProof/>
              <w:sz w:val="22"/>
              <w:szCs w:val="22"/>
            </w:rPr>
          </w:pPr>
          <w:hyperlink w:anchor="_Toc411611479" w:history="1">
            <w:r w:rsidR="00C837F3" w:rsidRPr="00C837F3">
              <w:rPr>
                <w:rStyle w:val="Hypertextovodkaz"/>
                <w:rFonts w:ascii="Arial" w:hAnsi="Arial" w:cs="Arial"/>
                <w:noProof/>
              </w:rPr>
              <w:t>6.1 Realizace jednotlivých nástrojů APZ v roce 2013</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_Toc411611479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78</w:t>
            </w:r>
            <w:r w:rsidR="00C837F3" w:rsidRPr="00C837F3">
              <w:rPr>
                <w:rFonts w:ascii="Arial" w:hAnsi="Arial" w:cs="Arial"/>
                <w:noProof/>
                <w:webHidden/>
              </w:rPr>
              <w:fldChar w:fldCharType="end"/>
            </w:r>
          </w:hyperlink>
        </w:p>
        <w:p w:rsidR="00C837F3" w:rsidRPr="00C837F3" w:rsidRDefault="00B82B97">
          <w:pPr>
            <w:pStyle w:val="Obsah2"/>
            <w:tabs>
              <w:tab w:val="right" w:leader="dot" w:pos="9062"/>
            </w:tabs>
            <w:rPr>
              <w:rFonts w:ascii="Arial" w:eastAsiaTheme="minorEastAsia" w:hAnsi="Arial" w:cs="Arial"/>
              <w:noProof/>
              <w:sz w:val="22"/>
              <w:szCs w:val="22"/>
            </w:rPr>
          </w:pPr>
          <w:hyperlink w:anchor="_Toc411611480" w:history="1">
            <w:r w:rsidR="00C837F3" w:rsidRPr="00C837F3">
              <w:rPr>
                <w:rStyle w:val="Hypertextovodkaz"/>
                <w:rFonts w:ascii="Arial" w:hAnsi="Arial" w:cs="Arial"/>
                <w:noProof/>
              </w:rPr>
              <w:t>6.2 Rekvalifikace a poradenství</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_Toc411611480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82</w:t>
            </w:r>
            <w:r w:rsidR="00C837F3" w:rsidRPr="00C837F3">
              <w:rPr>
                <w:rFonts w:ascii="Arial" w:hAnsi="Arial" w:cs="Arial"/>
                <w:noProof/>
                <w:webHidden/>
              </w:rPr>
              <w:fldChar w:fldCharType="end"/>
            </w:r>
          </w:hyperlink>
        </w:p>
        <w:p w:rsidR="00C837F3" w:rsidRPr="00C837F3" w:rsidRDefault="00B82B97">
          <w:pPr>
            <w:pStyle w:val="Obsah2"/>
            <w:tabs>
              <w:tab w:val="right" w:leader="dot" w:pos="9062"/>
            </w:tabs>
            <w:rPr>
              <w:rFonts w:ascii="Arial" w:eastAsiaTheme="minorEastAsia" w:hAnsi="Arial" w:cs="Arial"/>
              <w:noProof/>
              <w:sz w:val="22"/>
              <w:szCs w:val="22"/>
            </w:rPr>
          </w:pPr>
          <w:hyperlink w:anchor="_Toc411611481" w:history="1">
            <w:r w:rsidR="00C837F3" w:rsidRPr="00C837F3">
              <w:rPr>
                <w:rStyle w:val="Hypertextovodkaz"/>
                <w:rFonts w:ascii="Arial" w:hAnsi="Arial" w:cs="Arial"/>
                <w:noProof/>
              </w:rPr>
              <w:t>6.3 Projekty ESF</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_Toc411611481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85</w:t>
            </w:r>
            <w:r w:rsidR="00C837F3" w:rsidRPr="00C837F3">
              <w:rPr>
                <w:rFonts w:ascii="Arial" w:hAnsi="Arial" w:cs="Arial"/>
                <w:noProof/>
                <w:webHidden/>
              </w:rPr>
              <w:fldChar w:fldCharType="end"/>
            </w:r>
          </w:hyperlink>
        </w:p>
        <w:p w:rsidR="00C837F3" w:rsidRPr="00C837F3" w:rsidRDefault="00B82B97">
          <w:pPr>
            <w:pStyle w:val="Obsah1"/>
            <w:tabs>
              <w:tab w:val="right" w:leader="dot" w:pos="9062"/>
            </w:tabs>
            <w:rPr>
              <w:rFonts w:ascii="Arial" w:eastAsiaTheme="minorEastAsia" w:hAnsi="Arial" w:cs="Arial"/>
              <w:noProof/>
              <w:sz w:val="22"/>
              <w:szCs w:val="22"/>
            </w:rPr>
          </w:pPr>
          <w:hyperlink w:anchor="_Toc411611483" w:history="1">
            <w:r w:rsidR="00C837F3" w:rsidRPr="00C837F3">
              <w:rPr>
                <w:rStyle w:val="Hypertextovodkaz"/>
                <w:rFonts w:ascii="Arial" w:hAnsi="Arial" w:cs="Arial"/>
                <w:noProof/>
              </w:rPr>
              <w:t>7. Cíle APZ pro rok 2015</w:t>
            </w:r>
            <w:r w:rsidR="00C837F3" w:rsidRPr="00C837F3">
              <w:rPr>
                <w:rFonts w:ascii="Arial" w:hAnsi="Arial" w:cs="Arial"/>
                <w:noProof/>
                <w:webHidden/>
              </w:rPr>
              <w:tab/>
            </w:r>
            <w:r w:rsidR="00C837F3" w:rsidRPr="00C837F3">
              <w:rPr>
                <w:rFonts w:ascii="Arial" w:hAnsi="Arial" w:cs="Arial"/>
                <w:noProof/>
                <w:webHidden/>
              </w:rPr>
              <w:fldChar w:fldCharType="begin"/>
            </w:r>
            <w:r w:rsidR="00C837F3" w:rsidRPr="00C837F3">
              <w:rPr>
                <w:rFonts w:ascii="Arial" w:hAnsi="Arial" w:cs="Arial"/>
                <w:noProof/>
                <w:webHidden/>
              </w:rPr>
              <w:instrText xml:space="preserve"> PAGEREF _Toc411611483 \h </w:instrText>
            </w:r>
            <w:r w:rsidR="00C837F3" w:rsidRPr="00C837F3">
              <w:rPr>
                <w:rFonts w:ascii="Arial" w:hAnsi="Arial" w:cs="Arial"/>
                <w:noProof/>
                <w:webHidden/>
              </w:rPr>
            </w:r>
            <w:r w:rsidR="00C837F3" w:rsidRPr="00C837F3">
              <w:rPr>
                <w:rFonts w:ascii="Arial" w:hAnsi="Arial" w:cs="Arial"/>
                <w:noProof/>
                <w:webHidden/>
              </w:rPr>
              <w:fldChar w:fldCharType="separate"/>
            </w:r>
            <w:r w:rsidR="009E38FD">
              <w:rPr>
                <w:rFonts w:ascii="Arial" w:hAnsi="Arial" w:cs="Arial"/>
                <w:noProof/>
                <w:webHidden/>
              </w:rPr>
              <w:t>100</w:t>
            </w:r>
            <w:r w:rsidR="00C837F3" w:rsidRPr="00C837F3">
              <w:rPr>
                <w:rFonts w:ascii="Arial" w:hAnsi="Arial" w:cs="Arial"/>
                <w:noProof/>
                <w:webHidden/>
              </w:rPr>
              <w:fldChar w:fldCharType="end"/>
            </w:r>
          </w:hyperlink>
        </w:p>
        <w:p w:rsidR="00B0094B" w:rsidRDefault="00B0094B">
          <w:r w:rsidRPr="00C837F3">
            <w:rPr>
              <w:rFonts w:ascii="Arial" w:hAnsi="Arial" w:cs="Arial"/>
              <w:b/>
              <w:bCs/>
            </w:rPr>
            <w:fldChar w:fldCharType="end"/>
          </w:r>
        </w:p>
      </w:sdtContent>
    </w:sdt>
    <w:p w:rsidR="00730709" w:rsidRDefault="009446BA" w:rsidP="00730709">
      <w:r w:rsidRPr="004D1731">
        <w:rPr>
          <w:rFonts w:ascii="Arial" w:hAnsi="Arial" w:cs="Arial"/>
          <w:noProof/>
        </w:rPr>
        <mc:AlternateContent>
          <mc:Choice Requires="wps">
            <w:drawing>
              <wp:anchor distT="0" distB="0" distL="114300" distR="114300" simplePos="0" relativeHeight="251667456" behindDoc="0" locked="0" layoutInCell="1" allowOverlap="1" wp14:anchorId="4851A2C5" wp14:editId="7EDE3F06">
                <wp:simplePos x="0" y="0"/>
                <wp:positionH relativeFrom="column">
                  <wp:posOffset>2667462</wp:posOffset>
                </wp:positionH>
                <wp:positionV relativeFrom="paragraph">
                  <wp:posOffset>3924069</wp:posOffset>
                </wp:positionV>
                <wp:extent cx="485775" cy="304800"/>
                <wp:effectExtent l="0" t="0" r="9525" b="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04800"/>
                        </a:xfrm>
                        <a:prstGeom prst="rect">
                          <a:avLst/>
                        </a:prstGeom>
                        <a:solidFill>
                          <a:schemeClr val="bg1"/>
                        </a:solidFill>
                        <a:ln w="9525">
                          <a:noFill/>
                          <a:miter lim="800000"/>
                          <a:headEnd/>
                          <a:tailEnd/>
                        </a:ln>
                      </wps:spPr>
                      <wps:txbx>
                        <w:txbxContent>
                          <w:p w:rsidR="004378F3" w:rsidRDefault="004378F3" w:rsidP="007307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0.05pt;margin-top:309pt;width:38.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" fillcolor="white [3212]" stroked="f">
                <v:textbox>
                  <w:txbxContent>
                    <w:p w:rsidR="004378F3" w:rsidRDefault="004378F3" w:rsidP="00730709"/>
                  </w:txbxContent>
                </v:textbox>
              </v:shape>
            </w:pict>
          </mc:Fallback>
        </mc:AlternateContent>
      </w:r>
      <w:r w:rsidR="00730709">
        <w:br w:type="page"/>
      </w:r>
    </w:p>
    <w:p w:rsidR="002625D2" w:rsidRPr="00F432FD" w:rsidRDefault="002625D2" w:rsidP="002625D2">
      <w:pPr>
        <w:pStyle w:val="Nadpis2"/>
      </w:pPr>
      <w:bookmarkStart w:id="2" w:name="_Toc381367440"/>
      <w:bookmarkStart w:id="3" w:name="_Toc411611466"/>
      <w:r w:rsidRPr="00F432FD">
        <w:lastRenderedPageBreak/>
        <w:t>1. Zaměstnanost</w:t>
      </w:r>
      <w:bookmarkEnd w:id="2"/>
      <w:bookmarkEnd w:id="3"/>
    </w:p>
    <w:p w:rsidR="002625D2" w:rsidRPr="00F432FD" w:rsidRDefault="002625D2" w:rsidP="002625D2">
      <w:pPr>
        <w:pStyle w:val="Zkladntext"/>
        <w:rPr>
          <w:rFonts w:ascii="Arial" w:hAnsi="Arial" w:cs="Arial"/>
        </w:rPr>
      </w:pPr>
    </w:p>
    <w:p w:rsidR="002625D2" w:rsidRPr="00F432FD" w:rsidRDefault="002625D2" w:rsidP="002625D2">
      <w:pPr>
        <w:pStyle w:val="Nadpis2"/>
      </w:pPr>
      <w:bookmarkStart w:id="4" w:name="_Toc411611467"/>
      <w:bookmarkStart w:id="5" w:name="_Toc381367441"/>
      <w:r w:rsidRPr="00F432FD">
        <w:t>1.1 Celková zaměstnanost v kraji.</w:t>
      </w:r>
      <w:bookmarkEnd w:id="4"/>
      <w:r w:rsidRPr="00F432FD">
        <w:t xml:space="preserve"> </w:t>
      </w:r>
      <w:bookmarkEnd w:id="5"/>
    </w:p>
    <w:p w:rsidR="002625D2" w:rsidRPr="00F432FD" w:rsidRDefault="002625D2" w:rsidP="002625D2">
      <w:pPr>
        <w:pStyle w:val="Zkladntext"/>
        <w:rPr>
          <w:rFonts w:ascii="Arial" w:hAnsi="Arial" w:cs="Arial"/>
          <w:sz w:val="28"/>
          <w:szCs w:val="28"/>
        </w:rPr>
      </w:pPr>
    </w:p>
    <w:p w:rsidR="002625D2" w:rsidRDefault="002625D2" w:rsidP="002625D2">
      <w:pPr>
        <w:jc w:val="both"/>
        <w:rPr>
          <w:rFonts w:ascii="Arial" w:hAnsi="Arial" w:cs="Arial"/>
        </w:rPr>
      </w:pPr>
      <w:r w:rsidRPr="00F432FD">
        <w:rPr>
          <w:rFonts w:ascii="Arial" w:hAnsi="Arial" w:cs="Arial"/>
          <w:sz w:val="22"/>
          <w:szCs w:val="22"/>
        </w:rPr>
        <w:t>Podle údajů Výběrových šetření pracovních sil bylo v roce 2013 (průměrné celoroční stavy; údaj za rok 2014 ještě není k dispozici) v Jihomoravském kraji zaměstnáno celkem 556,4</w:t>
      </w:r>
      <w:r w:rsidRPr="00F432FD">
        <w:rPr>
          <w:rFonts w:ascii="Arial" w:hAnsi="Arial" w:cs="Arial"/>
          <w:b/>
          <w:sz w:val="22"/>
          <w:szCs w:val="22"/>
        </w:rPr>
        <w:t xml:space="preserve"> </w:t>
      </w:r>
      <w:r w:rsidRPr="00F432FD">
        <w:rPr>
          <w:rFonts w:ascii="Arial" w:hAnsi="Arial" w:cs="Arial"/>
          <w:sz w:val="22"/>
          <w:szCs w:val="22"/>
        </w:rPr>
        <w:t>tis. pracovníků, z toho bylo 311,9 tis. mužů a 244,6 tis. žen. Sektorová skladba zaměstnanosti v kraji je následující: primární sféra ekonomiky se nyní na úhrnné zaměstnanosti v kraji podílí 2,9 %, sekundární sféra 35,3 %, zatímco zastoupení terciární sféry nyní dosahuje 61,8 %. Muži se na úhrnné zaměstnanosti podílejí 56,1 % (a jejich zastoupení v NH postupně klesá), zatímco ženy 43,9 %. Krajská sektorová skladba zaměstnanosti v zásadě odpovídá celostátnímu průměru s tím, že v kraji je nyní mírně nižší zaměstnanost v sekundární sféře ekonomiky a také v zemědělství, zatímco v terciární sféře je naopak zaměstnanost nepatrně vyšší</w:t>
      </w:r>
      <w:r w:rsidRPr="00F432FD">
        <w:rPr>
          <w:rFonts w:ascii="Arial" w:hAnsi="Arial" w:cs="Arial"/>
        </w:rPr>
        <w:t xml:space="preserve">. </w:t>
      </w:r>
    </w:p>
    <w:p w:rsidR="002625D2" w:rsidRPr="00F432FD" w:rsidRDefault="002625D2" w:rsidP="002625D2">
      <w:pPr>
        <w:jc w:val="both"/>
        <w:rPr>
          <w:rFonts w:asciiTheme="minorHAnsi" w:hAnsiTheme="minorHAnsi"/>
          <w:bCs/>
        </w:rPr>
      </w:pPr>
    </w:p>
    <w:p w:rsidR="002625D2" w:rsidRPr="002625D2" w:rsidRDefault="002625D2" w:rsidP="002625D2">
      <w:pPr>
        <w:pStyle w:val="Bezmezer"/>
        <w:rPr>
          <w:rFonts w:ascii="Arial" w:hAnsi="Arial" w:cs="Arial"/>
          <w:b/>
          <w:i/>
          <w:sz w:val="20"/>
          <w:szCs w:val="20"/>
        </w:rPr>
      </w:pPr>
      <w:r w:rsidRPr="002625D2">
        <w:rPr>
          <w:rFonts w:ascii="Arial" w:hAnsi="Arial" w:cs="Arial"/>
          <w:b/>
          <w:i/>
          <w:sz w:val="20"/>
          <w:szCs w:val="20"/>
        </w:rPr>
        <w:t xml:space="preserve">Tab. </w:t>
      </w:r>
      <w:r w:rsidRPr="002625D2">
        <w:rPr>
          <w:rFonts w:ascii="Arial" w:hAnsi="Arial" w:cs="Arial"/>
          <w:b/>
          <w:i/>
          <w:sz w:val="20"/>
          <w:szCs w:val="20"/>
        </w:rPr>
        <w:fldChar w:fldCharType="begin"/>
      </w:r>
      <w:r w:rsidRPr="002625D2">
        <w:rPr>
          <w:rFonts w:ascii="Arial" w:hAnsi="Arial" w:cs="Arial"/>
          <w:b/>
          <w:i/>
          <w:sz w:val="20"/>
          <w:szCs w:val="20"/>
        </w:rPr>
        <w:instrText xml:space="preserve"> SEQ Tab. \* ARABIC </w:instrText>
      </w:r>
      <w:r w:rsidRPr="002625D2">
        <w:rPr>
          <w:rFonts w:ascii="Arial" w:hAnsi="Arial" w:cs="Arial"/>
          <w:b/>
          <w:i/>
          <w:sz w:val="20"/>
          <w:szCs w:val="20"/>
        </w:rPr>
        <w:fldChar w:fldCharType="separate"/>
      </w:r>
      <w:r w:rsidR="004378F3">
        <w:rPr>
          <w:rFonts w:ascii="Arial" w:hAnsi="Arial" w:cs="Arial"/>
          <w:b/>
          <w:i/>
          <w:noProof/>
          <w:sz w:val="20"/>
          <w:szCs w:val="20"/>
        </w:rPr>
        <w:t>1</w:t>
      </w:r>
      <w:r w:rsidRPr="002625D2">
        <w:rPr>
          <w:rFonts w:ascii="Arial" w:hAnsi="Arial" w:cs="Arial"/>
          <w:b/>
          <w:i/>
          <w:sz w:val="20"/>
          <w:szCs w:val="20"/>
        </w:rPr>
        <w:fldChar w:fldCharType="end"/>
      </w:r>
      <w:r w:rsidRPr="002625D2">
        <w:rPr>
          <w:rFonts w:ascii="Arial" w:hAnsi="Arial" w:cs="Arial"/>
          <w:b/>
          <w:i/>
          <w:sz w:val="20"/>
          <w:szCs w:val="20"/>
        </w:rPr>
        <w:t>: Vývoj v sektorové skladbě zaměstnanosti v národním hospodářství</w:t>
      </w:r>
      <w:r w:rsidRPr="002625D2">
        <w:rPr>
          <w:rFonts w:ascii="Arial" w:hAnsi="Arial" w:cs="Arial"/>
          <w:b/>
          <w:i/>
          <w:sz w:val="20"/>
          <w:szCs w:val="20"/>
        </w:rPr>
        <w:tab/>
        <w:t>Jihomoravského kraje v letech 2008 - 2013</w:t>
      </w:r>
    </w:p>
    <w:tbl>
      <w:tblPr>
        <w:tblW w:w="9072"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3611"/>
        <w:gridCol w:w="927"/>
        <w:gridCol w:w="954"/>
        <w:gridCol w:w="869"/>
        <w:gridCol w:w="869"/>
        <w:gridCol w:w="869"/>
        <w:gridCol w:w="973"/>
      </w:tblGrid>
      <w:tr w:rsidR="002625D2" w:rsidRPr="00F432FD" w:rsidTr="00482B40">
        <w:trPr>
          <w:jc w:val="center"/>
        </w:trPr>
        <w:tc>
          <w:tcPr>
            <w:tcW w:w="1990" w:type="pct"/>
            <w:vMerge w:val="restart"/>
            <w:tcBorders>
              <w:top w:val="single" w:sz="12" w:space="0" w:color="auto"/>
              <w:bottom w:val="single" w:sz="8" w:space="0" w:color="auto"/>
            </w:tcBorders>
            <w:shd w:val="clear" w:color="auto" w:fill="D9D9D9" w:themeFill="background1" w:themeFillShade="D9"/>
            <w:vAlign w:val="center"/>
          </w:tcPr>
          <w:p w:rsidR="002625D2" w:rsidRPr="00F432FD" w:rsidRDefault="002625D2" w:rsidP="00482B40">
            <w:pPr>
              <w:ind w:left="-165" w:firstLine="165"/>
              <w:jc w:val="center"/>
              <w:rPr>
                <w:rFonts w:asciiTheme="minorHAnsi" w:hAnsiTheme="minorHAnsi"/>
                <w:b/>
                <w:sz w:val="20"/>
                <w:szCs w:val="20"/>
              </w:rPr>
            </w:pPr>
          </w:p>
          <w:p w:rsidR="002625D2" w:rsidRPr="00F432FD" w:rsidRDefault="002625D2" w:rsidP="00482B40">
            <w:pPr>
              <w:ind w:left="-165" w:firstLine="165"/>
              <w:jc w:val="center"/>
              <w:rPr>
                <w:rFonts w:asciiTheme="minorHAnsi" w:hAnsiTheme="minorHAnsi"/>
                <w:b/>
                <w:sz w:val="20"/>
                <w:szCs w:val="20"/>
              </w:rPr>
            </w:pPr>
            <w:r w:rsidRPr="00F432FD">
              <w:rPr>
                <w:rFonts w:asciiTheme="minorHAnsi" w:hAnsiTheme="minorHAnsi"/>
                <w:b/>
                <w:sz w:val="20"/>
                <w:szCs w:val="20"/>
              </w:rPr>
              <w:t>Sektor NH</w:t>
            </w:r>
          </w:p>
        </w:tc>
        <w:tc>
          <w:tcPr>
            <w:tcW w:w="1037" w:type="pct"/>
            <w:gridSpan w:val="2"/>
            <w:tcBorders>
              <w:top w:val="single" w:sz="12" w:space="0" w:color="auto"/>
              <w:bottom w:val="single" w:sz="8" w:space="0" w:color="auto"/>
            </w:tcBorders>
            <w:shd w:val="clear" w:color="auto" w:fill="D9D9D9" w:themeFill="background1" w:themeFillShade="D9"/>
            <w:vAlign w:val="center"/>
          </w:tcPr>
          <w:p w:rsidR="002625D2" w:rsidRPr="00F432FD" w:rsidRDefault="002625D2" w:rsidP="00482B40">
            <w:pPr>
              <w:ind w:left="-165" w:firstLine="165"/>
              <w:jc w:val="center"/>
              <w:rPr>
                <w:rFonts w:asciiTheme="minorHAnsi" w:hAnsiTheme="minorHAnsi"/>
                <w:b/>
                <w:sz w:val="20"/>
                <w:szCs w:val="20"/>
              </w:rPr>
            </w:pPr>
            <w:r w:rsidRPr="00F432FD">
              <w:rPr>
                <w:rFonts w:asciiTheme="minorHAnsi" w:hAnsiTheme="minorHAnsi"/>
                <w:b/>
                <w:sz w:val="20"/>
                <w:szCs w:val="20"/>
              </w:rPr>
              <w:t>Počet pracovníků*</w:t>
            </w:r>
          </w:p>
        </w:tc>
        <w:tc>
          <w:tcPr>
            <w:tcW w:w="479" w:type="pct"/>
            <w:vMerge w:val="restart"/>
            <w:tcBorders>
              <w:top w:val="single" w:sz="12" w:space="0" w:color="auto"/>
              <w:bottom w:val="single" w:sz="8" w:space="0" w:color="auto"/>
            </w:tcBorders>
            <w:shd w:val="clear" w:color="auto" w:fill="D9D9D9" w:themeFill="background1" w:themeFillShade="D9"/>
            <w:vAlign w:val="center"/>
          </w:tcPr>
          <w:p w:rsidR="002625D2" w:rsidRPr="00F432FD" w:rsidRDefault="002625D2" w:rsidP="00482B40">
            <w:pPr>
              <w:ind w:left="-165" w:firstLine="165"/>
              <w:jc w:val="center"/>
              <w:rPr>
                <w:rFonts w:asciiTheme="minorHAnsi" w:hAnsiTheme="minorHAnsi"/>
                <w:b/>
                <w:sz w:val="20"/>
                <w:szCs w:val="20"/>
              </w:rPr>
            </w:pPr>
            <w:r w:rsidRPr="00F432FD">
              <w:rPr>
                <w:rFonts w:asciiTheme="minorHAnsi" w:hAnsiTheme="minorHAnsi"/>
                <w:b/>
                <w:sz w:val="20"/>
                <w:szCs w:val="20"/>
              </w:rPr>
              <w:t>Změna počtu</w:t>
            </w:r>
          </w:p>
          <w:p w:rsidR="002625D2" w:rsidRPr="00F432FD" w:rsidRDefault="002625D2" w:rsidP="00482B40">
            <w:pPr>
              <w:ind w:left="-165" w:firstLine="165"/>
              <w:jc w:val="center"/>
              <w:rPr>
                <w:rFonts w:asciiTheme="minorHAnsi" w:hAnsiTheme="minorHAnsi"/>
                <w:b/>
                <w:sz w:val="20"/>
                <w:szCs w:val="20"/>
              </w:rPr>
            </w:pPr>
            <w:r w:rsidRPr="00F432FD">
              <w:rPr>
                <w:rFonts w:asciiTheme="minorHAnsi" w:hAnsiTheme="minorHAnsi"/>
                <w:b/>
                <w:sz w:val="20"/>
                <w:szCs w:val="20"/>
              </w:rPr>
              <w:t>(v tis.)</w:t>
            </w:r>
          </w:p>
        </w:tc>
        <w:tc>
          <w:tcPr>
            <w:tcW w:w="958" w:type="pct"/>
            <w:gridSpan w:val="2"/>
            <w:tcBorders>
              <w:top w:val="single" w:sz="12" w:space="0" w:color="auto"/>
              <w:bottom w:val="single" w:sz="8" w:space="0" w:color="auto"/>
            </w:tcBorders>
            <w:shd w:val="clear" w:color="auto" w:fill="D9D9D9" w:themeFill="background1" w:themeFillShade="D9"/>
            <w:vAlign w:val="center"/>
          </w:tcPr>
          <w:p w:rsidR="002625D2" w:rsidRPr="00F432FD" w:rsidRDefault="002625D2" w:rsidP="00482B40">
            <w:pPr>
              <w:ind w:left="-165" w:firstLine="165"/>
              <w:jc w:val="center"/>
              <w:rPr>
                <w:rFonts w:asciiTheme="minorHAnsi" w:hAnsiTheme="minorHAnsi"/>
                <w:b/>
                <w:sz w:val="20"/>
                <w:szCs w:val="20"/>
              </w:rPr>
            </w:pPr>
            <w:r w:rsidRPr="00F432FD">
              <w:rPr>
                <w:rFonts w:asciiTheme="minorHAnsi" w:hAnsiTheme="minorHAnsi"/>
                <w:b/>
                <w:sz w:val="20"/>
                <w:szCs w:val="20"/>
              </w:rPr>
              <w:t>Podíl na celkové zaměstnanosti (%)</w:t>
            </w:r>
          </w:p>
        </w:tc>
        <w:tc>
          <w:tcPr>
            <w:tcW w:w="536" w:type="pct"/>
            <w:vMerge w:val="restart"/>
            <w:tcBorders>
              <w:top w:val="single" w:sz="12" w:space="0" w:color="auto"/>
              <w:bottom w:val="single" w:sz="8" w:space="0" w:color="auto"/>
            </w:tcBorders>
            <w:shd w:val="clear" w:color="auto" w:fill="D9D9D9" w:themeFill="background1" w:themeFillShade="D9"/>
            <w:vAlign w:val="center"/>
          </w:tcPr>
          <w:p w:rsidR="002625D2" w:rsidRPr="00F432FD" w:rsidRDefault="002625D2" w:rsidP="00482B40">
            <w:pPr>
              <w:ind w:left="-165" w:firstLine="165"/>
              <w:jc w:val="center"/>
              <w:rPr>
                <w:rFonts w:asciiTheme="minorHAnsi" w:hAnsiTheme="minorHAnsi"/>
                <w:b/>
                <w:sz w:val="20"/>
                <w:szCs w:val="20"/>
              </w:rPr>
            </w:pPr>
            <w:r w:rsidRPr="00F432FD">
              <w:rPr>
                <w:rFonts w:asciiTheme="minorHAnsi" w:hAnsiTheme="minorHAnsi"/>
                <w:b/>
                <w:sz w:val="20"/>
                <w:szCs w:val="20"/>
              </w:rPr>
              <w:t>Index**</w:t>
            </w:r>
          </w:p>
        </w:tc>
      </w:tr>
      <w:tr w:rsidR="002625D2" w:rsidRPr="00F432FD" w:rsidTr="00482B40">
        <w:trPr>
          <w:jc w:val="center"/>
        </w:trPr>
        <w:tc>
          <w:tcPr>
            <w:tcW w:w="1990" w:type="pct"/>
            <w:vMerge/>
            <w:tcBorders>
              <w:top w:val="single" w:sz="8" w:space="0" w:color="auto"/>
            </w:tcBorders>
          </w:tcPr>
          <w:p w:rsidR="002625D2" w:rsidRPr="00F432FD" w:rsidRDefault="002625D2" w:rsidP="00482B40">
            <w:pPr>
              <w:ind w:left="-165" w:firstLine="165"/>
              <w:rPr>
                <w:rFonts w:asciiTheme="minorHAnsi" w:hAnsiTheme="minorHAnsi"/>
                <w:sz w:val="20"/>
                <w:szCs w:val="20"/>
              </w:rPr>
            </w:pPr>
          </w:p>
        </w:tc>
        <w:tc>
          <w:tcPr>
            <w:tcW w:w="511" w:type="pct"/>
            <w:tcBorders>
              <w:top w:val="single" w:sz="8" w:space="0" w:color="auto"/>
              <w:bottom w:val="single" w:sz="8" w:space="0" w:color="auto"/>
            </w:tcBorders>
            <w:shd w:val="clear" w:color="auto" w:fill="D9D9D9" w:themeFill="background1" w:themeFillShade="D9"/>
          </w:tcPr>
          <w:p w:rsidR="002625D2" w:rsidRPr="00F432FD" w:rsidRDefault="002625D2" w:rsidP="00482B40">
            <w:pPr>
              <w:ind w:left="-165" w:firstLine="165"/>
              <w:jc w:val="center"/>
              <w:rPr>
                <w:rFonts w:asciiTheme="minorHAnsi" w:hAnsiTheme="minorHAnsi"/>
                <w:b/>
                <w:sz w:val="20"/>
                <w:szCs w:val="20"/>
              </w:rPr>
            </w:pPr>
            <w:r w:rsidRPr="00F432FD">
              <w:rPr>
                <w:rFonts w:asciiTheme="minorHAnsi" w:hAnsiTheme="minorHAnsi"/>
                <w:b/>
                <w:sz w:val="20"/>
                <w:szCs w:val="20"/>
              </w:rPr>
              <w:t>2013</w:t>
            </w:r>
          </w:p>
        </w:tc>
        <w:tc>
          <w:tcPr>
            <w:tcW w:w="526" w:type="pct"/>
            <w:tcBorders>
              <w:top w:val="single" w:sz="8" w:space="0" w:color="auto"/>
              <w:bottom w:val="single" w:sz="8" w:space="0" w:color="auto"/>
            </w:tcBorders>
            <w:shd w:val="clear" w:color="auto" w:fill="D9D9D9" w:themeFill="background1" w:themeFillShade="D9"/>
          </w:tcPr>
          <w:p w:rsidR="002625D2" w:rsidRPr="00F432FD" w:rsidRDefault="002625D2" w:rsidP="00482B40">
            <w:pPr>
              <w:ind w:left="-165" w:firstLine="165"/>
              <w:jc w:val="center"/>
              <w:rPr>
                <w:rFonts w:asciiTheme="minorHAnsi" w:hAnsiTheme="minorHAnsi"/>
                <w:b/>
                <w:sz w:val="20"/>
                <w:szCs w:val="20"/>
              </w:rPr>
            </w:pPr>
            <w:r w:rsidRPr="00F432FD">
              <w:rPr>
                <w:rFonts w:asciiTheme="minorHAnsi" w:hAnsiTheme="minorHAnsi"/>
                <w:b/>
                <w:bCs/>
                <w:sz w:val="20"/>
                <w:szCs w:val="20"/>
              </w:rPr>
              <w:t>2008</w:t>
            </w:r>
          </w:p>
        </w:tc>
        <w:tc>
          <w:tcPr>
            <w:tcW w:w="479" w:type="pct"/>
            <w:vMerge/>
            <w:tcBorders>
              <w:top w:val="single" w:sz="8" w:space="0" w:color="auto"/>
              <w:bottom w:val="single" w:sz="8" w:space="0" w:color="auto"/>
            </w:tcBorders>
            <w:shd w:val="clear" w:color="auto" w:fill="D9D9D9" w:themeFill="background1" w:themeFillShade="D9"/>
          </w:tcPr>
          <w:p w:rsidR="002625D2" w:rsidRPr="00F432FD" w:rsidRDefault="002625D2" w:rsidP="00482B40">
            <w:pPr>
              <w:ind w:left="-165" w:firstLine="165"/>
              <w:jc w:val="center"/>
              <w:rPr>
                <w:rFonts w:asciiTheme="minorHAnsi" w:hAnsiTheme="minorHAnsi"/>
                <w:sz w:val="20"/>
                <w:szCs w:val="20"/>
              </w:rPr>
            </w:pPr>
          </w:p>
        </w:tc>
        <w:tc>
          <w:tcPr>
            <w:tcW w:w="479" w:type="pct"/>
            <w:tcBorders>
              <w:top w:val="single" w:sz="8" w:space="0" w:color="auto"/>
              <w:bottom w:val="single" w:sz="8" w:space="0" w:color="auto"/>
            </w:tcBorders>
            <w:shd w:val="clear" w:color="auto" w:fill="D9D9D9" w:themeFill="background1" w:themeFillShade="D9"/>
          </w:tcPr>
          <w:p w:rsidR="002625D2" w:rsidRPr="00F432FD" w:rsidRDefault="002625D2" w:rsidP="00482B40">
            <w:pPr>
              <w:ind w:left="-165" w:firstLine="165"/>
              <w:jc w:val="center"/>
              <w:rPr>
                <w:rFonts w:asciiTheme="minorHAnsi" w:hAnsiTheme="minorHAnsi"/>
                <w:b/>
                <w:sz w:val="20"/>
                <w:szCs w:val="20"/>
              </w:rPr>
            </w:pPr>
            <w:r w:rsidRPr="00F432FD">
              <w:rPr>
                <w:rFonts w:asciiTheme="minorHAnsi" w:hAnsiTheme="minorHAnsi"/>
                <w:b/>
                <w:sz w:val="20"/>
                <w:szCs w:val="20"/>
              </w:rPr>
              <w:t>2013</w:t>
            </w:r>
          </w:p>
        </w:tc>
        <w:tc>
          <w:tcPr>
            <w:tcW w:w="479" w:type="pct"/>
            <w:tcBorders>
              <w:top w:val="single" w:sz="8" w:space="0" w:color="auto"/>
              <w:bottom w:val="single" w:sz="8" w:space="0" w:color="auto"/>
            </w:tcBorders>
            <w:shd w:val="clear" w:color="auto" w:fill="D9D9D9" w:themeFill="background1" w:themeFillShade="D9"/>
          </w:tcPr>
          <w:p w:rsidR="002625D2" w:rsidRPr="00F432FD" w:rsidRDefault="002625D2" w:rsidP="00482B40">
            <w:pPr>
              <w:ind w:left="-165" w:firstLine="165"/>
              <w:jc w:val="center"/>
              <w:rPr>
                <w:rFonts w:asciiTheme="minorHAnsi" w:hAnsiTheme="minorHAnsi"/>
                <w:b/>
                <w:sz w:val="20"/>
                <w:szCs w:val="20"/>
              </w:rPr>
            </w:pPr>
            <w:r w:rsidRPr="00F432FD">
              <w:rPr>
                <w:rFonts w:asciiTheme="minorHAnsi" w:hAnsiTheme="minorHAnsi"/>
                <w:b/>
                <w:bCs/>
                <w:sz w:val="20"/>
                <w:szCs w:val="20"/>
              </w:rPr>
              <w:t>2008</w:t>
            </w:r>
          </w:p>
        </w:tc>
        <w:tc>
          <w:tcPr>
            <w:tcW w:w="536" w:type="pct"/>
            <w:vMerge/>
            <w:tcBorders>
              <w:top w:val="single" w:sz="8" w:space="0" w:color="auto"/>
            </w:tcBorders>
          </w:tcPr>
          <w:p w:rsidR="002625D2" w:rsidRPr="00F432FD" w:rsidRDefault="002625D2" w:rsidP="00482B40">
            <w:pPr>
              <w:ind w:left="-165" w:firstLine="165"/>
              <w:rPr>
                <w:rFonts w:asciiTheme="minorHAnsi" w:hAnsiTheme="minorHAnsi"/>
                <w:sz w:val="20"/>
                <w:szCs w:val="20"/>
              </w:rPr>
            </w:pPr>
          </w:p>
        </w:tc>
      </w:tr>
      <w:tr w:rsidR="002625D2" w:rsidRPr="00F432FD" w:rsidTr="00482B40">
        <w:trPr>
          <w:jc w:val="center"/>
        </w:trPr>
        <w:tc>
          <w:tcPr>
            <w:tcW w:w="5000" w:type="pct"/>
            <w:gridSpan w:val="7"/>
          </w:tcPr>
          <w:p w:rsidR="002625D2" w:rsidRPr="00F432FD" w:rsidRDefault="002625D2" w:rsidP="00482B40">
            <w:pPr>
              <w:ind w:left="-165" w:firstLine="165"/>
              <w:jc w:val="center"/>
              <w:rPr>
                <w:rFonts w:asciiTheme="minorHAnsi" w:hAnsiTheme="minorHAnsi"/>
                <w:b/>
                <w:bCs/>
              </w:rPr>
            </w:pPr>
            <w:r w:rsidRPr="00F432FD">
              <w:rPr>
                <w:rFonts w:asciiTheme="minorHAnsi" w:hAnsiTheme="minorHAnsi"/>
                <w:b/>
                <w:bCs/>
                <w:sz w:val="22"/>
                <w:szCs w:val="22"/>
              </w:rPr>
              <w:t>Počet pracovníků úhrnem (v tis.)</w:t>
            </w:r>
          </w:p>
        </w:tc>
      </w:tr>
      <w:tr w:rsidR="002625D2" w:rsidRPr="00F432FD" w:rsidTr="00482B40">
        <w:trPr>
          <w:jc w:val="center"/>
        </w:trPr>
        <w:tc>
          <w:tcPr>
            <w:tcW w:w="1990" w:type="pct"/>
            <w:vAlign w:val="center"/>
          </w:tcPr>
          <w:p w:rsidR="002625D2" w:rsidRPr="00F432FD" w:rsidRDefault="002625D2" w:rsidP="00482B40">
            <w:pPr>
              <w:ind w:left="-165" w:firstLine="165"/>
              <w:rPr>
                <w:rFonts w:asciiTheme="minorHAnsi" w:hAnsiTheme="minorHAnsi"/>
              </w:rPr>
            </w:pPr>
            <w:r w:rsidRPr="00F432FD">
              <w:rPr>
                <w:rFonts w:asciiTheme="minorHAnsi" w:hAnsiTheme="minorHAnsi"/>
                <w:sz w:val="22"/>
                <w:szCs w:val="22"/>
              </w:rPr>
              <w:t>I. sektor (zemědělství, lesnictví)</w:t>
            </w:r>
          </w:p>
        </w:tc>
        <w:tc>
          <w:tcPr>
            <w:tcW w:w="511"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16,1</w:t>
            </w:r>
          </w:p>
        </w:tc>
        <w:tc>
          <w:tcPr>
            <w:tcW w:w="526"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17,3</w:t>
            </w:r>
          </w:p>
        </w:tc>
        <w:tc>
          <w:tcPr>
            <w:tcW w:w="479"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-1,2</w:t>
            </w:r>
          </w:p>
        </w:tc>
        <w:tc>
          <w:tcPr>
            <w:tcW w:w="479"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2,9</w:t>
            </w:r>
          </w:p>
        </w:tc>
        <w:tc>
          <w:tcPr>
            <w:tcW w:w="479"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3,3</w:t>
            </w:r>
          </w:p>
        </w:tc>
        <w:tc>
          <w:tcPr>
            <w:tcW w:w="536"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93,1</w:t>
            </w:r>
          </w:p>
        </w:tc>
      </w:tr>
      <w:tr w:rsidR="002625D2" w:rsidRPr="00F432FD" w:rsidTr="00482B40">
        <w:trPr>
          <w:jc w:val="center"/>
        </w:trPr>
        <w:tc>
          <w:tcPr>
            <w:tcW w:w="1990" w:type="pct"/>
            <w:vAlign w:val="center"/>
          </w:tcPr>
          <w:p w:rsidR="002625D2" w:rsidRPr="00F432FD" w:rsidRDefault="002625D2" w:rsidP="00482B40">
            <w:pPr>
              <w:ind w:left="-165" w:firstLine="165"/>
              <w:rPr>
                <w:rFonts w:asciiTheme="minorHAnsi" w:hAnsiTheme="minorHAnsi"/>
              </w:rPr>
            </w:pPr>
            <w:r w:rsidRPr="00F432FD">
              <w:rPr>
                <w:rFonts w:asciiTheme="minorHAnsi" w:hAnsiTheme="minorHAnsi"/>
                <w:sz w:val="22"/>
                <w:szCs w:val="22"/>
              </w:rPr>
              <w:t>II. sektor (průmysl, stavebnictví)</w:t>
            </w:r>
          </w:p>
        </w:tc>
        <w:tc>
          <w:tcPr>
            <w:tcW w:w="511"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196,6</w:t>
            </w:r>
          </w:p>
        </w:tc>
        <w:tc>
          <w:tcPr>
            <w:tcW w:w="526"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221,1</w:t>
            </w:r>
          </w:p>
        </w:tc>
        <w:tc>
          <w:tcPr>
            <w:tcW w:w="479"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-24,5</w:t>
            </w:r>
          </w:p>
        </w:tc>
        <w:tc>
          <w:tcPr>
            <w:tcW w:w="479"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35,3</w:t>
            </w:r>
          </w:p>
        </w:tc>
        <w:tc>
          <w:tcPr>
            <w:tcW w:w="479"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41,2</w:t>
            </w:r>
          </w:p>
        </w:tc>
        <w:tc>
          <w:tcPr>
            <w:tcW w:w="536"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88,9</w:t>
            </w:r>
          </w:p>
        </w:tc>
      </w:tr>
      <w:tr w:rsidR="002625D2" w:rsidRPr="00F432FD" w:rsidTr="00482B40">
        <w:trPr>
          <w:jc w:val="center"/>
        </w:trPr>
        <w:tc>
          <w:tcPr>
            <w:tcW w:w="1990" w:type="pct"/>
            <w:vAlign w:val="center"/>
          </w:tcPr>
          <w:p w:rsidR="002625D2" w:rsidRPr="00F432FD" w:rsidRDefault="002625D2" w:rsidP="00482B40">
            <w:pPr>
              <w:ind w:left="-165" w:firstLine="165"/>
              <w:rPr>
                <w:rFonts w:asciiTheme="minorHAnsi" w:hAnsiTheme="minorHAnsi"/>
              </w:rPr>
            </w:pPr>
            <w:r w:rsidRPr="00F432FD">
              <w:rPr>
                <w:rFonts w:asciiTheme="minorHAnsi" w:hAnsiTheme="minorHAnsi"/>
                <w:sz w:val="22"/>
                <w:szCs w:val="22"/>
              </w:rPr>
              <w:t>III. sektor (ostatní odvětví NH)</w:t>
            </w:r>
          </w:p>
        </w:tc>
        <w:tc>
          <w:tcPr>
            <w:tcW w:w="511"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343,7</w:t>
            </w:r>
          </w:p>
        </w:tc>
        <w:tc>
          <w:tcPr>
            <w:tcW w:w="526"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298,6</w:t>
            </w:r>
          </w:p>
        </w:tc>
        <w:tc>
          <w:tcPr>
            <w:tcW w:w="479"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45,1</w:t>
            </w:r>
          </w:p>
        </w:tc>
        <w:tc>
          <w:tcPr>
            <w:tcW w:w="479"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61,8</w:t>
            </w:r>
          </w:p>
        </w:tc>
        <w:tc>
          <w:tcPr>
            <w:tcW w:w="479"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55,6</w:t>
            </w:r>
          </w:p>
        </w:tc>
        <w:tc>
          <w:tcPr>
            <w:tcW w:w="536" w:type="pct"/>
            <w:vAlign w:val="center"/>
          </w:tcPr>
          <w:p w:rsidR="002625D2" w:rsidRPr="00F432FD" w:rsidRDefault="002625D2" w:rsidP="00482B40">
            <w:pPr>
              <w:jc w:val="right"/>
              <w:rPr>
                <w:rFonts w:asciiTheme="minorHAnsi" w:hAnsiTheme="minorHAnsi"/>
              </w:rPr>
            </w:pPr>
            <w:r w:rsidRPr="00F432FD">
              <w:rPr>
                <w:rFonts w:asciiTheme="minorHAnsi" w:hAnsiTheme="minorHAnsi"/>
                <w:sz w:val="22"/>
                <w:szCs w:val="22"/>
              </w:rPr>
              <w:t>115,1</w:t>
            </w:r>
          </w:p>
        </w:tc>
      </w:tr>
      <w:tr w:rsidR="002625D2" w:rsidRPr="00F432FD" w:rsidTr="00482B40">
        <w:trPr>
          <w:jc w:val="center"/>
        </w:trPr>
        <w:tc>
          <w:tcPr>
            <w:tcW w:w="1990" w:type="pct"/>
            <w:vAlign w:val="center"/>
          </w:tcPr>
          <w:p w:rsidR="002625D2" w:rsidRPr="00F432FD" w:rsidRDefault="002625D2" w:rsidP="00482B40">
            <w:pPr>
              <w:ind w:left="-165" w:firstLine="165"/>
              <w:rPr>
                <w:rFonts w:asciiTheme="minorHAnsi" w:hAnsiTheme="minorHAnsi"/>
                <w:b/>
              </w:rPr>
            </w:pPr>
            <w:r w:rsidRPr="00F432FD">
              <w:rPr>
                <w:rFonts w:asciiTheme="minorHAnsi" w:hAnsiTheme="minorHAnsi"/>
                <w:b/>
                <w:sz w:val="22"/>
                <w:szCs w:val="22"/>
              </w:rPr>
              <w:t>Celkem</w:t>
            </w:r>
          </w:p>
        </w:tc>
        <w:tc>
          <w:tcPr>
            <w:tcW w:w="511" w:type="pct"/>
            <w:vAlign w:val="center"/>
          </w:tcPr>
          <w:p w:rsidR="002625D2" w:rsidRPr="00F432FD" w:rsidRDefault="002625D2" w:rsidP="00482B40">
            <w:pPr>
              <w:jc w:val="right"/>
              <w:rPr>
                <w:rFonts w:asciiTheme="minorHAnsi" w:hAnsiTheme="minorHAnsi"/>
                <w:b/>
              </w:rPr>
            </w:pPr>
            <w:r w:rsidRPr="00F432FD">
              <w:rPr>
                <w:rFonts w:asciiTheme="minorHAnsi" w:hAnsiTheme="minorHAnsi"/>
                <w:b/>
                <w:sz w:val="22"/>
                <w:szCs w:val="22"/>
              </w:rPr>
              <w:t>556,4</w:t>
            </w:r>
          </w:p>
        </w:tc>
        <w:tc>
          <w:tcPr>
            <w:tcW w:w="526" w:type="pct"/>
            <w:vAlign w:val="center"/>
          </w:tcPr>
          <w:p w:rsidR="002625D2" w:rsidRPr="00F432FD" w:rsidRDefault="002625D2" w:rsidP="00482B40">
            <w:pPr>
              <w:jc w:val="right"/>
              <w:rPr>
                <w:rFonts w:asciiTheme="minorHAnsi" w:hAnsiTheme="minorHAnsi"/>
                <w:b/>
              </w:rPr>
            </w:pPr>
            <w:r w:rsidRPr="00F432FD">
              <w:rPr>
                <w:rFonts w:asciiTheme="minorHAnsi" w:hAnsiTheme="minorHAnsi"/>
                <w:b/>
                <w:sz w:val="22"/>
                <w:szCs w:val="22"/>
              </w:rPr>
              <w:t>537,0</w:t>
            </w:r>
          </w:p>
        </w:tc>
        <w:tc>
          <w:tcPr>
            <w:tcW w:w="479" w:type="pct"/>
            <w:vAlign w:val="center"/>
          </w:tcPr>
          <w:p w:rsidR="002625D2" w:rsidRPr="00F432FD" w:rsidRDefault="002625D2" w:rsidP="00482B40">
            <w:pPr>
              <w:jc w:val="right"/>
              <w:rPr>
                <w:rFonts w:asciiTheme="minorHAnsi" w:hAnsiTheme="minorHAnsi"/>
                <w:b/>
              </w:rPr>
            </w:pPr>
            <w:r w:rsidRPr="00F432FD">
              <w:rPr>
                <w:rFonts w:asciiTheme="minorHAnsi" w:hAnsiTheme="minorHAnsi"/>
                <w:b/>
                <w:sz w:val="22"/>
                <w:szCs w:val="22"/>
              </w:rPr>
              <w:t>19,4</w:t>
            </w:r>
          </w:p>
        </w:tc>
        <w:tc>
          <w:tcPr>
            <w:tcW w:w="479" w:type="pct"/>
            <w:vAlign w:val="center"/>
          </w:tcPr>
          <w:p w:rsidR="002625D2" w:rsidRPr="00F432FD" w:rsidRDefault="002625D2" w:rsidP="00482B40">
            <w:pPr>
              <w:jc w:val="right"/>
              <w:rPr>
                <w:rFonts w:asciiTheme="minorHAnsi" w:hAnsiTheme="minorHAnsi"/>
                <w:b/>
              </w:rPr>
            </w:pPr>
            <w:r w:rsidRPr="00F432FD">
              <w:rPr>
                <w:rFonts w:asciiTheme="minorHAnsi" w:hAnsiTheme="minorHAnsi"/>
                <w:b/>
                <w:sz w:val="22"/>
                <w:szCs w:val="22"/>
              </w:rPr>
              <w:t>100,0</w:t>
            </w:r>
          </w:p>
        </w:tc>
        <w:tc>
          <w:tcPr>
            <w:tcW w:w="479" w:type="pct"/>
            <w:vAlign w:val="center"/>
          </w:tcPr>
          <w:p w:rsidR="002625D2" w:rsidRPr="00F432FD" w:rsidRDefault="002625D2" w:rsidP="00482B40">
            <w:pPr>
              <w:jc w:val="right"/>
              <w:rPr>
                <w:rFonts w:asciiTheme="minorHAnsi" w:hAnsiTheme="minorHAnsi"/>
                <w:b/>
              </w:rPr>
            </w:pPr>
            <w:r w:rsidRPr="00F432FD">
              <w:rPr>
                <w:rFonts w:asciiTheme="minorHAnsi" w:hAnsiTheme="minorHAnsi"/>
                <w:b/>
                <w:sz w:val="22"/>
                <w:szCs w:val="22"/>
              </w:rPr>
              <w:t>100,0</w:t>
            </w:r>
          </w:p>
        </w:tc>
        <w:tc>
          <w:tcPr>
            <w:tcW w:w="536" w:type="pct"/>
            <w:vAlign w:val="center"/>
          </w:tcPr>
          <w:p w:rsidR="002625D2" w:rsidRPr="00F432FD" w:rsidRDefault="002625D2" w:rsidP="00482B40">
            <w:pPr>
              <w:jc w:val="right"/>
              <w:rPr>
                <w:rFonts w:asciiTheme="minorHAnsi" w:hAnsiTheme="minorHAnsi"/>
                <w:b/>
              </w:rPr>
            </w:pPr>
            <w:r w:rsidRPr="00F432FD">
              <w:rPr>
                <w:rFonts w:asciiTheme="minorHAnsi" w:hAnsiTheme="minorHAnsi"/>
                <w:b/>
                <w:sz w:val="22"/>
                <w:szCs w:val="22"/>
              </w:rPr>
              <w:t>103,6</w:t>
            </w:r>
          </w:p>
        </w:tc>
      </w:tr>
    </w:tbl>
    <w:p w:rsidR="002625D2" w:rsidRPr="00F432FD" w:rsidRDefault="002625D2" w:rsidP="002625D2">
      <w:pPr>
        <w:jc w:val="both"/>
        <w:rPr>
          <w:rFonts w:ascii="Arial" w:hAnsi="Arial" w:cs="Arial"/>
          <w:sz w:val="20"/>
          <w:szCs w:val="20"/>
        </w:rPr>
      </w:pPr>
      <w:r w:rsidRPr="00F432FD">
        <w:rPr>
          <w:rFonts w:ascii="Arial" w:hAnsi="Arial" w:cs="Arial"/>
          <w:b/>
          <w:sz w:val="20"/>
          <w:szCs w:val="20"/>
        </w:rPr>
        <w:t>Pramen</w:t>
      </w:r>
      <w:r w:rsidRPr="00F432FD">
        <w:rPr>
          <w:rFonts w:ascii="Arial" w:hAnsi="Arial" w:cs="Arial"/>
          <w:sz w:val="20"/>
          <w:szCs w:val="20"/>
        </w:rPr>
        <w:t>: Zaměstnanost a nezaměstnanost v České republice podle výsledků výběrových šetření pracovních sil - roční průměry 2013, ČSÚ Praha, 2014</w:t>
      </w:r>
    </w:p>
    <w:p w:rsidR="002625D2" w:rsidRPr="00F432FD" w:rsidRDefault="002625D2" w:rsidP="002625D2">
      <w:pPr>
        <w:jc w:val="both"/>
        <w:rPr>
          <w:rFonts w:ascii="Arial" w:hAnsi="Arial" w:cs="Arial"/>
          <w:sz w:val="20"/>
          <w:szCs w:val="20"/>
        </w:rPr>
      </w:pPr>
      <w:r w:rsidRPr="00F432FD">
        <w:rPr>
          <w:rFonts w:ascii="Arial" w:hAnsi="Arial" w:cs="Arial"/>
          <w:sz w:val="20"/>
          <w:szCs w:val="20"/>
        </w:rPr>
        <w:t>*…průměrné celoroční stavy</w:t>
      </w:r>
    </w:p>
    <w:p w:rsidR="002625D2" w:rsidRPr="00F432FD" w:rsidRDefault="002625D2" w:rsidP="002625D2">
      <w:pPr>
        <w:jc w:val="both"/>
        <w:rPr>
          <w:rFonts w:ascii="Arial" w:hAnsi="Arial" w:cs="Arial"/>
          <w:sz w:val="20"/>
          <w:szCs w:val="20"/>
        </w:rPr>
      </w:pPr>
      <w:r w:rsidRPr="00F432FD">
        <w:rPr>
          <w:rFonts w:ascii="Arial" w:hAnsi="Arial" w:cs="Arial"/>
          <w:sz w:val="20"/>
          <w:szCs w:val="20"/>
        </w:rPr>
        <w:t>**…bazický index (stav 2008 = 100 %)</w:t>
      </w:r>
    </w:p>
    <w:p w:rsidR="002625D2" w:rsidRPr="00F432FD" w:rsidRDefault="002625D2" w:rsidP="002625D2">
      <w:pPr>
        <w:jc w:val="both"/>
        <w:rPr>
          <w:rFonts w:asciiTheme="minorHAnsi" w:hAnsiTheme="minorHAnsi"/>
          <w:sz w:val="18"/>
        </w:rPr>
      </w:pPr>
    </w:p>
    <w:p w:rsidR="002625D2" w:rsidRPr="00F432FD" w:rsidRDefault="002625D2" w:rsidP="002625D2">
      <w:pPr>
        <w:jc w:val="both"/>
        <w:rPr>
          <w:rFonts w:ascii="Arial" w:hAnsi="Arial" w:cs="Arial"/>
          <w:sz w:val="22"/>
          <w:szCs w:val="22"/>
        </w:rPr>
      </w:pPr>
      <w:r w:rsidRPr="00F432FD">
        <w:rPr>
          <w:rFonts w:ascii="Arial" w:hAnsi="Arial" w:cs="Arial"/>
          <w:sz w:val="22"/>
          <w:szCs w:val="22"/>
        </w:rPr>
        <w:t xml:space="preserve">Z údajů VŠPS vyplývá, že počet zaměstnaných v Jihomoravském kraji se mezi lety 2008 a 2013 o 19,4 tis. osob zvýšil. Nešlo však o pozvolný mírný nárůst, ale </w:t>
      </w:r>
      <w:r w:rsidRPr="00F432FD">
        <w:rPr>
          <w:rFonts w:ascii="Arial" w:hAnsi="Arial" w:cs="Arial"/>
          <w:sz w:val="22"/>
          <w:szCs w:val="22"/>
        </w:rPr>
        <w:br/>
        <w:t xml:space="preserve">o dynamický vývoj. V důsledku ekonomické krize nejprve v letech 2008 až 2009 počet zaměstnaných klesl o 13,5 tis. osob. V letech 2010 až 2011 se počet zaměstnaných pohyboval kolem 530 tis. osob, aby v roce 2012 narostl na 537,7 tis. osob a v roce 2013 narost o dalších 18,7 tis. na současných 556,4 tis. osob. Vývoj v jednotlivých sektorech ekonomiky však je rozdílný. Počet pracujících v primární a sekundární sféře ekonomiky se ve sledovaném období snížil cca o 7 % respektive o 9 %, zaměstnanost v terciéru naopak vzrostla o cca 15,1 %. </w:t>
      </w:r>
    </w:p>
    <w:p w:rsidR="002625D2" w:rsidRPr="00F432FD" w:rsidRDefault="002625D2" w:rsidP="002625D2">
      <w:pPr>
        <w:jc w:val="both"/>
        <w:rPr>
          <w:rFonts w:ascii="Arial" w:hAnsi="Arial" w:cs="Arial"/>
          <w:noProof/>
        </w:rPr>
      </w:pPr>
    </w:p>
    <w:p w:rsidR="002625D2" w:rsidRDefault="002625D2" w:rsidP="002625D2">
      <w:pPr>
        <w:jc w:val="both"/>
        <w:rPr>
          <w:rFonts w:ascii="Arial" w:hAnsi="Arial" w:cs="Arial"/>
          <w:sz w:val="22"/>
          <w:szCs w:val="22"/>
        </w:rPr>
      </w:pPr>
      <w:r w:rsidRPr="00F432FD">
        <w:rPr>
          <w:rFonts w:ascii="Arial" w:hAnsi="Arial" w:cs="Arial"/>
          <w:sz w:val="22"/>
          <w:szCs w:val="22"/>
        </w:rPr>
        <w:t xml:space="preserve">V sekundárním sektoru se odlišně vyvíjel stav pracovníků v průmyslu a ve stavebnictví. Průmysl zasáhla velmi výrazně ekonomická krize, mezi lety 2008 a 2009 se snížil počet zaměstnaných v tomto odvětví o 27,1 tis. (z 164,8 tis. na 138,7 tis. osob).  V letech 2010 a 2011 se počet pracovníků v průmyslu zvýšil na zhruba 145 tis. a v roce 2012 už uvádělo VŠPS 152,4 tis. osob zaměstnaných v průmyslu. V roce 2013 počet zaměstnaných </w:t>
      </w:r>
      <w:r w:rsidRPr="00F432FD">
        <w:rPr>
          <w:rFonts w:ascii="Arial" w:hAnsi="Arial" w:cs="Arial"/>
          <w:sz w:val="22"/>
          <w:szCs w:val="22"/>
        </w:rPr>
        <w:lastRenderedPageBreak/>
        <w:t>v průmyslu mírně poklesl na 149,5 tis. osob. Oproti tomu počet pracovníků ve stavebnictví</w:t>
      </w:r>
      <w:r w:rsidRPr="00442585">
        <w:rPr>
          <w:rFonts w:ascii="Arial" w:hAnsi="Arial" w:cs="Arial"/>
          <w:sz w:val="22"/>
          <w:szCs w:val="22"/>
        </w:rPr>
        <w:t xml:space="preserve"> mezi lety 2008 a 2009 ještě mírně rostl, propad nastal až v roce 2010 (pokles o </w:t>
      </w:r>
      <w:r>
        <w:rPr>
          <w:rFonts w:ascii="Arial" w:hAnsi="Arial" w:cs="Arial"/>
          <w:sz w:val="22"/>
          <w:szCs w:val="22"/>
        </w:rPr>
        <w:t>4</w:t>
      </w:r>
      <w:r w:rsidRPr="00442585">
        <w:rPr>
          <w:rFonts w:ascii="Arial" w:hAnsi="Arial" w:cs="Arial"/>
          <w:sz w:val="22"/>
          <w:szCs w:val="22"/>
        </w:rPr>
        <w:t>,</w:t>
      </w:r>
      <w:r>
        <w:rPr>
          <w:rFonts w:ascii="Arial" w:hAnsi="Arial" w:cs="Arial"/>
          <w:sz w:val="22"/>
          <w:szCs w:val="22"/>
        </w:rPr>
        <w:t>6</w:t>
      </w:r>
      <w:r w:rsidRPr="00442585">
        <w:rPr>
          <w:rFonts w:ascii="Arial" w:hAnsi="Arial" w:cs="Arial"/>
          <w:sz w:val="22"/>
          <w:szCs w:val="22"/>
        </w:rPr>
        <w:t xml:space="preserve"> tis. osob) a následně se početní stavy pracovníků ve stavebnictví stabilizovaly na hodnotě kolem 4</w:t>
      </w:r>
      <w:r>
        <w:rPr>
          <w:rFonts w:ascii="Arial" w:hAnsi="Arial" w:cs="Arial"/>
          <w:sz w:val="22"/>
          <w:szCs w:val="22"/>
        </w:rPr>
        <w:t>6,5</w:t>
      </w:r>
      <w:r w:rsidRPr="00442585">
        <w:rPr>
          <w:rFonts w:ascii="Arial" w:hAnsi="Arial" w:cs="Arial"/>
          <w:sz w:val="22"/>
          <w:szCs w:val="22"/>
        </w:rPr>
        <w:t xml:space="preserve"> tis. osob. Vývoj zaměstnanosti v sekundéru a konečně i celkové zaměstnanosti v Jihomoravském kraji ovlivnil především zpracovatelský průmysl. Toto odvětví vykázalo mezi lety 2008 a 2009 strmý propad, a to o </w:t>
      </w:r>
      <w:r>
        <w:rPr>
          <w:rFonts w:ascii="Arial" w:hAnsi="Arial" w:cs="Arial"/>
          <w:sz w:val="22"/>
          <w:szCs w:val="22"/>
        </w:rPr>
        <w:t>23</w:t>
      </w:r>
      <w:r w:rsidRPr="00442585">
        <w:rPr>
          <w:rFonts w:ascii="Arial" w:hAnsi="Arial" w:cs="Arial"/>
          <w:sz w:val="22"/>
          <w:szCs w:val="22"/>
        </w:rPr>
        <w:t>,</w:t>
      </w:r>
      <w:r>
        <w:rPr>
          <w:rFonts w:ascii="Arial" w:hAnsi="Arial" w:cs="Arial"/>
          <w:sz w:val="22"/>
          <w:szCs w:val="22"/>
        </w:rPr>
        <w:t>9</w:t>
      </w:r>
      <w:r w:rsidRPr="00442585">
        <w:rPr>
          <w:rFonts w:ascii="Arial" w:hAnsi="Arial" w:cs="Arial"/>
          <w:sz w:val="22"/>
          <w:szCs w:val="22"/>
        </w:rPr>
        <w:t xml:space="preserve"> tis. </w:t>
      </w:r>
      <w:r>
        <w:rPr>
          <w:rFonts w:ascii="Arial" w:hAnsi="Arial" w:cs="Arial"/>
          <w:sz w:val="22"/>
          <w:szCs w:val="22"/>
        </w:rPr>
        <w:t>(z</w:t>
      </w:r>
      <w:r w:rsidRPr="00442585">
        <w:rPr>
          <w:rFonts w:ascii="Arial" w:hAnsi="Arial" w:cs="Arial"/>
          <w:sz w:val="22"/>
          <w:szCs w:val="22"/>
        </w:rPr>
        <w:t xml:space="preserve"> 1</w:t>
      </w:r>
      <w:r>
        <w:rPr>
          <w:rFonts w:ascii="Arial" w:hAnsi="Arial" w:cs="Arial"/>
          <w:sz w:val="22"/>
          <w:szCs w:val="22"/>
        </w:rPr>
        <w:t>49,9</w:t>
      </w:r>
      <w:r w:rsidRPr="00442585">
        <w:rPr>
          <w:rFonts w:ascii="Arial" w:hAnsi="Arial" w:cs="Arial"/>
          <w:sz w:val="22"/>
          <w:szCs w:val="22"/>
        </w:rPr>
        <w:t xml:space="preserve"> tis. na 1</w:t>
      </w:r>
      <w:r>
        <w:rPr>
          <w:rFonts w:ascii="Arial" w:hAnsi="Arial" w:cs="Arial"/>
          <w:sz w:val="22"/>
          <w:szCs w:val="22"/>
        </w:rPr>
        <w:t>2</w:t>
      </w:r>
      <w:r w:rsidRPr="00442585">
        <w:rPr>
          <w:rFonts w:ascii="Arial" w:hAnsi="Arial" w:cs="Arial"/>
          <w:sz w:val="22"/>
          <w:szCs w:val="22"/>
        </w:rPr>
        <w:t>6,</w:t>
      </w:r>
      <w:r>
        <w:rPr>
          <w:rFonts w:ascii="Arial" w:hAnsi="Arial" w:cs="Arial"/>
          <w:sz w:val="22"/>
          <w:szCs w:val="22"/>
        </w:rPr>
        <w:t>0</w:t>
      </w:r>
      <w:r w:rsidRPr="00442585">
        <w:rPr>
          <w:rFonts w:ascii="Arial" w:hAnsi="Arial" w:cs="Arial"/>
          <w:sz w:val="22"/>
          <w:szCs w:val="22"/>
        </w:rPr>
        <w:t xml:space="preserve"> tis.) osob, tedy více, než průmysl či sekundér celkově. Od roku 2010 se pak počet pracovníků ve zpracovatelském průmyslu opět postupně zvyšoval až na hodnotu 1</w:t>
      </w:r>
      <w:r>
        <w:rPr>
          <w:rFonts w:ascii="Arial" w:hAnsi="Arial" w:cs="Arial"/>
          <w:sz w:val="22"/>
          <w:szCs w:val="22"/>
        </w:rPr>
        <w:t>39</w:t>
      </w:r>
      <w:r w:rsidRPr="00442585">
        <w:rPr>
          <w:rFonts w:ascii="Arial" w:hAnsi="Arial" w:cs="Arial"/>
          <w:sz w:val="22"/>
          <w:szCs w:val="22"/>
        </w:rPr>
        <w:t>,</w:t>
      </w:r>
      <w:r>
        <w:rPr>
          <w:rFonts w:ascii="Arial" w:hAnsi="Arial" w:cs="Arial"/>
          <w:sz w:val="22"/>
          <w:szCs w:val="22"/>
        </w:rPr>
        <w:t>6</w:t>
      </w:r>
      <w:r w:rsidRPr="00442585">
        <w:rPr>
          <w:rFonts w:ascii="Arial" w:hAnsi="Arial" w:cs="Arial"/>
          <w:sz w:val="22"/>
          <w:szCs w:val="22"/>
        </w:rPr>
        <w:t xml:space="preserve"> tis. v roce 2012.</w:t>
      </w:r>
      <w:r>
        <w:rPr>
          <w:rFonts w:ascii="Arial" w:hAnsi="Arial" w:cs="Arial"/>
          <w:sz w:val="22"/>
          <w:szCs w:val="22"/>
        </w:rPr>
        <w:t xml:space="preserve"> Ke konci roku 2013 dosahoval počet zaměstnaných v zpracovatelském průmyslu 134,1 tis. osob.</w:t>
      </w:r>
    </w:p>
    <w:p w:rsidR="002625D2" w:rsidRPr="006A08D0" w:rsidRDefault="002625D2" w:rsidP="002625D2">
      <w:pPr>
        <w:jc w:val="both"/>
        <w:rPr>
          <w:rFonts w:ascii="Arial" w:hAnsi="Arial" w:cs="Arial"/>
          <w:noProof/>
        </w:rPr>
      </w:pPr>
    </w:p>
    <w:p w:rsidR="002625D2" w:rsidRPr="002625D2" w:rsidRDefault="002625D2" w:rsidP="007168E0">
      <w:pPr>
        <w:pStyle w:val="Bezmezer"/>
        <w:spacing w:line="276" w:lineRule="auto"/>
        <w:rPr>
          <w:rFonts w:ascii="Arial" w:hAnsi="Arial" w:cs="Arial"/>
          <w:b/>
          <w:i/>
          <w:sz w:val="20"/>
          <w:szCs w:val="20"/>
        </w:rPr>
      </w:pPr>
      <w:r w:rsidRPr="002625D2">
        <w:rPr>
          <w:rFonts w:ascii="Arial" w:hAnsi="Arial" w:cs="Arial"/>
          <w:b/>
          <w:i/>
          <w:sz w:val="20"/>
          <w:szCs w:val="20"/>
        </w:rPr>
        <w:t xml:space="preserve">Obr. </w:t>
      </w:r>
      <w:r w:rsidRPr="002625D2">
        <w:rPr>
          <w:rFonts w:ascii="Arial" w:hAnsi="Arial" w:cs="Arial"/>
          <w:b/>
          <w:i/>
          <w:sz w:val="20"/>
          <w:szCs w:val="20"/>
        </w:rPr>
        <w:fldChar w:fldCharType="begin"/>
      </w:r>
      <w:r w:rsidRPr="002625D2">
        <w:rPr>
          <w:rFonts w:ascii="Arial" w:hAnsi="Arial" w:cs="Arial"/>
          <w:b/>
          <w:i/>
          <w:sz w:val="20"/>
          <w:szCs w:val="20"/>
        </w:rPr>
        <w:instrText xml:space="preserve"> SEQ Obr. \* ARABIC </w:instrText>
      </w:r>
      <w:r w:rsidRPr="002625D2">
        <w:rPr>
          <w:rFonts w:ascii="Arial" w:hAnsi="Arial" w:cs="Arial"/>
          <w:b/>
          <w:i/>
          <w:sz w:val="20"/>
          <w:szCs w:val="20"/>
        </w:rPr>
        <w:fldChar w:fldCharType="separate"/>
      </w:r>
      <w:r w:rsidR="009E38FD">
        <w:rPr>
          <w:rFonts w:ascii="Arial" w:hAnsi="Arial" w:cs="Arial"/>
          <w:b/>
          <w:i/>
          <w:noProof/>
          <w:sz w:val="20"/>
          <w:szCs w:val="20"/>
        </w:rPr>
        <w:t>1</w:t>
      </w:r>
      <w:r w:rsidRPr="002625D2">
        <w:rPr>
          <w:rFonts w:ascii="Arial" w:hAnsi="Arial" w:cs="Arial"/>
          <w:b/>
          <w:i/>
          <w:sz w:val="20"/>
          <w:szCs w:val="20"/>
        </w:rPr>
        <w:fldChar w:fldCharType="end"/>
      </w:r>
      <w:r w:rsidRPr="002625D2">
        <w:rPr>
          <w:rFonts w:ascii="Arial" w:hAnsi="Arial" w:cs="Arial"/>
          <w:b/>
          <w:i/>
          <w:sz w:val="20"/>
          <w:szCs w:val="20"/>
        </w:rPr>
        <w:t xml:space="preserve">: Struktura zaměstnanosti v Jihomoravském kraji v roce 2008 a 2013 podle </w:t>
      </w:r>
    </w:p>
    <w:p w:rsidR="002625D2" w:rsidRPr="00104500" w:rsidRDefault="007168E0" w:rsidP="007168E0">
      <w:pPr>
        <w:pStyle w:val="Bezmezer"/>
        <w:spacing w:line="276" w:lineRule="auto"/>
        <w:rPr>
          <w:noProof/>
        </w:rPr>
      </w:pPr>
      <w:r>
        <w:rPr>
          <w:rFonts w:ascii="Arial" w:hAnsi="Arial" w:cs="Arial"/>
          <w:b/>
          <w:i/>
          <w:sz w:val="20"/>
          <w:szCs w:val="20"/>
        </w:rPr>
        <w:t xml:space="preserve">             </w:t>
      </w:r>
      <w:r w:rsidR="002625D2" w:rsidRPr="002625D2">
        <w:rPr>
          <w:rFonts w:ascii="Arial" w:hAnsi="Arial" w:cs="Arial"/>
          <w:b/>
          <w:i/>
          <w:sz w:val="20"/>
          <w:szCs w:val="20"/>
        </w:rPr>
        <w:t>hlavních sektorů ekonomiky</w:t>
      </w:r>
      <w:r w:rsidR="002625D2" w:rsidRPr="00104500">
        <w:rPr>
          <w:noProof/>
        </w:rPr>
        <w:t xml:space="preserve">    </w:t>
      </w:r>
      <w:r w:rsidR="002625D2">
        <w:rPr>
          <w:noProof/>
        </w:rPr>
        <w:drawing>
          <wp:inline distT="0" distB="0" distL="0" distR="0" wp14:anchorId="5834E1BB" wp14:editId="7FC4A131">
            <wp:extent cx="5760000" cy="2700000"/>
            <wp:effectExtent l="0" t="0" r="0" b="5715"/>
            <wp:docPr id="9"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2700000"/>
                    </a:xfrm>
                    <a:prstGeom prst="rect">
                      <a:avLst/>
                    </a:prstGeom>
                    <a:noFill/>
                  </pic:spPr>
                </pic:pic>
              </a:graphicData>
            </a:graphic>
          </wp:inline>
        </w:drawing>
      </w:r>
    </w:p>
    <w:p w:rsidR="002625D2" w:rsidRPr="0084055C" w:rsidRDefault="002625D2" w:rsidP="002625D2">
      <w:pPr>
        <w:jc w:val="both"/>
        <w:rPr>
          <w:rFonts w:ascii="Arial" w:hAnsi="Arial" w:cs="Arial"/>
          <w:sz w:val="20"/>
          <w:szCs w:val="20"/>
        </w:rPr>
      </w:pPr>
      <w:r w:rsidRPr="0084055C">
        <w:rPr>
          <w:rFonts w:ascii="Arial" w:hAnsi="Arial" w:cs="Arial"/>
          <w:b/>
          <w:sz w:val="20"/>
          <w:szCs w:val="20"/>
        </w:rPr>
        <w:t>Pramen</w:t>
      </w:r>
      <w:r w:rsidRPr="0084055C">
        <w:rPr>
          <w:rFonts w:ascii="Arial" w:hAnsi="Arial" w:cs="Arial"/>
          <w:sz w:val="20"/>
          <w:szCs w:val="20"/>
        </w:rPr>
        <w:t xml:space="preserve">: Zaměstnanost a nezaměstnanost v České republice podle výsledků výběrových šetření pracovních sil </w:t>
      </w:r>
      <w:r>
        <w:rPr>
          <w:rFonts w:ascii="Arial" w:hAnsi="Arial" w:cs="Arial"/>
          <w:sz w:val="20"/>
          <w:szCs w:val="20"/>
        </w:rPr>
        <w:t>-</w:t>
      </w:r>
      <w:r w:rsidRPr="0084055C">
        <w:rPr>
          <w:rFonts w:ascii="Arial" w:hAnsi="Arial" w:cs="Arial"/>
          <w:sz w:val="20"/>
          <w:szCs w:val="20"/>
        </w:rPr>
        <w:t xml:space="preserve"> roční průměry 201</w:t>
      </w:r>
      <w:r>
        <w:rPr>
          <w:rFonts w:ascii="Arial" w:hAnsi="Arial" w:cs="Arial"/>
          <w:sz w:val="20"/>
          <w:szCs w:val="20"/>
        </w:rPr>
        <w:t>3</w:t>
      </w:r>
      <w:r w:rsidRPr="0084055C">
        <w:rPr>
          <w:rFonts w:ascii="Arial" w:hAnsi="Arial" w:cs="Arial"/>
          <w:sz w:val="20"/>
          <w:szCs w:val="20"/>
        </w:rPr>
        <w:t>, ČSÚ Praha, 201</w:t>
      </w:r>
      <w:r>
        <w:rPr>
          <w:rFonts w:ascii="Arial" w:hAnsi="Arial" w:cs="Arial"/>
          <w:sz w:val="20"/>
          <w:szCs w:val="20"/>
        </w:rPr>
        <w:t>4</w:t>
      </w:r>
    </w:p>
    <w:p w:rsidR="002625D2" w:rsidRPr="00104500" w:rsidRDefault="002625D2" w:rsidP="002625D2">
      <w:pPr>
        <w:jc w:val="both"/>
        <w:rPr>
          <w:rFonts w:asciiTheme="minorHAnsi" w:hAnsiTheme="minorHAnsi"/>
        </w:rPr>
      </w:pPr>
    </w:p>
    <w:p w:rsidR="002625D2" w:rsidRPr="00F432FD" w:rsidRDefault="002625D2" w:rsidP="002625D2">
      <w:pPr>
        <w:jc w:val="both"/>
        <w:rPr>
          <w:rFonts w:ascii="Arial" w:hAnsi="Arial" w:cs="Arial"/>
          <w:sz w:val="22"/>
          <w:szCs w:val="22"/>
        </w:rPr>
      </w:pPr>
      <w:r w:rsidRPr="00F432FD">
        <w:rPr>
          <w:rFonts w:ascii="Arial" w:hAnsi="Arial" w:cs="Arial"/>
          <w:sz w:val="22"/>
          <w:szCs w:val="22"/>
        </w:rPr>
        <w:t>Výslednou úroveň zaměstnanosti v kraji vylepšuje sféra terciární; v tomto sektoru NH se počet zaměstnaných od roku 2008 do roku 2013 naopak zvýšil o více než 45,1 tis. osob. Z dílčích odvětví terciárního sektoru vzrostl v období 2008 - 2013 v Jihomoravském kraji nejvíce význam Informační a komunikační činnosti (o 7,7 tis. osob) a zdravotní a sociální péče (o 7,1 tis. osob), nárůst ale zaznamenala i jiná odvětví (vzdělávání; peněžnictví a pojišťovnictví; veřejná správa a obrana; kulturní, zábavní a rekreační činnosti; administrativní a podpůrné činnosti a velko a maloobchod). U několika dalších odvětví pak v podstatě k žádné výraznější změně nedošlo (profesní, vědecké a technické činnosti a ubytování, stravování a pohostinství). Výraznější snížení počtu zaměstnanců zaznamenaly jen činnosti v oblasti nemovitostí a doprava a skladování.</w:t>
      </w:r>
    </w:p>
    <w:p w:rsidR="002625D2" w:rsidRPr="00F432FD" w:rsidRDefault="002625D2" w:rsidP="00125EE0">
      <w:pPr>
        <w:pStyle w:val="Warda"/>
      </w:pPr>
    </w:p>
    <w:p w:rsidR="002625D2" w:rsidRDefault="002625D2" w:rsidP="002625D2">
      <w:pPr>
        <w:jc w:val="both"/>
        <w:rPr>
          <w:rFonts w:ascii="Arial" w:hAnsi="Arial" w:cs="Arial"/>
          <w:sz w:val="22"/>
          <w:szCs w:val="22"/>
        </w:rPr>
      </w:pPr>
      <w:r w:rsidRPr="00F432FD">
        <w:rPr>
          <w:rFonts w:ascii="Arial" w:hAnsi="Arial" w:cs="Arial"/>
          <w:sz w:val="22"/>
          <w:szCs w:val="22"/>
        </w:rPr>
        <w:t xml:space="preserve">Ve struktuře zaměstnanosti Jihomoravského kraje, členěné podle jednotlivých odvětví národního hospodářství, stále dominuje zpracovatelský průmysl, jehož zastoupení na celokrajské zaměstnanosti dosahuje nyní 24,2 %.  Další v pořadí, ale už s výrazně nižším podílem je odvětví obchodu (11,6 %), vysoké je stále i zastoupení stavebnictví (8,5 %). Na dalších významných pozicích se v kraji umisťují již výhradně jen odvětví terciární sféry: </w:t>
      </w:r>
      <w:r w:rsidRPr="00F432FD">
        <w:rPr>
          <w:rFonts w:ascii="Arial" w:hAnsi="Arial" w:cs="Arial"/>
          <w:sz w:val="22"/>
          <w:szCs w:val="22"/>
        </w:rPr>
        <w:lastRenderedPageBreak/>
        <w:t>vzdělávání (7,8 %) zdravotnictví (6,9 %), veřejná správa a obrana (6,9 %) a doprava a skladování (5,2 %).</w:t>
      </w:r>
    </w:p>
    <w:p w:rsidR="002625D2" w:rsidRPr="002625D2" w:rsidRDefault="002625D2" w:rsidP="002625D2">
      <w:pPr>
        <w:jc w:val="both"/>
        <w:rPr>
          <w:rFonts w:ascii="Arial" w:hAnsi="Arial" w:cs="Arial"/>
          <w:sz w:val="21"/>
          <w:szCs w:val="21"/>
        </w:rPr>
      </w:pPr>
    </w:p>
    <w:p w:rsidR="002625D2" w:rsidRPr="002625D2" w:rsidRDefault="002625D2" w:rsidP="007168E0">
      <w:pPr>
        <w:pStyle w:val="Bezmezer"/>
        <w:spacing w:line="276" w:lineRule="auto"/>
        <w:rPr>
          <w:rFonts w:ascii="Arial" w:hAnsi="Arial" w:cs="Arial"/>
          <w:b/>
          <w:sz w:val="20"/>
          <w:szCs w:val="20"/>
        </w:rPr>
      </w:pPr>
      <w:r w:rsidRPr="002625D2">
        <w:rPr>
          <w:rFonts w:ascii="Arial" w:hAnsi="Arial" w:cs="Arial"/>
          <w:b/>
          <w:i/>
          <w:sz w:val="20"/>
          <w:szCs w:val="20"/>
        </w:rPr>
        <w:t xml:space="preserve">Obr. </w:t>
      </w:r>
      <w:r w:rsidRPr="002625D2">
        <w:rPr>
          <w:rFonts w:ascii="Arial" w:hAnsi="Arial" w:cs="Arial"/>
          <w:b/>
          <w:i/>
          <w:sz w:val="20"/>
          <w:szCs w:val="20"/>
        </w:rPr>
        <w:fldChar w:fldCharType="begin"/>
      </w:r>
      <w:r w:rsidRPr="002625D2">
        <w:rPr>
          <w:rFonts w:ascii="Arial" w:hAnsi="Arial" w:cs="Arial"/>
          <w:b/>
          <w:i/>
          <w:sz w:val="20"/>
          <w:szCs w:val="20"/>
        </w:rPr>
        <w:instrText xml:space="preserve"> SEQ Obr. \* ARABIC </w:instrText>
      </w:r>
      <w:r w:rsidRPr="002625D2">
        <w:rPr>
          <w:rFonts w:ascii="Arial" w:hAnsi="Arial" w:cs="Arial"/>
          <w:b/>
          <w:i/>
          <w:sz w:val="20"/>
          <w:szCs w:val="20"/>
        </w:rPr>
        <w:fldChar w:fldCharType="separate"/>
      </w:r>
      <w:r w:rsidR="009E38FD">
        <w:rPr>
          <w:rFonts w:ascii="Arial" w:hAnsi="Arial" w:cs="Arial"/>
          <w:b/>
          <w:i/>
          <w:noProof/>
          <w:sz w:val="20"/>
          <w:szCs w:val="20"/>
        </w:rPr>
        <w:t>2</w:t>
      </w:r>
      <w:r w:rsidRPr="002625D2">
        <w:rPr>
          <w:rFonts w:ascii="Arial" w:hAnsi="Arial" w:cs="Arial"/>
          <w:b/>
          <w:i/>
          <w:sz w:val="20"/>
          <w:szCs w:val="20"/>
        </w:rPr>
        <w:fldChar w:fldCharType="end"/>
      </w:r>
      <w:r w:rsidRPr="002625D2">
        <w:rPr>
          <w:rFonts w:ascii="Arial" w:hAnsi="Arial" w:cs="Arial"/>
          <w:b/>
          <w:i/>
          <w:sz w:val="20"/>
          <w:szCs w:val="20"/>
        </w:rPr>
        <w:t>: Struktura zaměstnanosti v Jihomoravském kraji v roce 2008 a 2013 podle</w:t>
      </w:r>
      <w:r w:rsidRPr="002625D2">
        <w:rPr>
          <w:rFonts w:ascii="Arial" w:hAnsi="Arial" w:cs="Arial"/>
          <w:b/>
          <w:sz w:val="20"/>
          <w:szCs w:val="20"/>
        </w:rPr>
        <w:t xml:space="preserve"> odvětví</w:t>
      </w:r>
    </w:p>
    <w:p w:rsidR="002625D2" w:rsidRDefault="002625D2" w:rsidP="002625D2">
      <w:pPr>
        <w:jc w:val="both"/>
        <w:rPr>
          <w:rFonts w:asciiTheme="minorHAnsi" w:hAnsiTheme="minorHAnsi"/>
          <w:b/>
          <w:noProof/>
        </w:rPr>
      </w:pPr>
      <w:r>
        <w:rPr>
          <w:rFonts w:asciiTheme="minorHAnsi" w:hAnsiTheme="minorHAnsi"/>
          <w:b/>
          <w:noProof/>
        </w:rPr>
        <w:drawing>
          <wp:inline distT="0" distB="0" distL="0" distR="0" wp14:anchorId="2F28CF7B" wp14:editId="4BAC6EEF">
            <wp:extent cx="5760000" cy="3420000"/>
            <wp:effectExtent l="0" t="0" r="0" b="9525"/>
            <wp:docPr id="14" name="Obráze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3420000"/>
                    </a:xfrm>
                    <a:prstGeom prst="rect">
                      <a:avLst/>
                    </a:prstGeom>
                    <a:noFill/>
                  </pic:spPr>
                </pic:pic>
              </a:graphicData>
            </a:graphic>
          </wp:inline>
        </w:drawing>
      </w:r>
    </w:p>
    <w:p w:rsidR="002625D2" w:rsidRPr="00F432FD" w:rsidRDefault="002625D2" w:rsidP="002625D2">
      <w:pPr>
        <w:pStyle w:val="Bezmezer"/>
        <w:rPr>
          <w:rFonts w:ascii="Arial" w:hAnsi="Arial" w:cs="Arial"/>
          <w:sz w:val="20"/>
          <w:szCs w:val="20"/>
        </w:rPr>
      </w:pPr>
      <w:r w:rsidRPr="00F432FD">
        <w:rPr>
          <w:rFonts w:ascii="Arial" w:hAnsi="Arial" w:cs="Arial"/>
          <w:b/>
          <w:sz w:val="20"/>
          <w:szCs w:val="20"/>
        </w:rPr>
        <w:t>Pramen:</w:t>
      </w:r>
      <w:r w:rsidRPr="00F432FD">
        <w:rPr>
          <w:rFonts w:ascii="Arial" w:hAnsi="Arial" w:cs="Arial"/>
          <w:sz w:val="20"/>
          <w:szCs w:val="20"/>
        </w:rPr>
        <w:t xml:space="preserve"> Zaměstnanost a nezaměstnanost v České republice podle výsledků výběrových šetření pracovních sil -  roční průměry 2013, ČSÚ Praha, 2014</w:t>
      </w:r>
    </w:p>
    <w:p w:rsidR="002625D2" w:rsidRPr="006A08D0" w:rsidRDefault="002625D2" w:rsidP="002625D2">
      <w:pPr>
        <w:jc w:val="both"/>
        <w:rPr>
          <w:rFonts w:ascii="Arial" w:hAnsi="Arial" w:cs="Arial"/>
          <w:b/>
        </w:rPr>
      </w:pPr>
    </w:p>
    <w:p w:rsidR="002625D2" w:rsidRPr="00FB327F" w:rsidRDefault="002625D2" w:rsidP="002625D2">
      <w:pPr>
        <w:jc w:val="both"/>
        <w:rPr>
          <w:rFonts w:ascii="Arial" w:hAnsi="Arial" w:cs="Arial"/>
          <w:sz w:val="22"/>
          <w:szCs w:val="22"/>
        </w:rPr>
      </w:pPr>
      <w:r w:rsidRPr="00FB327F">
        <w:rPr>
          <w:rFonts w:ascii="Arial" w:hAnsi="Arial" w:cs="Arial"/>
          <w:sz w:val="22"/>
          <w:szCs w:val="22"/>
        </w:rPr>
        <w:t xml:space="preserve">Rozdíly v sektorové skladbě zaměstnanosti mužů a žen jsou v kraji výrazné.  </w:t>
      </w:r>
      <w:r w:rsidRPr="00F432FD">
        <w:rPr>
          <w:rFonts w:ascii="Arial" w:hAnsi="Arial" w:cs="Arial"/>
          <w:sz w:val="22"/>
          <w:szCs w:val="22"/>
        </w:rPr>
        <w:t>Téměř</w:t>
      </w:r>
      <w:r>
        <w:rPr>
          <w:rFonts w:ascii="Arial" w:hAnsi="Arial" w:cs="Arial"/>
          <w:sz w:val="22"/>
          <w:szCs w:val="22"/>
        </w:rPr>
        <w:t xml:space="preserve"> 77</w:t>
      </w:r>
      <w:r w:rsidRPr="00FB327F">
        <w:rPr>
          <w:rFonts w:ascii="Arial" w:hAnsi="Arial" w:cs="Arial"/>
          <w:sz w:val="22"/>
          <w:szCs w:val="22"/>
        </w:rPr>
        <w:t xml:space="preserve"> % žen je nyní zaměstnáno v odvětvích terciární sféry, </w:t>
      </w:r>
      <w:r>
        <w:rPr>
          <w:rFonts w:ascii="Arial" w:hAnsi="Arial" w:cs="Arial"/>
          <w:sz w:val="22"/>
          <w:szCs w:val="22"/>
        </w:rPr>
        <w:t>přesně</w:t>
      </w:r>
      <w:r w:rsidRPr="00FB327F">
        <w:rPr>
          <w:rFonts w:ascii="Arial" w:hAnsi="Arial" w:cs="Arial"/>
          <w:sz w:val="22"/>
          <w:szCs w:val="22"/>
        </w:rPr>
        <w:t xml:space="preserve"> 2 % pracuje v primární sféře a zhruba 2</w:t>
      </w:r>
      <w:r>
        <w:rPr>
          <w:rFonts w:ascii="Arial" w:hAnsi="Arial" w:cs="Arial"/>
          <w:sz w:val="22"/>
          <w:szCs w:val="22"/>
        </w:rPr>
        <w:t>1</w:t>
      </w:r>
      <w:r w:rsidRPr="00FB327F">
        <w:rPr>
          <w:rFonts w:ascii="Arial" w:hAnsi="Arial" w:cs="Arial"/>
          <w:sz w:val="22"/>
          <w:szCs w:val="22"/>
        </w:rPr>
        <w:t xml:space="preserve"> % v sekundární sféře ekonomiky. Mužů je v terciární sféře zaměstnána </w:t>
      </w:r>
      <w:r>
        <w:rPr>
          <w:rFonts w:ascii="Arial" w:hAnsi="Arial" w:cs="Arial"/>
          <w:sz w:val="22"/>
          <w:szCs w:val="22"/>
        </w:rPr>
        <w:t>polovina</w:t>
      </w:r>
      <w:r w:rsidRPr="00FB327F">
        <w:rPr>
          <w:rFonts w:ascii="Arial" w:hAnsi="Arial" w:cs="Arial"/>
          <w:sz w:val="22"/>
          <w:szCs w:val="22"/>
        </w:rPr>
        <w:t xml:space="preserve"> (</w:t>
      </w:r>
      <w:r>
        <w:rPr>
          <w:rFonts w:ascii="Arial" w:hAnsi="Arial" w:cs="Arial"/>
          <w:sz w:val="22"/>
          <w:szCs w:val="22"/>
        </w:rPr>
        <w:t>50</w:t>
      </w:r>
      <w:r w:rsidRPr="00FB327F">
        <w:rPr>
          <w:rFonts w:ascii="Arial" w:hAnsi="Arial" w:cs="Arial"/>
          <w:sz w:val="22"/>
          <w:szCs w:val="22"/>
        </w:rPr>
        <w:t>,</w:t>
      </w:r>
      <w:r>
        <w:rPr>
          <w:rFonts w:ascii="Arial" w:hAnsi="Arial" w:cs="Arial"/>
          <w:sz w:val="22"/>
          <w:szCs w:val="22"/>
        </w:rPr>
        <w:t>0</w:t>
      </w:r>
      <w:r w:rsidRPr="00FB327F">
        <w:rPr>
          <w:rFonts w:ascii="Arial" w:hAnsi="Arial" w:cs="Arial"/>
          <w:sz w:val="22"/>
          <w:szCs w:val="22"/>
        </w:rPr>
        <w:t xml:space="preserve"> %), v sekundéru pak pracuje 4</w:t>
      </w:r>
      <w:r>
        <w:rPr>
          <w:rFonts w:ascii="Arial" w:hAnsi="Arial" w:cs="Arial"/>
          <w:sz w:val="22"/>
          <w:szCs w:val="22"/>
        </w:rPr>
        <w:t>6</w:t>
      </w:r>
      <w:r w:rsidRPr="00FB327F">
        <w:rPr>
          <w:rFonts w:ascii="Arial" w:hAnsi="Arial" w:cs="Arial"/>
          <w:sz w:val="22"/>
          <w:szCs w:val="22"/>
        </w:rPr>
        <w:t>,</w:t>
      </w:r>
      <w:r>
        <w:rPr>
          <w:rFonts w:ascii="Arial" w:hAnsi="Arial" w:cs="Arial"/>
          <w:sz w:val="22"/>
          <w:szCs w:val="22"/>
        </w:rPr>
        <w:t>5</w:t>
      </w:r>
      <w:r w:rsidRPr="00FB327F">
        <w:rPr>
          <w:rFonts w:ascii="Arial" w:hAnsi="Arial" w:cs="Arial"/>
          <w:sz w:val="22"/>
          <w:szCs w:val="22"/>
        </w:rPr>
        <w:t xml:space="preserve"> % mužů. V průběhu hospodářské recese ztratila sekundární sféra v souboru mužů pozici nejdůležitějšího zaměstnavatele. Primární sektor ekonomiky také ani v souboru mužů není z hlediska zaměstnanosti významný; poskytuje zaměstnání pouze necelým čtyřem procentům mužů.</w:t>
      </w:r>
    </w:p>
    <w:p w:rsidR="002625D2" w:rsidRPr="0084055C" w:rsidRDefault="002625D2" w:rsidP="00125EE0">
      <w:pPr>
        <w:pStyle w:val="Warda"/>
      </w:pPr>
    </w:p>
    <w:p w:rsidR="002625D2" w:rsidRPr="002625D2" w:rsidRDefault="002625D2" w:rsidP="007168E0">
      <w:pPr>
        <w:pStyle w:val="Bezmezer"/>
        <w:spacing w:line="276" w:lineRule="auto"/>
        <w:rPr>
          <w:rFonts w:ascii="Arial" w:hAnsi="Arial" w:cs="Arial"/>
          <w:b/>
          <w:sz w:val="20"/>
          <w:szCs w:val="20"/>
        </w:rPr>
      </w:pPr>
      <w:r w:rsidRPr="002625D2">
        <w:rPr>
          <w:rFonts w:ascii="Arial" w:hAnsi="Arial" w:cs="Arial"/>
          <w:b/>
          <w:sz w:val="20"/>
          <w:szCs w:val="20"/>
        </w:rPr>
        <w:t xml:space="preserve">Tab. </w:t>
      </w:r>
      <w:r w:rsidRPr="002625D2">
        <w:rPr>
          <w:rFonts w:ascii="Arial" w:hAnsi="Arial" w:cs="Arial"/>
          <w:b/>
          <w:sz w:val="20"/>
          <w:szCs w:val="20"/>
        </w:rPr>
        <w:fldChar w:fldCharType="begin"/>
      </w:r>
      <w:r w:rsidRPr="002625D2">
        <w:rPr>
          <w:rFonts w:ascii="Arial" w:hAnsi="Arial" w:cs="Arial"/>
          <w:b/>
          <w:sz w:val="20"/>
          <w:szCs w:val="20"/>
        </w:rPr>
        <w:instrText xml:space="preserve"> SEQ Tab. \* ARABIC </w:instrText>
      </w:r>
      <w:r w:rsidRPr="002625D2">
        <w:rPr>
          <w:rFonts w:ascii="Arial" w:hAnsi="Arial" w:cs="Arial"/>
          <w:b/>
          <w:sz w:val="20"/>
          <w:szCs w:val="20"/>
        </w:rPr>
        <w:fldChar w:fldCharType="separate"/>
      </w:r>
      <w:r w:rsidR="004378F3">
        <w:rPr>
          <w:rFonts w:ascii="Arial" w:hAnsi="Arial" w:cs="Arial"/>
          <w:b/>
          <w:noProof/>
          <w:sz w:val="20"/>
          <w:szCs w:val="20"/>
        </w:rPr>
        <w:t>2</w:t>
      </w:r>
      <w:r w:rsidRPr="002625D2">
        <w:rPr>
          <w:rFonts w:ascii="Arial" w:hAnsi="Arial" w:cs="Arial"/>
          <w:b/>
          <w:sz w:val="20"/>
          <w:szCs w:val="20"/>
        </w:rPr>
        <w:fldChar w:fldCharType="end"/>
      </w:r>
      <w:r w:rsidRPr="002625D2">
        <w:rPr>
          <w:rFonts w:ascii="Arial" w:hAnsi="Arial" w:cs="Arial"/>
          <w:b/>
          <w:sz w:val="20"/>
          <w:szCs w:val="20"/>
        </w:rPr>
        <w:t>: Vývoj ve skladbě zaměstnanosti v národním hospodářství Jihomoravského</w:t>
      </w:r>
      <w:r>
        <w:rPr>
          <w:rFonts w:ascii="Arial" w:hAnsi="Arial" w:cs="Arial"/>
          <w:b/>
          <w:sz w:val="20"/>
          <w:szCs w:val="20"/>
        </w:rPr>
        <w:t xml:space="preserve"> </w:t>
      </w:r>
      <w:r w:rsidRPr="002625D2">
        <w:rPr>
          <w:rFonts w:ascii="Arial" w:hAnsi="Arial" w:cs="Arial"/>
          <w:b/>
          <w:sz w:val="20"/>
          <w:szCs w:val="20"/>
        </w:rPr>
        <w:t xml:space="preserve">kraje </w:t>
      </w:r>
      <w:r w:rsidR="00300538">
        <w:rPr>
          <w:rFonts w:ascii="Arial" w:hAnsi="Arial" w:cs="Arial"/>
          <w:b/>
          <w:sz w:val="20"/>
          <w:szCs w:val="20"/>
        </w:rPr>
        <w:tab/>
      </w:r>
      <w:r w:rsidR="00300538">
        <w:rPr>
          <w:rFonts w:ascii="Arial" w:hAnsi="Arial" w:cs="Arial"/>
          <w:b/>
          <w:sz w:val="20"/>
          <w:szCs w:val="20"/>
        </w:rPr>
        <w:tab/>
      </w:r>
      <w:r w:rsidRPr="002625D2">
        <w:rPr>
          <w:rFonts w:ascii="Arial" w:hAnsi="Arial" w:cs="Arial"/>
          <w:b/>
          <w:sz w:val="20"/>
          <w:szCs w:val="20"/>
        </w:rPr>
        <w:t>a České republiky podle stupně vzdělání (KKOV) v roce 2013</w:t>
      </w:r>
    </w:p>
    <w:tbl>
      <w:tblPr>
        <w:tblW w:w="9072"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964"/>
        <w:gridCol w:w="1027"/>
        <w:gridCol w:w="1027"/>
        <w:gridCol w:w="1027"/>
        <w:gridCol w:w="1027"/>
      </w:tblGrid>
      <w:tr w:rsidR="002625D2" w:rsidRPr="00104500" w:rsidTr="00482B40">
        <w:trPr>
          <w:trHeight w:hRule="exact" w:val="340"/>
          <w:jc w:val="center"/>
        </w:trPr>
        <w:tc>
          <w:tcPr>
            <w:tcW w:w="2736" w:type="pct"/>
            <w:vMerge w:val="restart"/>
            <w:tcBorders>
              <w:top w:val="single" w:sz="12" w:space="0" w:color="auto"/>
              <w:bottom w:val="single" w:sz="8" w:space="0" w:color="auto"/>
              <w:right w:val="single" w:sz="12" w:space="0" w:color="auto"/>
            </w:tcBorders>
            <w:shd w:val="clear" w:color="auto" w:fill="D9D9D9" w:themeFill="background1" w:themeFillShade="D9"/>
            <w:noWrap/>
            <w:vAlign w:val="center"/>
            <w:hideMark/>
          </w:tcPr>
          <w:p w:rsidR="002625D2" w:rsidRPr="00104500" w:rsidRDefault="002625D2" w:rsidP="00482B40">
            <w:pPr>
              <w:jc w:val="center"/>
              <w:rPr>
                <w:rFonts w:asciiTheme="minorHAnsi" w:hAnsiTheme="minorHAnsi"/>
                <w:b/>
                <w:bCs/>
                <w:color w:val="000000"/>
              </w:rPr>
            </w:pPr>
            <w:r w:rsidRPr="00104500">
              <w:rPr>
                <w:rFonts w:asciiTheme="minorHAnsi" w:hAnsiTheme="minorHAnsi"/>
                <w:b/>
                <w:bCs/>
                <w:color w:val="000000"/>
                <w:sz w:val="22"/>
                <w:szCs w:val="22"/>
              </w:rPr>
              <w:t>Stupeň vzdělání</w:t>
            </w:r>
          </w:p>
        </w:tc>
        <w:tc>
          <w:tcPr>
            <w:tcW w:w="1132" w:type="pct"/>
            <w:gridSpan w:val="2"/>
            <w:vMerge w:val="restart"/>
            <w:tcBorders>
              <w:top w:val="single" w:sz="12" w:space="0" w:color="auto"/>
              <w:left w:val="single" w:sz="12" w:space="0" w:color="auto"/>
              <w:bottom w:val="single" w:sz="8"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r w:rsidRPr="00104500">
              <w:rPr>
                <w:rFonts w:asciiTheme="minorHAnsi" w:hAnsiTheme="minorHAnsi"/>
                <w:b/>
                <w:bCs/>
                <w:color w:val="000000"/>
                <w:sz w:val="22"/>
                <w:szCs w:val="22"/>
              </w:rPr>
              <w:t>Jihomoravský kraj</w:t>
            </w:r>
          </w:p>
        </w:tc>
        <w:tc>
          <w:tcPr>
            <w:tcW w:w="1132" w:type="pct"/>
            <w:gridSpan w:val="2"/>
            <w:vMerge w:val="restart"/>
            <w:tcBorders>
              <w:top w:val="single" w:sz="12" w:space="0" w:color="auto"/>
              <w:bottom w:val="single" w:sz="8"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r w:rsidRPr="00104500">
              <w:rPr>
                <w:rFonts w:asciiTheme="minorHAnsi" w:hAnsiTheme="minorHAnsi"/>
                <w:b/>
                <w:bCs/>
                <w:color w:val="000000"/>
                <w:sz w:val="22"/>
                <w:szCs w:val="22"/>
              </w:rPr>
              <w:t>ČR</w:t>
            </w:r>
          </w:p>
        </w:tc>
      </w:tr>
      <w:tr w:rsidR="002625D2" w:rsidRPr="00104500" w:rsidTr="00482B40">
        <w:trPr>
          <w:trHeight w:val="337"/>
          <w:jc w:val="center"/>
        </w:trPr>
        <w:tc>
          <w:tcPr>
            <w:tcW w:w="2736" w:type="pct"/>
            <w:vMerge/>
            <w:tcBorders>
              <w:top w:val="single" w:sz="8" w:space="0" w:color="auto"/>
              <w:bottom w:val="single" w:sz="8" w:space="0" w:color="auto"/>
              <w:right w:val="single" w:sz="12" w:space="0" w:color="auto"/>
            </w:tcBorders>
            <w:shd w:val="clear" w:color="auto" w:fill="D9D9D9" w:themeFill="background1" w:themeFillShade="D9"/>
            <w:vAlign w:val="center"/>
            <w:hideMark/>
          </w:tcPr>
          <w:p w:rsidR="002625D2" w:rsidRPr="00104500" w:rsidRDefault="002625D2" w:rsidP="00482B40">
            <w:pPr>
              <w:rPr>
                <w:rFonts w:asciiTheme="minorHAnsi" w:hAnsiTheme="minorHAnsi"/>
                <w:b/>
                <w:bCs/>
                <w:color w:val="000000"/>
              </w:rPr>
            </w:pPr>
          </w:p>
        </w:tc>
        <w:tc>
          <w:tcPr>
            <w:tcW w:w="1132" w:type="pct"/>
            <w:gridSpan w:val="2"/>
            <w:vMerge/>
            <w:tcBorders>
              <w:top w:val="single" w:sz="8" w:space="0" w:color="auto"/>
              <w:left w:val="single" w:sz="12" w:space="0" w:color="auto"/>
              <w:bottom w:val="single" w:sz="8" w:space="0" w:color="auto"/>
            </w:tcBorders>
            <w:shd w:val="clear" w:color="auto" w:fill="D9D9D9" w:themeFill="background1" w:themeFillShade="D9"/>
            <w:vAlign w:val="center"/>
            <w:hideMark/>
          </w:tcPr>
          <w:p w:rsidR="002625D2" w:rsidRPr="00104500" w:rsidRDefault="002625D2" w:rsidP="00482B40">
            <w:pPr>
              <w:rPr>
                <w:rFonts w:asciiTheme="minorHAnsi" w:hAnsiTheme="minorHAnsi"/>
                <w:b/>
                <w:bCs/>
                <w:color w:val="000000"/>
              </w:rPr>
            </w:pPr>
          </w:p>
        </w:tc>
        <w:tc>
          <w:tcPr>
            <w:tcW w:w="1132" w:type="pct"/>
            <w:gridSpan w:val="2"/>
            <w:vMerge/>
            <w:tcBorders>
              <w:top w:val="single" w:sz="8" w:space="0" w:color="auto"/>
              <w:bottom w:val="single" w:sz="8" w:space="0" w:color="auto"/>
            </w:tcBorders>
            <w:shd w:val="clear" w:color="auto" w:fill="D9D9D9" w:themeFill="background1" w:themeFillShade="D9"/>
            <w:vAlign w:val="center"/>
            <w:hideMark/>
          </w:tcPr>
          <w:p w:rsidR="002625D2" w:rsidRPr="00104500" w:rsidRDefault="002625D2" w:rsidP="00482B40">
            <w:pPr>
              <w:rPr>
                <w:rFonts w:asciiTheme="minorHAnsi" w:hAnsiTheme="minorHAnsi"/>
                <w:b/>
                <w:bCs/>
                <w:color w:val="000000"/>
              </w:rPr>
            </w:pPr>
          </w:p>
        </w:tc>
      </w:tr>
      <w:tr w:rsidR="002625D2" w:rsidRPr="00104500" w:rsidTr="00482B40">
        <w:trPr>
          <w:trHeight w:hRule="exact" w:val="340"/>
          <w:jc w:val="center"/>
        </w:trPr>
        <w:tc>
          <w:tcPr>
            <w:tcW w:w="2736" w:type="pct"/>
            <w:vMerge/>
            <w:tcBorders>
              <w:top w:val="single" w:sz="8" w:space="0" w:color="auto"/>
              <w:bottom w:val="single" w:sz="12" w:space="0" w:color="auto"/>
              <w:right w:val="single" w:sz="12" w:space="0" w:color="auto"/>
            </w:tcBorders>
            <w:shd w:val="clear" w:color="auto" w:fill="D9D9D9" w:themeFill="background1" w:themeFillShade="D9"/>
            <w:vAlign w:val="center"/>
            <w:hideMark/>
          </w:tcPr>
          <w:p w:rsidR="002625D2" w:rsidRPr="00104500" w:rsidRDefault="002625D2" w:rsidP="00482B40">
            <w:pPr>
              <w:rPr>
                <w:rFonts w:asciiTheme="minorHAnsi" w:hAnsiTheme="minorHAnsi"/>
                <w:b/>
                <w:bCs/>
                <w:color w:val="000000"/>
              </w:rPr>
            </w:pPr>
          </w:p>
        </w:tc>
        <w:tc>
          <w:tcPr>
            <w:tcW w:w="566" w:type="pct"/>
            <w:tcBorders>
              <w:top w:val="single" w:sz="8" w:space="0" w:color="auto"/>
              <w:left w:val="single" w:sz="12" w:space="0" w:color="auto"/>
              <w:bottom w:val="single" w:sz="12"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Cs/>
                <w:color w:val="000000"/>
              </w:rPr>
            </w:pPr>
            <w:r>
              <w:rPr>
                <w:rFonts w:asciiTheme="minorHAnsi" w:hAnsiTheme="minorHAnsi"/>
                <w:bCs/>
                <w:color w:val="000000"/>
              </w:rPr>
              <w:t>v tis.</w:t>
            </w:r>
          </w:p>
        </w:tc>
        <w:tc>
          <w:tcPr>
            <w:tcW w:w="566" w:type="pct"/>
            <w:tcBorders>
              <w:top w:val="single" w:sz="8" w:space="0" w:color="auto"/>
              <w:bottom w:val="single" w:sz="12"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Cs/>
                <w:color w:val="000000"/>
              </w:rPr>
            </w:pPr>
            <w:r>
              <w:rPr>
                <w:rFonts w:asciiTheme="minorHAnsi" w:hAnsiTheme="minorHAnsi"/>
                <w:bCs/>
                <w:color w:val="000000"/>
                <w:sz w:val="22"/>
                <w:szCs w:val="22"/>
              </w:rPr>
              <w:t xml:space="preserve"> v </w:t>
            </w:r>
            <w:r w:rsidRPr="00104500">
              <w:rPr>
                <w:rFonts w:asciiTheme="minorHAnsi" w:hAnsiTheme="minorHAnsi"/>
                <w:bCs/>
                <w:color w:val="000000"/>
                <w:sz w:val="22"/>
                <w:szCs w:val="22"/>
              </w:rPr>
              <w:t>%</w:t>
            </w:r>
          </w:p>
        </w:tc>
        <w:tc>
          <w:tcPr>
            <w:tcW w:w="566" w:type="pct"/>
            <w:tcBorders>
              <w:top w:val="single" w:sz="8" w:space="0" w:color="auto"/>
              <w:bottom w:val="single" w:sz="12"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Cs/>
                <w:color w:val="000000"/>
              </w:rPr>
            </w:pPr>
            <w:r>
              <w:rPr>
                <w:rFonts w:asciiTheme="minorHAnsi" w:hAnsiTheme="minorHAnsi"/>
                <w:bCs/>
                <w:color w:val="000000"/>
              </w:rPr>
              <w:t>v tis.</w:t>
            </w:r>
          </w:p>
        </w:tc>
        <w:tc>
          <w:tcPr>
            <w:tcW w:w="566" w:type="pct"/>
            <w:tcBorders>
              <w:top w:val="single" w:sz="8" w:space="0" w:color="auto"/>
              <w:bottom w:val="single" w:sz="12"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Cs/>
                <w:color w:val="000000"/>
              </w:rPr>
            </w:pPr>
            <w:r>
              <w:rPr>
                <w:rFonts w:asciiTheme="minorHAnsi" w:hAnsiTheme="minorHAnsi"/>
                <w:bCs/>
                <w:color w:val="000000"/>
                <w:sz w:val="22"/>
                <w:szCs w:val="22"/>
              </w:rPr>
              <w:t xml:space="preserve"> v </w:t>
            </w:r>
            <w:r w:rsidRPr="00104500">
              <w:rPr>
                <w:rFonts w:asciiTheme="minorHAnsi" w:hAnsiTheme="minorHAnsi"/>
                <w:bCs/>
                <w:color w:val="000000"/>
                <w:sz w:val="22"/>
                <w:szCs w:val="22"/>
              </w:rPr>
              <w:t>%</w:t>
            </w:r>
          </w:p>
        </w:tc>
      </w:tr>
      <w:tr w:rsidR="002625D2" w:rsidRPr="00104500" w:rsidTr="00482B40">
        <w:trPr>
          <w:trHeight w:hRule="exact" w:val="340"/>
          <w:jc w:val="center"/>
        </w:trPr>
        <w:tc>
          <w:tcPr>
            <w:tcW w:w="2736" w:type="pct"/>
            <w:tcBorders>
              <w:top w:val="single" w:sz="12" w:space="0" w:color="auto"/>
              <w:bottom w:val="single" w:sz="8"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Základní (včetně nedokončeného)</w:t>
            </w:r>
          </w:p>
        </w:tc>
        <w:tc>
          <w:tcPr>
            <w:tcW w:w="566" w:type="pct"/>
            <w:tcBorders>
              <w:top w:val="single" w:sz="12" w:space="0" w:color="auto"/>
              <w:left w:val="single" w:sz="12" w:space="0" w:color="auto"/>
            </w:tcBorders>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19,0</w:t>
            </w:r>
          </w:p>
        </w:tc>
        <w:tc>
          <w:tcPr>
            <w:tcW w:w="566" w:type="pct"/>
            <w:tcBorders>
              <w:top w:val="single" w:sz="12" w:space="0" w:color="auto"/>
            </w:tcBorders>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3,4</w:t>
            </w:r>
          </w:p>
        </w:tc>
        <w:tc>
          <w:tcPr>
            <w:tcW w:w="566" w:type="pct"/>
            <w:tcBorders>
              <w:top w:val="single" w:sz="12" w:space="0" w:color="auto"/>
            </w:tcBorders>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207,9</w:t>
            </w:r>
          </w:p>
        </w:tc>
        <w:tc>
          <w:tcPr>
            <w:tcW w:w="566" w:type="pct"/>
            <w:tcBorders>
              <w:top w:val="single" w:sz="12" w:space="0" w:color="auto"/>
            </w:tcBorders>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4,2</w:t>
            </w:r>
          </w:p>
        </w:tc>
      </w:tr>
      <w:tr w:rsidR="002625D2" w:rsidRPr="00104500" w:rsidTr="00482B40">
        <w:trPr>
          <w:trHeight w:hRule="exact" w:val="340"/>
          <w:jc w:val="center"/>
        </w:trPr>
        <w:tc>
          <w:tcPr>
            <w:tcW w:w="2736" w:type="pct"/>
            <w:tcBorders>
              <w:top w:val="single" w:sz="8" w:space="0" w:color="auto"/>
              <w:bottom w:val="single" w:sz="8"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Střední bez maturity</w:t>
            </w:r>
          </w:p>
        </w:tc>
        <w:tc>
          <w:tcPr>
            <w:tcW w:w="566" w:type="pct"/>
            <w:tcBorders>
              <w:left w:val="single" w:sz="12" w:space="0" w:color="auto"/>
            </w:tcBorders>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183,1</w:t>
            </w:r>
          </w:p>
        </w:tc>
        <w:tc>
          <w:tcPr>
            <w:tcW w:w="566" w:type="pct"/>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32,9</w:t>
            </w:r>
          </w:p>
        </w:tc>
        <w:tc>
          <w:tcPr>
            <w:tcW w:w="566" w:type="pct"/>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1</w:t>
            </w:r>
            <w:r>
              <w:rPr>
                <w:rFonts w:asciiTheme="minorHAnsi" w:hAnsiTheme="minorHAnsi"/>
                <w:sz w:val="22"/>
                <w:szCs w:val="22"/>
              </w:rPr>
              <w:t xml:space="preserve"> </w:t>
            </w:r>
            <w:r w:rsidRPr="00FB327F">
              <w:rPr>
                <w:rFonts w:asciiTheme="minorHAnsi" w:hAnsiTheme="minorHAnsi"/>
                <w:sz w:val="22"/>
                <w:szCs w:val="22"/>
              </w:rPr>
              <w:t>790,1</w:t>
            </w:r>
          </w:p>
        </w:tc>
        <w:tc>
          <w:tcPr>
            <w:tcW w:w="566" w:type="pct"/>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36,3</w:t>
            </w:r>
          </w:p>
        </w:tc>
      </w:tr>
      <w:tr w:rsidR="002625D2" w:rsidRPr="00104500" w:rsidTr="00482B40">
        <w:trPr>
          <w:trHeight w:hRule="exact" w:val="340"/>
          <w:jc w:val="center"/>
        </w:trPr>
        <w:tc>
          <w:tcPr>
            <w:tcW w:w="2736" w:type="pct"/>
            <w:tcBorders>
              <w:top w:val="single" w:sz="8" w:space="0" w:color="auto"/>
              <w:bottom w:val="single" w:sz="8"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Střední s</w:t>
            </w:r>
            <w:r>
              <w:rPr>
                <w:rFonts w:asciiTheme="minorHAnsi" w:hAnsiTheme="minorHAnsi"/>
                <w:color w:val="000000"/>
                <w:sz w:val="22"/>
                <w:szCs w:val="22"/>
              </w:rPr>
              <w:t> </w:t>
            </w:r>
            <w:r w:rsidRPr="00104500">
              <w:rPr>
                <w:rFonts w:asciiTheme="minorHAnsi" w:hAnsiTheme="minorHAnsi"/>
                <w:color w:val="000000"/>
                <w:sz w:val="22"/>
                <w:szCs w:val="22"/>
              </w:rPr>
              <w:t>maturitou</w:t>
            </w:r>
          </w:p>
        </w:tc>
        <w:tc>
          <w:tcPr>
            <w:tcW w:w="566" w:type="pct"/>
            <w:tcBorders>
              <w:left w:val="single" w:sz="12" w:space="0" w:color="auto"/>
            </w:tcBorders>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198,9</w:t>
            </w:r>
          </w:p>
        </w:tc>
        <w:tc>
          <w:tcPr>
            <w:tcW w:w="566" w:type="pct"/>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35,7</w:t>
            </w:r>
          </w:p>
        </w:tc>
        <w:tc>
          <w:tcPr>
            <w:tcW w:w="566" w:type="pct"/>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1</w:t>
            </w:r>
            <w:r>
              <w:rPr>
                <w:rFonts w:asciiTheme="minorHAnsi" w:hAnsiTheme="minorHAnsi"/>
                <w:sz w:val="22"/>
                <w:szCs w:val="22"/>
              </w:rPr>
              <w:t xml:space="preserve"> </w:t>
            </w:r>
            <w:r w:rsidRPr="00FB327F">
              <w:rPr>
                <w:rFonts w:asciiTheme="minorHAnsi" w:hAnsiTheme="minorHAnsi"/>
                <w:sz w:val="22"/>
                <w:szCs w:val="22"/>
              </w:rPr>
              <w:t>836,8</w:t>
            </w:r>
          </w:p>
        </w:tc>
        <w:tc>
          <w:tcPr>
            <w:tcW w:w="566" w:type="pct"/>
            <w:shd w:val="clear" w:color="auto" w:fill="auto"/>
            <w:vAlign w:val="center"/>
            <w:hideMark/>
          </w:tcPr>
          <w:p w:rsidR="002625D2" w:rsidRPr="00FB327F" w:rsidRDefault="002625D2" w:rsidP="00482B40">
            <w:pPr>
              <w:jc w:val="right"/>
              <w:rPr>
                <w:rFonts w:asciiTheme="minorHAnsi" w:hAnsiTheme="minorHAnsi"/>
              </w:rPr>
            </w:pPr>
            <w:r>
              <w:rPr>
                <w:rFonts w:asciiTheme="minorHAnsi" w:hAnsiTheme="minorHAnsi"/>
                <w:sz w:val="22"/>
                <w:szCs w:val="22"/>
              </w:rPr>
              <w:t>3</w:t>
            </w:r>
            <w:r w:rsidRPr="00FB327F">
              <w:rPr>
                <w:rFonts w:asciiTheme="minorHAnsi" w:hAnsiTheme="minorHAnsi"/>
                <w:sz w:val="22"/>
                <w:szCs w:val="22"/>
              </w:rPr>
              <w:t>7,2</w:t>
            </w:r>
          </w:p>
        </w:tc>
      </w:tr>
      <w:tr w:rsidR="002625D2" w:rsidRPr="00104500" w:rsidTr="00482B40">
        <w:trPr>
          <w:trHeight w:hRule="exact" w:val="340"/>
          <w:jc w:val="center"/>
        </w:trPr>
        <w:tc>
          <w:tcPr>
            <w:tcW w:w="2736" w:type="pct"/>
            <w:tcBorders>
              <w:top w:val="single" w:sz="8" w:space="0" w:color="auto"/>
              <w:bottom w:val="single" w:sz="8"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Vysokoškolské</w:t>
            </w:r>
          </w:p>
        </w:tc>
        <w:tc>
          <w:tcPr>
            <w:tcW w:w="566" w:type="pct"/>
            <w:tcBorders>
              <w:left w:val="single" w:sz="12" w:space="0" w:color="auto"/>
            </w:tcBorders>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155,5</w:t>
            </w:r>
          </w:p>
        </w:tc>
        <w:tc>
          <w:tcPr>
            <w:tcW w:w="566" w:type="pct"/>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27,9</w:t>
            </w:r>
          </w:p>
        </w:tc>
        <w:tc>
          <w:tcPr>
            <w:tcW w:w="566" w:type="pct"/>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1</w:t>
            </w:r>
            <w:r>
              <w:rPr>
                <w:rFonts w:asciiTheme="minorHAnsi" w:hAnsiTheme="minorHAnsi"/>
                <w:sz w:val="22"/>
                <w:szCs w:val="22"/>
              </w:rPr>
              <w:t xml:space="preserve"> </w:t>
            </w:r>
            <w:r w:rsidRPr="00FB327F">
              <w:rPr>
                <w:rFonts w:asciiTheme="minorHAnsi" w:hAnsiTheme="minorHAnsi"/>
                <w:sz w:val="22"/>
                <w:szCs w:val="22"/>
              </w:rPr>
              <w:t>102,2</w:t>
            </w:r>
          </w:p>
        </w:tc>
        <w:tc>
          <w:tcPr>
            <w:tcW w:w="566" w:type="pct"/>
            <w:shd w:val="clear" w:color="auto" w:fill="auto"/>
            <w:vAlign w:val="center"/>
            <w:hideMark/>
          </w:tcPr>
          <w:p w:rsidR="002625D2" w:rsidRPr="00FB327F" w:rsidRDefault="002625D2" w:rsidP="00482B40">
            <w:pPr>
              <w:jc w:val="right"/>
              <w:rPr>
                <w:rFonts w:asciiTheme="minorHAnsi" w:hAnsiTheme="minorHAnsi"/>
              </w:rPr>
            </w:pPr>
            <w:r w:rsidRPr="00FB327F">
              <w:rPr>
                <w:rFonts w:asciiTheme="minorHAnsi" w:hAnsiTheme="minorHAnsi"/>
                <w:sz w:val="22"/>
                <w:szCs w:val="22"/>
              </w:rPr>
              <w:t>22,3</w:t>
            </w:r>
          </w:p>
        </w:tc>
      </w:tr>
      <w:tr w:rsidR="002625D2" w:rsidRPr="00104500" w:rsidTr="00482B40">
        <w:trPr>
          <w:trHeight w:hRule="exact" w:val="340"/>
          <w:jc w:val="center"/>
        </w:trPr>
        <w:tc>
          <w:tcPr>
            <w:tcW w:w="2736" w:type="pct"/>
            <w:tcBorders>
              <w:top w:val="single" w:sz="8" w:space="0" w:color="auto"/>
              <w:bottom w:val="single" w:sz="12"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b/>
                <w:bCs/>
                <w:color w:val="000000"/>
              </w:rPr>
            </w:pPr>
            <w:r w:rsidRPr="00104500">
              <w:rPr>
                <w:rFonts w:asciiTheme="minorHAnsi" w:hAnsiTheme="minorHAnsi"/>
                <w:b/>
                <w:bCs/>
                <w:color w:val="000000"/>
                <w:sz w:val="22"/>
                <w:szCs w:val="22"/>
              </w:rPr>
              <w:t>Celkem</w:t>
            </w:r>
          </w:p>
        </w:tc>
        <w:tc>
          <w:tcPr>
            <w:tcW w:w="566" w:type="pct"/>
            <w:tcBorders>
              <w:left w:val="single" w:sz="12" w:space="0" w:color="auto"/>
            </w:tcBorders>
            <w:shd w:val="clear" w:color="auto" w:fill="auto"/>
            <w:vAlign w:val="center"/>
            <w:hideMark/>
          </w:tcPr>
          <w:p w:rsidR="002625D2" w:rsidRPr="00FB327F" w:rsidRDefault="002625D2" w:rsidP="00482B40">
            <w:pPr>
              <w:jc w:val="right"/>
              <w:rPr>
                <w:rFonts w:asciiTheme="minorHAnsi" w:hAnsiTheme="minorHAnsi"/>
                <w:b/>
              </w:rPr>
            </w:pPr>
            <w:r w:rsidRPr="00FB327F">
              <w:rPr>
                <w:rFonts w:asciiTheme="minorHAnsi" w:hAnsiTheme="minorHAnsi"/>
                <w:b/>
                <w:sz w:val="22"/>
                <w:szCs w:val="22"/>
              </w:rPr>
              <w:t>556,4</w:t>
            </w:r>
          </w:p>
        </w:tc>
        <w:tc>
          <w:tcPr>
            <w:tcW w:w="566" w:type="pct"/>
            <w:shd w:val="clear" w:color="auto" w:fill="auto"/>
            <w:vAlign w:val="center"/>
            <w:hideMark/>
          </w:tcPr>
          <w:p w:rsidR="002625D2" w:rsidRPr="00FB327F" w:rsidRDefault="002625D2" w:rsidP="00482B40">
            <w:pPr>
              <w:jc w:val="right"/>
              <w:rPr>
                <w:rFonts w:asciiTheme="minorHAnsi" w:hAnsiTheme="minorHAnsi"/>
                <w:b/>
              </w:rPr>
            </w:pPr>
            <w:r w:rsidRPr="00FB327F">
              <w:rPr>
                <w:rFonts w:asciiTheme="minorHAnsi" w:hAnsiTheme="minorHAnsi"/>
                <w:b/>
                <w:sz w:val="22"/>
                <w:szCs w:val="22"/>
              </w:rPr>
              <w:t>100,0</w:t>
            </w:r>
          </w:p>
        </w:tc>
        <w:tc>
          <w:tcPr>
            <w:tcW w:w="566" w:type="pct"/>
            <w:shd w:val="clear" w:color="auto" w:fill="auto"/>
            <w:vAlign w:val="center"/>
            <w:hideMark/>
          </w:tcPr>
          <w:p w:rsidR="002625D2" w:rsidRPr="00FB327F" w:rsidRDefault="002625D2" w:rsidP="00482B40">
            <w:pPr>
              <w:jc w:val="right"/>
              <w:rPr>
                <w:rFonts w:asciiTheme="minorHAnsi" w:hAnsiTheme="minorHAnsi"/>
                <w:b/>
              </w:rPr>
            </w:pPr>
            <w:r w:rsidRPr="00FB327F">
              <w:rPr>
                <w:rFonts w:asciiTheme="minorHAnsi" w:hAnsiTheme="minorHAnsi"/>
                <w:b/>
                <w:sz w:val="22"/>
                <w:szCs w:val="22"/>
              </w:rPr>
              <w:t>4</w:t>
            </w:r>
            <w:r>
              <w:rPr>
                <w:rFonts w:asciiTheme="minorHAnsi" w:hAnsiTheme="minorHAnsi"/>
                <w:b/>
                <w:sz w:val="22"/>
                <w:szCs w:val="22"/>
              </w:rPr>
              <w:t xml:space="preserve"> </w:t>
            </w:r>
            <w:r w:rsidRPr="00FB327F">
              <w:rPr>
                <w:rFonts w:asciiTheme="minorHAnsi" w:hAnsiTheme="minorHAnsi"/>
                <w:b/>
                <w:sz w:val="22"/>
                <w:szCs w:val="22"/>
              </w:rPr>
              <w:t>937,1</w:t>
            </w:r>
          </w:p>
        </w:tc>
        <w:tc>
          <w:tcPr>
            <w:tcW w:w="566" w:type="pct"/>
            <w:shd w:val="clear" w:color="auto" w:fill="auto"/>
            <w:vAlign w:val="center"/>
            <w:hideMark/>
          </w:tcPr>
          <w:p w:rsidR="002625D2" w:rsidRPr="00FB327F" w:rsidRDefault="002625D2" w:rsidP="00482B40">
            <w:pPr>
              <w:jc w:val="right"/>
              <w:rPr>
                <w:rFonts w:asciiTheme="minorHAnsi" w:hAnsiTheme="minorHAnsi"/>
                <w:b/>
              </w:rPr>
            </w:pPr>
            <w:r w:rsidRPr="00FB327F">
              <w:rPr>
                <w:rFonts w:asciiTheme="minorHAnsi" w:hAnsiTheme="minorHAnsi"/>
                <w:b/>
                <w:sz w:val="22"/>
                <w:szCs w:val="22"/>
              </w:rPr>
              <w:t>100,0</w:t>
            </w:r>
          </w:p>
        </w:tc>
      </w:tr>
    </w:tbl>
    <w:p w:rsidR="002625D2" w:rsidRPr="00EC7EB2" w:rsidRDefault="002625D2" w:rsidP="002625D2">
      <w:pPr>
        <w:jc w:val="both"/>
        <w:rPr>
          <w:rFonts w:ascii="Arial" w:hAnsi="Arial" w:cs="Arial"/>
          <w:sz w:val="20"/>
          <w:szCs w:val="20"/>
        </w:rPr>
      </w:pPr>
      <w:r w:rsidRPr="00EC7EB2">
        <w:rPr>
          <w:rFonts w:ascii="Arial" w:hAnsi="Arial" w:cs="Arial"/>
          <w:b/>
          <w:sz w:val="20"/>
          <w:szCs w:val="20"/>
        </w:rPr>
        <w:t>Pramen</w:t>
      </w:r>
      <w:r w:rsidRPr="00EC7EB2">
        <w:rPr>
          <w:rFonts w:ascii="Arial" w:hAnsi="Arial" w:cs="Arial"/>
          <w:sz w:val="20"/>
          <w:szCs w:val="20"/>
        </w:rPr>
        <w:t>: Zaměstnanost a nezaměstnanost v České republice podle výsledků výběrových šetření pracovních sil -   roční průměry 201</w:t>
      </w:r>
      <w:r>
        <w:rPr>
          <w:rFonts w:ascii="Arial" w:hAnsi="Arial" w:cs="Arial"/>
          <w:sz w:val="20"/>
          <w:szCs w:val="20"/>
        </w:rPr>
        <w:t>3</w:t>
      </w:r>
      <w:r w:rsidRPr="00EC7EB2">
        <w:rPr>
          <w:rFonts w:ascii="Arial" w:hAnsi="Arial" w:cs="Arial"/>
          <w:sz w:val="20"/>
          <w:szCs w:val="20"/>
        </w:rPr>
        <w:t>, ČSÚ Praha, 201</w:t>
      </w:r>
      <w:r>
        <w:rPr>
          <w:rFonts w:ascii="Arial" w:hAnsi="Arial" w:cs="Arial"/>
          <w:sz w:val="20"/>
          <w:szCs w:val="20"/>
        </w:rPr>
        <w:t>4</w:t>
      </w:r>
    </w:p>
    <w:p w:rsidR="002625D2" w:rsidRPr="00104500" w:rsidRDefault="002625D2" w:rsidP="002625D2">
      <w:pPr>
        <w:rPr>
          <w:rFonts w:asciiTheme="minorHAnsi" w:hAnsiTheme="minorHAnsi"/>
          <w:sz w:val="20"/>
          <w:szCs w:val="20"/>
        </w:rPr>
      </w:pPr>
      <w:r w:rsidRPr="00104500">
        <w:rPr>
          <w:rFonts w:asciiTheme="minorHAnsi" w:hAnsiTheme="minorHAnsi"/>
          <w:sz w:val="20"/>
          <w:szCs w:val="20"/>
        </w:rPr>
        <w:t xml:space="preserve">             </w:t>
      </w:r>
    </w:p>
    <w:p w:rsidR="002625D2" w:rsidRDefault="002625D2" w:rsidP="002625D2">
      <w:pPr>
        <w:jc w:val="both"/>
        <w:rPr>
          <w:rFonts w:ascii="Arial" w:hAnsi="Arial" w:cs="Arial"/>
          <w:sz w:val="22"/>
          <w:szCs w:val="22"/>
        </w:rPr>
      </w:pPr>
      <w:r w:rsidRPr="0084055C">
        <w:rPr>
          <w:rFonts w:ascii="Arial" w:hAnsi="Arial" w:cs="Arial"/>
          <w:sz w:val="22"/>
          <w:szCs w:val="22"/>
        </w:rPr>
        <w:lastRenderedPageBreak/>
        <w:t>V hospodářské struktuře Jihomoravského kraje je nyní zaměstnáno 1</w:t>
      </w:r>
      <w:r>
        <w:rPr>
          <w:rFonts w:ascii="Arial" w:hAnsi="Arial" w:cs="Arial"/>
          <w:sz w:val="22"/>
          <w:szCs w:val="22"/>
        </w:rPr>
        <w:t>55</w:t>
      </w:r>
      <w:r w:rsidRPr="0084055C">
        <w:rPr>
          <w:rFonts w:ascii="Arial" w:hAnsi="Arial" w:cs="Arial"/>
          <w:sz w:val="22"/>
          <w:szCs w:val="22"/>
        </w:rPr>
        <w:t>,</w:t>
      </w:r>
      <w:r>
        <w:rPr>
          <w:rFonts w:ascii="Arial" w:hAnsi="Arial" w:cs="Arial"/>
          <w:sz w:val="22"/>
          <w:szCs w:val="22"/>
        </w:rPr>
        <w:t>5</w:t>
      </w:r>
      <w:r w:rsidRPr="0084055C">
        <w:rPr>
          <w:rFonts w:ascii="Arial" w:hAnsi="Arial" w:cs="Arial"/>
          <w:sz w:val="22"/>
          <w:szCs w:val="22"/>
        </w:rPr>
        <w:t xml:space="preserve"> tis. pracovníků s vysokoškolskou kvalifikací (tj. 2</w:t>
      </w:r>
      <w:r>
        <w:rPr>
          <w:rFonts w:ascii="Arial" w:hAnsi="Arial" w:cs="Arial"/>
          <w:sz w:val="22"/>
          <w:szCs w:val="22"/>
        </w:rPr>
        <w:t>7</w:t>
      </w:r>
      <w:r w:rsidRPr="0084055C">
        <w:rPr>
          <w:rFonts w:ascii="Arial" w:hAnsi="Arial" w:cs="Arial"/>
          <w:sz w:val="22"/>
          <w:szCs w:val="22"/>
        </w:rPr>
        <w:t>,</w:t>
      </w:r>
      <w:r>
        <w:rPr>
          <w:rFonts w:ascii="Arial" w:hAnsi="Arial" w:cs="Arial"/>
          <w:sz w:val="22"/>
          <w:szCs w:val="22"/>
        </w:rPr>
        <w:t>9</w:t>
      </w:r>
      <w:r w:rsidRPr="0084055C">
        <w:rPr>
          <w:rFonts w:ascii="Arial" w:hAnsi="Arial" w:cs="Arial"/>
          <w:sz w:val="22"/>
          <w:szCs w:val="22"/>
        </w:rPr>
        <w:t xml:space="preserve"> % z celkového úhrnu), 198,</w:t>
      </w:r>
      <w:r>
        <w:rPr>
          <w:rFonts w:ascii="Arial" w:hAnsi="Arial" w:cs="Arial"/>
          <w:sz w:val="22"/>
          <w:szCs w:val="22"/>
        </w:rPr>
        <w:t>9</w:t>
      </w:r>
      <w:r w:rsidRPr="0084055C">
        <w:rPr>
          <w:rFonts w:ascii="Arial" w:hAnsi="Arial" w:cs="Arial"/>
          <w:sz w:val="22"/>
          <w:szCs w:val="22"/>
        </w:rPr>
        <w:t xml:space="preserve"> tis. pracovníků se vzděláním úplným středním s maturitou (3</w:t>
      </w:r>
      <w:r>
        <w:rPr>
          <w:rFonts w:ascii="Arial" w:hAnsi="Arial" w:cs="Arial"/>
          <w:sz w:val="22"/>
          <w:szCs w:val="22"/>
        </w:rPr>
        <w:t>5</w:t>
      </w:r>
      <w:r w:rsidRPr="0084055C">
        <w:rPr>
          <w:rFonts w:ascii="Arial" w:hAnsi="Arial" w:cs="Arial"/>
          <w:sz w:val="22"/>
          <w:szCs w:val="22"/>
        </w:rPr>
        <w:t>,</w:t>
      </w:r>
      <w:r>
        <w:rPr>
          <w:rFonts w:ascii="Arial" w:hAnsi="Arial" w:cs="Arial"/>
          <w:sz w:val="22"/>
          <w:szCs w:val="22"/>
        </w:rPr>
        <w:t>7</w:t>
      </w:r>
      <w:r w:rsidRPr="0084055C">
        <w:rPr>
          <w:rFonts w:ascii="Arial" w:hAnsi="Arial" w:cs="Arial"/>
          <w:sz w:val="22"/>
          <w:szCs w:val="22"/>
        </w:rPr>
        <w:t xml:space="preserve"> %), 18</w:t>
      </w:r>
      <w:r>
        <w:rPr>
          <w:rFonts w:ascii="Arial" w:hAnsi="Arial" w:cs="Arial"/>
          <w:sz w:val="22"/>
          <w:szCs w:val="22"/>
        </w:rPr>
        <w:t>3</w:t>
      </w:r>
      <w:r w:rsidRPr="0084055C">
        <w:rPr>
          <w:rFonts w:ascii="Arial" w:hAnsi="Arial" w:cs="Arial"/>
          <w:sz w:val="22"/>
          <w:szCs w:val="22"/>
        </w:rPr>
        <w:t>,1 tis. zaměstnanců (tj. 3</w:t>
      </w:r>
      <w:r>
        <w:rPr>
          <w:rFonts w:ascii="Arial" w:hAnsi="Arial" w:cs="Arial"/>
          <w:sz w:val="22"/>
          <w:szCs w:val="22"/>
        </w:rPr>
        <w:t>2</w:t>
      </w:r>
      <w:r w:rsidRPr="0084055C">
        <w:rPr>
          <w:rFonts w:ascii="Arial" w:hAnsi="Arial" w:cs="Arial"/>
          <w:sz w:val="22"/>
          <w:szCs w:val="22"/>
        </w:rPr>
        <w:t>,</w:t>
      </w:r>
      <w:r>
        <w:rPr>
          <w:rFonts w:ascii="Arial" w:hAnsi="Arial" w:cs="Arial"/>
          <w:sz w:val="22"/>
          <w:szCs w:val="22"/>
        </w:rPr>
        <w:t>9</w:t>
      </w:r>
      <w:r w:rsidRPr="0084055C">
        <w:rPr>
          <w:rFonts w:ascii="Arial" w:hAnsi="Arial" w:cs="Arial"/>
          <w:sz w:val="22"/>
          <w:szCs w:val="22"/>
        </w:rPr>
        <w:t>2 %) má výuční list a 1</w:t>
      </w:r>
      <w:r>
        <w:rPr>
          <w:rFonts w:ascii="Arial" w:hAnsi="Arial" w:cs="Arial"/>
          <w:sz w:val="22"/>
          <w:szCs w:val="22"/>
        </w:rPr>
        <w:t>9</w:t>
      </w:r>
      <w:r w:rsidRPr="0084055C">
        <w:rPr>
          <w:rFonts w:ascii="Arial" w:hAnsi="Arial" w:cs="Arial"/>
          <w:sz w:val="22"/>
          <w:szCs w:val="22"/>
        </w:rPr>
        <w:t>,</w:t>
      </w:r>
      <w:r>
        <w:rPr>
          <w:rFonts w:ascii="Arial" w:hAnsi="Arial" w:cs="Arial"/>
          <w:sz w:val="22"/>
          <w:szCs w:val="22"/>
        </w:rPr>
        <w:t>0</w:t>
      </w:r>
      <w:r w:rsidRPr="0084055C">
        <w:rPr>
          <w:rFonts w:ascii="Arial" w:hAnsi="Arial" w:cs="Arial"/>
          <w:sz w:val="22"/>
          <w:szCs w:val="22"/>
        </w:rPr>
        <w:t xml:space="preserve"> tis. pracovníků (3,4 %) vykazuje pouze základní vzdělání. Maturitní a vyšší vzdělání má tak v současné době více než 60 % z celkového úhrnu pracovních sil kraje a tento podíl stále roste. </w:t>
      </w:r>
    </w:p>
    <w:p w:rsidR="002625D2" w:rsidRPr="0084055C" w:rsidRDefault="002625D2" w:rsidP="002625D2">
      <w:pPr>
        <w:jc w:val="both"/>
        <w:rPr>
          <w:rFonts w:ascii="Arial" w:hAnsi="Arial" w:cs="Arial"/>
          <w:b/>
          <w:sz w:val="22"/>
          <w:szCs w:val="22"/>
        </w:rPr>
      </w:pPr>
    </w:p>
    <w:p w:rsidR="002625D2" w:rsidRPr="0084055C" w:rsidRDefault="002625D2" w:rsidP="002625D2">
      <w:pPr>
        <w:jc w:val="both"/>
        <w:rPr>
          <w:rFonts w:ascii="Arial" w:hAnsi="Arial" w:cs="Arial"/>
          <w:sz w:val="22"/>
          <w:szCs w:val="22"/>
        </w:rPr>
      </w:pPr>
      <w:r w:rsidRPr="0084055C">
        <w:rPr>
          <w:rFonts w:ascii="Arial" w:hAnsi="Arial" w:cs="Arial"/>
          <w:sz w:val="22"/>
          <w:szCs w:val="22"/>
        </w:rPr>
        <w:t xml:space="preserve">Oproti celostátnímu průměru je v kraji zaměstnáno podstatně více vysokoškoláků, podíl pracovníků se vzděláním středním s maturitou je v Jihomoravském kraji mírně nižší než v ČR jako celku, stejně tak je nižší i podíl vyučenců. Celkovou úroveň vzdělání pracovní síly v Jihomoravském kraji pozitivním způsobem formuje </w:t>
      </w:r>
      <w:r w:rsidR="00AD2C21">
        <w:rPr>
          <w:rFonts w:ascii="Arial" w:hAnsi="Arial" w:cs="Arial"/>
          <w:sz w:val="22"/>
          <w:szCs w:val="22"/>
        </w:rPr>
        <w:t>krajské město Brno</w:t>
      </w:r>
      <w:r w:rsidRPr="0084055C">
        <w:rPr>
          <w:rFonts w:ascii="Arial" w:hAnsi="Arial" w:cs="Arial"/>
          <w:sz w:val="22"/>
          <w:szCs w:val="22"/>
        </w:rPr>
        <w:t>, jehož pracovní síla je v České republice úrovní kvalifikace po Praze druhá nejlepší.</w:t>
      </w:r>
    </w:p>
    <w:p w:rsidR="002625D2" w:rsidRPr="0084055C" w:rsidRDefault="002625D2" w:rsidP="002625D2">
      <w:pPr>
        <w:jc w:val="both"/>
        <w:rPr>
          <w:rFonts w:ascii="Arial" w:hAnsi="Arial" w:cs="Arial"/>
          <w:sz w:val="22"/>
          <w:szCs w:val="22"/>
        </w:rPr>
      </w:pPr>
    </w:p>
    <w:p w:rsidR="002625D2" w:rsidRPr="0084055C" w:rsidRDefault="002625D2" w:rsidP="002625D2">
      <w:pPr>
        <w:jc w:val="both"/>
        <w:rPr>
          <w:rFonts w:ascii="Arial" w:hAnsi="Arial" w:cs="Arial"/>
          <w:color w:val="FF0000"/>
          <w:sz w:val="22"/>
          <w:szCs w:val="22"/>
        </w:rPr>
      </w:pPr>
      <w:r w:rsidRPr="0084055C">
        <w:rPr>
          <w:rFonts w:ascii="Arial" w:hAnsi="Arial" w:cs="Arial"/>
          <w:sz w:val="22"/>
          <w:szCs w:val="22"/>
        </w:rPr>
        <w:t>Podobně jako kvalifikační struktura i zaměstnanecká skladba pracovních sil v Jihomoravském kraji je oproti celostátnímu průměru příznivější. Podstatné je především to, že hospodářská základna kraje využívá více než je tomu na ostatním území státu práci vysoce kvalifikovaných specialistů. Kategorie „vědečtí a odborní duševní pracovníci“ se na úhrnné zaměstnanosti v kraji podílejí celou jednou šestinou, zatímco v celostátním průměru se jedná o zhruba jednu sedminu. Nadprůměrné je v kraji i zastoupení pracovníků v kategorii „vedoucí a řídící pracovníci“ i v kategorii „nižší administrativní pracovníci (úředníci).</w:t>
      </w:r>
      <w:r w:rsidRPr="0084055C">
        <w:rPr>
          <w:rFonts w:ascii="Arial" w:hAnsi="Arial" w:cs="Arial"/>
          <w:color w:val="FF0000"/>
          <w:sz w:val="22"/>
          <w:szCs w:val="22"/>
        </w:rPr>
        <w:t xml:space="preserve"> </w:t>
      </w:r>
    </w:p>
    <w:p w:rsidR="002625D2" w:rsidRPr="0084055C" w:rsidRDefault="002625D2" w:rsidP="002625D2">
      <w:pPr>
        <w:jc w:val="both"/>
        <w:rPr>
          <w:rFonts w:ascii="Arial" w:hAnsi="Arial" w:cs="Arial"/>
          <w:color w:val="FF0000"/>
          <w:sz w:val="22"/>
          <w:szCs w:val="22"/>
        </w:rPr>
      </w:pPr>
    </w:p>
    <w:p w:rsidR="002625D2" w:rsidRPr="002625D2" w:rsidRDefault="002625D2" w:rsidP="007168E0">
      <w:pPr>
        <w:pStyle w:val="Bezmezer"/>
        <w:spacing w:line="276" w:lineRule="auto"/>
        <w:rPr>
          <w:rFonts w:ascii="Arial" w:hAnsi="Arial" w:cs="Arial"/>
          <w:b/>
          <w:i/>
          <w:sz w:val="20"/>
          <w:szCs w:val="20"/>
        </w:rPr>
      </w:pPr>
      <w:bookmarkStart w:id="6" w:name="_Toc381367339"/>
      <w:bookmarkStart w:id="7" w:name="_Toc381367442"/>
      <w:r w:rsidRPr="002625D2">
        <w:rPr>
          <w:rFonts w:ascii="Arial" w:hAnsi="Arial" w:cs="Arial"/>
          <w:b/>
          <w:i/>
          <w:sz w:val="20"/>
          <w:szCs w:val="20"/>
        </w:rPr>
        <w:t xml:space="preserve">Tab. </w:t>
      </w:r>
      <w:r w:rsidRPr="002625D2">
        <w:rPr>
          <w:rFonts w:ascii="Arial" w:hAnsi="Arial" w:cs="Arial"/>
          <w:b/>
          <w:i/>
          <w:sz w:val="20"/>
          <w:szCs w:val="20"/>
        </w:rPr>
        <w:fldChar w:fldCharType="begin"/>
      </w:r>
      <w:r w:rsidRPr="002625D2">
        <w:rPr>
          <w:rFonts w:ascii="Arial" w:hAnsi="Arial" w:cs="Arial"/>
          <w:b/>
          <w:i/>
          <w:sz w:val="20"/>
          <w:szCs w:val="20"/>
        </w:rPr>
        <w:instrText xml:space="preserve"> SEQ Tab. \* ARABIC </w:instrText>
      </w:r>
      <w:r w:rsidRPr="002625D2">
        <w:rPr>
          <w:rFonts w:ascii="Arial" w:hAnsi="Arial" w:cs="Arial"/>
          <w:b/>
          <w:i/>
          <w:sz w:val="20"/>
          <w:szCs w:val="20"/>
        </w:rPr>
        <w:fldChar w:fldCharType="separate"/>
      </w:r>
      <w:r w:rsidR="004378F3">
        <w:rPr>
          <w:rFonts w:ascii="Arial" w:hAnsi="Arial" w:cs="Arial"/>
          <w:b/>
          <w:i/>
          <w:noProof/>
          <w:sz w:val="20"/>
          <w:szCs w:val="20"/>
        </w:rPr>
        <w:t>3</w:t>
      </w:r>
      <w:r w:rsidRPr="002625D2">
        <w:rPr>
          <w:rFonts w:ascii="Arial" w:hAnsi="Arial" w:cs="Arial"/>
          <w:b/>
          <w:i/>
          <w:sz w:val="20"/>
          <w:szCs w:val="20"/>
        </w:rPr>
        <w:fldChar w:fldCharType="end"/>
      </w:r>
      <w:r w:rsidRPr="002625D2">
        <w:rPr>
          <w:rFonts w:ascii="Arial" w:hAnsi="Arial" w:cs="Arial"/>
          <w:b/>
          <w:i/>
          <w:sz w:val="20"/>
          <w:szCs w:val="20"/>
        </w:rPr>
        <w:t>: Vývoj ve skladbě zaměstnanosti v národ</w:t>
      </w:r>
      <w:r>
        <w:rPr>
          <w:rFonts w:ascii="Arial" w:hAnsi="Arial" w:cs="Arial"/>
          <w:b/>
          <w:i/>
          <w:sz w:val="20"/>
          <w:szCs w:val="20"/>
        </w:rPr>
        <w:t xml:space="preserve">ním hospodářství Jihomoravského </w:t>
      </w:r>
      <w:r w:rsidRPr="002625D2">
        <w:rPr>
          <w:rFonts w:ascii="Arial" w:hAnsi="Arial" w:cs="Arial"/>
          <w:b/>
          <w:i/>
          <w:sz w:val="20"/>
          <w:szCs w:val="20"/>
        </w:rPr>
        <w:t>kraje</w:t>
      </w:r>
      <w:bookmarkEnd w:id="6"/>
      <w:bookmarkEnd w:id="7"/>
      <w:r w:rsidRPr="002625D2">
        <w:rPr>
          <w:rFonts w:ascii="Arial" w:hAnsi="Arial" w:cs="Arial"/>
          <w:b/>
          <w:i/>
          <w:sz w:val="20"/>
          <w:szCs w:val="20"/>
        </w:rPr>
        <w:t xml:space="preserve"> </w:t>
      </w:r>
      <w:bookmarkStart w:id="8" w:name="_Toc381367443"/>
      <w:r w:rsidR="00300538">
        <w:rPr>
          <w:rFonts w:ascii="Arial" w:hAnsi="Arial" w:cs="Arial"/>
          <w:b/>
          <w:i/>
          <w:sz w:val="20"/>
          <w:szCs w:val="20"/>
        </w:rPr>
        <w:tab/>
      </w:r>
      <w:r w:rsidR="00300538">
        <w:rPr>
          <w:rFonts w:ascii="Arial" w:hAnsi="Arial" w:cs="Arial"/>
          <w:b/>
          <w:i/>
          <w:sz w:val="20"/>
          <w:szCs w:val="20"/>
        </w:rPr>
        <w:tab/>
      </w:r>
      <w:r w:rsidRPr="002625D2">
        <w:rPr>
          <w:rFonts w:ascii="Arial" w:hAnsi="Arial" w:cs="Arial"/>
          <w:b/>
          <w:i/>
          <w:sz w:val="20"/>
          <w:szCs w:val="20"/>
        </w:rPr>
        <w:t>a České republiky podle hlavních tříd kategorie zaměstnání v roce 201</w:t>
      </w:r>
      <w:bookmarkEnd w:id="8"/>
      <w:r w:rsidRPr="002625D2">
        <w:rPr>
          <w:rFonts w:ascii="Arial" w:hAnsi="Arial" w:cs="Arial"/>
          <w:b/>
          <w:i/>
          <w:sz w:val="20"/>
          <w:szCs w:val="20"/>
        </w:rPr>
        <w:t>3</w:t>
      </w:r>
    </w:p>
    <w:tbl>
      <w:tblPr>
        <w:tblW w:w="9072" w:type="dxa"/>
        <w:tblCellMar>
          <w:left w:w="70" w:type="dxa"/>
          <w:right w:w="70" w:type="dxa"/>
        </w:tblCellMar>
        <w:tblLook w:val="04A0" w:firstRow="1" w:lastRow="0" w:firstColumn="1" w:lastColumn="0" w:noHBand="0" w:noVBand="1"/>
      </w:tblPr>
      <w:tblGrid>
        <w:gridCol w:w="4459"/>
        <w:gridCol w:w="921"/>
        <w:gridCol w:w="922"/>
        <w:gridCol w:w="924"/>
        <w:gridCol w:w="922"/>
        <w:gridCol w:w="924"/>
      </w:tblGrid>
      <w:tr w:rsidR="002625D2" w:rsidRPr="00104500" w:rsidTr="00482B40">
        <w:trPr>
          <w:trHeight w:val="337"/>
        </w:trPr>
        <w:tc>
          <w:tcPr>
            <w:tcW w:w="2458" w:type="pct"/>
            <w:vMerge w:val="restart"/>
            <w:tcBorders>
              <w:top w:val="single" w:sz="12"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r w:rsidRPr="00104500">
              <w:rPr>
                <w:rFonts w:asciiTheme="minorHAnsi" w:hAnsiTheme="minorHAnsi"/>
                <w:b/>
                <w:bCs/>
                <w:iCs/>
                <w:color w:val="000000"/>
                <w:sz w:val="22"/>
                <w:szCs w:val="22"/>
              </w:rPr>
              <w:t>Kategorie zaměstnání</w:t>
            </w:r>
          </w:p>
        </w:tc>
        <w:tc>
          <w:tcPr>
            <w:tcW w:w="508" w:type="pct"/>
            <w:vMerge w:val="restart"/>
            <w:tcBorders>
              <w:top w:val="single" w:sz="12" w:space="0" w:color="auto"/>
              <w:left w:val="single" w:sz="12" w:space="0" w:color="auto"/>
              <w:bottom w:val="single" w:sz="8" w:space="0" w:color="auto"/>
              <w:right w:val="single" w:sz="4"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r w:rsidRPr="00104500">
              <w:rPr>
                <w:rFonts w:asciiTheme="minorHAnsi" w:hAnsiTheme="minorHAnsi"/>
                <w:b/>
                <w:bCs/>
                <w:color w:val="000000"/>
                <w:sz w:val="22"/>
                <w:szCs w:val="22"/>
              </w:rPr>
              <w:t xml:space="preserve">Hlavní třída </w:t>
            </w:r>
            <w:r w:rsidRPr="00104500">
              <w:rPr>
                <w:rFonts w:asciiTheme="minorHAnsi" w:hAnsiTheme="minorHAnsi"/>
                <w:b/>
                <w:color w:val="000000"/>
                <w:sz w:val="22"/>
                <w:szCs w:val="22"/>
              </w:rPr>
              <w:t>CZ-ISCO</w:t>
            </w:r>
          </w:p>
        </w:tc>
        <w:tc>
          <w:tcPr>
            <w:tcW w:w="1017" w:type="pct"/>
            <w:gridSpan w:val="2"/>
            <w:vMerge w:val="restart"/>
            <w:tcBorders>
              <w:top w:val="single" w:sz="12"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r w:rsidRPr="00104500">
              <w:rPr>
                <w:rFonts w:asciiTheme="minorHAnsi" w:hAnsiTheme="minorHAnsi"/>
                <w:b/>
                <w:bCs/>
                <w:color w:val="000000"/>
                <w:sz w:val="22"/>
                <w:szCs w:val="22"/>
              </w:rPr>
              <w:t>Jihomoravský kraj</w:t>
            </w:r>
          </w:p>
        </w:tc>
        <w:tc>
          <w:tcPr>
            <w:tcW w:w="1017" w:type="pct"/>
            <w:gridSpan w:val="2"/>
            <w:vMerge w:val="restart"/>
            <w:tcBorders>
              <w:top w:val="single" w:sz="12" w:space="0" w:color="auto"/>
              <w:left w:val="single" w:sz="4" w:space="0" w:color="auto"/>
              <w:bottom w:val="single" w:sz="8" w:space="0" w:color="auto"/>
              <w:right w:val="single" w:sz="12"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r w:rsidRPr="00104500">
              <w:rPr>
                <w:rFonts w:asciiTheme="minorHAnsi" w:hAnsiTheme="minorHAnsi"/>
                <w:b/>
                <w:bCs/>
                <w:color w:val="000000"/>
                <w:sz w:val="22"/>
                <w:szCs w:val="22"/>
              </w:rPr>
              <w:t>ČR</w:t>
            </w:r>
          </w:p>
        </w:tc>
      </w:tr>
      <w:tr w:rsidR="002625D2" w:rsidRPr="00104500" w:rsidTr="00482B40">
        <w:trPr>
          <w:trHeight w:hRule="exact" w:val="340"/>
        </w:trPr>
        <w:tc>
          <w:tcPr>
            <w:tcW w:w="2458" w:type="pct"/>
            <w:vMerge/>
            <w:tcBorders>
              <w:top w:val="single" w:sz="8"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p>
        </w:tc>
        <w:tc>
          <w:tcPr>
            <w:tcW w:w="508" w:type="pct"/>
            <w:vMerge/>
            <w:tcBorders>
              <w:top w:val="single" w:sz="8" w:space="0" w:color="auto"/>
              <w:left w:val="single" w:sz="12" w:space="0" w:color="auto"/>
              <w:bottom w:val="single" w:sz="4" w:space="0" w:color="auto"/>
              <w:right w:val="single" w:sz="4"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p>
        </w:tc>
        <w:tc>
          <w:tcPr>
            <w:tcW w:w="1017" w:type="pct"/>
            <w:gridSpan w:val="2"/>
            <w:vMerge/>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p>
        </w:tc>
        <w:tc>
          <w:tcPr>
            <w:tcW w:w="1017" w:type="pct"/>
            <w:gridSpan w:val="2"/>
            <w:vMerge/>
            <w:tcBorders>
              <w:top w:val="single" w:sz="8" w:space="0" w:color="auto"/>
              <w:left w:val="single" w:sz="4" w:space="0" w:color="auto"/>
              <w:bottom w:val="single" w:sz="8" w:space="0" w:color="auto"/>
              <w:right w:val="single" w:sz="12"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p>
        </w:tc>
      </w:tr>
      <w:tr w:rsidR="002625D2" w:rsidRPr="00104500" w:rsidTr="00482B40">
        <w:trPr>
          <w:trHeight w:hRule="exact" w:val="340"/>
        </w:trPr>
        <w:tc>
          <w:tcPr>
            <w:tcW w:w="2458" w:type="pct"/>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p>
        </w:tc>
        <w:tc>
          <w:tcPr>
            <w:tcW w:w="508" w:type="pct"/>
            <w:vMerge/>
            <w:tcBorders>
              <w:top w:val="single" w:sz="8" w:space="0" w:color="auto"/>
              <w:left w:val="single" w:sz="12" w:space="0" w:color="auto"/>
              <w:bottom w:val="single" w:sz="12" w:space="0" w:color="auto"/>
              <w:right w:val="single" w:sz="4"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
                <w:bCs/>
                <w:color w:val="000000"/>
              </w:rPr>
            </w:pPr>
          </w:p>
        </w:tc>
        <w:tc>
          <w:tcPr>
            <w:tcW w:w="508" w:type="pct"/>
            <w:tcBorders>
              <w:top w:val="single" w:sz="8" w:space="0" w:color="auto"/>
              <w:left w:val="nil"/>
              <w:bottom w:val="single" w:sz="12" w:space="0" w:color="auto"/>
              <w:right w:val="single" w:sz="4"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Cs/>
                <w:color w:val="000000"/>
              </w:rPr>
            </w:pPr>
            <w:r>
              <w:rPr>
                <w:rFonts w:asciiTheme="minorHAnsi" w:hAnsiTheme="minorHAnsi"/>
                <w:bCs/>
                <w:color w:val="000000"/>
              </w:rPr>
              <w:t>v tis.</w:t>
            </w:r>
          </w:p>
        </w:tc>
        <w:tc>
          <w:tcPr>
            <w:tcW w:w="509" w:type="pct"/>
            <w:tcBorders>
              <w:top w:val="single" w:sz="8" w:space="0" w:color="auto"/>
              <w:left w:val="nil"/>
              <w:bottom w:val="single" w:sz="12" w:space="0" w:color="auto"/>
              <w:right w:val="single" w:sz="4"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Cs/>
                <w:color w:val="000000"/>
              </w:rPr>
            </w:pPr>
            <w:r>
              <w:rPr>
                <w:rFonts w:asciiTheme="minorHAnsi" w:hAnsiTheme="minorHAnsi"/>
                <w:bCs/>
                <w:color w:val="000000"/>
                <w:sz w:val="22"/>
                <w:szCs w:val="22"/>
              </w:rPr>
              <w:t xml:space="preserve"> v </w:t>
            </w:r>
            <w:r w:rsidRPr="00104500">
              <w:rPr>
                <w:rFonts w:asciiTheme="minorHAnsi" w:hAnsiTheme="minorHAnsi"/>
                <w:bCs/>
                <w:color w:val="000000"/>
                <w:sz w:val="22"/>
                <w:szCs w:val="22"/>
              </w:rPr>
              <w:t>%</w:t>
            </w:r>
          </w:p>
        </w:tc>
        <w:tc>
          <w:tcPr>
            <w:tcW w:w="508" w:type="pct"/>
            <w:tcBorders>
              <w:top w:val="single" w:sz="8" w:space="0" w:color="auto"/>
              <w:left w:val="nil"/>
              <w:bottom w:val="single" w:sz="12" w:space="0" w:color="auto"/>
              <w:right w:val="single" w:sz="4"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Cs/>
                <w:color w:val="000000"/>
              </w:rPr>
            </w:pPr>
            <w:r>
              <w:rPr>
                <w:rFonts w:asciiTheme="minorHAnsi" w:hAnsiTheme="minorHAnsi"/>
                <w:bCs/>
                <w:color w:val="000000"/>
              </w:rPr>
              <w:t>v tis.</w:t>
            </w:r>
          </w:p>
        </w:tc>
        <w:tc>
          <w:tcPr>
            <w:tcW w:w="509" w:type="pct"/>
            <w:tcBorders>
              <w:top w:val="single" w:sz="8" w:space="0" w:color="auto"/>
              <w:left w:val="nil"/>
              <w:bottom w:val="single" w:sz="12" w:space="0" w:color="auto"/>
              <w:right w:val="single" w:sz="12" w:space="0" w:color="auto"/>
            </w:tcBorders>
            <w:shd w:val="clear" w:color="auto" w:fill="D9D9D9" w:themeFill="background1" w:themeFillShade="D9"/>
            <w:vAlign w:val="center"/>
            <w:hideMark/>
          </w:tcPr>
          <w:p w:rsidR="002625D2" w:rsidRPr="00104500" w:rsidRDefault="002625D2" w:rsidP="00482B40">
            <w:pPr>
              <w:jc w:val="center"/>
              <w:rPr>
                <w:rFonts w:asciiTheme="minorHAnsi" w:hAnsiTheme="minorHAnsi"/>
                <w:bCs/>
                <w:color w:val="000000"/>
              </w:rPr>
            </w:pPr>
            <w:r>
              <w:rPr>
                <w:rFonts w:asciiTheme="minorHAnsi" w:hAnsiTheme="minorHAnsi"/>
                <w:bCs/>
                <w:color w:val="000000"/>
                <w:sz w:val="22"/>
                <w:szCs w:val="22"/>
              </w:rPr>
              <w:t xml:space="preserve"> v </w:t>
            </w:r>
            <w:r w:rsidRPr="00104500">
              <w:rPr>
                <w:rFonts w:asciiTheme="minorHAnsi" w:hAnsiTheme="minorHAnsi"/>
                <w:bCs/>
                <w:color w:val="000000"/>
                <w:sz w:val="22"/>
                <w:szCs w:val="22"/>
              </w:rPr>
              <w:t>%</w:t>
            </w:r>
          </w:p>
        </w:tc>
      </w:tr>
      <w:tr w:rsidR="002625D2" w:rsidRPr="00104500" w:rsidTr="00482B40">
        <w:trPr>
          <w:trHeight w:hRule="exact" w:val="340"/>
        </w:trPr>
        <w:tc>
          <w:tcPr>
            <w:tcW w:w="2458"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Zákonodárci, vedoucí a řídící pracovníci</w:t>
            </w:r>
          </w:p>
        </w:tc>
        <w:tc>
          <w:tcPr>
            <w:tcW w:w="508" w:type="pct"/>
            <w:tcBorders>
              <w:top w:val="single" w:sz="12" w:space="0" w:color="auto"/>
              <w:left w:val="single" w:sz="12" w:space="0" w:color="auto"/>
              <w:bottom w:val="single" w:sz="4"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color w:val="000000"/>
              </w:rPr>
            </w:pPr>
            <w:r w:rsidRPr="00104500">
              <w:rPr>
                <w:rFonts w:asciiTheme="minorHAnsi" w:hAnsiTheme="minorHAnsi"/>
                <w:color w:val="000000"/>
                <w:sz w:val="22"/>
                <w:szCs w:val="22"/>
              </w:rPr>
              <w:t>1</w:t>
            </w:r>
          </w:p>
        </w:tc>
        <w:tc>
          <w:tcPr>
            <w:tcW w:w="508" w:type="pct"/>
            <w:tcBorders>
              <w:top w:val="single" w:sz="12" w:space="0" w:color="auto"/>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32,4</w:t>
            </w:r>
          </w:p>
        </w:tc>
        <w:tc>
          <w:tcPr>
            <w:tcW w:w="509" w:type="pct"/>
            <w:tcBorders>
              <w:top w:val="single" w:sz="12" w:space="0" w:color="auto"/>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5,8</w:t>
            </w:r>
          </w:p>
        </w:tc>
        <w:tc>
          <w:tcPr>
            <w:tcW w:w="508" w:type="pct"/>
            <w:tcBorders>
              <w:top w:val="single" w:sz="12" w:space="0" w:color="auto"/>
              <w:left w:val="nil"/>
              <w:bottom w:val="single" w:sz="4"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271,3</w:t>
            </w:r>
          </w:p>
        </w:tc>
        <w:tc>
          <w:tcPr>
            <w:tcW w:w="509" w:type="pct"/>
            <w:tcBorders>
              <w:top w:val="single" w:sz="12" w:space="0" w:color="auto"/>
              <w:left w:val="nil"/>
              <w:bottom w:val="single" w:sz="4"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5,5</w:t>
            </w:r>
          </w:p>
        </w:tc>
      </w:tr>
      <w:tr w:rsidR="002625D2" w:rsidRPr="00104500" w:rsidTr="00482B40">
        <w:trPr>
          <w:trHeight w:hRule="exact" w:val="340"/>
        </w:trPr>
        <w:tc>
          <w:tcPr>
            <w:tcW w:w="2458" w:type="pct"/>
            <w:tcBorders>
              <w:top w:val="nil"/>
              <w:left w:val="single" w:sz="12" w:space="0" w:color="auto"/>
              <w:bottom w:val="single" w:sz="4"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Vědečtí a odborní duševní pracovníci</w:t>
            </w:r>
          </w:p>
        </w:tc>
        <w:tc>
          <w:tcPr>
            <w:tcW w:w="508" w:type="pct"/>
            <w:tcBorders>
              <w:top w:val="nil"/>
              <w:left w:val="single" w:sz="12" w:space="0" w:color="auto"/>
              <w:bottom w:val="single" w:sz="4"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color w:val="000000"/>
              </w:rPr>
            </w:pPr>
            <w:r w:rsidRPr="00104500">
              <w:rPr>
                <w:rFonts w:asciiTheme="minorHAnsi" w:hAnsiTheme="minorHAnsi"/>
                <w:color w:val="000000"/>
                <w:sz w:val="22"/>
                <w:szCs w:val="22"/>
              </w:rPr>
              <w:t>2</w:t>
            </w:r>
          </w:p>
        </w:tc>
        <w:tc>
          <w:tcPr>
            <w:tcW w:w="508"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96,3</w:t>
            </w:r>
          </w:p>
        </w:tc>
        <w:tc>
          <w:tcPr>
            <w:tcW w:w="509"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17,3</w:t>
            </w:r>
          </w:p>
        </w:tc>
        <w:tc>
          <w:tcPr>
            <w:tcW w:w="508" w:type="pct"/>
            <w:tcBorders>
              <w:top w:val="nil"/>
              <w:left w:val="nil"/>
              <w:bottom w:val="single" w:sz="4"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715,7</w:t>
            </w:r>
          </w:p>
        </w:tc>
        <w:tc>
          <w:tcPr>
            <w:tcW w:w="509" w:type="pct"/>
            <w:tcBorders>
              <w:top w:val="nil"/>
              <w:left w:val="nil"/>
              <w:bottom w:val="single" w:sz="4"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14,5</w:t>
            </w:r>
          </w:p>
        </w:tc>
      </w:tr>
      <w:tr w:rsidR="002625D2" w:rsidRPr="00104500" w:rsidTr="00482B40">
        <w:trPr>
          <w:trHeight w:hRule="exact" w:val="340"/>
        </w:trPr>
        <w:tc>
          <w:tcPr>
            <w:tcW w:w="2458" w:type="pct"/>
            <w:tcBorders>
              <w:top w:val="nil"/>
              <w:left w:val="single" w:sz="12" w:space="0" w:color="auto"/>
              <w:bottom w:val="single" w:sz="4"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Techn., zdravot. a pedagog. pracovníci</w:t>
            </w:r>
          </w:p>
        </w:tc>
        <w:tc>
          <w:tcPr>
            <w:tcW w:w="508" w:type="pct"/>
            <w:tcBorders>
              <w:top w:val="nil"/>
              <w:left w:val="single" w:sz="12" w:space="0" w:color="auto"/>
              <w:bottom w:val="single" w:sz="4"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color w:val="000000"/>
              </w:rPr>
            </w:pPr>
            <w:r w:rsidRPr="00104500">
              <w:rPr>
                <w:rFonts w:asciiTheme="minorHAnsi" w:hAnsiTheme="minorHAnsi"/>
                <w:color w:val="000000"/>
                <w:sz w:val="22"/>
                <w:szCs w:val="22"/>
              </w:rPr>
              <w:t>3</w:t>
            </w:r>
          </w:p>
        </w:tc>
        <w:tc>
          <w:tcPr>
            <w:tcW w:w="508"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99,9</w:t>
            </w:r>
          </w:p>
        </w:tc>
        <w:tc>
          <w:tcPr>
            <w:tcW w:w="509"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18,0</w:t>
            </w:r>
          </w:p>
        </w:tc>
        <w:tc>
          <w:tcPr>
            <w:tcW w:w="508" w:type="pct"/>
            <w:tcBorders>
              <w:top w:val="nil"/>
              <w:left w:val="nil"/>
              <w:bottom w:val="single" w:sz="4"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879,3</w:t>
            </w:r>
          </w:p>
        </w:tc>
        <w:tc>
          <w:tcPr>
            <w:tcW w:w="509" w:type="pct"/>
            <w:tcBorders>
              <w:top w:val="nil"/>
              <w:left w:val="nil"/>
              <w:bottom w:val="single" w:sz="4"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17,8</w:t>
            </w:r>
          </w:p>
        </w:tc>
      </w:tr>
      <w:tr w:rsidR="002625D2" w:rsidRPr="00104500" w:rsidTr="00482B40">
        <w:trPr>
          <w:trHeight w:hRule="exact" w:val="340"/>
        </w:trPr>
        <w:tc>
          <w:tcPr>
            <w:tcW w:w="2458" w:type="pct"/>
            <w:tcBorders>
              <w:top w:val="nil"/>
              <w:left w:val="single" w:sz="12" w:space="0" w:color="auto"/>
              <w:bottom w:val="single" w:sz="4"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Nižší administrativní pracovníci (úředníci)</w:t>
            </w:r>
          </w:p>
        </w:tc>
        <w:tc>
          <w:tcPr>
            <w:tcW w:w="508" w:type="pct"/>
            <w:tcBorders>
              <w:top w:val="nil"/>
              <w:left w:val="single" w:sz="12" w:space="0" w:color="auto"/>
              <w:bottom w:val="single" w:sz="4"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color w:val="000000"/>
              </w:rPr>
            </w:pPr>
            <w:r w:rsidRPr="00104500">
              <w:rPr>
                <w:rFonts w:asciiTheme="minorHAnsi" w:hAnsiTheme="minorHAnsi"/>
                <w:color w:val="000000"/>
                <w:sz w:val="22"/>
                <w:szCs w:val="22"/>
              </w:rPr>
              <w:t>4</w:t>
            </w:r>
          </w:p>
        </w:tc>
        <w:tc>
          <w:tcPr>
            <w:tcW w:w="508"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55,1</w:t>
            </w:r>
          </w:p>
        </w:tc>
        <w:tc>
          <w:tcPr>
            <w:tcW w:w="509"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9,9</w:t>
            </w:r>
          </w:p>
        </w:tc>
        <w:tc>
          <w:tcPr>
            <w:tcW w:w="508" w:type="pct"/>
            <w:tcBorders>
              <w:top w:val="nil"/>
              <w:left w:val="nil"/>
              <w:bottom w:val="single" w:sz="4"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475,8</w:t>
            </w:r>
          </w:p>
        </w:tc>
        <w:tc>
          <w:tcPr>
            <w:tcW w:w="509" w:type="pct"/>
            <w:tcBorders>
              <w:top w:val="nil"/>
              <w:left w:val="nil"/>
              <w:bottom w:val="single" w:sz="4"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9,6</w:t>
            </w:r>
          </w:p>
        </w:tc>
      </w:tr>
      <w:tr w:rsidR="002625D2" w:rsidRPr="00104500" w:rsidTr="00482B40">
        <w:trPr>
          <w:trHeight w:hRule="exact" w:val="340"/>
        </w:trPr>
        <w:tc>
          <w:tcPr>
            <w:tcW w:w="2458" w:type="pct"/>
            <w:tcBorders>
              <w:top w:val="nil"/>
              <w:left w:val="single" w:sz="12" w:space="0" w:color="auto"/>
              <w:bottom w:val="single" w:sz="4"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Provozní pracovníci ve službách a obchodě</w:t>
            </w:r>
          </w:p>
        </w:tc>
        <w:tc>
          <w:tcPr>
            <w:tcW w:w="508" w:type="pct"/>
            <w:tcBorders>
              <w:top w:val="nil"/>
              <w:left w:val="single" w:sz="12" w:space="0" w:color="auto"/>
              <w:bottom w:val="single" w:sz="4"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color w:val="000000"/>
              </w:rPr>
            </w:pPr>
            <w:r w:rsidRPr="00104500">
              <w:rPr>
                <w:rFonts w:asciiTheme="minorHAnsi" w:hAnsiTheme="minorHAnsi"/>
                <w:color w:val="000000"/>
                <w:sz w:val="22"/>
                <w:szCs w:val="22"/>
              </w:rPr>
              <w:t>5</w:t>
            </w:r>
          </w:p>
        </w:tc>
        <w:tc>
          <w:tcPr>
            <w:tcW w:w="508"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85,0</w:t>
            </w:r>
          </w:p>
        </w:tc>
        <w:tc>
          <w:tcPr>
            <w:tcW w:w="509"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15,3</w:t>
            </w:r>
          </w:p>
        </w:tc>
        <w:tc>
          <w:tcPr>
            <w:tcW w:w="508" w:type="pct"/>
            <w:tcBorders>
              <w:top w:val="nil"/>
              <w:left w:val="nil"/>
              <w:bottom w:val="single" w:sz="4"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746,3</w:t>
            </w:r>
          </w:p>
        </w:tc>
        <w:tc>
          <w:tcPr>
            <w:tcW w:w="509" w:type="pct"/>
            <w:tcBorders>
              <w:top w:val="nil"/>
              <w:left w:val="nil"/>
              <w:bottom w:val="single" w:sz="4"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15,1</w:t>
            </w:r>
          </w:p>
        </w:tc>
      </w:tr>
      <w:tr w:rsidR="002625D2" w:rsidRPr="00104500" w:rsidTr="00482B40">
        <w:trPr>
          <w:trHeight w:hRule="exact" w:val="340"/>
        </w:trPr>
        <w:tc>
          <w:tcPr>
            <w:tcW w:w="2458" w:type="pct"/>
            <w:tcBorders>
              <w:top w:val="nil"/>
              <w:left w:val="single" w:sz="12" w:space="0" w:color="auto"/>
              <w:bottom w:val="single" w:sz="4"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Kvalifikovaní dělníci v zem. a lesnictví</w:t>
            </w:r>
          </w:p>
        </w:tc>
        <w:tc>
          <w:tcPr>
            <w:tcW w:w="508" w:type="pct"/>
            <w:tcBorders>
              <w:top w:val="nil"/>
              <w:left w:val="single" w:sz="12" w:space="0" w:color="auto"/>
              <w:bottom w:val="single" w:sz="4"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color w:val="000000"/>
              </w:rPr>
            </w:pPr>
            <w:r w:rsidRPr="00104500">
              <w:rPr>
                <w:rFonts w:asciiTheme="minorHAnsi" w:hAnsiTheme="minorHAnsi"/>
                <w:color w:val="000000"/>
                <w:sz w:val="22"/>
                <w:szCs w:val="22"/>
              </w:rPr>
              <w:t>6</w:t>
            </w:r>
          </w:p>
        </w:tc>
        <w:tc>
          <w:tcPr>
            <w:tcW w:w="508"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6,7</w:t>
            </w:r>
          </w:p>
        </w:tc>
        <w:tc>
          <w:tcPr>
            <w:tcW w:w="509"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1,2</w:t>
            </w:r>
          </w:p>
        </w:tc>
        <w:tc>
          <w:tcPr>
            <w:tcW w:w="508" w:type="pct"/>
            <w:tcBorders>
              <w:top w:val="nil"/>
              <w:left w:val="nil"/>
              <w:bottom w:val="single" w:sz="4"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64,4</w:t>
            </w:r>
          </w:p>
        </w:tc>
        <w:tc>
          <w:tcPr>
            <w:tcW w:w="509" w:type="pct"/>
            <w:tcBorders>
              <w:top w:val="nil"/>
              <w:left w:val="nil"/>
              <w:bottom w:val="single" w:sz="4"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1,3</w:t>
            </w:r>
          </w:p>
        </w:tc>
      </w:tr>
      <w:tr w:rsidR="002625D2" w:rsidRPr="00104500" w:rsidTr="00482B40">
        <w:trPr>
          <w:trHeight w:hRule="exact" w:val="340"/>
        </w:trPr>
        <w:tc>
          <w:tcPr>
            <w:tcW w:w="2458" w:type="pct"/>
            <w:tcBorders>
              <w:top w:val="nil"/>
              <w:left w:val="single" w:sz="12" w:space="0" w:color="auto"/>
              <w:bottom w:val="single" w:sz="4"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Řemeslníci a kvalifikovaní výrobci</w:t>
            </w:r>
          </w:p>
        </w:tc>
        <w:tc>
          <w:tcPr>
            <w:tcW w:w="508" w:type="pct"/>
            <w:tcBorders>
              <w:top w:val="nil"/>
              <w:left w:val="single" w:sz="12" w:space="0" w:color="auto"/>
              <w:bottom w:val="single" w:sz="4"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color w:val="000000"/>
              </w:rPr>
            </w:pPr>
            <w:r w:rsidRPr="00104500">
              <w:rPr>
                <w:rFonts w:asciiTheme="minorHAnsi" w:hAnsiTheme="minorHAnsi"/>
                <w:color w:val="000000"/>
                <w:sz w:val="22"/>
                <w:szCs w:val="22"/>
              </w:rPr>
              <w:t>7</w:t>
            </w:r>
          </w:p>
        </w:tc>
        <w:tc>
          <w:tcPr>
            <w:tcW w:w="508"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91,2</w:t>
            </w:r>
          </w:p>
        </w:tc>
        <w:tc>
          <w:tcPr>
            <w:tcW w:w="509"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16,4</w:t>
            </w:r>
          </w:p>
        </w:tc>
        <w:tc>
          <w:tcPr>
            <w:tcW w:w="508" w:type="pct"/>
            <w:tcBorders>
              <w:top w:val="nil"/>
              <w:left w:val="nil"/>
              <w:bottom w:val="single" w:sz="4"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851,0</w:t>
            </w:r>
          </w:p>
        </w:tc>
        <w:tc>
          <w:tcPr>
            <w:tcW w:w="509" w:type="pct"/>
            <w:tcBorders>
              <w:top w:val="nil"/>
              <w:left w:val="nil"/>
              <w:bottom w:val="single" w:sz="4"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17,2</w:t>
            </w:r>
          </w:p>
        </w:tc>
      </w:tr>
      <w:tr w:rsidR="002625D2" w:rsidRPr="00104500" w:rsidTr="00482B40">
        <w:trPr>
          <w:trHeight w:hRule="exact" w:val="340"/>
        </w:trPr>
        <w:tc>
          <w:tcPr>
            <w:tcW w:w="2458" w:type="pct"/>
            <w:tcBorders>
              <w:top w:val="nil"/>
              <w:left w:val="single" w:sz="12" w:space="0" w:color="auto"/>
              <w:bottom w:val="single" w:sz="4"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Obsluha strojů a zařízení</w:t>
            </w:r>
          </w:p>
        </w:tc>
        <w:tc>
          <w:tcPr>
            <w:tcW w:w="508" w:type="pct"/>
            <w:tcBorders>
              <w:top w:val="nil"/>
              <w:left w:val="single" w:sz="12" w:space="0" w:color="auto"/>
              <w:bottom w:val="single" w:sz="4"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color w:val="000000"/>
              </w:rPr>
            </w:pPr>
            <w:r w:rsidRPr="00104500">
              <w:rPr>
                <w:rFonts w:asciiTheme="minorHAnsi" w:hAnsiTheme="minorHAnsi"/>
                <w:color w:val="000000"/>
                <w:sz w:val="22"/>
                <w:szCs w:val="22"/>
              </w:rPr>
              <w:t>8</w:t>
            </w:r>
          </w:p>
        </w:tc>
        <w:tc>
          <w:tcPr>
            <w:tcW w:w="508"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58,8</w:t>
            </w:r>
          </w:p>
        </w:tc>
        <w:tc>
          <w:tcPr>
            <w:tcW w:w="509"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10,6</w:t>
            </w:r>
          </w:p>
        </w:tc>
        <w:tc>
          <w:tcPr>
            <w:tcW w:w="508" w:type="pct"/>
            <w:tcBorders>
              <w:top w:val="nil"/>
              <w:left w:val="nil"/>
              <w:bottom w:val="single" w:sz="4"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641,7</w:t>
            </w:r>
          </w:p>
        </w:tc>
        <w:tc>
          <w:tcPr>
            <w:tcW w:w="509" w:type="pct"/>
            <w:tcBorders>
              <w:top w:val="nil"/>
              <w:left w:val="nil"/>
              <w:bottom w:val="single" w:sz="4"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13,0</w:t>
            </w:r>
          </w:p>
        </w:tc>
      </w:tr>
      <w:tr w:rsidR="002625D2" w:rsidRPr="00104500" w:rsidTr="00482B40">
        <w:trPr>
          <w:trHeight w:hRule="exact" w:val="340"/>
        </w:trPr>
        <w:tc>
          <w:tcPr>
            <w:tcW w:w="2458" w:type="pct"/>
            <w:tcBorders>
              <w:top w:val="nil"/>
              <w:left w:val="single" w:sz="12" w:space="0" w:color="auto"/>
              <w:bottom w:val="single" w:sz="4"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Pomocní a nekvalifikovaní pracovníci</w:t>
            </w:r>
          </w:p>
        </w:tc>
        <w:tc>
          <w:tcPr>
            <w:tcW w:w="508" w:type="pct"/>
            <w:tcBorders>
              <w:top w:val="nil"/>
              <w:left w:val="single" w:sz="12" w:space="0" w:color="auto"/>
              <w:bottom w:val="single" w:sz="4"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color w:val="000000"/>
              </w:rPr>
            </w:pPr>
            <w:r w:rsidRPr="00104500">
              <w:rPr>
                <w:rFonts w:asciiTheme="minorHAnsi" w:hAnsiTheme="minorHAnsi"/>
                <w:color w:val="000000"/>
                <w:sz w:val="22"/>
                <w:szCs w:val="22"/>
              </w:rPr>
              <w:t>9</w:t>
            </w:r>
          </w:p>
        </w:tc>
        <w:tc>
          <w:tcPr>
            <w:tcW w:w="508"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30,5</w:t>
            </w:r>
          </w:p>
        </w:tc>
        <w:tc>
          <w:tcPr>
            <w:tcW w:w="509"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5,5</w:t>
            </w:r>
          </w:p>
        </w:tc>
        <w:tc>
          <w:tcPr>
            <w:tcW w:w="508" w:type="pct"/>
            <w:tcBorders>
              <w:top w:val="nil"/>
              <w:left w:val="nil"/>
              <w:bottom w:val="single" w:sz="4"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274,8</w:t>
            </w:r>
          </w:p>
        </w:tc>
        <w:tc>
          <w:tcPr>
            <w:tcW w:w="509" w:type="pct"/>
            <w:tcBorders>
              <w:top w:val="nil"/>
              <w:left w:val="nil"/>
              <w:bottom w:val="single" w:sz="4"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5,6</w:t>
            </w:r>
          </w:p>
        </w:tc>
      </w:tr>
      <w:tr w:rsidR="002625D2" w:rsidRPr="00104500" w:rsidTr="00482B40">
        <w:trPr>
          <w:trHeight w:hRule="exact" w:val="340"/>
        </w:trPr>
        <w:tc>
          <w:tcPr>
            <w:tcW w:w="2458" w:type="pct"/>
            <w:tcBorders>
              <w:top w:val="nil"/>
              <w:left w:val="single" w:sz="12" w:space="0" w:color="auto"/>
              <w:bottom w:val="single" w:sz="4"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color w:val="000000"/>
              </w:rPr>
            </w:pPr>
            <w:r w:rsidRPr="00104500">
              <w:rPr>
                <w:rFonts w:asciiTheme="minorHAnsi" w:hAnsiTheme="minorHAnsi"/>
                <w:color w:val="000000"/>
                <w:sz w:val="22"/>
                <w:szCs w:val="22"/>
              </w:rPr>
              <w:t>Příslušníci armády</w:t>
            </w:r>
          </w:p>
        </w:tc>
        <w:tc>
          <w:tcPr>
            <w:tcW w:w="508" w:type="pct"/>
            <w:tcBorders>
              <w:top w:val="nil"/>
              <w:left w:val="single" w:sz="12" w:space="0" w:color="auto"/>
              <w:bottom w:val="single" w:sz="4"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color w:val="000000"/>
              </w:rPr>
            </w:pPr>
            <w:r w:rsidRPr="00104500">
              <w:rPr>
                <w:rFonts w:asciiTheme="minorHAnsi" w:hAnsiTheme="minorHAnsi"/>
                <w:color w:val="000000"/>
                <w:sz w:val="22"/>
                <w:szCs w:val="22"/>
              </w:rPr>
              <w:t>0</w:t>
            </w:r>
          </w:p>
        </w:tc>
        <w:tc>
          <w:tcPr>
            <w:tcW w:w="508"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0,7</w:t>
            </w:r>
          </w:p>
        </w:tc>
        <w:tc>
          <w:tcPr>
            <w:tcW w:w="509" w:type="pct"/>
            <w:tcBorders>
              <w:top w:val="nil"/>
              <w:left w:val="nil"/>
              <w:bottom w:val="single" w:sz="4"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0,1</w:t>
            </w:r>
          </w:p>
        </w:tc>
        <w:tc>
          <w:tcPr>
            <w:tcW w:w="508" w:type="pct"/>
            <w:tcBorders>
              <w:top w:val="nil"/>
              <w:left w:val="nil"/>
              <w:bottom w:val="single" w:sz="4"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16,7</w:t>
            </w:r>
          </w:p>
        </w:tc>
        <w:tc>
          <w:tcPr>
            <w:tcW w:w="509" w:type="pct"/>
            <w:tcBorders>
              <w:top w:val="nil"/>
              <w:left w:val="nil"/>
              <w:bottom w:val="single" w:sz="4"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rPr>
            </w:pPr>
            <w:r w:rsidRPr="00550782">
              <w:rPr>
                <w:rFonts w:asciiTheme="minorHAnsi" w:hAnsiTheme="minorHAnsi"/>
                <w:sz w:val="22"/>
                <w:szCs w:val="22"/>
              </w:rPr>
              <w:t>0,3</w:t>
            </w:r>
          </w:p>
        </w:tc>
      </w:tr>
      <w:tr w:rsidR="002625D2" w:rsidRPr="00104500" w:rsidTr="00482B40">
        <w:trPr>
          <w:trHeight w:hRule="exact" w:val="340"/>
        </w:trPr>
        <w:tc>
          <w:tcPr>
            <w:tcW w:w="2458" w:type="pct"/>
            <w:tcBorders>
              <w:top w:val="nil"/>
              <w:left w:val="single" w:sz="12" w:space="0" w:color="auto"/>
              <w:bottom w:val="single" w:sz="12" w:space="0" w:color="auto"/>
              <w:right w:val="single" w:sz="12" w:space="0" w:color="auto"/>
            </w:tcBorders>
            <w:shd w:val="clear" w:color="auto" w:fill="auto"/>
            <w:vAlign w:val="center"/>
            <w:hideMark/>
          </w:tcPr>
          <w:p w:rsidR="002625D2" w:rsidRPr="00104500" w:rsidRDefault="002625D2" w:rsidP="00482B40">
            <w:pPr>
              <w:rPr>
                <w:rFonts w:asciiTheme="minorHAnsi" w:hAnsiTheme="minorHAnsi"/>
                <w:b/>
                <w:bCs/>
                <w:color w:val="000000"/>
              </w:rPr>
            </w:pPr>
            <w:r w:rsidRPr="00104500">
              <w:rPr>
                <w:rFonts w:asciiTheme="minorHAnsi" w:hAnsiTheme="minorHAnsi"/>
                <w:b/>
                <w:bCs/>
                <w:color w:val="000000"/>
                <w:sz w:val="22"/>
                <w:szCs w:val="22"/>
              </w:rPr>
              <w:t>Celkem</w:t>
            </w:r>
          </w:p>
        </w:tc>
        <w:tc>
          <w:tcPr>
            <w:tcW w:w="508" w:type="pct"/>
            <w:tcBorders>
              <w:top w:val="nil"/>
              <w:left w:val="single" w:sz="12" w:space="0" w:color="auto"/>
              <w:bottom w:val="single" w:sz="12" w:space="0" w:color="auto"/>
              <w:right w:val="single" w:sz="4" w:space="0" w:color="auto"/>
            </w:tcBorders>
            <w:shd w:val="clear" w:color="auto" w:fill="auto"/>
            <w:vAlign w:val="center"/>
            <w:hideMark/>
          </w:tcPr>
          <w:p w:rsidR="002625D2" w:rsidRPr="00104500" w:rsidRDefault="002625D2" w:rsidP="00482B40">
            <w:pPr>
              <w:jc w:val="center"/>
              <w:rPr>
                <w:rFonts w:asciiTheme="minorHAnsi" w:hAnsiTheme="minorHAnsi"/>
                <w:b/>
                <w:bCs/>
                <w:color w:val="000000"/>
              </w:rPr>
            </w:pPr>
          </w:p>
        </w:tc>
        <w:tc>
          <w:tcPr>
            <w:tcW w:w="508" w:type="pct"/>
            <w:tcBorders>
              <w:top w:val="nil"/>
              <w:left w:val="nil"/>
              <w:bottom w:val="single" w:sz="12"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b/>
              </w:rPr>
            </w:pPr>
            <w:r w:rsidRPr="00550782">
              <w:rPr>
                <w:rFonts w:asciiTheme="minorHAnsi" w:hAnsiTheme="minorHAnsi"/>
                <w:b/>
                <w:sz w:val="22"/>
                <w:szCs w:val="22"/>
              </w:rPr>
              <w:t>556,4</w:t>
            </w:r>
          </w:p>
        </w:tc>
        <w:tc>
          <w:tcPr>
            <w:tcW w:w="509" w:type="pct"/>
            <w:tcBorders>
              <w:top w:val="nil"/>
              <w:left w:val="nil"/>
              <w:bottom w:val="single" w:sz="12" w:space="0" w:color="auto"/>
              <w:right w:val="single" w:sz="4" w:space="0" w:color="auto"/>
            </w:tcBorders>
            <w:shd w:val="clear" w:color="auto" w:fill="auto"/>
            <w:vAlign w:val="center"/>
            <w:hideMark/>
          </w:tcPr>
          <w:p w:rsidR="002625D2" w:rsidRPr="00550782" w:rsidRDefault="002625D2" w:rsidP="00482B40">
            <w:pPr>
              <w:jc w:val="right"/>
              <w:rPr>
                <w:rFonts w:asciiTheme="minorHAnsi" w:hAnsiTheme="minorHAnsi"/>
                <w:b/>
              </w:rPr>
            </w:pPr>
            <w:r w:rsidRPr="00550782">
              <w:rPr>
                <w:rFonts w:asciiTheme="minorHAnsi" w:hAnsiTheme="minorHAnsi"/>
                <w:b/>
                <w:sz w:val="22"/>
                <w:szCs w:val="22"/>
              </w:rPr>
              <w:t>100,0</w:t>
            </w:r>
          </w:p>
        </w:tc>
        <w:tc>
          <w:tcPr>
            <w:tcW w:w="508" w:type="pct"/>
            <w:tcBorders>
              <w:top w:val="nil"/>
              <w:left w:val="nil"/>
              <w:bottom w:val="single" w:sz="12" w:space="0" w:color="auto"/>
              <w:right w:val="single" w:sz="4" w:space="0" w:color="auto"/>
            </w:tcBorders>
            <w:shd w:val="clear" w:color="FFFFFF" w:fill="FFFFFF"/>
            <w:noWrap/>
            <w:vAlign w:val="center"/>
            <w:hideMark/>
          </w:tcPr>
          <w:p w:rsidR="002625D2" w:rsidRPr="00550782" w:rsidRDefault="002625D2" w:rsidP="00482B40">
            <w:pPr>
              <w:jc w:val="right"/>
              <w:rPr>
                <w:rFonts w:asciiTheme="minorHAnsi" w:hAnsiTheme="minorHAnsi"/>
                <w:b/>
              </w:rPr>
            </w:pPr>
            <w:r w:rsidRPr="00550782">
              <w:rPr>
                <w:rFonts w:asciiTheme="minorHAnsi" w:hAnsiTheme="minorHAnsi"/>
                <w:b/>
                <w:sz w:val="22"/>
                <w:szCs w:val="22"/>
              </w:rPr>
              <w:t>4 937,1</w:t>
            </w:r>
          </w:p>
        </w:tc>
        <w:tc>
          <w:tcPr>
            <w:tcW w:w="509" w:type="pct"/>
            <w:tcBorders>
              <w:top w:val="nil"/>
              <w:left w:val="nil"/>
              <w:bottom w:val="single" w:sz="12" w:space="0" w:color="auto"/>
              <w:right w:val="single" w:sz="12" w:space="0" w:color="auto"/>
            </w:tcBorders>
            <w:shd w:val="clear" w:color="000000" w:fill="FFFFFF"/>
            <w:noWrap/>
            <w:vAlign w:val="center"/>
            <w:hideMark/>
          </w:tcPr>
          <w:p w:rsidR="002625D2" w:rsidRPr="00550782" w:rsidRDefault="002625D2" w:rsidP="00482B40">
            <w:pPr>
              <w:jc w:val="right"/>
              <w:rPr>
                <w:rFonts w:asciiTheme="minorHAnsi" w:hAnsiTheme="minorHAnsi"/>
                <w:b/>
              </w:rPr>
            </w:pPr>
            <w:r w:rsidRPr="00550782">
              <w:rPr>
                <w:rFonts w:asciiTheme="minorHAnsi" w:hAnsiTheme="minorHAnsi"/>
                <w:b/>
                <w:sz w:val="22"/>
                <w:szCs w:val="22"/>
              </w:rPr>
              <w:t>100,0</w:t>
            </w:r>
          </w:p>
        </w:tc>
      </w:tr>
    </w:tbl>
    <w:p w:rsidR="002625D2" w:rsidRPr="001F71FA" w:rsidRDefault="002625D2" w:rsidP="002625D2">
      <w:pPr>
        <w:jc w:val="both"/>
        <w:rPr>
          <w:rFonts w:ascii="Arial" w:hAnsi="Arial" w:cs="Arial"/>
          <w:sz w:val="20"/>
          <w:szCs w:val="20"/>
        </w:rPr>
      </w:pPr>
      <w:r w:rsidRPr="001F71FA">
        <w:rPr>
          <w:rFonts w:ascii="Arial" w:hAnsi="Arial" w:cs="Arial"/>
          <w:b/>
          <w:sz w:val="20"/>
          <w:szCs w:val="20"/>
        </w:rPr>
        <w:t>Pramen</w:t>
      </w:r>
      <w:r w:rsidRPr="001F71FA">
        <w:rPr>
          <w:rFonts w:ascii="Arial" w:hAnsi="Arial" w:cs="Arial"/>
          <w:sz w:val="20"/>
          <w:szCs w:val="20"/>
        </w:rPr>
        <w:t>: Zaměstnanost a nezaměstnanost v České republice podle výsledků výběrových šetření pracovních sil -   roční průměry 2013, ČSÚ Praha, 2014</w:t>
      </w:r>
    </w:p>
    <w:p w:rsidR="002625D2" w:rsidRDefault="002625D2" w:rsidP="002625D2">
      <w:pPr>
        <w:jc w:val="both"/>
        <w:rPr>
          <w:rFonts w:ascii="Arial" w:hAnsi="Arial" w:cs="Arial"/>
          <w:sz w:val="22"/>
          <w:szCs w:val="22"/>
        </w:rPr>
      </w:pPr>
    </w:p>
    <w:p w:rsidR="002625D2" w:rsidRPr="0084055C" w:rsidRDefault="002625D2" w:rsidP="002625D2">
      <w:pPr>
        <w:jc w:val="both"/>
        <w:rPr>
          <w:rFonts w:ascii="Arial" w:hAnsi="Arial" w:cs="Arial"/>
          <w:sz w:val="22"/>
          <w:szCs w:val="22"/>
        </w:rPr>
      </w:pPr>
      <w:r w:rsidRPr="0084055C">
        <w:rPr>
          <w:rFonts w:ascii="Arial" w:hAnsi="Arial" w:cs="Arial"/>
          <w:sz w:val="22"/>
          <w:szCs w:val="22"/>
        </w:rPr>
        <w:t>Na úseku dělnických profesí je situace v Jihomoravském kraji v zásadě obdobná jako na ostatním území státu. V kategorii „řemeslníci a kvalifikovaní výrobci“ je v kraji zaměstnáno 9</w:t>
      </w:r>
      <w:r>
        <w:rPr>
          <w:rFonts w:ascii="Arial" w:hAnsi="Arial" w:cs="Arial"/>
          <w:sz w:val="22"/>
          <w:szCs w:val="22"/>
        </w:rPr>
        <w:t>1</w:t>
      </w:r>
      <w:r w:rsidRPr="0084055C">
        <w:rPr>
          <w:rFonts w:ascii="Arial" w:hAnsi="Arial" w:cs="Arial"/>
          <w:sz w:val="22"/>
          <w:szCs w:val="22"/>
        </w:rPr>
        <w:t>,</w:t>
      </w:r>
      <w:r>
        <w:rPr>
          <w:rFonts w:ascii="Arial" w:hAnsi="Arial" w:cs="Arial"/>
          <w:sz w:val="22"/>
          <w:szCs w:val="22"/>
        </w:rPr>
        <w:t>2</w:t>
      </w:r>
      <w:r w:rsidRPr="0084055C">
        <w:rPr>
          <w:rFonts w:ascii="Arial" w:hAnsi="Arial" w:cs="Arial"/>
          <w:sz w:val="22"/>
          <w:szCs w:val="22"/>
        </w:rPr>
        <w:t xml:space="preserve"> tis. osob, což představuje 1</w:t>
      </w:r>
      <w:r>
        <w:rPr>
          <w:rFonts w:ascii="Arial" w:hAnsi="Arial" w:cs="Arial"/>
          <w:sz w:val="22"/>
          <w:szCs w:val="22"/>
        </w:rPr>
        <w:t>6</w:t>
      </w:r>
      <w:r w:rsidRPr="0084055C">
        <w:rPr>
          <w:rFonts w:ascii="Arial" w:hAnsi="Arial" w:cs="Arial"/>
          <w:sz w:val="22"/>
          <w:szCs w:val="22"/>
        </w:rPr>
        <w:t>,</w:t>
      </w:r>
      <w:r>
        <w:rPr>
          <w:rFonts w:ascii="Arial" w:hAnsi="Arial" w:cs="Arial"/>
          <w:sz w:val="22"/>
          <w:szCs w:val="22"/>
        </w:rPr>
        <w:t>4</w:t>
      </w:r>
      <w:r w:rsidRPr="0084055C">
        <w:rPr>
          <w:rFonts w:ascii="Arial" w:hAnsi="Arial" w:cs="Arial"/>
          <w:sz w:val="22"/>
          <w:szCs w:val="22"/>
        </w:rPr>
        <w:t xml:space="preserve"> % z celkového počtu zaměstnaných (pro srovnání: podíl řemeslníků v celé ČR je mírně vyšší; v roce 201</w:t>
      </w:r>
      <w:r>
        <w:rPr>
          <w:rFonts w:ascii="Arial" w:hAnsi="Arial" w:cs="Arial"/>
          <w:sz w:val="22"/>
          <w:szCs w:val="22"/>
        </w:rPr>
        <w:t>3</w:t>
      </w:r>
      <w:r w:rsidRPr="0084055C">
        <w:rPr>
          <w:rFonts w:ascii="Arial" w:hAnsi="Arial" w:cs="Arial"/>
          <w:sz w:val="22"/>
          <w:szCs w:val="22"/>
        </w:rPr>
        <w:t xml:space="preserve"> dosahoval 17,</w:t>
      </w:r>
      <w:r>
        <w:rPr>
          <w:rFonts w:ascii="Arial" w:hAnsi="Arial" w:cs="Arial"/>
          <w:sz w:val="22"/>
          <w:szCs w:val="22"/>
        </w:rPr>
        <w:t>2</w:t>
      </w:r>
      <w:r w:rsidRPr="0084055C">
        <w:rPr>
          <w:rFonts w:ascii="Arial" w:hAnsi="Arial" w:cs="Arial"/>
          <w:sz w:val="22"/>
          <w:szCs w:val="22"/>
        </w:rPr>
        <w:t xml:space="preserve">%). V méně kvalifikačně náročné  hlavní třídě 8 CZ-ISCO - Obsluha strojů a zařízení je v kraji vytvořeno </w:t>
      </w:r>
      <w:r>
        <w:rPr>
          <w:rFonts w:ascii="Arial" w:hAnsi="Arial" w:cs="Arial"/>
          <w:sz w:val="22"/>
          <w:szCs w:val="22"/>
        </w:rPr>
        <w:t>58</w:t>
      </w:r>
      <w:r w:rsidRPr="0084055C">
        <w:rPr>
          <w:rFonts w:ascii="Arial" w:hAnsi="Arial" w:cs="Arial"/>
          <w:sz w:val="22"/>
          <w:szCs w:val="22"/>
        </w:rPr>
        <w:t xml:space="preserve">,8 tis. </w:t>
      </w:r>
      <w:r w:rsidRPr="0084055C">
        <w:rPr>
          <w:rFonts w:ascii="Arial" w:hAnsi="Arial" w:cs="Arial"/>
          <w:sz w:val="22"/>
          <w:szCs w:val="22"/>
        </w:rPr>
        <w:lastRenderedPageBreak/>
        <w:t>pracovních míst, což představuje 1</w:t>
      </w:r>
      <w:r>
        <w:rPr>
          <w:rFonts w:ascii="Arial" w:hAnsi="Arial" w:cs="Arial"/>
          <w:sz w:val="22"/>
          <w:szCs w:val="22"/>
        </w:rPr>
        <w:t>0</w:t>
      </w:r>
      <w:r w:rsidRPr="0084055C">
        <w:rPr>
          <w:rFonts w:ascii="Arial" w:hAnsi="Arial" w:cs="Arial"/>
          <w:sz w:val="22"/>
          <w:szCs w:val="22"/>
        </w:rPr>
        <w:t>,</w:t>
      </w:r>
      <w:r>
        <w:rPr>
          <w:rFonts w:ascii="Arial" w:hAnsi="Arial" w:cs="Arial"/>
          <w:sz w:val="22"/>
          <w:szCs w:val="22"/>
        </w:rPr>
        <w:t>6</w:t>
      </w:r>
      <w:r w:rsidRPr="0084055C">
        <w:rPr>
          <w:rFonts w:ascii="Arial" w:hAnsi="Arial" w:cs="Arial"/>
          <w:sz w:val="22"/>
          <w:szCs w:val="22"/>
        </w:rPr>
        <w:t xml:space="preserve"> % z celokrajského úhrnu zaměstnanosti (v ČR to je ale 1</w:t>
      </w:r>
      <w:r>
        <w:rPr>
          <w:rFonts w:ascii="Arial" w:hAnsi="Arial" w:cs="Arial"/>
          <w:sz w:val="22"/>
          <w:szCs w:val="22"/>
        </w:rPr>
        <w:t>3</w:t>
      </w:r>
      <w:r w:rsidRPr="0084055C">
        <w:rPr>
          <w:rFonts w:ascii="Arial" w:hAnsi="Arial" w:cs="Arial"/>
          <w:sz w:val="22"/>
          <w:szCs w:val="22"/>
        </w:rPr>
        <w:t xml:space="preserve"> %). </w:t>
      </w:r>
    </w:p>
    <w:p w:rsidR="002625D2" w:rsidRPr="0084055C" w:rsidRDefault="002625D2" w:rsidP="002625D2">
      <w:pPr>
        <w:jc w:val="both"/>
        <w:rPr>
          <w:rFonts w:ascii="Arial" w:hAnsi="Arial" w:cs="Arial"/>
          <w:color w:val="FF0000"/>
          <w:sz w:val="22"/>
          <w:szCs w:val="22"/>
        </w:rPr>
      </w:pPr>
    </w:p>
    <w:p w:rsidR="002625D2" w:rsidRPr="0084055C" w:rsidRDefault="002625D2" w:rsidP="002625D2">
      <w:pPr>
        <w:jc w:val="both"/>
        <w:rPr>
          <w:rFonts w:ascii="Arial" w:hAnsi="Arial" w:cs="Arial"/>
          <w:sz w:val="22"/>
          <w:szCs w:val="22"/>
        </w:rPr>
      </w:pPr>
      <w:r w:rsidRPr="0084055C">
        <w:rPr>
          <w:rFonts w:ascii="Arial" w:hAnsi="Arial" w:cs="Arial"/>
          <w:sz w:val="22"/>
          <w:szCs w:val="22"/>
        </w:rPr>
        <w:t>V důsledku vývoje v posledních deseti letech se podíl kvalifikovaných dělníků v zemědělství a lesnictví snížil o polovinu a jejich zastoupení v zaměstnanecké skladbě Jihomoravského kraje (1,</w:t>
      </w:r>
      <w:r>
        <w:rPr>
          <w:rFonts w:ascii="Arial" w:hAnsi="Arial" w:cs="Arial"/>
          <w:sz w:val="22"/>
          <w:szCs w:val="22"/>
        </w:rPr>
        <w:t>2</w:t>
      </w:r>
      <w:r w:rsidRPr="0084055C">
        <w:rPr>
          <w:rFonts w:ascii="Arial" w:hAnsi="Arial" w:cs="Arial"/>
          <w:sz w:val="22"/>
          <w:szCs w:val="22"/>
        </w:rPr>
        <w:t xml:space="preserve"> %) je dnes již dokonce nižší, než je tomu v ČR jako celku (1,</w:t>
      </w:r>
      <w:r>
        <w:rPr>
          <w:rFonts w:ascii="Arial" w:hAnsi="Arial" w:cs="Arial"/>
          <w:sz w:val="22"/>
          <w:szCs w:val="22"/>
        </w:rPr>
        <w:t>3</w:t>
      </w:r>
      <w:r w:rsidRPr="0084055C">
        <w:rPr>
          <w:rFonts w:ascii="Arial" w:hAnsi="Arial" w:cs="Arial"/>
          <w:sz w:val="22"/>
          <w:szCs w:val="22"/>
        </w:rPr>
        <w:t xml:space="preserve"> %). </w:t>
      </w:r>
    </w:p>
    <w:p w:rsidR="002625D2" w:rsidRPr="0084055C" w:rsidRDefault="002625D2" w:rsidP="002625D2">
      <w:pPr>
        <w:jc w:val="both"/>
        <w:rPr>
          <w:rFonts w:ascii="Arial" w:hAnsi="Arial" w:cs="Arial"/>
          <w:sz w:val="22"/>
          <w:szCs w:val="22"/>
        </w:rPr>
      </w:pPr>
    </w:p>
    <w:p w:rsidR="00087E45" w:rsidRDefault="002625D2" w:rsidP="002625D2">
      <w:pPr>
        <w:jc w:val="both"/>
        <w:rPr>
          <w:rFonts w:ascii="Arial" w:hAnsi="Arial" w:cs="Arial"/>
          <w:sz w:val="22"/>
          <w:szCs w:val="22"/>
        </w:rPr>
      </w:pPr>
      <w:r w:rsidRPr="0084055C">
        <w:rPr>
          <w:rFonts w:ascii="Arial" w:hAnsi="Arial" w:cs="Arial"/>
          <w:sz w:val="22"/>
          <w:szCs w:val="22"/>
        </w:rPr>
        <w:t>Podíl pracovníků nekvalifikovaných (třída CZ ISCO  9) se v kraji v devadesátých letech prudce snižoval, po roce 2000 ale už spíše jen stagnuje na velmi nízké úrovni. V souboru mužů přitom počet nekvalifikovaných v posledních deseti letech ubývá pomaleji, než v souboru žen. Na celokrajském úhrnu zaměstnanosti se dnes tato nejnižší kvalifikační skupina podílí pouze 5,5 %, v ČR (5,</w:t>
      </w:r>
      <w:r>
        <w:rPr>
          <w:rFonts w:ascii="Arial" w:hAnsi="Arial" w:cs="Arial"/>
          <w:sz w:val="22"/>
          <w:szCs w:val="22"/>
        </w:rPr>
        <w:t>6</w:t>
      </w:r>
      <w:r w:rsidRPr="0084055C">
        <w:rPr>
          <w:rFonts w:ascii="Arial" w:hAnsi="Arial" w:cs="Arial"/>
          <w:sz w:val="22"/>
          <w:szCs w:val="22"/>
        </w:rPr>
        <w:t xml:space="preserve"> %).</w:t>
      </w:r>
    </w:p>
    <w:p w:rsidR="00087E45" w:rsidRDefault="00087E45">
      <w:pPr>
        <w:spacing w:after="200"/>
        <w:rPr>
          <w:rFonts w:ascii="Arial" w:hAnsi="Arial" w:cs="Arial"/>
          <w:sz w:val="22"/>
          <w:szCs w:val="22"/>
        </w:rPr>
      </w:pPr>
      <w:r>
        <w:rPr>
          <w:rFonts w:ascii="Arial" w:hAnsi="Arial" w:cs="Arial"/>
          <w:sz w:val="22"/>
          <w:szCs w:val="22"/>
        </w:rPr>
        <w:br w:type="page"/>
      </w:r>
    </w:p>
    <w:p w:rsidR="00DF03E3" w:rsidRPr="00DF03E3" w:rsidRDefault="00DF03E3" w:rsidP="00DF03E3">
      <w:pPr>
        <w:pStyle w:val="Nadpis2"/>
      </w:pPr>
      <w:bookmarkStart w:id="9" w:name="_Toc411611468"/>
      <w:bookmarkStart w:id="10" w:name="_Toc381372881"/>
      <w:r w:rsidRPr="00DF03E3">
        <w:lastRenderedPageBreak/>
        <w:t>1.2 Zaměstnanost u nejvýznamnějších zaměstnavatelů a u zaměstnavatelů, kteří zaznamenali nejvýraznější personální pohyb</w:t>
      </w:r>
      <w:bookmarkEnd w:id="9"/>
      <w:r w:rsidRPr="00DF03E3">
        <w:t xml:space="preserve"> </w:t>
      </w:r>
    </w:p>
    <w:p w:rsidR="00DF03E3" w:rsidRPr="0054186F" w:rsidRDefault="00DF03E3" w:rsidP="00DF03E3">
      <w:pPr>
        <w:pStyle w:val="Zprva2"/>
        <w:rPr>
          <w:color w:val="auto"/>
          <w:sz w:val="24"/>
          <w:szCs w:val="24"/>
        </w:rPr>
      </w:pPr>
    </w:p>
    <w:p w:rsidR="00DF03E3" w:rsidRDefault="00DF03E3" w:rsidP="00DF03E3">
      <w:pPr>
        <w:ind w:right="113"/>
        <w:rPr>
          <w:rFonts w:cs="Arial"/>
          <w:b/>
          <w:bCs/>
          <w:szCs w:val="22"/>
        </w:rPr>
      </w:pPr>
    </w:p>
    <w:p w:rsidR="00DF03E3" w:rsidRPr="0073775E" w:rsidRDefault="00DF03E3" w:rsidP="00DF03E3">
      <w:pPr>
        <w:ind w:right="113"/>
        <w:rPr>
          <w:rFonts w:ascii="Arial" w:hAnsi="Arial" w:cs="Arial"/>
          <w:b/>
          <w:bCs/>
        </w:rPr>
      </w:pPr>
      <w:r w:rsidRPr="0073775E">
        <w:rPr>
          <w:rFonts w:ascii="Arial" w:hAnsi="Arial" w:cs="Arial"/>
          <w:b/>
          <w:bCs/>
        </w:rPr>
        <w:t>OKRES BLANSKO</w:t>
      </w:r>
    </w:p>
    <w:tbl>
      <w:tblPr>
        <w:tblW w:w="9072"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rPr>
          <w:trHeight w:val="248"/>
          <w:jc w:val="center"/>
        </w:trPr>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color w:val="000000"/>
                <w:sz w:val="20"/>
                <w:szCs w:val="20"/>
                <w:lang w:eastAsia="en-US"/>
              </w:rPr>
            </w:pPr>
            <w:r w:rsidRPr="00CF1048">
              <w:rPr>
                <w:rFonts w:asciiTheme="minorHAnsi" w:hAnsiTheme="minorHAnsi"/>
                <w:b/>
                <w:color w:val="000000"/>
                <w:sz w:val="20"/>
                <w:szCs w:val="20"/>
                <w:lang w:eastAsia="en-US"/>
              </w:rPr>
              <w:t>MINERVA BOSKOVICE, a.s.</w:t>
            </w:r>
          </w:p>
        </w:tc>
      </w:tr>
      <w:tr w:rsidR="00DF03E3" w:rsidRPr="0073775E" w:rsidTr="00C112A9">
        <w:trPr>
          <w:trHeight w:val="237"/>
          <w:jc w:val="center"/>
        </w:trPr>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Sokolská 60, Boskovice</w:t>
            </w:r>
          </w:p>
        </w:tc>
      </w:tr>
      <w:tr w:rsidR="00DF03E3" w:rsidRPr="0073775E" w:rsidTr="00C112A9">
        <w:trPr>
          <w:trHeight w:val="248"/>
          <w:jc w:val="center"/>
        </w:trPr>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výroba průmyslových šicích strojů</w:t>
            </w:r>
          </w:p>
        </w:tc>
      </w:tr>
      <w:tr w:rsidR="00DF03E3" w:rsidRPr="0073775E" w:rsidTr="00C112A9">
        <w:trPr>
          <w:trHeight w:val="237"/>
          <w:jc w:val="center"/>
        </w:trPr>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počet zaměstnanců v okrese Blansko: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color w:val="000000"/>
                <w:sz w:val="20"/>
                <w:szCs w:val="20"/>
                <w:lang w:eastAsia="en-US"/>
              </w:rPr>
            </w:pPr>
          </w:p>
        </w:tc>
      </w:tr>
      <w:tr w:rsidR="00DF03E3" w:rsidRPr="0073775E" w:rsidTr="00C112A9">
        <w:trPr>
          <w:trHeight w:val="259"/>
          <w:jc w:val="center"/>
        </w:trPr>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w:t>
            </w:r>
            <w:r>
              <w:rPr>
                <w:rFonts w:asciiTheme="minorHAnsi" w:hAnsiTheme="minorHAnsi"/>
                <w:color w:val="000000"/>
                <w:sz w:val="20"/>
                <w:szCs w:val="20"/>
                <w:lang w:eastAsia="en-US"/>
              </w:rPr>
              <w:t>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t>588</w:t>
            </w:r>
          </w:p>
        </w:tc>
      </w:tr>
      <w:tr w:rsidR="00DF03E3" w:rsidRPr="0073775E" w:rsidTr="00C112A9">
        <w:trPr>
          <w:trHeight w:val="248"/>
          <w:jc w:val="center"/>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201</w:t>
            </w:r>
            <w:r>
              <w:rPr>
                <w:rFonts w:asciiTheme="minorHAnsi" w:hAnsiTheme="minorHAnsi"/>
                <w:color w:val="000000"/>
                <w:sz w:val="20"/>
                <w:szCs w:val="20"/>
                <w:lang w:eastAsia="en-US"/>
              </w:rPr>
              <w:t>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t>616</w:t>
            </w:r>
          </w:p>
        </w:tc>
      </w:tr>
      <w:tr w:rsidR="00DF03E3" w:rsidRPr="0073775E" w:rsidTr="00C112A9">
        <w:trPr>
          <w:trHeight w:val="237"/>
          <w:jc w:val="center"/>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Německo</w:t>
            </w:r>
          </w:p>
        </w:tc>
      </w:tr>
      <w:tr w:rsidR="00DF03E3" w:rsidRPr="0073775E" w:rsidTr="00C112A9">
        <w:trPr>
          <w:trHeight w:val="2278"/>
          <w:jc w:val="center"/>
        </w:trPr>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jc w:val="both"/>
              <w:rPr>
                <w:rFonts w:asciiTheme="minorHAnsi" w:hAnsiTheme="minorHAnsi"/>
                <w:color w:val="000000"/>
                <w:sz w:val="20"/>
                <w:szCs w:val="20"/>
                <w:lang w:eastAsia="en-US"/>
              </w:rPr>
            </w:pPr>
            <w:r w:rsidRPr="0073775E">
              <w:rPr>
                <w:rFonts w:asciiTheme="minorHAnsi" w:hAnsiTheme="minorHAnsi"/>
                <w:color w:val="000000"/>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color w:val="000000"/>
                <w:sz w:val="20"/>
                <w:szCs w:val="20"/>
                <w:lang w:eastAsia="en-US"/>
              </w:rPr>
            </w:pPr>
            <w:r w:rsidRPr="0073775E">
              <w:rPr>
                <w:rFonts w:asciiTheme="minorHAnsi" w:hAnsiTheme="minorHAnsi"/>
                <w:color w:val="000000"/>
                <w:sz w:val="20"/>
                <w:szCs w:val="20"/>
                <w:lang w:eastAsia="en-US"/>
              </w:rPr>
              <w:t>Stabilizace a postupný návrat stavu pracovníků na úroveň před nástupem hospodářské recese. V roce 2012 došlo vlivem celosvětově zhoršené ekonomické situace k mírnému poklesu zaměstnanosti</w:t>
            </w:r>
            <w:r>
              <w:rPr>
                <w:rFonts w:asciiTheme="minorHAnsi" w:hAnsiTheme="minorHAnsi"/>
                <w:color w:val="000000"/>
                <w:sz w:val="20"/>
                <w:szCs w:val="20"/>
                <w:lang w:eastAsia="en-US"/>
              </w:rPr>
              <w:t>. P</w:t>
            </w:r>
            <w:r w:rsidRPr="0073775E">
              <w:rPr>
                <w:rFonts w:asciiTheme="minorHAnsi" w:hAnsiTheme="minorHAnsi"/>
                <w:color w:val="000000"/>
                <w:sz w:val="20"/>
                <w:szCs w:val="20"/>
                <w:lang w:eastAsia="en-US"/>
              </w:rPr>
              <w:t xml:space="preserve">řes mateřský podnik Dürkopp Adler se podařilo získat nové zakázky na dodávky průmyslových šicích strojů do Indie, Číny a do zemí EU. </w:t>
            </w:r>
            <w:r>
              <w:rPr>
                <w:rFonts w:asciiTheme="minorHAnsi" w:hAnsiTheme="minorHAnsi"/>
                <w:color w:val="000000"/>
                <w:sz w:val="20"/>
                <w:szCs w:val="20"/>
                <w:lang w:eastAsia="en-US"/>
              </w:rPr>
              <w:t>V roce 2014 došlo k navýšení celkového počtu zaměstnanců.</w:t>
            </w:r>
          </w:p>
        </w:tc>
      </w:tr>
    </w:tbl>
    <w:p w:rsidR="00DF03E3" w:rsidRPr="0073775E" w:rsidRDefault="00DF03E3" w:rsidP="00DF03E3">
      <w:pPr>
        <w:ind w:right="113"/>
        <w:rPr>
          <w:rFonts w:asciiTheme="minorHAnsi" w:hAnsiTheme="minorHAnsi" w:cs="Arial"/>
          <w:b/>
          <w:bCs/>
          <w:color w:val="00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color w:val="000000"/>
                <w:sz w:val="20"/>
                <w:szCs w:val="20"/>
                <w:lang w:eastAsia="en-US"/>
              </w:rPr>
            </w:pPr>
            <w:r w:rsidRPr="00CF1048">
              <w:rPr>
                <w:rFonts w:asciiTheme="minorHAnsi" w:hAnsiTheme="minorHAnsi"/>
                <w:b/>
                <w:color w:val="000000"/>
                <w:sz w:val="20"/>
                <w:szCs w:val="20"/>
                <w:lang w:eastAsia="en-US"/>
              </w:rPr>
              <w:t>ČKD Blansko Holding, a.s.</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Gellhornova 1, Blansko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výroba vodních turbín a  kompletního hydrotechnické zařízení vodních elektráren dle požadavků zákazníka, opracovávání svařenců podle specifických potřeb zákazníka, strojírenská výroba</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počet zaměstnanců v okrese Blansko: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color w:val="000000"/>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w:t>
            </w:r>
            <w:r>
              <w:rPr>
                <w:rFonts w:asciiTheme="minorHAnsi" w:hAnsiTheme="minorHAnsi"/>
                <w:color w:val="000000"/>
                <w:sz w:val="20"/>
                <w:szCs w:val="20"/>
                <w:lang w:eastAsia="en-US"/>
              </w:rPr>
              <w:t>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t>465</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w:t>
            </w:r>
            <w:r>
              <w:rPr>
                <w:rFonts w:asciiTheme="minorHAnsi" w:hAnsiTheme="minorHAnsi"/>
                <w:color w:val="000000"/>
                <w:sz w:val="20"/>
                <w:szCs w:val="20"/>
                <w:lang w:eastAsia="en-US"/>
              </w:rPr>
              <w:t>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t>453</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Rusko</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jc w:val="both"/>
              <w:rPr>
                <w:rFonts w:asciiTheme="minorHAnsi" w:hAnsiTheme="minorHAnsi"/>
                <w:color w:val="000000"/>
                <w:sz w:val="20"/>
                <w:szCs w:val="20"/>
                <w:lang w:eastAsia="en-US"/>
              </w:rPr>
            </w:pPr>
            <w:r w:rsidRPr="0073775E">
              <w:rPr>
                <w:rFonts w:asciiTheme="minorHAnsi" w:hAnsiTheme="minorHAnsi"/>
                <w:color w:val="000000"/>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color w:val="000000"/>
                <w:sz w:val="20"/>
                <w:szCs w:val="20"/>
                <w:lang w:eastAsia="en-US"/>
              </w:rPr>
            </w:pPr>
            <w:r w:rsidRPr="0073775E">
              <w:rPr>
                <w:rFonts w:asciiTheme="minorHAnsi" w:hAnsiTheme="minorHAnsi"/>
                <w:color w:val="000000"/>
                <w:sz w:val="20"/>
                <w:szCs w:val="20"/>
                <w:lang w:eastAsia="en-US"/>
              </w:rPr>
              <w:t>K 1. 1. 2010 byli do firmy delimitování zaměstnanci fa. ČKD Blansko Strojírny, a.s</w:t>
            </w:r>
            <w:r>
              <w:rPr>
                <w:rFonts w:asciiTheme="minorHAnsi" w:hAnsiTheme="minorHAnsi"/>
                <w:color w:val="000000"/>
                <w:sz w:val="20"/>
                <w:szCs w:val="20"/>
                <w:lang w:eastAsia="en-US"/>
              </w:rPr>
              <w:t xml:space="preserve">. </w:t>
            </w:r>
            <w:r w:rsidRPr="0073775E">
              <w:rPr>
                <w:rFonts w:asciiTheme="minorHAnsi" w:hAnsiTheme="minorHAnsi"/>
                <w:bCs/>
                <w:color w:val="000000"/>
                <w:sz w:val="20"/>
                <w:szCs w:val="20"/>
                <w:lang w:eastAsia="en-US"/>
              </w:rPr>
              <w:t>Společnost přijímá kvalifikované pracovníky se zaměřením na strojírenskou výrobu. Signalizují nedostatek kvalifikovaných dělnických profesí.</w:t>
            </w:r>
          </w:p>
        </w:tc>
      </w:tr>
    </w:tbl>
    <w:p w:rsidR="00DF03E3" w:rsidRPr="0073775E" w:rsidRDefault="00DF03E3" w:rsidP="00DF03E3">
      <w:pPr>
        <w:ind w:right="113"/>
        <w:rPr>
          <w:rFonts w:asciiTheme="minorHAnsi" w:hAnsiTheme="minorHAnsi" w:cs="Arial"/>
          <w:b/>
          <w:bCs/>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rPr>
          <w:trHeight w:val="248"/>
        </w:trPr>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color w:val="000000"/>
                <w:sz w:val="20"/>
                <w:szCs w:val="20"/>
                <w:lang w:eastAsia="en-US"/>
              </w:rPr>
            </w:pPr>
            <w:r w:rsidRPr="00CF1048">
              <w:rPr>
                <w:rFonts w:asciiTheme="minorHAnsi" w:hAnsiTheme="minorHAnsi"/>
                <w:b/>
                <w:color w:val="000000"/>
                <w:sz w:val="20"/>
                <w:szCs w:val="20"/>
                <w:lang w:eastAsia="en-US"/>
              </w:rPr>
              <w:t>Novibra Boskovice s.r.o.</w:t>
            </w:r>
          </w:p>
        </w:tc>
      </w:tr>
      <w:tr w:rsidR="00DF03E3" w:rsidRPr="0073775E" w:rsidTr="00C112A9">
        <w:trPr>
          <w:trHeight w:val="237"/>
        </w:trPr>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Na Kamenici 2188, 680 01 Boskovice</w:t>
            </w:r>
          </w:p>
        </w:tc>
      </w:tr>
      <w:tr w:rsidR="00DF03E3" w:rsidRPr="0073775E" w:rsidTr="00C112A9">
        <w:trPr>
          <w:trHeight w:val="248"/>
        </w:trPr>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sz w:val="20"/>
                <w:szCs w:val="20"/>
              </w:rPr>
              <w:t>Výroba strojů na výrobu textilu, oděvních výrobků a výrobků z usní, obrábění</w:t>
            </w:r>
          </w:p>
        </w:tc>
      </w:tr>
      <w:tr w:rsidR="00DF03E3" w:rsidRPr="0073775E" w:rsidTr="00C112A9">
        <w:trPr>
          <w:trHeight w:val="237"/>
        </w:trPr>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počet zaměstnanců v okrese Blansko: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color w:val="000000"/>
                <w:sz w:val="20"/>
                <w:szCs w:val="20"/>
                <w:lang w:eastAsia="en-US"/>
              </w:rPr>
            </w:pPr>
          </w:p>
        </w:tc>
      </w:tr>
      <w:tr w:rsidR="00DF03E3" w:rsidRPr="0073775E" w:rsidTr="00C112A9">
        <w:trPr>
          <w:trHeight w:val="259"/>
        </w:trPr>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w:t>
            </w:r>
            <w:r>
              <w:rPr>
                <w:rFonts w:asciiTheme="minorHAnsi" w:hAnsiTheme="minorHAnsi"/>
                <w:color w:val="000000"/>
                <w:sz w:val="20"/>
                <w:szCs w:val="20"/>
                <w:lang w:eastAsia="en-US"/>
              </w:rPr>
              <w:t>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t>482</w:t>
            </w:r>
          </w:p>
        </w:tc>
      </w:tr>
      <w:tr w:rsidR="00DF03E3" w:rsidRPr="0073775E" w:rsidTr="00C112A9">
        <w:trPr>
          <w:trHeight w:val="248"/>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lastRenderedPageBreak/>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t>532</w:t>
            </w:r>
          </w:p>
        </w:tc>
      </w:tr>
      <w:tr w:rsidR="00DF03E3" w:rsidRPr="0073775E" w:rsidTr="00C112A9">
        <w:trPr>
          <w:trHeight w:val="237"/>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Švýcarsko</w:t>
            </w:r>
          </w:p>
        </w:tc>
      </w:tr>
      <w:tr w:rsidR="00DF03E3" w:rsidRPr="0073775E" w:rsidTr="00C112A9">
        <w:trPr>
          <w:trHeight w:val="2278"/>
        </w:trPr>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color w:val="000000"/>
                <w:sz w:val="20"/>
                <w:szCs w:val="20"/>
                <w:lang w:eastAsia="en-US"/>
              </w:rPr>
            </w:pPr>
            <w:r w:rsidRPr="0073775E">
              <w:rPr>
                <w:rFonts w:asciiTheme="minorHAnsi" w:hAnsiTheme="minorHAnsi"/>
                <w:color w:val="000000"/>
                <w:sz w:val="20"/>
                <w:szCs w:val="20"/>
                <w:lang w:eastAsia="en-US"/>
              </w:rPr>
              <w:t>Většinovým vlastníkem je švýcarská firma RIETER Holding AG. Výrobní náplní je především výroba rotačních součástí pro spřádací a tkací stroje. Po obtížích, které postihly zaměstnavatele ve vrcholném  období hospodářské recese, došlo ke stabilizaci firmy a v roce 2013 k výraznému růstu počtu zaměstnanců u zaměstnavatele. Tento růst pokrač</w:t>
            </w:r>
            <w:r>
              <w:rPr>
                <w:rFonts w:asciiTheme="minorHAnsi" w:hAnsiTheme="minorHAnsi"/>
                <w:color w:val="000000"/>
                <w:sz w:val="20"/>
                <w:szCs w:val="20"/>
                <w:lang w:eastAsia="en-US"/>
              </w:rPr>
              <w:t>oval i v r.</w:t>
            </w:r>
            <w:r w:rsidRPr="0073775E">
              <w:rPr>
                <w:rFonts w:asciiTheme="minorHAnsi" w:hAnsiTheme="minorHAnsi"/>
                <w:color w:val="000000"/>
                <w:sz w:val="20"/>
                <w:szCs w:val="20"/>
                <w:lang w:eastAsia="en-US"/>
              </w:rPr>
              <w:t xml:space="preserve"> 2014. Přijímal většinou kvalifikované pracovníky se zaměřením na strojírenství.</w:t>
            </w:r>
          </w:p>
        </w:tc>
      </w:tr>
    </w:tbl>
    <w:p w:rsidR="00DF03E3" w:rsidRPr="0073775E" w:rsidRDefault="00DF03E3" w:rsidP="00DF03E3">
      <w:pPr>
        <w:ind w:right="113"/>
        <w:rPr>
          <w:rFonts w:asciiTheme="minorHAnsi" w:hAnsiTheme="minorHAnsi" w:cs="Arial"/>
          <w:b/>
          <w:bCs/>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rPr>
          <w:trHeight w:val="248"/>
        </w:trPr>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color w:val="000000"/>
                <w:sz w:val="20"/>
                <w:szCs w:val="20"/>
                <w:lang w:eastAsia="en-US"/>
              </w:rPr>
            </w:pPr>
            <w:r w:rsidRPr="00CF1048">
              <w:rPr>
                <w:rFonts w:asciiTheme="minorHAnsi" w:hAnsiTheme="minorHAnsi"/>
                <w:b/>
                <w:color w:val="000000"/>
                <w:sz w:val="20"/>
                <w:szCs w:val="20"/>
              </w:rPr>
              <w:t xml:space="preserve">Tyco Fire &amp; Integrated Solutions s.r.o. </w:t>
            </w:r>
          </w:p>
        </w:tc>
      </w:tr>
      <w:tr w:rsidR="00DF03E3" w:rsidRPr="0073775E" w:rsidTr="00C112A9">
        <w:trPr>
          <w:trHeight w:val="237"/>
        </w:trPr>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Průmyslová 1306/7, 102 00 Praha 10, pracoviště Osvobození 363, Ráječko, 679 02 Rájec - Jestřebí</w:t>
            </w:r>
          </w:p>
        </w:tc>
      </w:tr>
      <w:tr w:rsidR="00DF03E3" w:rsidRPr="0073775E" w:rsidTr="00C112A9">
        <w:trPr>
          <w:trHeight w:val="248"/>
        </w:trPr>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sz w:val="20"/>
                <w:szCs w:val="20"/>
              </w:rPr>
              <w:t>Výroba elektrických rozvodných a kontrolních zařízení</w:t>
            </w:r>
          </w:p>
        </w:tc>
      </w:tr>
      <w:tr w:rsidR="00DF03E3" w:rsidRPr="0073775E" w:rsidTr="00C112A9">
        <w:trPr>
          <w:trHeight w:val="237"/>
        </w:trPr>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počet zaměstnanců v okrese Blansko: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color w:val="000000"/>
                <w:sz w:val="20"/>
                <w:szCs w:val="20"/>
                <w:lang w:eastAsia="en-US"/>
              </w:rPr>
            </w:pPr>
          </w:p>
        </w:tc>
      </w:tr>
      <w:tr w:rsidR="00DF03E3" w:rsidRPr="0073775E" w:rsidTr="00C112A9">
        <w:trPr>
          <w:trHeight w:val="259"/>
        </w:trPr>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w:t>
            </w:r>
            <w:r>
              <w:rPr>
                <w:rFonts w:asciiTheme="minorHAnsi" w:hAnsiTheme="minorHAnsi"/>
                <w:color w:val="000000"/>
                <w:sz w:val="20"/>
                <w:szCs w:val="20"/>
                <w:lang w:eastAsia="en-US"/>
              </w:rPr>
              <w:t>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t>427</w:t>
            </w:r>
          </w:p>
        </w:tc>
      </w:tr>
      <w:tr w:rsidR="00DF03E3" w:rsidRPr="0073775E" w:rsidTr="00C112A9">
        <w:trPr>
          <w:trHeight w:val="248"/>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w:t>
            </w:r>
            <w:r>
              <w:rPr>
                <w:rFonts w:asciiTheme="minorHAnsi" w:hAnsiTheme="minorHAnsi"/>
                <w:color w:val="000000"/>
                <w:sz w:val="20"/>
                <w:szCs w:val="20"/>
                <w:lang w:eastAsia="en-US"/>
              </w:rPr>
              <w:t>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4</w:t>
            </w:r>
            <w:r>
              <w:rPr>
                <w:rFonts w:asciiTheme="minorHAnsi" w:hAnsiTheme="minorHAnsi"/>
                <w:color w:val="000000"/>
                <w:sz w:val="20"/>
                <w:szCs w:val="20"/>
                <w:lang w:eastAsia="en-US"/>
              </w:rPr>
              <w:t>02</w:t>
            </w:r>
          </w:p>
        </w:tc>
      </w:tr>
      <w:tr w:rsidR="00DF03E3" w:rsidRPr="0073775E" w:rsidTr="00C112A9">
        <w:trPr>
          <w:trHeight w:val="237"/>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Lucemburské velkovévodství</w:t>
            </w:r>
          </w:p>
        </w:tc>
      </w:tr>
      <w:tr w:rsidR="00DF03E3" w:rsidRPr="0073775E" w:rsidTr="00C112A9">
        <w:trPr>
          <w:trHeight w:val="1648"/>
        </w:trPr>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spacing w:before="100" w:beforeAutospacing="1" w:after="100" w:afterAutospacing="1" w:line="240" w:lineRule="auto"/>
              <w:jc w:val="both"/>
              <w:rPr>
                <w:rFonts w:asciiTheme="minorHAnsi" w:hAnsiTheme="minorHAnsi"/>
                <w:color w:val="000000"/>
                <w:sz w:val="20"/>
                <w:szCs w:val="20"/>
                <w:lang w:eastAsia="en-US"/>
              </w:rPr>
            </w:pPr>
            <w:r w:rsidRPr="00ED2A7A">
              <w:rPr>
                <w:rFonts w:asciiTheme="minorHAnsi" w:hAnsiTheme="minorHAnsi" w:cs="Arial"/>
                <w:sz w:val="20"/>
                <w:szCs w:val="20"/>
              </w:rPr>
              <w:t xml:space="preserve">Společnost </w:t>
            </w:r>
            <w:r w:rsidRPr="00ED2A7A">
              <w:rPr>
                <w:rFonts w:asciiTheme="minorHAnsi" w:hAnsiTheme="minorHAnsi" w:cs="Arial"/>
                <w:bCs/>
                <w:sz w:val="20"/>
                <w:szCs w:val="20"/>
              </w:rPr>
              <w:t>Tyco Fire &amp; Integrated Solutions s.r.o.</w:t>
            </w:r>
            <w:r w:rsidRPr="00ED2A7A">
              <w:rPr>
                <w:rFonts w:asciiTheme="minorHAnsi" w:hAnsiTheme="minorHAnsi" w:cs="Arial"/>
                <w:sz w:val="20"/>
                <w:szCs w:val="20"/>
              </w:rPr>
              <w:t xml:space="preserve"> projektuje, dodává a instaluje protipožární, přístupové a kamerové systémy, stabilní hasicí zařízení, systémy požární detekce a ochrany zboží</w:t>
            </w:r>
            <w:r>
              <w:rPr>
                <w:rFonts w:asciiTheme="minorHAnsi" w:hAnsiTheme="minorHAnsi" w:cs="Arial"/>
                <w:sz w:val="20"/>
                <w:szCs w:val="20"/>
              </w:rPr>
              <w:t xml:space="preserve">, </w:t>
            </w:r>
            <w:r w:rsidRPr="00ED2A7A">
              <w:rPr>
                <w:rFonts w:asciiTheme="minorHAnsi" w:hAnsiTheme="minorHAnsi" w:cs="Tahoma"/>
                <w:sz w:val="20"/>
                <w:szCs w:val="20"/>
              </w:rPr>
              <w:t>medicinská komunikační a signalizační zařízení</w:t>
            </w:r>
            <w:r w:rsidRPr="00ED2A7A">
              <w:rPr>
                <w:rFonts w:asciiTheme="minorHAnsi" w:hAnsiTheme="minorHAnsi" w:cs="Arial"/>
                <w:sz w:val="20"/>
                <w:szCs w:val="20"/>
              </w:rPr>
              <w:t xml:space="preserve"> a další bezpečnostní a integrované systémy. Společnost je součástí koncernu Tyco International Ltd. </w:t>
            </w:r>
          </w:p>
        </w:tc>
      </w:tr>
    </w:tbl>
    <w:p w:rsidR="00DF03E3" w:rsidRPr="0073775E" w:rsidRDefault="00DF03E3" w:rsidP="00DF03E3">
      <w:pPr>
        <w:rPr>
          <w:rFonts w:asciiTheme="minorHAnsi" w:hAnsi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rPr>
          <w:trHeight w:val="248"/>
        </w:trPr>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color w:val="000000"/>
                <w:sz w:val="20"/>
                <w:szCs w:val="20"/>
                <w:lang w:eastAsia="en-US"/>
              </w:rPr>
            </w:pPr>
            <w:r w:rsidRPr="00CF1048">
              <w:rPr>
                <w:rFonts w:asciiTheme="minorHAnsi" w:hAnsiTheme="minorHAnsi"/>
                <w:b/>
                <w:color w:val="000000"/>
                <w:sz w:val="20"/>
                <w:szCs w:val="20"/>
                <w:lang w:eastAsia="en-US"/>
              </w:rPr>
              <w:t>Nemocnice Boskovice s.r.o.</w:t>
            </w:r>
          </w:p>
        </w:tc>
      </w:tr>
      <w:tr w:rsidR="00DF03E3" w:rsidRPr="0073775E" w:rsidTr="00C112A9">
        <w:trPr>
          <w:trHeight w:val="237"/>
        </w:trPr>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Otakara Kubína 179, 680 21Boskovice</w:t>
            </w:r>
          </w:p>
        </w:tc>
      </w:tr>
      <w:tr w:rsidR="00DF03E3" w:rsidRPr="0073775E" w:rsidTr="00C112A9">
        <w:trPr>
          <w:trHeight w:val="248"/>
        </w:trPr>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sz w:val="20"/>
                <w:szCs w:val="20"/>
              </w:rPr>
              <w:t>Provoz nestátního zdravotnictví</w:t>
            </w:r>
          </w:p>
        </w:tc>
      </w:tr>
      <w:tr w:rsidR="00DF03E3" w:rsidRPr="0073775E" w:rsidTr="00C112A9">
        <w:trPr>
          <w:trHeight w:val="237"/>
        </w:trPr>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počet zaměstnanců v okrese Blansko: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color w:val="000000"/>
                <w:sz w:val="20"/>
                <w:szCs w:val="20"/>
                <w:lang w:eastAsia="en-US"/>
              </w:rPr>
            </w:pPr>
          </w:p>
        </w:tc>
      </w:tr>
      <w:tr w:rsidR="00DF03E3" w:rsidRPr="0073775E" w:rsidTr="00C112A9">
        <w:trPr>
          <w:trHeight w:val="259"/>
        </w:trPr>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w:t>
            </w:r>
            <w:r>
              <w:rPr>
                <w:rFonts w:asciiTheme="minorHAnsi" w:hAnsiTheme="minorHAnsi"/>
                <w:color w:val="000000"/>
                <w:sz w:val="20"/>
                <w:szCs w:val="20"/>
                <w:lang w:eastAsia="en-US"/>
              </w:rPr>
              <w:t>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5</w:t>
            </w:r>
            <w:r>
              <w:rPr>
                <w:rFonts w:asciiTheme="minorHAnsi" w:hAnsiTheme="minorHAnsi"/>
                <w:color w:val="000000"/>
                <w:sz w:val="20"/>
                <w:szCs w:val="20"/>
                <w:lang w:eastAsia="en-US"/>
              </w:rPr>
              <w:t>20</w:t>
            </w:r>
          </w:p>
        </w:tc>
      </w:tr>
      <w:tr w:rsidR="00DF03E3" w:rsidRPr="0073775E" w:rsidTr="00C112A9">
        <w:trPr>
          <w:trHeight w:val="248"/>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201</w:t>
            </w:r>
            <w:r>
              <w:rPr>
                <w:rFonts w:asciiTheme="minorHAnsi" w:hAnsiTheme="minorHAnsi"/>
                <w:color w:val="000000"/>
                <w:sz w:val="20"/>
                <w:szCs w:val="20"/>
                <w:lang w:eastAsia="en-US"/>
              </w:rPr>
              <w:t>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t>509</w:t>
            </w:r>
          </w:p>
        </w:tc>
      </w:tr>
      <w:tr w:rsidR="00DF03E3" w:rsidRPr="0073775E" w:rsidTr="00C112A9">
        <w:trPr>
          <w:trHeight w:val="237"/>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w:t>
            </w:r>
          </w:p>
        </w:tc>
      </w:tr>
      <w:tr w:rsidR="00DF03E3" w:rsidRPr="0073775E" w:rsidTr="00C112A9">
        <w:trPr>
          <w:trHeight w:val="535"/>
        </w:trPr>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EF78B5">
            <w:pPr>
              <w:autoSpaceDE w:val="0"/>
              <w:autoSpaceDN w:val="0"/>
              <w:adjustRightInd w:val="0"/>
              <w:spacing w:line="240" w:lineRule="auto"/>
              <w:jc w:val="both"/>
              <w:rPr>
                <w:rFonts w:asciiTheme="minorHAnsi" w:hAnsiTheme="minorHAnsi"/>
                <w:color w:val="000000"/>
                <w:sz w:val="20"/>
                <w:szCs w:val="20"/>
                <w:lang w:eastAsia="en-US"/>
              </w:rPr>
            </w:pPr>
            <w:r w:rsidRPr="00AD5E48">
              <w:rPr>
                <w:rFonts w:asciiTheme="minorHAnsi" w:hAnsiTheme="minorHAnsi" w:cs="Arial"/>
                <w:sz w:val="20"/>
                <w:szCs w:val="20"/>
              </w:rPr>
              <w:t xml:space="preserve">Provozovatelem nemocnice je Nemocnice Boskovice s. r. o. (od roku 2006). Jejím zřizovatelem je město </w:t>
            </w:r>
            <w:hyperlink r:id="rId11" w:history="1">
              <w:r w:rsidRPr="00AD5E48">
                <w:rPr>
                  <w:rStyle w:val="Hypertextovodkaz"/>
                  <w:rFonts w:asciiTheme="minorHAnsi" w:eastAsiaTheme="majorEastAsia" w:hAnsiTheme="minorHAnsi" w:cs="Arial"/>
                  <w:color w:val="auto"/>
                  <w:sz w:val="20"/>
                  <w:szCs w:val="20"/>
                  <w:u w:val="none"/>
                </w:rPr>
                <w:t>Boskovice</w:t>
              </w:r>
            </w:hyperlink>
            <w:r w:rsidRPr="00AD5E48">
              <w:rPr>
                <w:rFonts w:asciiTheme="minorHAnsi" w:hAnsiTheme="minorHAnsi" w:cs="Arial"/>
                <w:sz w:val="20"/>
                <w:szCs w:val="20"/>
              </w:rPr>
              <w:t xml:space="preserve">.   V r. 2013 byl kompletně obměněn vrcholný management nemocnice s cílem stabilizace </w:t>
            </w:r>
            <w:r w:rsidR="00EF78B5" w:rsidRPr="00AD5E48">
              <w:rPr>
                <w:rFonts w:asciiTheme="minorHAnsi" w:hAnsiTheme="minorHAnsi" w:cs="Arial"/>
                <w:sz w:val="20"/>
                <w:szCs w:val="20"/>
              </w:rPr>
              <w:t>nemocnice</w:t>
            </w:r>
            <w:r w:rsidR="00EF78B5">
              <w:rPr>
                <w:rFonts w:asciiTheme="minorHAnsi" w:hAnsiTheme="minorHAnsi" w:cs="Arial"/>
                <w:sz w:val="20"/>
                <w:szCs w:val="20"/>
              </w:rPr>
              <w:t xml:space="preserve"> v </w:t>
            </w:r>
            <w:r w:rsidR="00EF78B5" w:rsidRPr="00AD5E48">
              <w:rPr>
                <w:rFonts w:asciiTheme="minorHAnsi" w:hAnsiTheme="minorHAnsi" w:cs="Arial"/>
                <w:sz w:val="20"/>
                <w:szCs w:val="20"/>
              </w:rPr>
              <w:t>období</w:t>
            </w:r>
            <w:r w:rsidRPr="00AD5E48">
              <w:rPr>
                <w:rFonts w:asciiTheme="minorHAnsi" w:hAnsiTheme="minorHAnsi" w:cs="Arial"/>
                <w:sz w:val="20"/>
                <w:szCs w:val="20"/>
              </w:rPr>
              <w:t xml:space="preserve"> krize financování</w:t>
            </w:r>
            <w:r>
              <w:rPr>
                <w:rFonts w:asciiTheme="minorHAnsi" w:hAnsiTheme="minorHAnsi" w:cs="Arial"/>
                <w:sz w:val="20"/>
                <w:szCs w:val="20"/>
              </w:rPr>
              <w:t xml:space="preserve">. </w:t>
            </w:r>
            <w:r w:rsidRPr="00AD5E48">
              <w:rPr>
                <w:rFonts w:asciiTheme="minorHAnsi" w:eastAsiaTheme="minorHAnsi" w:hAnsiTheme="minorHAnsi" w:cs="TitilliumText22L-400wt"/>
                <w:sz w:val="20"/>
                <w:szCs w:val="20"/>
                <w:lang w:eastAsia="en-US"/>
              </w:rPr>
              <w:t xml:space="preserve">Na hospodaření Nemocnice Boskovice s.r.o. </w:t>
            </w:r>
            <w:r>
              <w:rPr>
                <w:rFonts w:asciiTheme="minorHAnsi" w:eastAsiaTheme="minorHAnsi" w:hAnsiTheme="minorHAnsi" w:cs="TitilliumText22L-400wt"/>
                <w:sz w:val="20"/>
                <w:szCs w:val="20"/>
                <w:lang w:eastAsia="en-US"/>
              </w:rPr>
              <w:t xml:space="preserve">se </w:t>
            </w:r>
            <w:r w:rsidRPr="00AD5E48">
              <w:rPr>
                <w:rFonts w:asciiTheme="minorHAnsi" w:eastAsiaTheme="minorHAnsi" w:hAnsiTheme="minorHAnsi" w:cs="TitilliumText22L-400wt"/>
                <w:sz w:val="20"/>
                <w:szCs w:val="20"/>
                <w:lang w:eastAsia="en-US"/>
              </w:rPr>
              <w:t>v roce 2013 významnou měrou podepsala úhradová vyhláška. Její nastavení znamenalo propad z kladného hospodaření do ztráty.</w:t>
            </w:r>
            <w:r w:rsidRPr="00AD5E48">
              <w:rPr>
                <w:rFonts w:asciiTheme="minorHAnsi" w:eastAsia="PFDinTextPro-ExtraBlack" w:hAnsiTheme="minorHAnsi" w:cs="PFDinTextPro-ExtraBlack"/>
                <w:sz w:val="20"/>
                <w:szCs w:val="20"/>
                <w:lang w:eastAsia="en-US"/>
              </w:rPr>
              <w:t xml:space="preserve"> </w:t>
            </w:r>
            <w:r w:rsidR="00EF78B5" w:rsidRPr="00AD5E48">
              <w:rPr>
                <w:rFonts w:asciiTheme="minorHAnsi" w:eastAsiaTheme="minorHAnsi" w:hAnsiTheme="minorHAnsi" w:cs="TitilliumText22L-400wt"/>
                <w:sz w:val="20"/>
                <w:szCs w:val="20"/>
                <w:lang w:eastAsia="en-US"/>
              </w:rPr>
              <w:t>Vnitro organizačními</w:t>
            </w:r>
            <w:r w:rsidRPr="00AD5E48">
              <w:rPr>
                <w:rFonts w:asciiTheme="minorHAnsi" w:eastAsiaTheme="minorHAnsi" w:hAnsiTheme="minorHAnsi" w:cs="TitilliumText22L-400wt"/>
                <w:sz w:val="20"/>
                <w:szCs w:val="20"/>
                <w:lang w:eastAsia="en-US"/>
              </w:rPr>
              <w:t xml:space="preserve"> změnami a úspornými opatřeními byl tento hospodářský propad</w:t>
            </w:r>
            <w:r>
              <w:rPr>
                <w:rFonts w:asciiTheme="minorHAnsi" w:eastAsiaTheme="minorHAnsi" w:hAnsiTheme="minorHAnsi" w:cs="TitilliumText22L-400wt"/>
                <w:sz w:val="20"/>
                <w:szCs w:val="20"/>
                <w:lang w:eastAsia="en-US"/>
              </w:rPr>
              <w:t xml:space="preserve"> </w:t>
            </w:r>
            <w:r w:rsidRPr="00AD5E48">
              <w:rPr>
                <w:rFonts w:asciiTheme="minorHAnsi" w:eastAsiaTheme="minorHAnsi" w:hAnsiTheme="minorHAnsi" w:cs="TitilliumText22L-400wt"/>
                <w:sz w:val="20"/>
                <w:szCs w:val="20"/>
                <w:lang w:eastAsia="en-US"/>
              </w:rPr>
              <w:t>zmírněn</w:t>
            </w:r>
            <w:r>
              <w:rPr>
                <w:rFonts w:asciiTheme="minorHAnsi" w:eastAsiaTheme="minorHAnsi" w:hAnsiTheme="minorHAnsi" w:cs="TitilliumText22L-400wt"/>
                <w:sz w:val="20"/>
                <w:szCs w:val="20"/>
                <w:lang w:eastAsia="en-US"/>
              </w:rPr>
              <w:t xml:space="preserve"> </w:t>
            </w:r>
            <w:r w:rsidRPr="00AD5E48">
              <w:rPr>
                <w:rFonts w:asciiTheme="minorHAnsi" w:eastAsiaTheme="minorHAnsi" w:hAnsiTheme="minorHAnsi" w:cs="TitilliumText22L-400wt"/>
                <w:sz w:val="20"/>
                <w:szCs w:val="20"/>
                <w:lang w:eastAsia="en-US"/>
              </w:rPr>
              <w:t>a ekonomická situace nemocnice stabilizována.</w:t>
            </w:r>
          </w:p>
        </w:tc>
      </w:tr>
    </w:tbl>
    <w:p w:rsidR="00DF03E3" w:rsidRPr="0073775E" w:rsidRDefault="00DF03E3" w:rsidP="00DF03E3">
      <w:pPr>
        <w:rPr>
          <w:rFonts w:asciiTheme="minorHAnsi" w:hAnsi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color w:val="000000"/>
                <w:sz w:val="20"/>
                <w:szCs w:val="20"/>
                <w:lang w:eastAsia="en-US"/>
              </w:rPr>
            </w:pPr>
            <w:r w:rsidRPr="00CF1048">
              <w:rPr>
                <w:rFonts w:asciiTheme="minorHAnsi" w:hAnsiTheme="minorHAnsi"/>
                <w:b/>
                <w:color w:val="000000"/>
                <w:sz w:val="20"/>
                <w:szCs w:val="20"/>
                <w:lang w:eastAsia="en-US"/>
              </w:rPr>
              <w:t>APOS – AUTO, s.r.o.</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Pražská 1602/7, 678 01 Blansko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sz w:val="20"/>
                <w:szCs w:val="20"/>
              </w:rPr>
              <w:t>Výroba ostatních dílů a příslušenství pro motorová vozidla</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počet zaměstnanců v okrese Blansko: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color w:val="000000"/>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w:t>
            </w:r>
            <w:r>
              <w:rPr>
                <w:rFonts w:asciiTheme="minorHAnsi" w:hAnsiTheme="minorHAnsi"/>
                <w:color w:val="000000"/>
                <w:sz w:val="20"/>
                <w:szCs w:val="20"/>
                <w:lang w:eastAsia="en-US"/>
              </w:rPr>
              <w:t>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t>343</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v roce 20</w:t>
            </w:r>
            <w:r>
              <w:rPr>
                <w:rFonts w:asciiTheme="minorHAnsi" w:hAnsiTheme="minorHAnsi"/>
                <w:color w:val="000000"/>
                <w:sz w:val="20"/>
                <w:szCs w:val="20"/>
                <w:lang w:eastAsia="en-US"/>
              </w:rPr>
              <w:t>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Pr>
                <w:rFonts w:asciiTheme="minorHAnsi" w:hAnsiTheme="minorHAnsi"/>
                <w:color w:val="000000"/>
                <w:sz w:val="20"/>
                <w:szCs w:val="20"/>
                <w:lang w:eastAsia="en-US"/>
              </w:rPr>
              <w:t>295</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color w:val="000000"/>
                <w:sz w:val="20"/>
                <w:szCs w:val="20"/>
                <w:lang w:eastAsia="en-US"/>
              </w:rPr>
            </w:pPr>
            <w:r w:rsidRPr="0073775E">
              <w:rPr>
                <w:rFonts w:asciiTheme="minorHAnsi" w:hAnsiTheme="minorHAnsi"/>
                <w:color w:val="000000"/>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color w:val="000000"/>
                <w:sz w:val="20"/>
                <w:szCs w:val="20"/>
                <w:lang w:eastAsia="en-US"/>
              </w:rPr>
            </w:pPr>
            <w:r w:rsidRPr="0073775E">
              <w:rPr>
                <w:rFonts w:asciiTheme="minorHAnsi" w:hAnsiTheme="minorHAnsi"/>
                <w:color w:val="000000"/>
                <w:sz w:val="20"/>
                <w:szCs w:val="20"/>
                <w:lang w:eastAsia="en-US"/>
              </w:rPr>
              <w:t xml:space="preserve">Zaměstnavatel zaměřený na obšívání volantů osobních automobilů kůží pro zahraničního zákazníka. S ohledem na specifičnosti této výroby a požadavek manuální zručnosti je firma největším zaměstnavatelem cizinců v regionu. Jedná se především o občany mongolské národnosti. </w:t>
            </w:r>
            <w:r w:rsidRPr="00AC75F0">
              <w:rPr>
                <w:rFonts w:asciiTheme="minorHAnsi" w:hAnsiTheme="minorHAnsi"/>
                <w:color w:val="000000"/>
                <w:sz w:val="20"/>
                <w:szCs w:val="20"/>
              </w:rPr>
              <w:t>Zaměstnavatel se potýká s velkou fluktuací těchto zaměstnanců a opakovaně hlásí na ÚP nová volná pracovní místa.</w:t>
            </w:r>
            <w:r>
              <w:rPr>
                <w:rFonts w:asciiTheme="minorHAnsi" w:hAnsiTheme="minorHAnsi"/>
                <w:color w:val="000000"/>
                <w:sz w:val="20"/>
                <w:szCs w:val="20"/>
              </w:rPr>
              <w:t xml:space="preserve"> </w:t>
            </w:r>
            <w:r w:rsidRPr="00AC75F0">
              <w:rPr>
                <w:rFonts w:asciiTheme="minorHAnsi" w:hAnsiTheme="minorHAnsi"/>
                <w:color w:val="000000"/>
                <w:sz w:val="20"/>
                <w:szCs w:val="20"/>
                <w:lang w:eastAsia="en-US"/>
              </w:rPr>
              <w:t>Ze strany ÚP se dlouhodo</w:t>
            </w:r>
            <w:r w:rsidRPr="0073775E">
              <w:rPr>
                <w:rFonts w:asciiTheme="minorHAnsi" w:hAnsiTheme="minorHAnsi"/>
                <w:color w:val="000000"/>
                <w:sz w:val="20"/>
                <w:szCs w:val="20"/>
                <w:lang w:eastAsia="en-US"/>
              </w:rPr>
              <w:t xml:space="preserve">bě nedaří obsazovat volná místa českými občany, především UoZ. </w:t>
            </w:r>
          </w:p>
        </w:tc>
      </w:tr>
    </w:tbl>
    <w:p w:rsidR="00DF03E3" w:rsidRPr="0073775E" w:rsidRDefault="00DF03E3" w:rsidP="00DF03E3">
      <w:pPr>
        <w:ind w:right="113"/>
        <w:rPr>
          <w:rFonts w:asciiTheme="minorHAnsi" w:hAnsiTheme="minorHAnsi"/>
          <w:b/>
          <w:sz w:val="20"/>
          <w:szCs w:val="20"/>
        </w:rPr>
      </w:pPr>
    </w:p>
    <w:p w:rsidR="00DF03E3" w:rsidRDefault="00DF03E3" w:rsidP="00DF03E3">
      <w:pPr>
        <w:ind w:right="113"/>
        <w:rPr>
          <w:rFonts w:ascii="Arial" w:hAnsi="Arial" w:cs="Arial"/>
          <w:b/>
        </w:rPr>
      </w:pPr>
    </w:p>
    <w:p w:rsidR="00DF03E3" w:rsidRPr="0073775E" w:rsidRDefault="00DF03E3" w:rsidP="00DF03E3">
      <w:pPr>
        <w:ind w:right="113"/>
        <w:rPr>
          <w:rFonts w:ascii="Arial" w:hAnsi="Arial" w:cs="Arial"/>
          <w:b/>
        </w:rPr>
      </w:pPr>
      <w:r w:rsidRPr="0073775E">
        <w:rPr>
          <w:rFonts w:ascii="Arial" w:hAnsi="Arial" w:cs="Arial"/>
          <w:b/>
        </w:rPr>
        <w:t>OKRES BRNO-MĚSTO</w:t>
      </w:r>
      <w:bookmarkStart w:id="11" w:name="_Toc238616427"/>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Fakultní nemocnice Brno</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Jihlavská 20,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ústavní zdravotní péče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 xml:space="preserve">5 </w:t>
            </w:r>
            <w:r>
              <w:rPr>
                <w:rFonts w:asciiTheme="minorHAnsi" w:hAnsiTheme="minorHAnsi"/>
                <w:sz w:val="20"/>
                <w:szCs w:val="20"/>
                <w:lang w:eastAsia="en-US"/>
              </w:rPr>
              <w:t>540</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 roce 201</w:t>
            </w:r>
            <w:r>
              <w:rPr>
                <w:rFonts w:asciiTheme="minorHAnsi" w:hAnsiTheme="minorHAnsi"/>
                <w:sz w:val="20"/>
                <w:szCs w:val="20"/>
                <w:lang w:eastAsia="en-US"/>
              </w:rPr>
              <w:t>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5 634</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Podnik s největším počte</w:t>
            </w:r>
            <w:r>
              <w:rPr>
                <w:rFonts w:asciiTheme="minorHAnsi" w:hAnsiTheme="minorHAnsi"/>
                <w:sz w:val="20"/>
                <w:szCs w:val="20"/>
                <w:lang w:eastAsia="en-US"/>
              </w:rPr>
              <w:t>m zaměstnanců v Brně. V roce 2015</w:t>
            </w:r>
            <w:r w:rsidRPr="0073775E">
              <w:rPr>
                <w:rFonts w:asciiTheme="minorHAnsi" w:hAnsiTheme="minorHAnsi"/>
                <w:sz w:val="20"/>
                <w:szCs w:val="20"/>
                <w:lang w:eastAsia="en-US"/>
              </w:rPr>
              <w:t xml:space="preserve"> je předpokládáno d</w:t>
            </w:r>
            <w:r>
              <w:rPr>
                <w:rFonts w:asciiTheme="minorHAnsi" w:hAnsiTheme="minorHAnsi"/>
                <w:sz w:val="20"/>
                <w:szCs w:val="20"/>
                <w:lang w:eastAsia="en-US"/>
              </w:rPr>
              <w:t>alší navýšení počtu zaměstnanců. Zejména v profesi všeobecný lékař o 35 zaměstnanců. Přes 80 ze všech zaměstnanců jsou ženy.</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Masarykova univerzita</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Žerotínovo nám. 9,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vysokoškolské vzdělávání</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5 156</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5 278</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Druhý největší zaměstnavatel v Brně, počet zaměstnanců se postupně stále zvyšuje.</w:t>
            </w:r>
            <w:r>
              <w:rPr>
                <w:rFonts w:asciiTheme="minorHAnsi" w:hAnsiTheme="minorHAnsi"/>
                <w:sz w:val="20"/>
                <w:szCs w:val="20"/>
                <w:lang w:eastAsia="en-US"/>
              </w:rPr>
              <w:t xml:space="preserve"> Převládající složky podle kategorie zaměstnaní jsou vědečtí specialisté (56 %) a techničtí a </w:t>
            </w:r>
            <w:r>
              <w:rPr>
                <w:rFonts w:asciiTheme="minorHAnsi" w:hAnsiTheme="minorHAnsi"/>
                <w:sz w:val="20"/>
                <w:szCs w:val="20"/>
                <w:lang w:eastAsia="en-US"/>
              </w:rPr>
              <w:lastRenderedPageBreak/>
              <w:t>odborní pracovníci (24 %).  Na zkrácený pracovní úvazek pracuje 22 % zaměstnanců.</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B9126F"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B9126F" w:rsidRDefault="00DF03E3" w:rsidP="00C112A9">
            <w:pPr>
              <w:ind w:right="113"/>
              <w:rPr>
                <w:rFonts w:asciiTheme="minorHAnsi" w:hAnsiTheme="minorHAnsi"/>
                <w:sz w:val="20"/>
                <w:szCs w:val="20"/>
                <w:lang w:eastAsia="en-US"/>
              </w:rPr>
            </w:pPr>
            <w:r w:rsidRPr="00B9126F">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EF78B5">
            <w:pPr>
              <w:ind w:right="113"/>
              <w:rPr>
                <w:rFonts w:asciiTheme="minorHAnsi" w:hAnsiTheme="minorHAnsi"/>
                <w:b/>
                <w:sz w:val="20"/>
                <w:szCs w:val="20"/>
                <w:lang w:eastAsia="en-US"/>
              </w:rPr>
            </w:pPr>
            <w:r w:rsidRPr="00193195">
              <w:rPr>
                <w:rFonts w:asciiTheme="minorHAnsi" w:hAnsiTheme="minorHAnsi"/>
                <w:b/>
                <w:sz w:val="20"/>
                <w:szCs w:val="20"/>
                <w:lang w:eastAsia="en-US"/>
              </w:rPr>
              <w:t xml:space="preserve">IBM Global </w:t>
            </w:r>
            <w:r w:rsidR="00EF78B5">
              <w:rPr>
                <w:rFonts w:asciiTheme="minorHAnsi" w:hAnsiTheme="minorHAnsi"/>
                <w:b/>
                <w:sz w:val="20"/>
                <w:szCs w:val="20"/>
                <w:lang w:eastAsia="en-US"/>
              </w:rPr>
              <w:t>S</w:t>
            </w:r>
            <w:r w:rsidRPr="00193195">
              <w:rPr>
                <w:rFonts w:asciiTheme="minorHAnsi" w:hAnsiTheme="minorHAnsi"/>
                <w:b/>
                <w:sz w:val="20"/>
                <w:szCs w:val="20"/>
                <w:lang w:eastAsia="en-US"/>
              </w:rPr>
              <w:t>ervices</w:t>
            </w:r>
          </w:p>
        </w:tc>
      </w:tr>
      <w:tr w:rsidR="00DF03E3" w:rsidRPr="00B9126F"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B9126F" w:rsidRDefault="00DF03E3" w:rsidP="00C112A9">
            <w:pPr>
              <w:ind w:right="113"/>
              <w:rPr>
                <w:rFonts w:asciiTheme="minorHAnsi" w:hAnsiTheme="minorHAnsi"/>
                <w:sz w:val="20"/>
                <w:szCs w:val="20"/>
                <w:lang w:eastAsia="en-US"/>
              </w:rPr>
            </w:pPr>
            <w:r w:rsidRPr="00B9126F">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B9126F" w:rsidRDefault="00DF03E3" w:rsidP="00C112A9">
            <w:pPr>
              <w:ind w:right="113"/>
              <w:rPr>
                <w:rFonts w:asciiTheme="minorHAnsi" w:hAnsiTheme="minorHAnsi"/>
                <w:sz w:val="20"/>
                <w:szCs w:val="20"/>
                <w:lang w:eastAsia="en-US"/>
              </w:rPr>
            </w:pPr>
            <w:r w:rsidRPr="00B9126F">
              <w:rPr>
                <w:rFonts w:asciiTheme="minorHAnsi" w:hAnsiTheme="minorHAnsi"/>
                <w:sz w:val="20"/>
                <w:szCs w:val="20"/>
                <w:lang w:eastAsia="en-US"/>
              </w:rPr>
              <w:t>Technická 2995/21, Brno</w:t>
            </w:r>
          </w:p>
        </w:tc>
      </w:tr>
      <w:tr w:rsidR="00DF03E3" w:rsidRPr="00B9126F"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B9126F" w:rsidRDefault="00DF03E3" w:rsidP="00C112A9">
            <w:pPr>
              <w:ind w:right="113"/>
              <w:rPr>
                <w:rFonts w:asciiTheme="minorHAnsi" w:hAnsiTheme="minorHAnsi"/>
                <w:sz w:val="20"/>
                <w:szCs w:val="20"/>
                <w:lang w:eastAsia="en-US"/>
              </w:rPr>
            </w:pPr>
            <w:r w:rsidRPr="00B9126F">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B9126F" w:rsidRDefault="00DF03E3" w:rsidP="00C112A9">
            <w:pPr>
              <w:ind w:right="113"/>
              <w:rPr>
                <w:rFonts w:asciiTheme="minorHAnsi" w:hAnsiTheme="minorHAnsi"/>
                <w:sz w:val="20"/>
                <w:szCs w:val="20"/>
                <w:lang w:eastAsia="en-US"/>
              </w:rPr>
            </w:pPr>
            <w:r w:rsidRPr="00B9126F">
              <w:rPr>
                <w:rFonts w:asciiTheme="minorHAnsi" w:hAnsiTheme="minorHAnsi"/>
                <w:sz w:val="20"/>
                <w:szCs w:val="20"/>
                <w:lang w:eastAsia="en-US"/>
              </w:rPr>
              <w:t>poradenství a dodávky softwaru</w:t>
            </w:r>
          </w:p>
        </w:tc>
      </w:tr>
      <w:tr w:rsidR="00DF03E3" w:rsidRPr="00B9126F"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B9126F" w:rsidRDefault="00DF03E3" w:rsidP="00C112A9">
            <w:pPr>
              <w:ind w:right="113"/>
              <w:rPr>
                <w:rFonts w:asciiTheme="minorHAnsi" w:hAnsiTheme="minorHAnsi"/>
                <w:sz w:val="20"/>
                <w:szCs w:val="20"/>
                <w:lang w:eastAsia="en-US"/>
              </w:rPr>
            </w:pPr>
            <w:r w:rsidRPr="00B9126F">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B9126F" w:rsidRDefault="00DF03E3" w:rsidP="00C112A9">
            <w:pPr>
              <w:ind w:right="113"/>
              <w:rPr>
                <w:rFonts w:asciiTheme="minorHAnsi" w:hAnsiTheme="minorHAnsi"/>
                <w:sz w:val="20"/>
                <w:szCs w:val="20"/>
                <w:lang w:eastAsia="en-US"/>
              </w:rPr>
            </w:pPr>
          </w:p>
        </w:tc>
      </w:tr>
      <w:tr w:rsidR="00DF03E3" w:rsidRPr="00B9126F" w:rsidTr="00C112A9">
        <w:tc>
          <w:tcPr>
            <w:tcW w:w="4820" w:type="dxa"/>
            <w:tcBorders>
              <w:top w:val="nil"/>
              <w:left w:val="double" w:sz="4" w:space="0" w:color="auto"/>
              <w:bottom w:val="nil"/>
              <w:right w:val="single" w:sz="12" w:space="0" w:color="auto"/>
            </w:tcBorders>
            <w:shd w:val="clear" w:color="auto" w:fill="E6E6E6"/>
            <w:hideMark/>
          </w:tcPr>
          <w:p w:rsidR="00DF03E3" w:rsidRPr="00B9126F"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B9126F"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3 563</w:t>
            </w:r>
          </w:p>
        </w:tc>
      </w:tr>
      <w:tr w:rsidR="00DF03E3" w:rsidRPr="00B9126F"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B9126F"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B9126F"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3 948</w:t>
            </w:r>
          </w:p>
        </w:tc>
      </w:tr>
      <w:tr w:rsidR="00DF03E3" w:rsidRPr="00B9126F"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B9126F" w:rsidRDefault="00DF03E3" w:rsidP="00C112A9">
            <w:pPr>
              <w:ind w:right="113"/>
              <w:rPr>
                <w:rFonts w:asciiTheme="minorHAnsi" w:hAnsiTheme="minorHAnsi"/>
                <w:sz w:val="20"/>
                <w:szCs w:val="20"/>
                <w:lang w:eastAsia="en-US"/>
              </w:rPr>
            </w:pPr>
            <w:r w:rsidRPr="00B9126F">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B9126F" w:rsidRDefault="00DF03E3" w:rsidP="00C112A9">
            <w:pPr>
              <w:ind w:right="113"/>
              <w:rPr>
                <w:rFonts w:asciiTheme="minorHAnsi" w:hAnsiTheme="minorHAnsi"/>
                <w:sz w:val="20"/>
                <w:szCs w:val="20"/>
                <w:lang w:eastAsia="en-US"/>
              </w:rPr>
            </w:pPr>
            <w:r w:rsidRPr="00B9126F">
              <w:rPr>
                <w:rFonts w:asciiTheme="minorHAnsi" w:hAnsiTheme="minorHAnsi"/>
                <w:sz w:val="20"/>
                <w:szCs w:val="20"/>
                <w:lang w:eastAsia="en-US"/>
              </w:rPr>
              <w:t>USA</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B9126F" w:rsidRDefault="00DF03E3" w:rsidP="00C112A9">
            <w:pPr>
              <w:ind w:right="113"/>
              <w:rPr>
                <w:rFonts w:asciiTheme="minorHAnsi" w:hAnsiTheme="minorHAnsi"/>
                <w:sz w:val="20"/>
                <w:szCs w:val="20"/>
                <w:lang w:eastAsia="en-US"/>
              </w:rPr>
            </w:pPr>
            <w:r w:rsidRPr="00B9126F">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1B4ECD" w:rsidRDefault="00DF03E3" w:rsidP="00C112A9">
            <w:pPr>
              <w:ind w:right="113"/>
              <w:jc w:val="both"/>
              <w:rPr>
                <w:rFonts w:asciiTheme="minorHAnsi" w:hAnsiTheme="minorHAnsi"/>
                <w:sz w:val="20"/>
                <w:szCs w:val="20"/>
                <w:lang w:eastAsia="en-US"/>
              </w:rPr>
            </w:pPr>
            <w:r w:rsidRPr="001B4ECD">
              <w:rPr>
                <w:rFonts w:asciiTheme="minorHAnsi" w:hAnsiTheme="minorHAnsi" w:cs="Arial"/>
                <w:color w:val="333333"/>
                <w:sz w:val="20"/>
                <w:szCs w:val="20"/>
              </w:rPr>
              <w:t>Společnost IBM je největším poskytovatelem řešení a služeb informačních technologií na světě s dlouhou tradicí inovací. Převažující činností IBM v České republice je prodej širokého spektra IT technologií od serverů a systémů pro ukládání dat až po software a IT služby včetně služeb konzultačních</w:t>
            </w:r>
            <w:r>
              <w:rPr>
                <w:rFonts w:asciiTheme="minorHAnsi" w:hAnsiTheme="minorHAnsi" w:cs="Arial"/>
                <w:color w:val="333333"/>
                <w:sz w:val="20"/>
                <w:szCs w:val="20"/>
              </w:rPr>
              <w:t xml:space="preserve"> </w:t>
            </w:r>
            <w:r w:rsidRPr="001B4ECD">
              <w:rPr>
                <w:rFonts w:asciiTheme="minorHAnsi" w:hAnsiTheme="minorHAnsi"/>
                <w:sz w:val="20"/>
                <w:szCs w:val="20"/>
                <w:lang w:eastAsia="en-US"/>
              </w:rPr>
              <w:t>V předchozích dvou letech zaznamenala společnost značný rozvoj. V roce 2012 se počet jejich pracovníků zvýšil o 574 osob., v roce 2013 o dalších 398 a v roce 2014 o 385 osob. V příštím roce společnost hodlá zvyšovat stavy pracovníků, zejména v profesi Specialisté v oblasti IT, ekonomy a osoby se znalostí cizích jazyků.</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Vysoké učení technické</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Antonínská 548/1,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vysokoškolské vzdělávání</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3 427</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3 395</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 xml:space="preserve">Největší technická univerzita v Brně, </w:t>
            </w:r>
            <w:r>
              <w:rPr>
                <w:rFonts w:asciiTheme="minorHAnsi" w:hAnsiTheme="minorHAnsi"/>
                <w:sz w:val="20"/>
                <w:szCs w:val="20"/>
                <w:lang w:eastAsia="en-US"/>
              </w:rPr>
              <w:t>V roce 2014</w:t>
            </w:r>
            <w:r w:rsidRPr="0073775E">
              <w:rPr>
                <w:rFonts w:asciiTheme="minorHAnsi" w:hAnsiTheme="minorHAnsi"/>
                <w:sz w:val="20"/>
                <w:szCs w:val="20"/>
                <w:lang w:eastAsia="en-US"/>
              </w:rPr>
              <w:t xml:space="preserve"> došlo k nárůstu o </w:t>
            </w:r>
            <w:r>
              <w:rPr>
                <w:rFonts w:asciiTheme="minorHAnsi" w:hAnsiTheme="minorHAnsi"/>
                <w:sz w:val="20"/>
                <w:szCs w:val="20"/>
                <w:lang w:eastAsia="en-US"/>
              </w:rPr>
              <w:t>32</w:t>
            </w:r>
            <w:r w:rsidRPr="0073775E">
              <w:rPr>
                <w:rFonts w:asciiTheme="minorHAnsi" w:hAnsiTheme="minorHAnsi"/>
                <w:sz w:val="20"/>
                <w:szCs w:val="20"/>
                <w:lang w:eastAsia="en-US"/>
              </w:rPr>
              <w:t xml:space="preserve"> zaměstnanců.</w:t>
            </w:r>
            <w:r>
              <w:rPr>
                <w:rFonts w:asciiTheme="minorHAnsi" w:hAnsiTheme="minorHAnsi"/>
                <w:sz w:val="20"/>
                <w:szCs w:val="20"/>
                <w:lang w:eastAsia="en-US"/>
              </w:rPr>
              <w:t xml:space="preserve"> V příštím roce není očekáván nárůst ani pokles počtu zaměstnanců. Převládající složky podle kategorie zaměstnaní jsou specialisté (46 %) a techničtí a odborní pracovníci (38 %).  Na zkrácený pracovní úvazek pracuje 30 % zaměstnanců.</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Fakultní nemocnice u sv. Anny</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Pekařská 53,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ústavní zdravotní péče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3 152</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 xml:space="preserve">3 </w:t>
            </w:r>
            <w:r>
              <w:rPr>
                <w:rFonts w:asciiTheme="minorHAnsi" w:hAnsiTheme="minorHAnsi"/>
                <w:sz w:val="20"/>
                <w:szCs w:val="20"/>
                <w:lang w:eastAsia="en-US"/>
              </w:rPr>
              <w:t>101</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lastRenderedPageBreak/>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Druhá největší zdravotnická organizace v Brně,</w:t>
            </w:r>
            <w:r>
              <w:rPr>
                <w:rFonts w:asciiTheme="minorHAnsi" w:hAnsiTheme="minorHAnsi"/>
                <w:sz w:val="20"/>
                <w:szCs w:val="20"/>
                <w:lang w:eastAsia="en-US"/>
              </w:rPr>
              <w:t xml:space="preserve"> v loňském roce</w:t>
            </w:r>
            <w:r w:rsidRPr="0073775E">
              <w:rPr>
                <w:rFonts w:asciiTheme="minorHAnsi" w:hAnsiTheme="minorHAnsi"/>
                <w:sz w:val="20"/>
                <w:szCs w:val="20"/>
                <w:lang w:eastAsia="en-US"/>
              </w:rPr>
              <w:t xml:space="preserve"> došlo k navýšení pracovníků, a to v souvislosti s výstavbou Mezinárodního centra klinického výzkumu.</w:t>
            </w:r>
          </w:p>
        </w:tc>
      </w:tr>
    </w:tbl>
    <w:p w:rsidR="00DF03E3" w:rsidRPr="0073775E" w:rsidRDefault="00DF03E3" w:rsidP="00DF03E3">
      <w:pPr>
        <w:ind w:right="113"/>
        <w:rPr>
          <w:rFonts w:asciiTheme="minorHAnsi" w:hAnsiTheme="minorHAnsi"/>
          <w:color w:val="FF0000"/>
          <w:sz w:val="20"/>
          <w:szCs w:val="20"/>
        </w:rPr>
      </w:pPr>
    </w:p>
    <w:tbl>
      <w:tblPr>
        <w:tblW w:w="9072"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rPr>
          <w:jc w:val="center"/>
        </w:trPr>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Krajské ředitelství policie Jihomoravského kraje</w:t>
            </w:r>
          </w:p>
        </w:tc>
      </w:tr>
      <w:tr w:rsidR="00DF03E3" w:rsidRPr="0073775E" w:rsidTr="00C112A9">
        <w:trPr>
          <w:jc w:val="center"/>
        </w:trPr>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Kounicova 24, Brno</w:t>
            </w:r>
          </w:p>
        </w:tc>
      </w:tr>
      <w:tr w:rsidR="00DF03E3" w:rsidRPr="0073775E" w:rsidTr="00C112A9">
        <w:trPr>
          <w:jc w:val="center"/>
        </w:trPr>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bezpečnostní orgán</w:t>
            </w:r>
          </w:p>
        </w:tc>
      </w:tr>
      <w:tr w:rsidR="00DF03E3" w:rsidRPr="0073775E" w:rsidTr="00C112A9">
        <w:trPr>
          <w:jc w:val="center"/>
        </w:trPr>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rPr>
          <w:jc w:val="center"/>
        </w:trPr>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 xml:space="preserve">2 </w:t>
            </w:r>
            <w:r>
              <w:rPr>
                <w:rFonts w:asciiTheme="minorHAnsi" w:hAnsiTheme="minorHAnsi"/>
                <w:sz w:val="20"/>
                <w:szCs w:val="20"/>
                <w:lang w:eastAsia="en-US"/>
              </w:rPr>
              <w:t>655</w:t>
            </w:r>
          </w:p>
        </w:tc>
      </w:tr>
      <w:tr w:rsidR="00DF03E3" w:rsidRPr="0073775E" w:rsidTr="00C112A9">
        <w:trPr>
          <w:jc w:val="center"/>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2 685</w:t>
            </w:r>
          </w:p>
        </w:tc>
      </w:tr>
      <w:tr w:rsidR="00DF03E3" w:rsidRPr="0073775E" w:rsidTr="00C112A9">
        <w:trPr>
          <w:jc w:val="center"/>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rPr>
          <w:jc w:val="center"/>
        </w:trPr>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V krajském ředitelství policie Jihomoravského kraje došlo v roce 2010 k reorganizaci. Bylo přesunuto cca 1 000 pracovníků do nově vzniklých krajských ředitelství v Kraji Vysočina a ve Zlínském kraji (vznik 1. 1. 2010). V roce 2011 došlo k poklesu o dalších 167 zaměstnanců. Od roku 2012 dochází k mírnému nárůstu zaměstnanců.</w:t>
            </w:r>
          </w:p>
        </w:tc>
      </w:tr>
    </w:tbl>
    <w:p w:rsidR="00DF03E3" w:rsidRPr="0073775E" w:rsidRDefault="00DF03E3" w:rsidP="00DF03E3">
      <w:pPr>
        <w:ind w:right="113"/>
        <w:rPr>
          <w:rFonts w:asciiTheme="minorHAnsi" w:hAnsiTheme="minorHAnsi"/>
          <w:color w:val="FF0000"/>
          <w:sz w:val="20"/>
          <w:szCs w:val="20"/>
        </w:rPr>
      </w:pPr>
    </w:p>
    <w:tbl>
      <w:tblPr>
        <w:tblW w:w="9072"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rPr>
          <w:jc w:val="center"/>
        </w:trPr>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Dopravní podnik města Brna, a.s.</w:t>
            </w:r>
          </w:p>
        </w:tc>
      </w:tr>
      <w:tr w:rsidR="00DF03E3" w:rsidRPr="0073775E" w:rsidTr="00C112A9">
        <w:trPr>
          <w:jc w:val="center"/>
        </w:trPr>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Hlinky 151, Brno</w:t>
            </w:r>
          </w:p>
        </w:tc>
      </w:tr>
      <w:tr w:rsidR="00DF03E3" w:rsidRPr="0073775E" w:rsidTr="00C112A9">
        <w:trPr>
          <w:jc w:val="center"/>
        </w:trPr>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veřejná doprava</w:t>
            </w:r>
          </w:p>
        </w:tc>
      </w:tr>
      <w:tr w:rsidR="00DF03E3" w:rsidRPr="0073775E" w:rsidTr="00C112A9">
        <w:trPr>
          <w:jc w:val="center"/>
        </w:trPr>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rPr>
          <w:jc w:val="center"/>
        </w:trPr>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2 579</w:t>
            </w:r>
          </w:p>
        </w:tc>
      </w:tr>
      <w:tr w:rsidR="00DF03E3" w:rsidRPr="0073775E" w:rsidTr="00C112A9">
        <w:trPr>
          <w:jc w:val="center"/>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2 596</w:t>
            </w:r>
          </w:p>
        </w:tc>
      </w:tr>
      <w:tr w:rsidR="00DF03E3" w:rsidRPr="0073775E" w:rsidTr="00C112A9">
        <w:trPr>
          <w:jc w:val="center"/>
        </w:trPr>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rPr>
          <w:jc w:val="center"/>
        </w:trPr>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V roce 201</w:t>
            </w:r>
            <w:r>
              <w:rPr>
                <w:rFonts w:asciiTheme="minorHAnsi" w:hAnsiTheme="minorHAnsi"/>
                <w:sz w:val="20"/>
                <w:szCs w:val="20"/>
                <w:lang w:eastAsia="en-US"/>
              </w:rPr>
              <w:t>4</w:t>
            </w:r>
            <w:r w:rsidRPr="0073775E">
              <w:rPr>
                <w:rFonts w:asciiTheme="minorHAnsi" w:hAnsiTheme="minorHAnsi"/>
                <w:sz w:val="20"/>
                <w:szCs w:val="20"/>
                <w:lang w:eastAsia="en-US"/>
              </w:rPr>
              <w:t xml:space="preserve"> došlo k  mírnému poklesu počtu zaměstnanců (o </w:t>
            </w:r>
            <w:r>
              <w:rPr>
                <w:rFonts w:asciiTheme="minorHAnsi" w:hAnsiTheme="minorHAnsi"/>
                <w:sz w:val="20"/>
                <w:szCs w:val="20"/>
                <w:lang w:eastAsia="en-US"/>
              </w:rPr>
              <w:t>17</w:t>
            </w:r>
            <w:r w:rsidRPr="0073775E">
              <w:rPr>
                <w:rFonts w:asciiTheme="minorHAnsi" w:hAnsiTheme="minorHAnsi"/>
                <w:sz w:val="20"/>
                <w:szCs w:val="20"/>
                <w:lang w:eastAsia="en-US"/>
              </w:rPr>
              <w:t xml:space="preserve"> zaměstnanců).</w:t>
            </w:r>
            <w:r>
              <w:rPr>
                <w:rFonts w:asciiTheme="minorHAnsi" w:hAnsiTheme="minorHAnsi"/>
                <w:sz w:val="20"/>
                <w:szCs w:val="20"/>
                <w:lang w:eastAsia="en-US"/>
              </w:rPr>
              <w:t xml:space="preserve"> Nejčastějším vzděláním zaměstnanců jsou vyučeni bez maturity (53 %). Přes 23 % všech zaměstnanců je starších 55 let.</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193195" w:rsidRDefault="00DF03E3" w:rsidP="00C112A9">
            <w:pPr>
              <w:ind w:right="113"/>
              <w:rPr>
                <w:rFonts w:asciiTheme="minorHAnsi" w:hAnsiTheme="minorHAnsi"/>
                <w:b/>
                <w:sz w:val="20"/>
                <w:szCs w:val="20"/>
              </w:rPr>
            </w:pPr>
            <w:r w:rsidRPr="00193195">
              <w:rPr>
                <w:rFonts w:asciiTheme="minorHAnsi" w:hAnsiTheme="minorHAnsi"/>
                <w:b/>
                <w:sz w:val="20"/>
                <w:szCs w:val="20"/>
              </w:rPr>
              <w:t>Finanční ředitelství v Brně</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sídlo</w:t>
            </w:r>
          </w:p>
        </w:tc>
        <w:tc>
          <w:tcPr>
            <w:tcW w:w="4252" w:type="dxa"/>
            <w:tcBorders>
              <w:top w:val="double" w:sz="4" w:space="0" w:color="auto"/>
              <w:left w:val="nil"/>
              <w:bottom w:val="single" w:sz="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nám. Svobody 4,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předmět činnosti (podrobněji):</w:t>
            </w:r>
          </w:p>
        </w:tc>
        <w:tc>
          <w:tcPr>
            <w:tcW w:w="4252" w:type="dxa"/>
            <w:tcBorders>
              <w:top w:val="single" w:sz="2"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správa daní a poplatků</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v roce 2013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1 166</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v roce 2014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1 231</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země zahraničního partnera (pokud existuje)</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tcPr>
          <w:p w:rsidR="00DF03E3" w:rsidRPr="0073775E" w:rsidRDefault="00DF03E3" w:rsidP="00C112A9">
            <w:pPr>
              <w:ind w:right="113"/>
              <w:jc w:val="both"/>
              <w:rPr>
                <w:rFonts w:asciiTheme="minorHAnsi" w:hAnsiTheme="minorHAnsi"/>
                <w:sz w:val="20"/>
                <w:szCs w:val="20"/>
              </w:rPr>
            </w:pPr>
            <w:r w:rsidRPr="0073775E">
              <w:rPr>
                <w:rFonts w:asciiTheme="minorHAnsi" w:hAnsiTheme="minorHAnsi"/>
                <w:sz w:val="20"/>
                <w:szCs w:val="20"/>
              </w:rPr>
              <w:t>V roce 201</w:t>
            </w:r>
            <w:r>
              <w:rPr>
                <w:rFonts w:asciiTheme="minorHAnsi" w:hAnsiTheme="minorHAnsi"/>
                <w:sz w:val="20"/>
                <w:szCs w:val="20"/>
              </w:rPr>
              <w:t>3</w:t>
            </w:r>
            <w:r w:rsidRPr="0073775E">
              <w:rPr>
                <w:rFonts w:asciiTheme="minorHAnsi" w:hAnsiTheme="minorHAnsi"/>
                <w:sz w:val="20"/>
                <w:szCs w:val="20"/>
              </w:rPr>
              <w:t xml:space="preserve"> došlo k</w:t>
            </w:r>
            <w:r>
              <w:rPr>
                <w:rFonts w:asciiTheme="minorHAnsi" w:hAnsiTheme="minorHAnsi"/>
                <w:sz w:val="20"/>
                <w:szCs w:val="20"/>
              </w:rPr>
              <w:t> nárůstu zaměstnanců o 135 osob, v roce 2014 o dalších 65 osob.</w:t>
            </w:r>
          </w:p>
        </w:tc>
      </w:tr>
    </w:tbl>
    <w:p w:rsidR="00DF03E3"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Pr>
                <w:rFonts w:asciiTheme="minorHAnsi" w:hAnsiTheme="minorHAnsi"/>
                <w:b/>
                <w:sz w:val="20"/>
                <w:szCs w:val="20"/>
                <w:lang w:eastAsia="en-US"/>
              </w:rPr>
              <w:t>OHL ŽS</w:t>
            </w:r>
            <w:r w:rsidRPr="00193195">
              <w:rPr>
                <w:rFonts w:asciiTheme="minorHAnsi" w:hAnsiTheme="minorHAnsi"/>
                <w:b/>
                <w:sz w:val="20"/>
                <w:szCs w:val="20"/>
                <w:lang w:eastAsia="en-US"/>
              </w:rPr>
              <w:t xml:space="preserve"> </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452A78" w:rsidRDefault="00DF03E3" w:rsidP="00C112A9">
            <w:pPr>
              <w:ind w:right="113"/>
              <w:rPr>
                <w:sz w:val="20"/>
              </w:rPr>
            </w:pPr>
            <w:r w:rsidRPr="00452A78">
              <w:rPr>
                <w:sz w:val="20"/>
              </w:rPr>
              <w:t>Burešova 938/17,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452A78" w:rsidRDefault="00DF03E3" w:rsidP="00C112A9">
            <w:pPr>
              <w:ind w:right="113"/>
              <w:rPr>
                <w:sz w:val="20"/>
              </w:rPr>
            </w:pPr>
            <w:r w:rsidRPr="00452A78">
              <w:rPr>
                <w:sz w:val="20"/>
              </w:rPr>
              <w:t>výstavba pozemních a inženýrských staveb</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lastRenderedPageBreak/>
              <w:t>počet zaměstnanců v okrese Brno-město:</w:t>
            </w:r>
          </w:p>
        </w:tc>
        <w:tc>
          <w:tcPr>
            <w:tcW w:w="4252" w:type="dxa"/>
            <w:tcBorders>
              <w:top w:val="single" w:sz="4" w:space="0" w:color="auto"/>
              <w:left w:val="nil"/>
              <w:bottom w:val="nil"/>
              <w:right w:val="double" w:sz="4" w:space="0" w:color="auto"/>
            </w:tcBorders>
          </w:tcPr>
          <w:p w:rsidR="00DF03E3" w:rsidRPr="00452A78" w:rsidRDefault="00DF03E3" w:rsidP="00C112A9">
            <w:pPr>
              <w:ind w:right="113"/>
              <w:rPr>
                <w:sz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561EAD" w:rsidRDefault="00DF03E3" w:rsidP="00C112A9">
            <w:pPr>
              <w:ind w:right="113"/>
              <w:rPr>
                <w:rFonts w:asciiTheme="minorHAnsi" w:hAnsiTheme="minorHAnsi"/>
                <w:sz w:val="20"/>
              </w:rPr>
            </w:pPr>
            <w:r w:rsidRPr="00561EAD">
              <w:rPr>
                <w:rFonts w:asciiTheme="minorHAnsi" w:hAnsiTheme="minorHAnsi"/>
                <w:sz w:val="20"/>
              </w:rPr>
              <w:t>1012</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561EAD" w:rsidRDefault="00DF03E3" w:rsidP="00C112A9">
            <w:pPr>
              <w:ind w:right="113"/>
              <w:rPr>
                <w:rFonts w:asciiTheme="minorHAnsi" w:hAnsiTheme="minorHAnsi"/>
                <w:sz w:val="20"/>
              </w:rPr>
            </w:pPr>
            <w:r w:rsidRPr="00561EAD">
              <w:rPr>
                <w:rFonts w:asciiTheme="minorHAnsi" w:hAnsiTheme="minorHAnsi"/>
                <w:sz w:val="20"/>
              </w:rPr>
              <w:t>1051</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452A78" w:rsidRDefault="00DF03E3" w:rsidP="00C112A9">
            <w:pPr>
              <w:ind w:right="113"/>
              <w:rPr>
                <w:sz w:val="20"/>
              </w:rPr>
            </w:pPr>
            <w:r>
              <w:rPr>
                <w:sz w:val="20"/>
              </w:rPr>
              <w:t>Španělsko, Slovensko</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624C32" w:rsidRDefault="00DF03E3" w:rsidP="00C112A9">
            <w:pPr>
              <w:ind w:right="113"/>
              <w:jc w:val="both"/>
              <w:rPr>
                <w:sz w:val="20"/>
              </w:rPr>
            </w:pPr>
            <w:r w:rsidRPr="00624C32">
              <w:rPr>
                <w:sz w:val="20"/>
              </w:rPr>
              <w:t>Stavební podnik s největším počtem zaměstnanců v Brně. Počet pracovníků mírně kolísá v souvislosti s množstvím zakázek. Meziročně došlo k </w:t>
            </w:r>
            <w:r>
              <w:rPr>
                <w:sz w:val="20"/>
              </w:rPr>
              <w:t>nárůstu</w:t>
            </w:r>
            <w:r w:rsidRPr="00624C32">
              <w:rPr>
                <w:sz w:val="20"/>
              </w:rPr>
              <w:t xml:space="preserve"> o </w:t>
            </w:r>
            <w:r>
              <w:rPr>
                <w:sz w:val="20"/>
              </w:rPr>
              <w:t>39</w:t>
            </w:r>
            <w:r w:rsidRPr="00624C32">
              <w:rPr>
                <w:sz w:val="20"/>
              </w:rPr>
              <w:t xml:space="preserve"> zaměstnanců.</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 xml:space="preserve">Mendelova univerzita v Brně </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Zemědělská 1.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561EAD" w:rsidP="00C112A9">
            <w:pPr>
              <w:ind w:right="113"/>
              <w:rPr>
                <w:rFonts w:asciiTheme="minorHAnsi" w:hAnsiTheme="minorHAnsi"/>
                <w:sz w:val="20"/>
                <w:szCs w:val="20"/>
                <w:lang w:eastAsia="en-US"/>
              </w:rPr>
            </w:pPr>
            <w:r>
              <w:rPr>
                <w:rFonts w:asciiTheme="minorHAnsi" w:hAnsiTheme="minorHAnsi"/>
                <w:sz w:val="20"/>
                <w:szCs w:val="20"/>
                <w:lang w:eastAsia="en-US"/>
              </w:rPr>
              <w:t>v</w:t>
            </w:r>
            <w:r w:rsidR="00DF03E3" w:rsidRPr="0073775E">
              <w:rPr>
                <w:rFonts w:asciiTheme="minorHAnsi" w:hAnsiTheme="minorHAnsi"/>
                <w:sz w:val="20"/>
                <w:szCs w:val="20"/>
                <w:lang w:eastAsia="en-US"/>
              </w:rPr>
              <w:t>eřejné vzdělávání</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935</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C97750" w:rsidP="00C112A9">
            <w:pPr>
              <w:ind w:right="113"/>
              <w:rPr>
                <w:rFonts w:asciiTheme="minorHAnsi" w:hAnsiTheme="minorHAnsi"/>
                <w:sz w:val="20"/>
                <w:szCs w:val="20"/>
                <w:lang w:eastAsia="en-US"/>
              </w:rPr>
            </w:pPr>
            <w:r>
              <w:rPr>
                <w:rFonts w:asciiTheme="minorHAnsi" w:hAnsiTheme="minorHAnsi"/>
                <w:sz w:val="20"/>
                <w:szCs w:val="20"/>
                <w:lang w:eastAsia="en-US"/>
              </w:rPr>
              <w:t>945</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97750">
            <w:pPr>
              <w:ind w:right="113"/>
              <w:jc w:val="both"/>
              <w:rPr>
                <w:rFonts w:asciiTheme="minorHAnsi" w:hAnsiTheme="minorHAnsi"/>
                <w:sz w:val="20"/>
                <w:szCs w:val="20"/>
                <w:lang w:eastAsia="en-US"/>
              </w:rPr>
            </w:pPr>
            <w:r w:rsidRPr="0073775E">
              <w:rPr>
                <w:rFonts w:asciiTheme="minorHAnsi" w:hAnsiTheme="minorHAnsi"/>
                <w:sz w:val="20"/>
                <w:szCs w:val="20"/>
                <w:lang w:eastAsia="en-US"/>
              </w:rPr>
              <w:t>V roce 201</w:t>
            </w:r>
            <w:r w:rsidR="00C97750">
              <w:rPr>
                <w:rFonts w:asciiTheme="minorHAnsi" w:hAnsiTheme="minorHAnsi"/>
                <w:sz w:val="20"/>
                <w:szCs w:val="20"/>
                <w:lang w:eastAsia="en-US"/>
              </w:rPr>
              <w:t>4</w:t>
            </w:r>
            <w:r w:rsidRPr="0073775E">
              <w:rPr>
                <w:rFonts w:asciiTheme="minorHAnsi" w:hAnsiTheme="minorHAnsi"/>
                <w:sz w:val="20"/>
                <w:szCs w:val="20"/>
                <w:lang w:eastAsia="en-US"/>
              </w:rPr>
              <w:t xml:space="preserve"> došlo k mírnému nárůstu počtu zaměstnanců.</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Nová Mosilana, a.s.</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Charbulova 150,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tkaní vlnařských česaných tkanin</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883</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904</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Itálie</w:t>
            </w:r>
            <w:r>
              <w:rPr>
                <w:rFonts w:asciiTheme="minorHAnsi" w:hAnsiTheme="minorHAnsi"/>
                <w:sz w:val="20"/>
                <w:szCs w:val="20"/>
                <w:lang w:eastAsia="en-US"/>
              </w:rPr>
              <w:t xml:space="preserve"> (100%)</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 xml:space="preserve">Meziročně došlo k nárůstu o </w:t>
            </w:r>
            <w:r>
              <w:rPr>
                <w:rFonts w:asciiTheme="minorHAnsi" w:hAnsiTheme="minorHAnsi"/>
                <w:sz w:val="20"/>
                <w:szCs w:val="20"/>
                <w:lang w:eastAsia="en-US"/>
              </w:rPr>
              <w:t>21</w:t>
            </w:r>
            <w:r w:rsidRPr="0073775E">
              <w:rPr>
                <w:rFonts w:asciiTheme="minorHAnsi" w:hAnsiTheme="minorHAnsi"/>
                <w:sz w:val="20"/>
                <w:szCs w:val="20"/>
                <w:lang w:eastAsia="en-US"/>
              </w:rPr>
              <w:t xml:space="preserve"> zaměstnanců. Stavy zaměstnanců ve firmě se průběžně významně mění podle stavu zakázek.</w:t>
            </w:r>
            <w:r>
              <w:rPr>
                <w:rFonts w:asciiTheme="minorHAnsi" w:hAnsiTheme="minorHAnsi"/>
                <w:sz w:val="20"/>
                <w:szCs w:val="20"/>
                <w:lang w:eastAsia="en-US"/>
              </w:rPr>
              <w:t xml:space="preserve"> Nejčastějším vzděláním zaměstnanců jsou vyučeni bez maturity (56 %). </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Masarykův onkologický ústav</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Žlutý kopec 7,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ústavní zdravotní péče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860</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890</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 xml:space="preserve">Ústav patří mezi stabilní zaměstnavatele, v roce 2010 byl otevřen nový pavilon a došlo k nárůstu pracovníků o 40 osob, v roce 2011 pak o dalších 44 osob. </w:t>
            </w:r>
            <w:r>
              <w:rPr>
                <w:rFonts w:asciiTheme="minorHAnsi" w:hAnsiTheme="minorHAnsi"/>
                <w:sz w:val="20"/>
                <w:szCs w:val="20"/>
                <w:lang w:eastAsia="en-US"/>
              </w:rPr>
              <w:t>Poté byl počet zaměstnanců stabilizován a v roce 2014 se počet zaměstnanců navýšil o 30 osob. V příštím roce se neuvažuje o přijímání nových zaměstnanců. Nejčastější vzdělání zaměstnanců je vysokoškolské (42 %).</w:t>
            </w:r>
          </w:p>
        </w:tc>
      </w:tr>
    </w:tbl>
    <w:p w:rsidR="00DF03E3"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C96239" w:rsidRDefault="00DF03E3" w:rsidP="00C112A9">
            <w:pPr>
              <w:ind w:right="113"/>
              <w:rPr>
                <w:rFonts w:asciiTheme="minorHAnsi" w:hAnsiTheme="minorHAnsi"/>
                <w:sz w:val="20"/>
                <w:szCs w:val="20"/>
                <w:lang w:eastAsia="en-US"/>
              </w:rPr>
            </w:pPr>
            <w:r w:rsidRPr="00C96239">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Zetor Tractors a.s.</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C96239" w:rsidRDefault="00DF03E3" w:rsidP="00C112A9">
            <w:pPr>
              <w:ind w:right="113"/>
              <w:rPr>
                <w:rFonts w:asciiTheme="minorHAnsi" w:hAnsiTheme="minorHAnsi"/>
                <w:sz w:val="20"/>
                <w:szCs w:val="20"/>
                <w:lang w:eastAsia="en-US"/>
              </w:rPr>
            </w:pPr>
            <w:r w:rsidRPr="00C96239">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C96239" w:rsidRDefault="00DF03E3" w:rsidP="00C112A9">
            <w:pPr>
              <w:ind w:right="113"/>
              <w:rPr>
                <w:rFonts w:asciiTheme="minorHAnsi" w:hAnsiTheme="minorHAnsi"/>
                <w:sz w:val="20"/>
                <w:szCs w:val="20"/>
                <w:lang w:eastAsia="en-US"/>
              </w:rPr>
            </w:pPr>
            <w:r w:rsidRPr="00C96239">
              <w:rPr>
                <w:rFonts w:asciiTheme="minorHAnsi" w:hAnsiTheme="minorHAnsi"/>
                <w:sz w:val="20"/>
                <w:szCs w:val="20"/>
                <w:lang w:eastAsia="en-US"/>
              </w:rPr>
              <w:t>Trnkova 111,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C96239" w:rsidRDefault="00DF03E3" w:rsidP="00C112A9">
            <w:pPr>
              <w:ind w:right="113"/>
              <w:rPr>
                <w:rFonts w:asciiTheme="minorHAnsi" w:hAnsiTheme="minorHAnsi"/>
                <w:sz w:val="20"/>
                <w:szCs w:val="20"/>
                <w:lang w:eastAsia="en-US"/>
              </w:rPr>
            </w:pPr>
            <w:r w:rsidRPr="00C96239">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C96239" w:rsidRDefault="00DF03E3" w:rsidP="00C112A9">
            <w:pPr>
              <w:ind w:right="113"/>
              <w:rPr>
                <w:rFonts w:asciiTheme="minorHAnsi" w:hAnsiTheme="minorHAnsi"/>
                <w:sz w:val="20"/>
                <w:szCs w:val="20"/>
                <w:lang w:eastAsia="en-US"/>
              </w:rPr>
            </w:pPr>
            <w:r w:rsidRPr="00C96239">
              <w:rPr>
                <w:rFonts w:asciiTheme="minorHAnsi" w:hAnsiTheme="minorHAnsi"/>
                <w:sz w:val="20"/>
                <w:szCs w:val="20"/>
                <w:lang w:eastAsia="en-US"/>
              </w:rPr>
              <w:t>výroba a opravy zemědělských a lesnických traktorů</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C96239" w:rsidRDefault="00DF03E3" w:rsidP="00C112A9">
            <w:pPr>
              <w:ind w:right="113"/>
              <w:rPr>
                <w:rFonts w:asciiTheme="minorHAnsi" w:hAnsiTheme="minorHAnsi"/>
                <w:sz w:val="20"/>
                <w:szCs w:val="20"/>
                <w:lang w:eastAsia="en-US"/>
              </w:rPr>
            </w:pPr>
            <w:r w:rsidRPr="00C96239">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C96239"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C96239"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387CB2" w:rsidRDefault="00DF03E3" w:rsidP="00C112A9">
            <w:pPr>
              <w:ind w:right="113"/>
              <w:rPr>
                <w:rFonts w:asciiTheme="minorHAnsi" w:hAnsiTheme="minorHAnsi"/>
                <w:sz w:val="20"/>
                <w:szCs w:val="20"/>
                <w:lang w:eastAsia="en-US"/>
              </w:rPr>
            </w:pPr>
            <w:r w:rsidRPr="00387CB2">
              <w:rPr>
                <w:rFonts w:asciiTheme="minorHAnsi" w:hAnsiTheme="minorHAnsi"/>
                <w:sz w:val="20"/>
                <w:szCs w:val="20"/>
                <w:lang w:eastAsia="en-US"/>
              </w:rPr>
              <w:t>886</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C96239"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C96239"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 xml:space="preserve">815 </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C96239" w:rsidRDefault="00DF03E3" w:rsidP="00C112A9">
            <w:pPr>
              <w:ind w:right="113"/>
              <w:rPr>
                <w:rFonts w:asciiTheme="minorHAnsi" w:hAnsiTheme="minorHAnsi"/>
                <w:sz w:val="20"/>
                <w:szCs w:val="20"/>
                <w:lang w:eastAsia="en-US"/>
              </w:rPr>
            </w:pPr>
            <w:r w:rsidRPr="00C96239">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C96239" w:rsidRDefault="00DF03E3" w:rsidP="00C112A9">
            <w:pPr>
              <w:ind w:right="113"/>
              <w:rPr>
                <w:rFonts w:asciiTheme="minorHAnsi" w:hAnsiTheme="minorHAnsi"/>
                <w:sz w:val="20"/>
                <w:szCs w:val="20"/>
                <w:lang w:eastAsia="en-US"/>
              </w:rPr>
            </w:pPr>
            <w:r w:rsidRPr="00C96239">
              <w:rPr>
                <w:rFonts w:asciiTheme="minorHAnsi" w:hAnsiTheme="minorHAnsi"/>
                <w:sz w:val="20"/>
                <w:szCs w:val="20"/>
                <w:lang w:eastAsia="en-US"/>
              </w:rPr>
              <w:t>Slovensko</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C96239" w:rsidRDefault="00DF03E3" w:rsidP="00C112A9">
            <w:pPr>
              <w:ind w:right="113"/>
              <w:rPr>
                <w:rFonts w:asciiTheme="minorHAnsi" w:hAnsiTheme="minorHAnsi"/>
                <w:sz w:val="20"/>
                <w:szCs w:val="20"/>
                <w:lang w:eastAsia="en-US"/>
              </w:rPr>
            </w:pPr>
            <w:r w:rsidRPr="00C96239">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114FA" w:rsidRDefault="00DF03E3" w:rsidP="00C112A9">
            <w:pPr>
              <w:autoSpaceDE w:val="0"/>
              <w:autoSpaceDN w:val="0"/>
              <w:adjustRightInd w:val="0"/>
              <w:spacing w:line="240" w:lineRule="auto"/>
              <w:jc w:val="both"/>
              <w:rPr>
                <w:rFonts w:asciiTheme="minorHAnsi" w:eastAsiaTheme="minorHAnsi" w:hAnsiTheme="minorHAnsi" w:cs="DINPro-Regular"/>
                <w:color w:val="646463"/>
                <w:sz w:val="20"/>
                <w:szCs w:val="20"/>
                <w:lang w:eastAsia="en-US"/>
              </w:rPr>
            </w:pPr>
            <w:r w:rsidRPr="007114FA">
              <w:rPr>
                <w:rFonts w:asciiTheme="minorHAnsi" w:eastAsiaTheme="minorHAnsi" w:hAnsiTheme="minorHAnsi" w:cs="DINPro-Regular"/>
                <w:sz w:val="20"/>
                <w:szCs w:val="20"/>
                <w:lang w:eastAsia="en-US"/>
              </w:rPr>
              <w:t>Tento rok byl spojen se zefektivněním výrobních procesů a také s outsourcováním některých dříve interně vyráběných součástí. Vliv na počet zaměstnanců měl také důchodový věk řady z nich. Z tohoto důvodu docházelo k náboru zaměstnanců spíše z důvodu náhrad stávajících zaměstnanců. Fluktuace zaměstnanců se pohybovala na úrovni přirozené fluktuace v regionu.</w:t>
            </w:r>
          </w:p>
        </w:tc>
      </w:tr>
    </w:tbl>
    <w:p w:rsidR="00DF03E3"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Veterinární a farmaceutická univerzita Brno</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Palackého tř. 1/3</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vysokoškolské vzdělávání</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796</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776</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 xml:space="preserve">V </w:t>
            </w:r>
            <w:r w:rsidRPr="0073775E">
              <w:rPr>
                <w:rFonts w:asciiTheme="minorHAnsi" w:hAnsiTheme="minorHAnsi"/>
                <w:sz w:val="20"/>
                <w:szCs w:val="20"/>
                <w:lang w:eastAsia="en-US"/>
              </w:rPr>
              <w:t>roce 201</w:t>
            </w:r>
            <w:r>
              <w:rPr>
                <w:rFonts w:asciiTheme="minorHAnsi" w:hAnsiTheme="minorHAnsi"/>
                <w:sz w:val="20"/>
                <w:szCs w:val="20"/>
                <w:lang w:eastAsia="en-US"/>
              </w:rPr>
              <w:t>4</w:t>
            </w:r>
            <w:r w:rsidRPr="0073775E">
              <w:rPr>
                <w:rFonts w:asciiTheme="minorHAnsi" w:hAnsiTheme="minorHAnsi"/>
                <w:sz w:val="20"/>
                <w:szCs w:val="20"/>
                <w:lang w:eastAsia="en-US"/>
              </w:rPr>
              <w:t xml:space="preserve"> došlo k mírnému </w:t>
            </w:r>
            <w:r>
              <w:rPr>
                <w:rFonts w:asciiTheme="minorHAnsi" w:hAnsiTheme="minorHAnsi"/>
                <w:sz w:val="20"/>
                <w:szCs w:val="20"/>
                <w:lang w:eastAsia="en-US"/>
              </w:rPr>
              <w:t xml:space="preserve">poklesu </w:t>
            </w:r>
            <w:r w:rsidRPr="0073775E">
              <w:rPr>
                <w:rFonts w:asciiTheme="minorHAnsi" w:hAnsiTheme="minorHAnsi"/>
                <w:sz w:val="20"/>
                <w:szCs w:val="20"/>
                <w:lang w:eastAsia="en-US"/>
              </w:rPr>
              <w:t>počtu zaměstnanců.</w:t>
            </w:r>
            <w:r>
              <w:rPr>
                <w:rFonts w:asciiTheme="minorHAnsi" w:hAnsiTheme="minorHAnsi"/>
                <w:sz w:val="20"/>
                <w:szCs w:val="20"/>
                <w:lang w:eastAsia="en-US"/>
              </w:rPr>
              <w:t xml:space="preserve"> Přes 38 % zaměstnanců se nachází ve věkové skupině55+.</w:t>
            </w:r>
          </w:p>
        </w:tc>
      </w:tr>
    </w:tbl>
    <w:p w:rsidR="00DF03E3"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193195" w:rsidRDefault="00DF03E3" w:rsidP="00C112A9">
            <w:pPr>
              <w:ind w:right="113"/>
              <w:rPr>
                <w:rFonts w:asciiTheme="minorHAnsi" w:hAnsiTheme="minorHAnsi"/>
                <w:b/>
                <w:sz w:val="20"/>
                <w:szCs w:val="20"/>
              </w:rPr>
            </w:pPr>
            <w:r w:rsidRPr="00193195">
              <w:rPr>
                <w:rFonts w:asciiTheme="minorHAnsi" w:hAnsiTheme="minorHAnsi"/>
                <w:b/>
                <w:sz w:val="20"/>
                <w:szCs w:val="20"/>
              </w:rPr>
              <w:t>Honeywell, spol. s.r.o. – HTS CZ o.z.</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sídlo</w:t>
            </w:r>
          </w:p>
        </w:tc>
        <w:tc>
          <w:tcPr>
            <w:tcW w:w="4252" w:type="dxa"/>
            <w:tcBorders>
              <w:top w:val="double" w:sz="4" w:space="0" w:color="auto"/>
              <w:left w:val="nil"/>
              <w:bottom w:val="single" w:sz="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Tuřanka 100/1387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předmět činnosti (podrobněji):</w:t>
            </w:r>
          </w:p>
        </w:tc>
        <w:tc>
          <w:tcPr>
            <w:tcW w:w="4252" w:type="dxa"/>
            <w:tcBorders>
              <w:top w:val="single" w:sz="2"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výroba instalace a opravy el. zařízení</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v roce 2013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654</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v roce 2014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679</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země zahraničního partnera (pokud existuje)</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USA, Itálie</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tcPr>
          <w:p w:rsidR="00DF03E3" w:rsidRPr="0073775E" w:rsidRDefault="00DF03E3" w:rsidP="00C112A9">
            <w:pPr>
              <w:ind w:right="113"/>
              <w:jc w:val="both"/>
              <w:rPr>
                <w:rFonts w:asciiTheme="minorHAnsi" w:hAnsiTheme="minorHAnsi"/>
                <w:sz w:val="20"/>
                <w:szCs w:val="20"/>
              </w:rPr>
            </w:pPr>
            <w:r w:rsidRPr="0073775E">
              <w:rPr>
                <w:rFonts w:asciiTheme="minorHAnsi" w:hAnsiTheme="minorHAnsi" w:cs="Arial"/>
                <w:sz w:val="20"/>
                <w:szCs w:val="20"/>
              </w:rPr>
              <w:t>Stavy zaměstnanců v oblastním závodě v Brně se v roce 201</w:t>
            </w:r>
            <w:r>
              <w:rPr>
                <w:rFonts w:asciiTheme="minorHAnsi" w:hAnsiTheme="minorHAnsi" w:cs="Arial"/>
                <w:sz w:val="20"/>
                <w:szCs w:val="20"/>
              </w:rPr>
              <w:t>4</w:t>
            </w:r>
            <w:r w:rsidRPr="0073775E">
              <w:rPr>
                <w:rFonts w:asciiTheme="minorHAnsi" w:hAnsiTheme="minorHAnsi" w:cs="Arial"/>
                <w:sz w:val="20"/>
                <w:szCs w:val="20"/>
              </w:rPr>
              <w:t xml:space="preserve"> zvýšily o </w:t>
            </w:r>
            <w:r>
              <w:rPr>
                <w:rFonts w:asciiTheme="minorHAnsi" w:hAnsiTheme="minorHAnsi" w:cs="Arial"/>
                <w:sz w:val="20"/>
                <w:szCs w:val="20"/>
              </w:rPr>
              <w:t>25</w:t>
            </w:r>
            <w:r w:rsidRPr="0073775E">
              <w:rPr>
                <w:rFonts w:asciiTheme="minorHAnsi" w:hAnsiTheme="minorHAnsi" w:cs="Arial"/>
                <w:sz w:val="20"/>
                <w:szCs w:val="20"/>
              </w:rPr>
              <w:t xml:space="preserve"> osob</w:t>
            </w:r>
            <w:r w:rsidRPr="0073775E">
              <w:rPr>
                <w:rFonts w:asciiTheme="minorHAnsi" w:hAnsiTheme="minorHAnsi"/>
                <w:sz w:val="20"/>
                <w:szCs w:val="20"/>
              </w:rPr>
              <w:t>. Společnost plánuje v roce 201</w:t>
            </w:r>
            <w:r>
              <w:rPr>
                <w:rFonts w:asciiTheme="minorHAnsi" w:hAnsiTheme="minorHAnsi"/>
                <w:sz w:val="20"/>
                <w:szCs w:val="20"/>
              </w:rPr>
              <w:t>5</w:t>
            </w:r>
            <w:r w:rsidRPr="0073775E">
              <w:rPr>
                <w:rFonts w:asciiTheme="minorHAnsi" w:hAnsiTheme="minorHAnsi"/>
                <w:sz w:val="20"/>
                <w:szCs w:val="20"/>
              </w:rPr>
              <w:t xml:space="preserve"> další navýšení počtu zaměstnanců.  Především technické a odborné pracovníky</w:t>
            </w:r>
            <w:r>
              <w:rPr>
                <w:rFonts w:asciiTheme="minorHAnsi" w:hAnsiTheme="minorHAnsi"/>
                <w:sz w:val="20"/>
                <w:szCs w:val="20"/>
              </w:rPr>
              <w:t xml:space="preserve"> v oblasti elektra</w:t>
            </w:r>
            <w:r w:rsidRPr="0073775E">
              <w:rPr>
                <w:rFonts w:asciiTheme="minorHAnsi" w:hAnsiTheme="minorHAnsi"/>
                <w:sz w:val="20"/>
                <w:szCs w:val="20"/>
              </w:rPr>
              <w:t xml:space="preserve"> a zároveň administrativní pracovníky</w:t>
            </w:r>
            <w:r>
              <w:rPr>
                <w:rFonts w:asciiTheme="minorHAnsi" w:hAnsiTheme="minorHAnsi"/>
                <w:sz w:val="20"/>
                <w:szCs w:val="20"/>
              </w:rPr>
              <w:t>. Společnost zaměstnává dalších 147 agenturních zaměstnanců.</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Jihomoravský kraj</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561EAD" w:rsidRDefault="00561EAD" w:rsidP="00561EAD">
            <w:pPr>
              <w:ind w:right="113"/>
              <w:rPr>
                <w:rFonts w:asciiTheme="minorHAnsi" w:hAnsiTheme="minorHAnsi"/>
                <w:sz w:val="20"/>
                <w:szCs w:val="20"/>
                <w:lang w:eastAsia="en-US"/>
              </w:rPr>
            </w:pPr>
            <w:r w:rsidRPr="00561EAD">
              <w:rPr>
                <w:rFonts w:asciiTheme="minorHAnsi" w:hAnsiTheme="minorHAnsi"/>
                <w:sz w:val="20"/>
                <w:szCs w:val="20"/>
              </w:rPr>
              <w:t>Žerotínovo nám. 449/3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561EAD" w:rsidP="00C112A9">
            <w:pPr>
              <w:ind w:right="113"/>
              <w:rPr>
                <w:rFonts w:asciiTheme="minorHAnsi" w:hAnsiTheme="minorHAnsi"/>
                <w:sz w:val="20"/>
                <w:szCs w:val="20"/>
                <w:lang w:eastAsia="en-US"/>
              </w:rPr>
            </w:pPr>
            <w:r>
              <w:rPr>
                <w:rFonts w:asciiTheme="minorHAnsi" w:hAnsiTheme="minorHAnsi"/>
                <w:sz w:val="20"/>
                <w:szCs w:val="20"/>
                <w:lang w:eastAsia="en-US"/>
              </w:rPr>
              <w:t>státní správa</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lastRenderedPageBreak/>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650</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653</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 roce 201</w:t>
            </w:r>
            <w:r>
              <w:rPr>
                <w:rFonts w:asciiTheme="minorHAnsi" w:hAnsiTheme="minorHAnsi"/>
                <w:sz w:val="20"/>
                <w:szCs w:val="20"/>
                <w:lang w:eastAsia="en-US"/>
              </w:rPr>
              <w:t>4</w:t>
            </w:r>
            <w:r w:rsidRPr="0073775E">
              <w:rPr>
                <w:rFonts w:asciiTheme="minorHAnsi" w:hAnsiTheme="minorHAnsi"/>
                <w:sz w:val="20"/>
                <w:szCs w:val="20"/>
                <w:lang w:eastAsia="en-US"/>
              </w:rPr>
              <w:t xml:space="preserve"> došlo k mírnému nárůstu počtu zaměstnanců.</w:t>
            </w:r>
            <w:r>
              <w:rPr>
                <w:rFonts w:asciiTheme="minorHAnsi" w:hAnsiTheme="minorHAnsi"/>
                <w:sz w:val="20"/>
                <w:szCs w:val="20"/>
                <w:lang w:eastAsia="en-US"/>
              </w:rPr>
              <w:t xml:space="preserve"> Přes 70 % zaměstnanců má vysokoškolské vzdělání.</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Psychiatrická nemocnice Brno</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Húskova 2,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ústavní zdravotní péče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604</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594</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V roce 201</w:t>
            </w:r>
            <w:r>
              <w:rPr>
                <w:rFonts w:asciiTheme="minorHAnsi" w:hAnsiTheme="minorHAnsi"/>
                <w:sz w:val="20"/>
                <w:szCs w:val="20"/>
                <w:lang w:eastAsia="en-US"/>
              </w:rPr>
              <w:t>4</w:t>
            </w:r>
            <w:r w:rsidRPr="0073775E">
              <w:rPr>
                <w:rFonts w:asciiTheme="minorHAnsi" w:hAnsiTheme="minorHAnsi"/>
                <w:sz w:val="20"/>
                <w:szCs w:val="20"/>
                <w:lang w:eastAsia="en-US"/>
              </w:rPr>
              <w:t xml:space="preserve"> došlo k mírnému poklesu počtu zaměstnanců.</w:t>
            </w:r>
            <w:r>
              <w:rPr>
                <w:rFonts w:asciiTheme="minorHAnsi" w:hAnsiTheme="minorHAnsi"/>
                <w:sz w:val="20"/>
                <w:szCs w:val="20"/>
                <w:lang w:eastAsia="en-US"/>
              </w:rPr>
              <w:t xml:space="preserve"> V příštím roce je očekáván také mírný pokles počtu zaměstnanců. Nejčastější dosažené vzdělání zaměstnanců je střední s maturitou (46 %). </w:t>
            </w:r>
          </w:p>
        </w:tc>
      </w:tr>
    </w:tbl>
    <w:p w:rsidR="00DF03E3" w:rsidRPr="0073775E" w:rsidRDefault="00DF03E3" w:rsidP="00DF03E3">
      <w:pPr>
        <w:ind w:right="113"/>
        <w:rPr>
          <w:rFonts w:asciiTheme="minorHAnsi" w:hAnsiTheme="minorHAnsi"/>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193195" w:rsidRDefault="00DF03E3" w:rsidP="00C112A9">
            <w:pPr>
              <w:ind w:right="113"/>
              <w:rPr>
                <w:rFonts w:asciiTheme="minorHAnsi" w:hAnsiTheme="minorHAnsi"/>
                <w:b/>
                <w:sz w:val="20"/>
                <w:szCs w:val="20"/>
                <w:lang w:eastAsia="en-US"/>
              </w:rPr>
            </w:pPr>
            <w:r w:rsidRPr="00193195">
              <w:rPr>
                <w:rFonts w:asciiTheme="minorHAnsi" w:hAnsiTheme="minorHAnsi"/>
                <w:b/>
                <w:sz w:val="20"/>
                <w:szCs w:val="20"/>
                <w:lang w:eastAsia="en-US"/>
              </w:rPr>
              <w:t>FEI Czech Republic</w:t>
            </w:r>
          </w:p>
        </w:tc>
      </w:tr>
      <w:tr w:rsidR="00DF03E3" w:rsidRPr="0073775E" w:rsidTr="00C112A9">
        <w:tc>
          <w:tcPr>
            <w:tcW w:w="4820" w:type="dxa"/>
            <w:tcBorders>
              <w:top w:val="double" w:sz="4" w:space="0" w:color="auto"/>
              <w:left w:val="double" w:sz="4" w:space="0" w:color="auto"/>
              <w:bottom w:val="single" w:sz="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sídlo</w:t>
            </w:r>
          </w:p>
        </w:tc>
        <w:tc>
          <w:tcPr>
            <w:tcW w:w="4252" w:type="dxa"/>
            <w:tcBorders>
              <w:top w:val="double" w:sz="4" w:space="0" w:color="auto"/>
              <w:left w:val="nil"/>
              <w:bottom w:val="single" w:sz="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Podnikatelská 6, Brno</w:t>
            </w:r>
          </w:p>
        </w:tc>
      </w:tr>
      <w:tr w:rsidR="00DF03E3" w:rsidRPr="0073775E" w:rsidTr="00C112A9">
        <w:tc>
          <w:tcPr>
            <w:tcW w:w="4820" w:type="dxa"/>
            <w:tcBorders>
              <w:top w:val="single" w:sz="2"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předmět činnosti (podrobněji):</w:t>
            </w:r>
          </w:p>
        </w:tc>
        <w:tc>
          <w:tcPr>
            <w:tcW w:w="4252" w:type="dxa"/>
            <w:tcBorders>
              <w:top w:val="single" w:sz="2"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výroba a vývoj elektrických strojů</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počet zaměstnanců v okrese Brno-město:</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2013</w:t>
            </w:r>
          </w:p>
        </w:tc>
        <w:tc>
          <w:tcPr>
            <w:tcW w:w="4252" w:type="dxa"/>
            <w:tcBorders>
              <w:top w:val="nil"/>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545</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576</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země zahraničního partnera (pokud existuje)</w:t>
            </w:r>
          </w:p>
        </w:tc>
        <w:tc>
          <w:tcPr>
            <w:tcW w:w="4252" w:type="dxa"/>
            <w:tcBorders>
              <w:top w:val="nil"/>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USA</w:t>
            </w:r>
            <w:r>
              <w:rPr>
                <w:rFonts w:asciiTheme="minorHAnsi" w:hAnsiTheme="minorHAnsi"/>
                <w:sz w:val="20"/>
                <w:szCs w:val="20"/>
                <w:lang w:eastAsia="en-US"/>
              </w:rPr>
              <w:t xml:space="preserve"> (100 %)</w:t>
            </w:r>
          </w:p>
        </w:tc>
      </w:tr>
      <w:tr w:rsidR="00DF03E3" w:rsidRPr="0073775E"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komentář: stručná charakteristika zaměstnavatele včetně vývoje za sledové období</w:t>
            </w:r>
          </w:p>
        </w:tc>
        <w:tc>
          <w:tcPr>
            <w:tcW w:w="4252" w:type="dxa"/>
            <w:tcBorders>
              <w:top w:val="single" w:sz="12" w:space="0" w:color="auto"/>
              <w:left w:val="nil"/>
              <w:bottom w:val="double" w:sz="4"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color w:val="000000"/>
                <w:sz w:val="20"/>
                <w:szCs w:val="20"/>
                <w:lang w:eastAsia="en-US"/>
              </w:rPr>
              <w:t xml:space="preserve">Výrobní náplní je především </w:t>
            </w:r>
            <w:r w:rsidRPr="0073775E">
              <w:rPr>
                <w:rFonts w:asciiTheme="minorHAnsi" w:hAnsiTheme="minorHAnsi"/>
                <w:sz w:val="20"/>
                <w:szCs w:val="20"/>
              </w:rPr>
              <w:t xml:space="preserve">produkce také vývoj a servis elektronových mikroskopů. V roce 2012 obsadila společnost FEI Czech Republic první příčku v ČR za meziroční nárůst exportu. </w:t>
            </w:r>
            <w:r w:rsidRPr="0073775E">
              <w:rPr>
                <w:rFonts w:asciiTheme="minorHAnsi" w:hAnsiTheme="minorHAnsi"/>
                <w:sz w:val="20"/>
                <w:szCs w:val="20"/>
                <w:lang w:eastAsia="en-US"/>
              </w:rPr>
              <w:t>V roce 2013</w:t>
            </w:r>
            <w:r>
              <w:rPr>
                <w:rFonts w:asciiTheme="minorHAnsi" w:hAnsiTheme="minorHAnsi"/>
                <w:sz w:val="20"/>
                <w:szCs w:val="20"/>
                <w:lang w:eastAsia="en-US"/>
              </w:rPr>
              <w:t xml:space="preserve"> </w:t>
            </w:r>
            <w:r w:rsidRPr="0073775E">
              <w:rPr>
                <w:rFonts w:asciiTheme="minorHAnsi" w:hAnsiTheme="minorHAnsi"/>
                <w:sz w:val="20"/>
                <w:szCs w:val="20"/>
                <w:lang w:eastAsia="en-US"/>
              </w:rPr>
              <w:t xml:space="preserve">došlo </w:t>
            </w:r>
            <w:r>
              <w:rPr>
                <w:rFonts w:asciiTheme="minorHAnsi" w:hAnsiTheme="minorHAnsi"/>
                <w:sz w:val="20"/>
                <w:szCs w:val="20"/>
                <w:lang w:eastAsia="en-US"/>
              </w:rPr>
              <w:t>k nárůstu zaměstnanců o 45 osob a v roce 2014 o dalších 31 osob.</w:t>
            </w:r>
            <w:r w:rsidRPr="0073775E">
              <w:rPr>
                <w:rFonts w:asciiTheme="minorHAnsi" w:hAnsiTheme="minorHAnsi"/>
                <w:sz w:val="20"/>
                <w:szCs w:val="20"/>
                <w:lang w:eastAsia="en-US"/>
              </w:rPr>
              <w:t xml:space="preserve"> V roce 201</w:t>
            </w:r>
            <w:r>
              <w:rPr>
                <w:rFonts w:asciiTheme="minorHAnsi" w:hAnsiTheme="minorHAnsi"/>
                <w:sz w:val="20"/>
                <w:szCs w:val="20"/>
                <w:lang w:eastAsia="en-US"/>
              </w:rPr>
              <w:t>5</w:t>
            </w:r>
            <w:r w:rsidRPr="0073775E">
              <w:rPr>
                <w:rFonts w:asciiTheme="minorHAnsi" w:hAnsiTheme="minorHAnsi"/>
                <w:sz w:val="20"/>
                <w:szCs w:val="20"/>
                <w:lang w:eastAsia="en-US"/>
              </w:rPr>
              <w:t xml:space="preserve"> je předpokládáno další navýšení počtu zaměstnanců</w:t>
            </w:r>
            <w:r>
              <w:rPr>
                <w:rFonts w:asciiTheme="minorHAnsi" w:hAnsiTheme="minorHAnsi"/>
                <w:sz w:val="20"/>
                <w:szCs w:val="20"/>
                <w:lang w:eastAsia="en-US"/>
              </w:rPr>
              <w:t xml:space="preserve"> (o 70 osob, včetně absolventů)</w:t>
            </w:r>
            <w:r w:rsidRPr="0073775E">
              <w:rPr>
                <w:rFonts w:asciiTheme="minorHAnsi" w:hAnsiTheme="minorHAnsi"/>
                <w:sz w:val="20"/>
                <w:szCs w:val="20"/>
                <w:lang w:eastAsia="en-US"/>
              </w:rPr>
              <w:t xml:space="preserve">. </w:t>
            </w:r>
          </w:p>
        </w:tc>
      </w:tr>
      <w:bookmarkEnd w:id="11"/>
    </w:tbl>
    <w:p w:rsidR="00DF03E3" w:rsidRPr="0073775E" w:rsidRDefault="00DF03E3" w:rsidP="00DF03E3">
      <w:pPr>
        <w:ind w:right="113"/>
        <w:rPr>
          <w:rFonts w:asciiTheme="minorHAnsi" w:hAnsiTheme="minorHAnsi"/>
          <w:color w:val="FF0000"/>
          <w:sz w:val="20"/>
          <w:szCs w:val="20"/>
          <w:highlight w:val="yellow"/>
        </w:rPr>
      </w:pPr>
    </w:p>
    <w:p w:rsidR="00DF03E3" w:rsidRPr="0073775E" w:rsidRDefault="00DF03E3" w:rsidP="00DF03E3">
      <w:pPr>
        <w:ind w:right="113"/>
        <w:rPr>
          <w:rFonts w:asciiTheme="minorHAnsi" w:hAnsiTheme="minorHAnsi"/>
          <w:color w:val="FF0000"/>
          <w:sz w:val="20"/>
          <w:szCs w:val="20"/>
          <w:highlight w:val="yellow"/>
        </w:rPr>
      </w:pPr>
    </w:p>
    <w:p w:rsidR="00DF03E3" w:rsidRPr="0073775E" w:rsidRDefault="00DF03E3" w:rsidP="00DF03E3">
      <w:pPr>
        <w:ind w:right="113"/>
        <w:rPr>
          <w:rFonts w:ascii="Arial" w:hAnsi="Arial" w:cs="Arial"/>
          <w:b/>
        </w:rPr>
      </w:pPr>
      <w:r w:rsidRPr="0073775E">
        <w:rPr>
          <w:rFonts w:ascii="Arial" w:hAnsi="Arial" w:cs="Arial"/>
          <w:b/>
        </w:rPr>
        <w:t>OKRES BRNO-VENKOV</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Tyco Electronics Czech, s.r.o.</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K AMP 1293, Kuřim</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vyrábí kabelovou a konektorovou techniku pro automobilový průmysl</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počet zaměstnanců v okrese Brno-venkov:</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 xml:space="preserve">2 </w:t>
            </w:r>
            <w:r>
              <w:rPr>
                <w:rFonts w:asciiTheme="minorHAnsi" w:hAnsiTheme="minorHAnsi"/>
                <w:sz w:val="20"/>
                <w:szCs w:val="20"/>
              </w:rPr>
              <w:t>414</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 xml:space="preserve">2 </w:t>
            </w:r>
            <w:r>
              <w:rPr>
                <w:rFonts w:asciiTheme="minorHAnsi" w:hAnsiTheme="minorHAnsi"/>
                <w:sz w:val="20"/>
                <w:szCs w:val="20"/>
              </w:rPr>
              <w:t>493</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lastRenderedPageBreak/>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Lucembursk</w:t>
            </w:r>
            <w:r>
              <w:rPr>
                <w:rFonts w:asciiTheme="minorHAnsi" w:hAnsiTheme="minorHAnsi"/>
                <w:sz w:val="20"/>
                <w:szCs w:val="20"/>
              </w:rPr>
              <w:t>é velkovévodství</w:t>
            </w:r>
            <w:r w:rsidRPr="0073775E">
              <w:rPr>
                <w:rFonts w:asciiTheme="minorHAnsi" w:hAnsiTheme="minorHAnsi"/>
                <w:sz w:val="20"/>
                <w:szCs w:val="20"/>
              </w:rPr>
              <w:t>, Gibraltar</w:t>
            </w:r>
          </w:p>
        </w:tc>
      </w:tr>
      <w:tr w:rsidR="00DF03E3" w:rsidRPr="0073775E" w:rsidTr="00C112A9">
        <w:trPr>
          <w:trHeight w:val="1484"/>
        </w:trPr>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Pr="0073775E" w:rsidRDefault="00DF03E3" w:rsidP="00EF78B5">
            <w:pPr>
              <w:pStyle w:val="odrky-zprva-podniky"/>
              <w:tabs>
                <w:tab w:val="clear" w:pos="360"/>
              </w:tabs>
              <w:ind w:left="0" w:firstLine="0"/>
              <w:rPr>
                <w:rFonts w:asciiTheme="minorHAnsi" w:hAnsiTheme="minorHAnsi"/>
                <w:sz w:val="20"/>
              </w:rPr>
            </w:pPr>
            <w:r>
              <w:rPr>
                <w:rFonts w:asciiTheme="minorHAnsi" w:hAnsiTheme="minorHAnsi"/>
                <w:sz w:val="20"/>
              </w:rPr>
              <w:t>Tyco Electronics Czech je součástí společnosti TE Connectivity, která je největším světovým výrobcem a dodavatelem kabelové a konektorové techniky. Závod Tyco Electronics Czech se sídlem v Kuřimi je n</w:t>
            </w:r>
            <w:r w:rsidRPr="0073775E">
              <w:rPr>
                <w:rFonts w:asciiTheme="minorHAnsi" w:hAnsiTheme="minorHAnsi"/>
                <w:sz w:val="20"/>
              </w:rPr>
              <w:t>ejvětší průmyslový zaměstnavatel v</w:t>
            </w:r>
            <w:r>
              <w:rPr>
                <w:rFonts w:asciiTheme="minorHAnsi" w:hAnsiTheme="minorHAnsi"/>
                <w:sz w:val="20"/>
              </w:rPr>
              <w:t> </w:t>
            </w:r>
            <w:r w:rsidRPr="0073775E">
              <w:rPr>
                <w:rFonts w:asciiTheme="minorHAnsi" w:hAnsiTheme="minorHAnsi"/>
                <w:sz w:val="20"/>
              </w:rPr>
              <w:t>okrese</w:t>
            </w:r>
            <w:r>
              <w:rPr>
                <w:rFonts w:asciiTheme="minorHAnsi" w:hAnsiTheme="minorHAnsi"/>
                <w:sz w:val="20"/>
              </w:rPr>
              <w:t xml:space="preserve"> Brno-venkov. Výroba ve společnosti se stále zvyšuje a tomu odpovídá i zvýšený počet   zaměstnanců, kdy v roce 2014 </w:t>
            </w:r>
            <w:r w:rsidRPr="0073775E">
              <w:rPr>
                <w:rFonts w:asciiTheme="minorHAnsi" w:hAnsiTheme="minorHAnsi"/>
                <w:sz w:val="20"/>
              </w:rPr>
              <w:t xml:space="preserve">došlo k nárůstu </w:t>
            </w:r>
            <w:r>
              <w:rPr>
                <w:rFonts w:asciiTheme="minorHAnsi" w:hAnsiTheme="minorHAnsi"/>
                <w:sz w:val="20"/>
              </w:rPr>
              <w:t>o téměř 80 nově přijatých</w:t>
            </w:r>
            <w:r w:rsidRPr="0073775E">
              <w:rPr>
                <w:rFonts w:asciiTheme="minorHAnsi" w:hAnsiTheme="minorHAnsi"/>
                <w:sz w:val="20"/>
              </w:rPr>
              <w:t xml:space="preserve"> </w:t>
            </w:r>
            <w:r>
              <w:rPr>
                <w:rFonts w:asciiTheme="minorHAnsi" w:hAnsiTheme="minorHAnsi"/>
                <w:sz w:val="20"/>
              </w:rPr>
              <w:t>osob</w:t>
            </w:r>
            <w:r w:rsidRPr="0073775E">
              <w:rPr>
                <w:rFonts w:asciiTheme="minorHAnsi" w:hAnsiTheme="minorHAnsi"/>
                <w:sz w:val="20"/>
              </w:rPr>
              <w:t>. Výrobní závod v Kuřimi je</w:t>
            </w:r>
            <w:r>
              <w:rPr>
                <w:rFonts w:asciiTheme="minorHAnsi" w:hAnsiTheme="minorHAnsi"/>
                <w:sz w:val="20"/>
              </w:rPr>
              <w:t xml:space="preserve"> se</w:t>
            </w:r>
            <w:r w:rsidRPr="0073775E">
              <w:rPr>
                <w:rFonts w:asciiTheme="minorHAnsi" w:hAnsiTheme="minorHAnsi"/>
                <w:sz w:val="20"/>
              </w:rPr>
              <w:t xml:space="preserve"> svým výrobním programem</w:t>
            </w:r>
            <w:r>
              <w:rPr>
                <w:rFonts w:asciiTheme="minorHAnsi" w:hAnsiTheme="minorHAnsi"/>
                <w:sz w:val="20"/>
              </w:rPr>
              <w:t>, který je</w:t>
            </w:r>
            <w:r w:rsidRPr="0073775E">
              <w:rPr>
                <w:rFonts w:asciiTheme="minorHAnsi" w:hAnsiTheme="minorHAnsi"/>
                <w:sz w:val="20"/>
              </w:rPr>
              <w:t xml:space="preserve"> zaměřený na kabelovou a konektorovou techniku pro aut</w:t>
            </w:r>
            <w:r>
              <w:rPr>
                <w:rFonts w:asciiTheme="minorHAnsi" w:hAnsiTheme="minorHAnsi"/>
                <w:sz w:val="20"/>
              </w:rPr>
              <w:t>o</w:t>
            </w:r>
            <w:r w:rsidRPr="0073775E">
              <w:rPr>
                <w:rFonts w:asciiTheme="minorHAnsi" w:hAnsiTheme="minorHAnsi"/>
                <w:sz w:val="20"/>
              </w:rPr>
              <w:t>mobil</w:t>
            </w:r>
            <w:r>
              <w:rPr>
                <w:rFonts w:asciiTheme="minorHAnsi" w:hAnsiTheme="minorHAnsi"/>
                <w:sz w:val="20"/>
              </w:rPr>
              <w:t>y (např. VW, Mercedes, Opel, BMW) prosperující závod, který stále hledá nové pracovníky, především na pozice operátor a operátorka</w:t>
            </w:r>
            <w:r w:rsidRPr="0073775E">
              <w:rPr>
                <w:rFonts w:asciiTheme="minorHAnsi" w:hAnsiTheme="minorHAnsi"/>
                <w:sz w:val="20"/>
              </w:rPr>
              <w:t>.</w:t>
            </w:r>
            <w:r>
              <w:rPr>
                <w:rFonts w:asciiTheme="minorHAnsi" w:hAnsiTheme="minorHAnsi"/>
                <w:sz w:val="20"/>
              </w:rPr>
              <w:t xml:space="preserve"> V roce 2015 se předpokládá zvyšování počtu zaměstnanců (pravděpodobný nárůst počtu zaměstnanců jako v roce 2014).</w:t>
            </w:r>
          </w:p>
        </w:tc>
      </w:tr>
    </w:tbl>
    <w:p w:rsidR="00DF03E3" w:rsidRPr="0073775E" w:rsidRDefault="00DF03E3" w:rsidP="00DF03E3">
      <w:pPr>
        <w:ind w:right="113"/>
        <w:rPr>
          <w:rStyle w:val="ZkladntextChar"/>
          <w:rFonts w:asciiTheme="minorHAnsi" w:eastAsiaTheme="majorEastAsia" w:hAnsiTheme="minorHAnsi"/>
          <w:color w:val="FF0000"/>
          <w:sz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DHL Supply Chain, s.r.o.</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Loděnická 963, Pohořelice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skladování, distribuce, vnitrostátní a mezinárodní doprava</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počet zaměstnanců v okrese Brno-venkov:</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849</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884</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Německo, Nizozemsko</w:t>
            </w:r>
          </w:p>
        </w:tc>
      </w:tr>
      <w:tr w:rsidR="00DF03E3" w:rsidRPr="0073775E" w:rsidTr="00C112A9">
        <w:trPr>
          <w:trHeight w:val="1255"/>
        </w:trPr>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jc w:val="both"/>
              <w:rPr>
                <w:rFonts w:asciiTheme="minorHAnsi" w:hAnsiTheme="minorHAnsi"/>
                <w:sz w:val="20"/>
                <w:szCs w:val="20"/>
              </w:rPr>
            </w:pPr>
            <w:r w:rsidRPr="0073775E">
              <w:rPr>
                <w:rFonts w:asciiTheme="minorHAnsi" w:hAnsiTheme="minorHAnsi"/>
                <w:sz w:val="20"/>
                <w:szCs w:val="20"/>
              </w:rPr>
              <w:t>Společnost vznikla v roce 1993 v průmyslové zóně v Pohořelicích. Společnost je lídrem na trhu smluvní logist</w:t>
            </w:r>
            <w:r>
              <w:rPr>
                <w:rFonts w:asciiTheme="minorHAnsi" w:hAnsiTheme="minorHAnsi"/>
                <w:sz w:val="20"/>
                <w:szCs w:val="20"/>
              </w:rPr>
              <w:t>iky a nabízí služby dopravy a skladování. V průběhu roku společnost přijímala zaměstnance nejčastěji na pozici skladový dělník, skladový operátor, řidič VZV. Přijímáni byli také administrativní pracovníci a pracovníci logistiky. V roce 2014 se zvýšil stav zaměstnanců DHL Supply Chain, s.r.o. Pohořelice o 35 osob. V roce 2015 se předpokládá stabilizovaný stav.</w:t>
            </w:r>
          </w:p>
        </w:tc>
      </w:tr>
    </w:tbl>
    <w:p w:rsidR="00DF03E3" w:rsidRDefault="00DF03E3" w:rsidP="00DF03E3">
      <w:pPr>
        <w:ind w:right="113"/>
        <w:rPr>
          <w:rStyle w:val="ZkladntextChar"/>
          <w:rFonts w:asciiTheme="minorHAnsi" w:eastAsiaTheme="majorEastAsia" w:hAnsiTheme="minorHAnsi"/>
          <w:color w:val="FF0000"/>
          <w:sz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Siemens Electric Machines, s.r.o.</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Drásov 126</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 xml:space="preserve">výroba, instalace, opravy elektrických strojů a přístrojů, elektronických a telekomunikačních zařízení; </w:t>
            </w:r>
            <w:r w:rsidRPr="0073775E">
              <w:rPr>
                <w:rFonts w:asciiTheme="minorHAnsi" w:hAnsiTheme="minorHAnsi"/>
                <w:sz w:val="20"/>
                <w:szCs w:val="20"/>
              </w:rPr>
              <w:t>výroba a výv</w:t>
            </w:r>
            <w:r>
              <w:rPr>
                <w:rFonts w:asciiTheme="minorHAnsi" w:hAnsiTheme="minorHAnsi"/>
                <w:sz w:val="20"/>
                <w:szCs w:val="20"/>
              </w:rPr>
              <w:t>oj</w:t>
            </w:r>
            <w:r w:rsidRPr="0073775E">
              <w:rPr>
                <w:rFonts w:asciiTheme="minorHAnsi" w:hAnsiTheme="minorHAnsi"/>
                <w:sz w:val="20"/>
                <w:szCs w:val="20"/>
              </w:rPr>
              <w:t xml:space="preserve"> vysokonapěťových a nízkonapěťových elektromotorů a generátorů</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počet zaměstnanců v okrese Brno-venkov:</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7</w:t>
            </w:r>
            <w:r>
              <w:rPr>
                <w:rFonts w:asciiTheme="minorHAnsi" w:hAnsiTheme="minorHAnsi"/>
                <w:sz w:val="20"/>
                <w:szCs w:val="20"/>
              </w:rPr>
              <w:t>03</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699</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Německo</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komentář: stručná charakteristika zaměstnavatele </w:t>
            </w:r>
            <w:r w:rsidRPr="0073775E">
              <w:rPr>
                <w:rFonts w:asciiTheme="minorHAnsi" w:hAnsiTheme="minorHAnsi"/>
                <w:bCs/>
                <w:iCs/>
                <w:sz w:val="20"/>
                <w:szCs w:val="20"/>
              </w:rPr>
              <w:lastRenderedPageBreak/>
              <w:t>včetně vývoje za sledované období</w:t>
            </w:r>
          </w:p>
        </w:tc>
        <w:tc>
          <w:tcPr>
            <w:tcW w:w="4252" w:type="dxa"/>
            <w:tcBorders>
              <w:top w:val="single" w:sz="12" w:space="0" w:color="auto"/>
              <w:left w:val="nil"/>
              <w:bottom w:val="single" w:sz="12" w:space="0" w:color="auto"/>
              <w:right w:val="double" w:sz="4" w:space="0" w:color="auto"/>
            </w:tcBorders>
          </w:tcPr>
          <w:p w:rsidR="00DF03E3" w:rsidRDefault="00DF03E3" w:rsidP="00C112A9">
            <w:pPr>
              <w:ind w:right="113"/>
              <w:jc w:val="both"/>
              <w:rPr>
                <w:rFonts w:asciiTheme="minorHAnsi" w:hAnsiTheme="minorHAnsi"/>
                <w:sz w:val="20"/>
                <w:szCs w:val="20"/>
              </w:rPr>
            </w:pPr>
            <w:r w:rsidRPr="0073775E">
              <w:rPr>
                <w:rFonts w:asciiTheme="minorHAnsi" w:hAnsiTheme="minorHAnsi"/>
                <w:sz w:val="20"/>
                <w:szCs w:val="20"/>
              </w:rPr>
              <w:lastRenderedPageBreak/>
              <w:t xml:space="preserve">Společnost reprezentuje elektrotechnický </w:t>
            </w:r>
            <w:r w:rsidRPr="0073775E">
              <w:rPr>
                <w:rFonts w:asciiTheme="minorHAnsi" w:hAnsiTheme="minorHAnsi"/>
                <w:sz w:val="20"/>
                <w:szCs w:val="20"/>
              </w:rPr>
              <w:lastRenderedPageBreak/>
              <w:t>průmysl na okrese</w:t>
            </w:r>
            <w:r>
              <w:rPr>
                <w:rFonts w:asciiTheme="minorHAnsi" w:hAnsiTheme="minorHAnsi"/>
                <w:sz w:val="20"/>
                <w:szCs w:val="20"/>
              </w:rPr>
              <w:t xml:space="preserve"> s dlouholetou tradicí</w:t>
            </w:r>
            <w:r w:rsidRPr="0073775E">
              <w:rPr>
                <w:rFonts w:asciiTheme="minorHAnsi" w:hAnsiTheme="minorHAnsi"/>
                <w:sz w:val="20"/>
                <w:szCs w:val="20"/>
              </w:rPr>
              <w:t>. V roce 2013 uplynulo 100 let od zahájení výroby v Drásově. Hospodářský vývoj</w:t>
            </w:r>
            <w:r>
              <w:rPr>
                <w:rFonts w:asciiTheme="minorHAnsi" w:hAnsiTheme="minorHAnsi"/>
                <w:sz w:val="20"/>
                <w:szCs w:val="20"/>
              </w:rPr>
              <w:t xml:space="preserve"> ve</w:t>
            </w:r>
            <w:r w:rsidRPr="0073775E">
              <w:rPr>
                <w:rFonts w:asciiTheme="minorHAnsi" w:hAnsiTheme="minorHAnsi"/>
                <w:sz w:val="20"/>
                <w:szCs w:val="20"/>
              </w:rPr>
              <w:t xml:space="preserve"> společnosti je stabilizovaný. Meziročně</w:t>
            </w:r>
            <w:r>
              <w:rPr>
                <w:rFonts w:asciiTheme="minorHAnsi" w:hAnsiTheme="minorHAnsi"/>
                <w:sz w:val="20"/>
                <w:szCs w:val="20"/>
              </w:rPr>
              <w:t xml:space="preserve"> však</w:t>
            </w:r>
            <w:r w:rsidRPr="0073775E">
              <w:rPr>
                <w:rFonts w:asciiTheme="minorHAnsi" w:hAnsiTheme="minorHAnsi"/>
                <w:sz w:val="20"/>
                <w:szCs w:val="20"/>
              </w:rPr>
              <w:t xml:space="preserve"> došlo k</w:t>
            </w:r>
            <w:r>
              <w:rPr>
                <w:rFonts w:asciiTheme="minorHAnsi" w:hAnsiTheme="minorHAnsi"/>
                <w:sz w:val="20"/>
                <w:szCs w:val="20"/>
              </w:rPr>
              <w:t> mírnému snížení počtu</w:t>
            </w:r>
            <w:r w:rsidRPr="0073775E">
              <w:rPr>
                <w:rFonts w:asciiTheme="minorHAnsi" w:hAnsiTheme="minorHAnsi"/>
                <w:sz w:val="20"/>
                <w:szCs w:val="20"/>
              </w:rPr>
              <w:t xml:space="preserve"> </w:t>
            </w:r>
            <w:r>
              <w:rPr>
                <w:rFonts w:asciiTheme="minorHAnsi" w:hAnsiTheme="minorHAnsi"/>
                <w:sz w:val="20"/>
                <w:szCs w:val="20"/>
              </w:rPr>
              <w:t>z</w:t>
            </w:r>
            <w:r w:rsidRPr="0073775E">
              <w:rPr>
                <w:rFonts w:asciiTheme="minorHAnsi" w:hAnsiTheme="minorHAnsi"/>
                <w:sz w:val="20"/>
                <w:szCs w:val="20"/>
              </w:rPr>
              <w:t>aměstnanců</w:t>
            </w:r>
            <w:r>
              <w:rPr>
                <w:rFonts w:asciiTheme="minorHAnsi" w:hAnsiTheme="minorHAnsi"/>
                <w:sz w:val="20"/>
                <w:szCs w:val="20"/>
              </w:rPr>
              <w:t xml:space="preserve"> (-4)</w:t>
            </w:r>
            <w:r w:rsidRPr="0073775E">
              <w:rPr>
                <w:rFonts w:asciiTheme="minorHAnsi" w:hAnsiTheme="minorHAnsi"/>
                <w:sz w:val="20"/>
                <w:szCs w:val="20"/>
              </w:rPr>
              <w:t>. Společnost</w:t>
            </w:r>
            <w:r>
              <w:rPr>
                <w:rFonts w:asciiTheme="minorHAnsi" w:hAnsiTheme="minorHAnsi"/>
                <w:sz w:val="20"/>
                <w:szCs w:val="20"/>
              </w:rPr>
              <w:t xml:space="preserve"> </w:t>
            </w:r>
            <w:r w:rsidRPr="0073775E">
              <w:rPr>
                <w:rFonts w:asciiTheme="minorHAnsi" w:hAnsiTheme="minorHAnsi"/>
                <w:sz w:val="20"/>
                <w:szCs w:val="20"/>
              </w:rPr>
              <w:t>dlouhodobě postrád</w:t>
            </w:r>
            <w:r>
              <w:rPr>
                <w:rFonts w:asciiTheme="minorHAnsi" w:hAnsiTheme="minorHAnsi"/>
                <w:sz w:val="20"/>
                <w:szCs w:val="20"/>
              </w:rPr>
              <w:t>ala</w:t>
            </w:r>
            <w:r w:rsidRPr="0073775E">
              <w:rPr>
                <w:rFonts w:asciiTheme="minorHAnsi" w:hAnsiTheme="minorHAnsi"/>
                <w:sz w:val="20"/>
                <w:szCs w:val="20"/>
              </w:rPr>
              <w:t xml:space="preserve"> pracovníky v technických profesích</w:t>
            </w:r>
            <w:r>
              <w:rPr>
                <w:rFonts w:asciiTheme="minorHAnsi" w:hAnsiTheme="minorHAnsi"/>
                <w:sz w:val="20"/>
                <w:szCs w:val="20"/>
              </w:rPr>
              <w:t xml:space="preserve"> se SŠ a VŠ vzděláním, mezi které patří: inženýři elektrotechnici, energetici, projektanti, konstruktéři, mechanici elektrických zařízení, technici. Pro rok 2015 Siemens Electric Machines v Drásově nemá zatím dostatečný počet zakázek.</w:t>
            </w:r>
          </w:p>
          <w:p w:rsidR="00DF03E3" w:rsidRPr="0073775E" w:rsidRDefault="00DF03E3" w:rsidP="00C112A9">
            <w:pPr>
              <w:ind w:right="113"/>
              <w:jc w:val="both"/>
              <w:rPr>
                <w:rFonts w:asciiTheme="minorHAnsi" w:hAnsiTheme="minorHAnsi"/>
                <w:sz w:val="20"/>
                <w:szCs w:val="20"/>
              </w:rPr>
            </w:pPr>
            <w:r>
              <w:rPr>
                <w:rFonts w:asciiTheme="minorHAnsi" w:hAnsiTheme="minorHAnsi"/>
                <w:sz w:val="20"/>
                <w:szCs w:val="20"/>
              </w:rPr>
              <w:t>Společnost však chce udržet stabilizovaný počet zaměstnanců, který byl v roce 2014 a nechce své zaměstnance propouštět a při nedostatku zakázek by řešila situaci tak, že se budou snižovat pracovní úvazky.</w:t>
            </w:r>
          </w:p>
        </w:tc>
      </w:tr>
    </w:tbl>
    <w:p w:rsidR="00DF03E3" w:rsidRPr="0073775E" w:rsidRDefault="00DF03E3" w:rsidP="00DF03E3">
      <w:pPr>
        <w:ind w:right="113"/>
        <w:rPr>
          <w:rStyle w:val="ZkladntextChar"/>
          <w:rFonts w:asciiTheme="minorHAnsi" w:eastAsiaTheme="majorEastAsia" w:hAnsiTheme="minorHAnsi"/>
          <w:color w:val="FF0000"/>
          <w:sz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Vodňanská drůbež, a.s. – PROVOZOVNA Modřice</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Chrlická 522, Modřice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jc w:val="both"/>
              <w:rPr>
                <w:rFonts w:asciiTheme="minorHAnsi" w:hAnsiTheme="minorHAnsi"/>
                <w:sz w:val="20"/>
                <w:szCs w:val="20"/>
              </w:rPr>
            </w:pPr>
            <w:r>
              <w:rPr>
                <w:rFonts w:asciiTheme="minorHAnsi" w:hAnsiTheme="minorHAnsi"/>
                <w:sz w:val="20"/>
                <w:szCs w:val="20"/>
              </w:rPr>
              <w:t xml:space="preserve">PROVOZOVNA Modřice se zabývá </w:t>
            </w:r>
            <w:r w:rsidRPr="0073775E">
              <w:rPr>
                <w:rFonts w:asciiTheme="minorHAnsi" w:hAnsiTheme="minorHAnsi"/>
                <w:sz w:val="20"/>
                <w:szCs w:val="20"/>
              </w:rPr>
              <w:t>porážk</w:t>
            </w:r>
            <w:r>
              <w:rPr>
                <w:rFonts w:asciiTheme="minorHAnsi" w:hAnsiTheme="minorHAnsi"/>
                <w:sz w:val="20"/>
                <w:szCs w:val="20"/>
              </w:rPr>
              <w:t>ou jatečných kuřat</w:t>
            </w:r>
            <w:r w:rsidRPr="0073775E">
              <w:rPr>
                <w:rFonts w:asciiTheme="minorHAnsi" w:hAnsiTheme="minorHAnsi"/>
                <w:sz w:val="20"/>
                <w:szCs w:val="20"/>
              </w:rPr>
              <w:t xml:space="preserve"> a zpracování</w:t>
            </w:r>
            <w:r>
              <w:rPr>
                <w:rFonts w:asciiTheme="minorHAnsi" w:hAnsiTheme="minorHAnsi"/>
                <w:sz w:val="20"/>
                <w:szCs w:val="20"/>
              </w:rPr>
              <w:t>m</w:t>
            </w:r>
            <w:r w:rsidRPr="0073775E">
              <w:rPr>
                <w:rFonts w:asciiTheme="minorHAnsi" w:hAnsiTheme="minorHAnsi"/>
                <w:sz w:val="20"/>
                <w:szCs w:val="20"/>
              </w:rPr>
              <w:t xml:space="preserve"> drůbežího masa z jatečných kuřat </w:t>
            </w:r>
            <w:r>
              <w:rPr>
                <w:rFonts w:asciiTheme="minorHAnsi" w:hAnsiTheme="minorHAnsi"/>
                <w:sz w:val="20"/>
                <w:szCs w:val="20"/>
              </w:rPr>
              <w:t xml:space="preserve">a </w:t>
            </w:r>
            <w:r w:rsidRPr="0073775E">
              <w:rPr>
                <w:rFonts w:asciiTheme="minorHAnsi" w:hAnsiTheme="minorHAnsi"/>
                <w:sz w:val="20"/>
                <w:szCs w:val="20"/>
              </w:rPr>
              <w:t xml:space="preserve">jeho </w:t>
            </w:r>
            <w:r>
              <w:rPr>
                <w:rFonts w:asciiTheme="minorHAnsi" w:hAnsiTheme="minorHAnsi"/>
                <w:sz w:val="20"/>
                <w:szCs w:val="20"/>
              </w:rPr>
              <w:t xml:space="preserve">finálním </w:t>
            </w:r>
            <w:r w:rsidRPr="0073775E">
              <w:rPr>
                <w:rFonts w:asciiTheme="minorHAnsi" w:hAnsiTheme="minorHAnsi"/>
                <w:sz w:val="20"/>
                <w:szCs w:val="20"/>
              </w:rPr>
              <w:t>zpracování</w:t>
            </w:r>
            <w:r>
              <w:rPr>
                <w:rFonts w:asciiTheme="minorHAnsi" w:hAnsiTheme="minorHAnsi"/>
                <w:sz w:val="20"/>
                <w:szCs w:val="20"/>
              </w:rPr>
              <w:t>m</w:t>
            </w:r>
            <w:r w:rsidRPr="0073775E">
              <w:rPr>
                <w:rFonts w:asciiTheme="minorHAnsi" w:hAnsiTheme="minorHAnsi"/>
                <w:sz w:val="20"/>
                <w:szCs w:val="20"/>
              </w:rPr>
              <w:t xml:space="preserve"> </w:t>
            </w:r>
            <w:r>
              <w:rPr>
                <w:rFonts w:asciiTheme="minorHAnsi" w:hAnsiTheme="minorHAnsi"/>
                <w:sz w:val="20"/>
                <w:szCs w:val="20"/>
              </w:rPr>
              <w:t>pro spotřebitele, včetně výroby dalších produktů z drůbežího masa (uzené a porcované díly, drůbeží uzeniny, aspiky, paštiky).</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počet zaměstnanců v okrese Brno-venkov:</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6</w:t>
            </w:r>
            <w:r>
              <w:rPr>
                <w:rFonts w:asciiTheme="minorHAnsi" w:hAnsiTheme="minorHAnsi"/>
                <w:sz w:val="20"/>
                <w:szCs w:val="20"/>
              </w:rPr>
              <w:t>5</w:t>
            </w:r>
            <w:r w:rsidRPr="0073775E">
              <w:rPr>
                <w:rFonts w:asciiTheme="minorHAnsi" w:hAnsiTheme="minorHAnsi"/>
                <w:sz w:val="20"/>
                <w:szCs w:val="20"/>
              </w:rPr>
              <w:t>5</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6</w:t>
            </w:r>
            <w:r>
              <w:rPr>
                <w:rFonts w:asciiTheme="minorHAnsi" w:hAnsiTheme="minorHAnsi"/>
                <w:sz w:val="20"/>
                <w:szCs w:val="20"/>
              </w:rPr>
              <w:t>70</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Pr="0073775E" w:rsidRDefault="00DF03E3" w:rsidP="00561EAD">
            <w:pPr>
              <w:jc w:val="both"/>
              <w:rPr>
                <w:rFonts w:asciiTheme="minorHAnsi" w:hAnsiTheme="minorHAnsi"/>
                <w:sz w:val="20"/>
                <w:szCs w:val="20"/>
              </w:rPr>
            </w:pPr>
            <w:r w:rsidRPr="0073775E">
              <w:rPr>
                <w:rFonts w:asciiTheme="minorHAnsi" w:hAnsiTheme="minorHAnsi"/>
                <w:color w:val="000000" w:themeColor="text1"/>
                <w:sz w:val="20"/>
                <w:szCs w:val="20"/>
              </w:rPr>
              <w:t xml:space="preserve">Obchodní společnost Vodňanská drůbež, a.s. je největším dodavatelem drůbežího masa v České republice. </w:t>
            </w:r>
            <w:r w:rsidRPr="0073775E">
              <w:rPr>
                <w:rFonts w:asciiTheme="minorHAnsi" w:hAnsiTheme="minorHAnsi"/>
                <w:sz w:val="20"/>
                <w:szCs w:val="20"/>
              </w:rPr>
              <w:t>Hospodářský vývoj</w:t>
            </w:r>
            <w:r>
              <w:rPr>
                <w:rFonts w:asciiTheme="minorHAnsi" w:hAnsiTheme="minorHAnsi"/>
                <w:sz w:val="20"/>
                <w:szCs w:val="20"/>
              </w:rPr>
              <w:t xml:space="preserve"> je </w:t>
            </w:r>
            <w:r w:rsidR="00561EAD">
              <w:rPr>
                <w:rFonts w:asciiTheme="minorHAnsi" w:hAnsiTheme="minorHAnsi"/>
                <w:sz w:val="20"/>
                <w:szCs w:val="20"/>
              </w:rPr>
              <w:t>pozitivní</w:t>
            </w:r>
            <w:r>
              <w:rPr>
                <w:rFonts w:asciiTheme="minorHAnsi" w:hAnsiTheme="minorHAnsi"/>
                <w:sz w:val="20"/>
                <w:szCs w:val="20"/>
              </w:rPr>
              <w:t xml:space="preserve"> a</w:t>
            </w:r>
            <w:r w:rsidRPr="0073775E">
              <w:rPr>
                <w:rFonts w:asciiTheme="minorHAnsi" w:hAnsiTheme="minorHAnsi"/>
                <w:sz w:val="20"/>
                <w:szCs w:val="20"/>
              </w:rPr>
              <w:t xml:space="preserve"> stabilizovaný, </w:t>
            </w:r>
            <w:r>
              <w:rPr>
                <w:rFonts w:asciiTheme="minorHAnsi" w:hAnsiTheme="minorHAnsi"/>
                <w:sz w:val="20"/>
                <w:szCs w:val="20"/>
              </w:rPr>
              <w:t xml:space="preserve">stejně </w:t>
            </w:r>
            <w:r w:rsidRPr="0073775E">
              <w:rPr>
                <w:rFonts w:asciiTheme="minorHAnsi" w:hAnsiTheme="minorHAnsi"/>
                <w:sz w:val="20"/>
                <w:szCs w:val="20"/>
              </w:rPr>
              <w:t>jako situace v oblasti zaměstnanosti</w:t>
            </w:r>
            <w:r>
              <w:rPr>
                <w:rFonts w:asciiTheme="minorHAnsi" w:hAnsiTheme="minorHAnsi"/>
                <w:sz w:val="20"/>
                <w:szCs w:val="20"/>
              </w:rPr>
              <w:t>. Významným zaměstnavatelem a.s. Vodňanská drůbež na okrese Brno-venkov je PROVOZOVNA Modřice, která v roce 2014 zaměstnávala 670 zaměstnanců, především pracovníků na zpracovatelských výrobních linkách na pozici dělník ve výrobě.</w:t>
            </w:r>
            <w:r w:rsidRPr="0073775E">
              <w:rPr>
                <w:rFonts w:asciiTheme="minorHAnsi" w:hAnsiTheme="minorHAnsi"/>
                <w:sz w:val="20"/>
                <w:szCs w:val="20"/>
              </w:rPr>
              <w:t xml:space="preserve"> </w:t>
            </w:r>
            <w:r>
              <w:rPr>
                <w:rFonts w:asciiTheme="minorHAnsi" w:hAnsiTheme="minorHAnsi"/>
                <w:sz w:val="20"/>
                <w:szCs w:val="20"/>
              </w:rPr>
              <w:t>V</w:t>
            </w:r>
            <w:r w:rsidRPr="0073775E">
              <w:rPr>
                <w:rFonts w:asciiTheme="minorHAnsi" w:hAnsiTheme="minorHAnsi"/>
                <w:sz w:val="20"/>
                <w:szCs w:val="20"/>
              </w:rPr>
              <w:t xml:space="preserve"> loňském roce stavy zaměstnanců </w:t>
            </w:r>
            <w:r>
              <w:rPr>
                <w:rFonts w:asciiTheme="minorHAnsi" w:hAnsiTheme="minorHAnsi"/>
                <w:sz w:val="20"/>
                <w:szCs w:val="20"/>
              </w:rPr>
              <w:t xml:space="preserve">PROVOZOVNY Modřice </w:t>
            </w:r>
            <w:r w:rsidRPr="0073775E">
              <w:rPr>
                <w:rFonts w:asciiTheme="minorHAnsi" w:hAnsiTheme="minorHAnsi"/>
                <w:sz w:val="20"/>
                <w:szCs w:val="20"/>
              </w:rPr>
              <w:t xml:space="preserve">vzrostly o </w:t>
            </w:r>
            <w:r>
              <w:rPr>
                <w:rFonts w:asciiTheme="minorHAnsi" w:hAnsiTheme="minorHAnsi"/>
                <w:sz w:val="20"/>
                <w:szCs w:val="20"/>
              </w:rPr>
              <w:t>15 zaměstnanců a podobný nárůst je očekáván i v  roce 2015. Zaměstnávají osoby z regionu, ale i osoby ze zahraničí (Slovensko, Ukrajina).</w:t>
            </w:r>
          </w:p>
        </w:tc>
      </w:tr>
    </w:tbl>
    <w:p w:rsidR="00DF03E3" w:rsidRDefault="00DF03E3" w:rsidP="00DF03E3">
      <w:pPr>
        <w:ind w:right="113"/>
        <w:rPr>
          <w:rStyle w:val="ZkladntextChar"/>
          <w:rFonts w:asciiTheme="minorHAnsi" w:eastAsiaTheme="majorEastAsia" w:hAnsiTheme="minorHAnsi"/>
          <w:color w:val="FF0000"/>
          <w:sz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HARTMANN – RICO, a.s.</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Masarykovo nám. 77, Veverská Bítýška</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 xml:space="preserve">výroba a distribuce zdravotnických prostředků a </w:t>
            </w:r>
            <w:r w:rsidRPr="0073775E">
              <w:rPr>
                <w:rFonts w:asciiTheme="minorHAnsi" w:hAnsiTheme="minorHAnsi"/>
                <w:sz w:val="20"/>
                <w:szCs w:val="20"/>
              </w:rPr>
              <w:lastRenderedPageBreak/>
              <w:t xml:space="preserve">hygienických výrobků </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lastRenderedPageBreak/>
              <w:t>počet zaměstnanců v okrese Brno-venkov</w:t>
            </w:r>
            <w:r>
              <w:rPr>
                <w:rFonts w:asciiTheme="minorHAnsi" w:hAnsiTheme="minorHAnsi"/>
                <w:bCs/>
                <w:iCs/>
                <w:sz w:val="20"/>
                <w:szCs w:val="20"/>
              </w:rPr>
              <w:t xml:space="preserve"> za lokalitu Veverská Bítýška, Zastávka</w:t>
            </w:r>
            <w:r w:rsidRPr="0073775E">
              <w:rPr>
                <w:rFonts w:asciiTheme="minorHAnsi" w:hAnsiTheme="minorHAnsi"/>
                <w:bCs/>
                <w:iCs/>
                <w:sz w:val="20"/>
                <w:szCs w:val="20"/>
              </w:rPr>
              <w:t>:</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601 (28 Rajhrad)</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569 (47 Rajhrad)</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Německo</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jc w:val="both"/>
              <w:rPr>
                <w:rFonts w:asciiTheme="minorHAnsi" w:hAnsiTheme="minorHAnsi"/>
                <w:sz w:val="20"/>
                <w:szCs w:val="20"/>
              </w:rPr>
            </w:pPr>
            <w:r w:rsidRPr="0073775E">
              <w:rPr>
                <w:rFonts w:asciiTheme="minorHAnsi" w:hAnsiTheme="minorHAnsi"/>
                <w:sz w:val="20"/>
                <w:szCs w:val="20"/>
              </w:rPr>
              <w:t>Společnost je součástí silné mezinárodní skupiny HARTMANN Group se sídlem v Německu, kter</w:t>
            </w:r>
            <w:r>
              <w:rPr>
                <w:rFonts w:asciiTheme="minorHAnsi" w:hAnsiTheme="minorHAnsi"/>
                <w:sz w:val="20"/>
                <w:szCs w:val="20"/>
              </w:rPr>
              <w:t>á má v České r</w:t>
            </w:r>
            <w:r w:rsidR="00EF78B5">
              <w:rPr>
                <w:rFonts w:asciiTheme="minorHAnsi" w:hAnsiTheme="minorHAnsi"/>
                <w:sz w:val="20"/>
                <w:szCs w:val="20"/>
              </w:rPr>
              <w:t>epublice 4 závody a objekty pro</w:t>
            </w:r>
            <w:r>
              <w:rPr>
                <w:rFonts w:asciiTheme="minorHAnsi" w:hAnsiTheme="minorHAnsi"/>
                <w:sz w:val="20"/>
                <w:szCs w:val="20"/>
              </w:rPr>
              <w:t xml:space="preserve"> své  potřeby stále buduje, např. v roce 2013 byl zřízen nový distribuční sklad  HARTMANN-RICO, a.s. u Rajhradu.</w:t>
            </w:r>
            <w:r w:rsidRPr="0073775E">
              <w:rPr>
                <w:rFonts w:asciiTheme="minorHAnsi" w:hAnsiTheme="minorHAnsi"/>
                <w:sz w:val="20"/>
                <w:szCs w:val="20"/>
              </w:rPr>
              <w:t xml:space="preserve"> Společnost přijímala pracovníky</w:t>
            </w:r>
            <w:r>
              <w:rPr>
                <w:rFonts w:asciiTheme="minorHAnsi" w:hAnsiTheme="minorHAnsi"/>
                <w:sz w:val="20"/>
                <w:szCs w:val="20"/>
              </w:rPr>
              <w:t xml:space="preserve"> především </w:t>
            </w:r>
            <w:r w:rsidRPr="0073775E">
              <w:rPr>
                <w:rFonts w:asciiTheme="minorHAnsi" w:hAnsiTheme="minorHAnsi"/>
                <w:sz w:val="20"/>
                <w:szCs w:val="20"/>
              </w:rPr>
              <w:t>v dělnických profesích</w:t>
            </w:r>
            <w:r>
              <w:rPr>
                <w:rFonts w:asciiTheme="minorHAnsi" w:hAnsiTheme="minorHAnsi"/>
                <w:sz w:val="20"/>
                <w:szCs w:val="20"/>
              </w:rPr>
              <w:t xml:space="preserve"> a manipulační pracovníky pro sklad</w:t>
            </w:r>
            <w:r w:rsidRPr="0073775E">
              <w:rPr>
                <w:rFonts w:asciiTheme="minorHAnsi" w:hAnsiTheme="minorHAnsi"/>
                <w:sz w:val="20"/>
                <w:szCs w:val="20"/>
              </w:rPr>
              <w:t>.</w:t>
            </w:r>
            <w:r>
              <w:rPr>
                <w:rFonts w:asciiTheme="minorHAnsi" w:hAnsiTheme="minorHAnsi"/>
                <w:sz w:val="20"/>
                <w:szCs w:val="20"/>
              </w:rPr>
              <w:t xml:space="preserve"> I když v roce 2014</w:t>
            </w:r>
            <w:r w:rsidRPr="0073775E">
              <w:rPr>
                <w:rFonts w:asciiTheme="minorHAnsi" w:hAnsiTheme="minorHAnsi"/>
                <w:sz w:val="20"/>
                <w:szCs w:val="20"/>
              </w:rPr>
              <w:t xml:space="preserve"> </w:t>
            </w:r>
            <w:r>
              <w:rPr>
                <w:rFonts w:asciiTheme="minorHAnsi" w:hAnsiTheme="minorHAnsi"/>
                <w:sz w:val="20"/>
                <w:szCs w:val="20"/>
              </w:rPr>
              <w:t>oproti roku</w:t>
            </w:r>
            <w:r w:rsidRPr="0073775E">
              <w:rPr>
                <w:rFonts w:asciiTheme="minorHAnsi" w:hAnsiTheme="minorHAnsi"/>
                <w:sz w:val="20"/>
                <w:szCs w:val="20"/>
              </w:rPr>
              <w:t xml:space="preserve"> 2013 došlo k</w:t>
            </w:r>
            <w:r>
              <w:rPr>
                <w:rFonts w:asciiTheme="minorHAnsi" w:hAnsiTheme="minorHAnsi"/>
                <w:sz w:val="20"/>
                <w:szCs w:val="20"/>
              </w:rPr>
              <w:t xml:space="preserve"> úbytku zaměstnanců ve výrobním závodě ve Veverské Bítýšce, došlo k</w:t>
            </w:r>
            <w:r w:rsidRPr="0073775E">
              <w:rPr>
                <w:rFonts w:asciiTheme="minorHAnsi" w:hAnsiTheme="minorHAnsi"/>
                <w:sz w:val="20"/>
                <w:szCs w:val="20"/>
              </w:rPr>
              <w:t> nárůstu zaměstnanců o 1</w:t>
            </w:r>
            <w:r>
              <w:rPr>
                <w:rFonts w:asciiTheme="minorHAnsi" w:hAnsiTheme="minorHAnsi"/>
                <w:sz w:val="20"/>
                <w:szCs w:val="20"/>
              </w:rPr>
              <w:t>9</w:t>
            </w:r>
            <w:r w:rsidRPr="0073775E">
              <w:rPr>
                <w:rFonts w:asciiTheme="minorHAnsi" w:hAnsiTheme="minorHAnsi"/>
                <w:sz w:val="20"/>
                <w:szCs w:val="20"/>
              </w:rPr>
              <w:t xml:space="preserve"> osob</w:t>
            </w:r>
            <w:r>
              <w:rPr>
                <w:rFonts w:asciiTheme="minorHAnsi" w:hAnsiTheme="minorHAnsi"/>
                <w:sz w:val="20"/>
                <w:szCs w:val="20"/>
              </w:rPr>
              <w:t xml:space="preserve"> ve skladu u Rajhradu</w:t>
            </w:r>
            <w:r w:rsidRPr="0073775E">
              <w:rPr>
                <w:rFonts w:asciiTheme="minorHAnsi" w:hAnsiTheme="minorHAnsi"/>
                <w:sz w:val="20"/>
                <w:szCs w:val="20"/>
              </w:rPr>
              <w:t>.</w:t>
            </w:r>
            <w:r>
              <w:rPr>
                <w:rFonts w:asciiTheme="minorHAnsi" w:hAnsiTheme="minorHAnsi"/>
                <w:sz w:val="20"/>
                <w:szCs w:val="20"/>
              </w:rPr>
              <w:t xml:space="preserve"> Výhled stavu zaměstnanců na rok 2015: ve výrobním závodě Veverská Bítýška má dojít oproti roku 2014 k nárůstu zaměstnanců na 608 osob; ve skladu u Rajhradu má zůstat stav zaměstnanců na stejném stavu jako v roce 2014, tedy 47 osob.</w:t>
            </w:r>
          </w:p>
        </w:tc>
      </w:tr>
    </w:tbl>
    <w:p w:rsidR="00DF03E3" w:rsidRPr="0073775E" w:rsidRDefault="00DF03E3" w:rsidP="00DF03E3">
      <w:pPr>
        <w:ind w:right="113"/>
        <w:rPr>
          <w:rStyle w:val="ZkladntextChar"/>
          <w:rFonts w:asciiTheme="minorHAnsi" w:eastAsiaTheme="majorEastAsia" w:hAnsiTheme="minorHAnsi"/>
          <w:color w:val="FF0000"/>
          <w:sz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KOVOLIT, a.s.</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Nádražní 344,</w:t>
            </w:r>
            <w:r>
              <w:rPr>
                <w:rFonts w:asciiTheme="minorHAnsi" w:hAnsiTheme="minorHAnsi"/>
                <w:sz w:val="20"/>
                <w:szCs w:val="20"/>
              </w:rPr>
              <w:t xml:space="preserve"> </w:t>
            </w:r>
            <w:r w:rsidRPr="0073775E">
              <w:rPr>
                <w:rFonts w:asciiTheme="minorHAnsi" w:hAnsiTheme="minorHAnsi"/>
                <w:sz w:val="20"/>
                <w:szCs w:val="20"/>
              </w:rPr>
              <w:t>Modřice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slévání a tváření železných a neželezných kovů</w:t>
            </w:r>
            <w:r w:rsidRPr="0073775E">
              <w:rPr>
                <w:rFonts w:asciiTheme="minorHAnsi" w:hAnsiTheme="minorHAnsi"/>
                <w:color w:val="000000"/>
                <w:sz w:val="20"/>
                <w:szCs w:val="20"/>
              </w:rPr>
              <w:t>, výrobce hliníkových tlakových odlitků a zápustkových výkovků</w:t>
            </w:r>
            <w:r>
              <w:rPr>
                <w:rFonts w:asciiTheme="minorHAnsi" w:hAnsiTheme="minorHAnsi"/>
                <w:color w:val="000000"/>
                <w:sz w:val="20"/>
                <w:szCs w:val="20"/>
              </w:rPr>
              <w:t xml:space="preserve"> a výrobků pro strojírenství, elektroprůmysl a především díly pro automobilový průmysl</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počet zaměstnanců v okrese Brno-venkov:</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w:t>
            </w:r>
            <w:r>
              <w:rPr>
                <w:rFonts w:asciiTheme="minorHAnsi" w:hAnsiTheme="minorHAnsi"/>
                <w:bCs/>
                <w:iCs/>
                <w:sz w:val="20"/>
                <w:szCs w:val="20"/>
              </w:rPr>
              <w:t>13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530</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603</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w:t>
            </w:r>
          </w:p>
        </w:tc>
      </w:tr>
      <w:tr w:rsidR="00DF03E3" w:rsidRPr="0073775E" w:rsidTr="00C112A9">
        <w:trPr>
          <w:trHeight w:val="1747"/>
        </w:trPr>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Pr="00461320" w:rsidRDefault="00DF03E3" w:rsidP="00C112A9">
            <w:pPr>
              <w:pStyle w:val="Normlnweb"/>
              <w:shd w:val="clear" w:color="auto" w:fill="FFFFFF"/>
              <w:ind w:left="-45"/>
              <w:jc w:val="both"/>
              <w:rPr>
                <w:rFonts w:asciiTheme="minorHAnsi" w:hAnsiTheme="minorHAnsi"/>
                <w:sz w:val="20"/>
                <w:szCs w:val="20"/>
              </w:rPr>
            </w:pPr>
            <w:r w:rsidRPr="0073775E">
              <w:rPr>
                <w:rFonts w:asciiTheme="minorHAnsi" w:hAnsiTheme="minorHAnsi"/>
                <w:color w:val="000000"/>
                <w:sz w:val="20"/>
                <w:szCs w:val="20"/>
              </w:rPr>
              <w:t>Přední výrobce hliníkových tlakových odlitků a zápustkových výkovků z neželezných kovů v ČR. Firma má 4 provozy:</w:t>
            </w:r>
            <w:r>
              <w:rPr>
                <w:rFonts w:asciiTheme="minorHAnsi" w:hAnsiTheme="minorHAnsi"/>
                <w:color w:val="000000"/>
                <w:sz w:val="20"/>
                <w:szCs w:val="20"/>
              </w:rPr>
              <w:t xml:space="preserve"> s</w:t>
            </w:r>
            <w:r w:rsidRPr="0073775E">
              <w:rPr>
                <w:rFonts w:asciiTheme="minorHAnsi" w:hAnsiTheme="minorHAnsi"/>
                <w:color w:val="000000"/>
                <w:sz w:val="20"/>
                <w:szCs w:val="20"/>
              </w:rPr>
              <w:t>lévárnu, kovárnu</w:t>
            </w:r>
            <w:r>
              <w:rPr>
                <w:rFonts w:asciiTheme="minorHAnsi" w:hAnsiTheme="minorHAnsi"/>
                <w:color w:val="000000"/>
                <w:sz w:val="20"/>
                <w:szCs w:val="20"/>
              </w:rPr>
              <w:t xml:space="preserve"> neželezných kovů</w:t>
            </w:r>
            <w:r w:rsidRPr="0073775E">
              <w:rPr>
                <w:rFonts w:asciiTheme="minorHAnsi" w:hAnsiTheme="minorHAnsi"/>
                <w:color w:val="000000"/>
                <w:sz w:val="20"/>
                <w:szCs w:val="20"/>
              </w:rPr>
              <w:t>, nářaďovnu a CNC obrábění.</w:t>
            </w:r>
            <w:r>
              <w:rPr>
                <w:rFonts w:asciiTheme="minorHAnsi" w:hAnsiTheme="minorHAnsi"/>
                <w:color w:val="000000"/>
                <w:sz w:val="20"/>
                <w:szCs w:val="20"/>
              </w:rPr>
              <w:t xml:space="preserve"> Svým objemem výroby a využíváním speciálního strojního vybavení může KOVOLIT uspokojit náročné odběratele v ČR i v zahraničí. K největším zahraničním odběratelům patří především německé firmy, ale i firmy švédské, francouzské a španělské. Se zvyšováním dodávek do těchto firem a s rozvojem výroby a dodávek dílů pro automobilový průmysl se výrazně zvýšily i nároky na kvalitu a produktivitu práce a vysokou kvalitu finálních výrobků. Z tohoto důvodu hledá KOVOLIT pracovníky odborných profesí (ze strojírenství, </w:t>
            </w:r>
            <w:r>
              <w:rPr>
                <w:rFonts w:asciiTheme="minorHAnsi" w:hAnsiTheme="minorHAnsi"/>
                <w:color w:val="000000"/>
                <w:sz w:val="20"/>
                <w:szCs w:val="20"/>
              </w:rPr>
              <w:lastRenderedPageBreak/>
              <w:t xml:space="preserve">výrobních technologií, slévárenství) se SŠ i VŠ vzděláním (koordinátory kvality, disponenty logistiky, vedoucí speciálních provozů, pracovníky prodeje pro ČR i zahraničí). KOVOLIT požaduje pracovníky dělnických profesí, také obráběče na CNC, kováře. </w:t>
            </w:r>
            <w:r w:rsidRPr="0073775E">
              <w:rPr>
                <w:rFonts w:asciiTheme="minorHAnsi" w:hAnsiTheme="minorHAnsi"/>
                <w:color w:val="000000"/>
                <w:sz w:val="20"/>
                <w:szCs w:val="20"/>
              </w:rPr>
              <w:t xml:space="preserve">Společnost dlouhodobě </w:t>
            </w:r>
            <w:r w:rsidRPr="0073775E">
              <w:rPr>
                <w:rFonts w:asciiTheme="minorHAnsi" w:hAnsiTheme="minorHAnsi"/>
                <w:sz w:val="20"/>
                <w:szCs w:val="20"/>
              </w:rPr>
              <w:t>postrádá pracovníky v profesích formíř a jádrař ve slévárně</w:t>
            </w:r>
            <w:r>
              <w:rPr>
                <w:rFonts w:asciiTheme="minorHAnsi" w:hAnsiTheme="minorHAnsi"/>
                <w:sz w:val="20"/>
                <w:szCs w:val="20"/>
              </w:rPr>
              <w:t xml:space="preserve"> a další dělnické profese do svých provozoven.</w:t>
            </w:r>
            <w:r w:rsidRPr="0073775E">
              <w:rPr>
                <w:rFonts w:asciiTheme="minorHAnsi" w:hAnsiTheme="minorHAnsi"/>
                <w:sz w:val="20"/>
                <w:szCs w:val="20"/>
              </w:rPr>
              <w:t xml:space="preserve"> </w:t>
            </w:r>
            <w:r>
              <w:rPr>
                <w:rFonts w:asciiTheme="minorHAnsi" w:hAnsiTheme="minorHAnsi"/>
                <w:sz w:val="20"/>
                <w:szCs w:val="20"/>
              </w:rPr>
              <w:t>B</w:t>
            </w:r>
            <w:r w:rsidRPr="0073775E">
              <w:rPr>
                <w:rFonts w:asciiTheme="minorHAnsi" w:hAnsiTheme="minorHAnsi"/>
                <w:sz w:val="20"/>
                <w:szCs w:val="20"/>
              </w:rPr>
              <w:t>ěhem roku 201</w:t>
            </w:r>
            <w:r>
              <w:rPr>
                <w:rFonts w:asciiTheme="minorHAnsi" w:hAnsiTheme="minorHAnsi"/>
                <w:sz w:val="20"/>
                <w:szCs w:val="20"/>
              </w:rPr>
              <w:t>4</w:t>
            </w:r>
            <w:r w:rsidRPr="0073775E">
              <w:rPr>
                <w:rFonts w:asciiTheme="minorHAnsi" w:hAnsiTheme="minorHAnsi"/>
                <w:sz w:val="20"/>
                <w:szCs w:val="20"/>
              </w:rPr>
              <w:t xml:space="preserve"> se počet pracovníků zvýšil o</w:t>
            </w:r>
            <w:r>
              <w:rPr>
                <w:rFonts w:asciiTheme="minorHAnsi" w:hAnsiTheme="minorHAnsi"/>
                <w:sz w:val="20"/>
                <w:szCs w:val="20"/>
              </w:rPr>
              <w:t xml:space="preserve"> více než 70 zaměstnanců. Předpokládané zvyšování stavu z</w:t>
            </w:r>
            <w:r w:rsidRPr="0073775E">
              <w:rPr>
                <w:rFonts w:asciiTheme="minorHAnsi" w:hAnsiTheme="minorHAnsi"/>
                <w:sz w:val="20"/>
                <w:szCs w:val="20"/>
              </w:rPr>
              <w:t>aměstnanců</w:t>
            </w:r>
            <w:r>
              <w:rPr>
                <w:rFonts w:asciiTheme="minorHAnsi" w:hAnsiTheme="minorHAnsi"/>
                <w:sz w:val="20"/>
                <w:szCs w:val="20"/>
              </w:rPr>
              <w:t xml:space="preserve"> se očekává i v roce 2015</w:t>
            </w:r>
            <w:r w:rsidRPr="0073775E">
              <w:rPr>
                <w:rFonts w:asciiTheme="minorHAnsi" w:hAnsiTheme="minorHAnsi"/>
                <w:sz w:val="20"/>
                <w:szCs w:val="20"/>
              </w:rPr>
              <w:t>.</w:t>
            </w:r>
          </w:p>
        </w:tc>
      </w:tr>
    </w:tbl>
    <w:p w:rsidR="00DF03E3" w:rsidRPr="0073775E" w:rsidRDefault="00DF03E3" w:rsidP="00DF03E3">
      <w:pPr>
        <w:ind w:right="113"/>
        <w:rPr>
          <w:rStyle w:val="ZkladntextChar"/>
          <w:rFonts w:asciiTheme="minorHAnsi" w:eastAsiaTheme="majorEastAsia" w:hAnsiTheme="minorHAnsi"/>
          <w:color w:val="FF0000"/>
          <w:sz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CommScope Czech Republic s.r.o.</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Evropská 862, Modřice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 xml:space="preserve">výroba a export nejmodernějších telekomunikačních a elektronických zařízení  </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počet zaměstnanců v okrese:</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5</w:t>
            </w:r>
            <w:r>
              <w:rPr>
                <w:rFonts w:asciiTheme="minorHAnsi" w:hAnsiTheme="minorHAnsi"/>
                <w:sz w:val="20"/>
                <w:szCs w:val="20"/>
              </w:rPr>
              <w:t>01</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477</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Švýcarsko</w:t>
            </w:r>
          </w:p>
        </w:tc>
      </w:tr>
      <w:tr w:rsidR="00DF03E3" w:rsidRPr="0073775E" w:rsidTr="00C112A9">
        <w:trPr>
          <w:trHeight w:val="1225"/>
        </w:trPr>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pStyle w:val="odrky-zprva-podniky"/>
              <w:tabs>
                <w:tab w:val="clear" w:pos="360"/>
              </w:tabs>
              <w:ind w:left="0" w:firstLine="0"/>
              <w:rPr>
                <w:rFonts w:asciiTheme="minorHAnsi" w:hAnsiTheme="minorHAnsi"/>
                <w:sz w:val="20"/>
              </w:rPr>
            </w:pPr>
            <w:r w:rsidRPr="0073775E">
              <w:rPr>
                <w:rFonts w:asciiTheme="minorHAnsi" w:hAnsiTheme="minorHAnsi"/>
                <w:sz w:val="20"/>
              </w:rPr>
              <w:t>Společnost sídlí v CTparku v Modřicích. V letech 2003-</w:t>
            </w:r>
            <w:r>
              <w:rPr>
                <w:rFonts w:asciiTheme="minorHAnsi" w:hAnsiTheme="minorHAnsi"/>
                <w:sz w:val="20"/>
              </w:rPr>
              <w:t>20</w:t>
            </w:r>
            <w:r w:rsidRPr="0073775E">
              <w:rPr>
                <w:rFonts w:asciiTheme="minorHAnsi" w:hAnsiTheme="minorHAnsi"/>
                <w:sz w:val="20"/>
              </w:rPr>
              <w:t>12</w:t>
            </w:r>
            <w:r>
              <w:rPr>
                <w:rFonts w:asciiTheme="minorHAnsi" w:hAnsiTheme="minorHAnsi"/>
                <w:sz w:val="20"/>
              </w:rPr>
              <w:t xml:space="preserve"> nesla název </w:t>
            </w:r>
            <w:r w:rsidRPr="0073775E">
              <w:rPr>
                <w:rFonts w:asciiTheme="minorHAnsi" w:hAnsiTheme="minorHAnsi"/>
                <w:sz w:val="20"/>
              </w:rPr>
              <w:t xml:space="preserve">Andrew Telecommunication s.r.o., od roku 2012 </w:t>
            </w:r>
            <w:r>
              <w:rPr>
                <w:rFonts w:asciiTheme="minorHAnsi" w:hAnsiTheme="minorHAnsi"/>
                <w:sz w:val="20"/>
              </w:rPr>
              <w:t>je její</w:t>
            </w:r>
            <w:r w:rsidRPr="0073775E">
              <w:rPr>
                <w:rFonts w:asciiTheme="minorHAnsi" w:hAnsiTheme="minorHAnsi"/>
                <w:sz w:val="20"/>
              </w:rPr>
              <w:t xml:space="preserve"> název</w:t>
            </w:r>
            <w:r>
              <w:rPr>
                <w:rFonts w:asciiTheme="minorHAnsi" w:hAnsiTheme="minorHAnsi"/>
                <w:sz w:val="20"/>
              </w:rPr>
              <w:t xml:space="preserve"> CommScope Czech Republic s.r.o. Jejím výrobním zaměřením je výroba, instalace a opravy elektrických a elektronických přístrojů, strojů a zařízení, výroba rozvaděčů a baterií, kabelů a vodičů. </w:t>
            </w:r>
          </w:p>
        </w:tc>
      </w:tr>
    </w:tbl>
    <w:p w:rsidR="00DF03E3" w:rsidRPr="0073775E" w:rsidRDefault="00DF03E3" w:rsidP="00DF03E3">
      <w:pPr>
        <w:ind w:right="113"/>
        <w:rPr>
          <w:rStyle w:val="ZkladntextChar"/>
          <w:rFonts w:asciiTheme="minorHAnsi" w:eastAsiaTheme="majorEastAsia" w:hAnsiTheme="minorHAnsi"/>
          <w:color w:val="FF0000"/>
          <w:sz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IFE – CR, a.s.</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Evropská 839, Modřice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 xml:space="preserve">vývoj a </w:t>
            </w:r>
            <w:r w:rsidRPr="0073775E">
              <w:rPr>
                <w:rFonts w:asciiTheme="minorHAnsi" w:hAnsiTheme="minorHAnsi"/>
                <w:sz w:val="20"/>
                <w:szCs w:val="20"/>
              </w:rPr>
              <w:t>v</w:t>
            </w:r>
            <w:r>
              <w:rPr>
                <w:rFonts w:asciiTheme="minorHAnsi" w:hAnsiTheme="minorHAnsi"/>
                <w:sz w:val="20"/>
                <w:szCs w:val="20"/>
              </w:rPr>
              <w:t>ý</w:t>
            </w:r>
            <w:r w:rsidRPr="0073775E">
              <w:rPr>
                <w:rFonts w:asciiTheme="minorHAnsi" w:hAnsiTheme="minorHAnsi"/>
                <w:sz w:val="20"/>
                <w:szCs w:val="20"/>
              </w:rPr>
              <w:t>r</w:t>
            </w:r>
            <w:r>
              <w:rPr>
                <w:rFonts w:asciiTheme="minorHAnsi" w:hAnsiTheme="minorHAnsi"/>
                <w:sz w:val="20"/>
                <w:szCs w:val="20"/>
              </w:rPr>
              <w:t>oba</w:t>
            </w:r>
            <w:r w:rsidRPr="0073775E">
              <w:rPr>
                <w:rFonts w:asciiTheme="minorHAnsi" w:hAnsiTheme="minorHAnsi"/>
                <w:sz w:val="20"/>
                <w:szCs w:val="20"/>
              </w:rPr>
              <w:t xml:space="preserve"> automatick</w:t>
            </w:r>
            <w:r>
              <w:rPr>
                <w:rFonts w:asciiTheme="minorHAnsi" w:hAnsiTheme="minorHAnsi"/>
                <w:sz w:val="20"/>
                <w:szCs w:val="20"/>
              </w:rPr>
              <w:t>ých</w:t>
            </w:r>
            <w:r w:rsidRPr="0073775E">
              <w:rPr>
                <w:rFonts w:asciiTheme="minorHAnsi" w:hAnsiTheme="minorHAnsi"/>
                <w:sz w:val="20"/>
                <w:szCs w:val="20"/>
              </w:rPr>
              <w:t xml:space="preserve"> dveřní</w:t>
            </w:r>
            <w:r>
              <w:rPr>
                <w:rFonts w:asciiTheme="minorHAnsi" w:hAnsiTheme="minorHAnsi"/>
                <w:sz w:val="20"/>
                <w:szCs w:val="20"/>
              </w:rPr>
              <w:t xml:space="preserve">ch </w:t>
            </w:r>
            <w:r w:rsidRPr="0073775E">
              <w:rPr>
                <w:rFonts w:asciiTheme="minorHAnsi" w:hAnsiTheme="minorHAnsi"/>
                <w:sz w:val="20"/>
                <w:szCs w:val="20"/>
              </w:rPr>
              <w:t>systém</w:t>
            </w:r>
            <w:r>
              <w:rPr>
                <w:rFonts w:asciiTheme="minorHAnsi" w:hAnsiTheme="minorHAnsi"/>
                <w:sz w:val="20"/>
                <w:szCs w:val="20"/>
              </w:rPr>
              <w:t>ů</w:t>
            </w:r>
            <w:r w:rsidRPr="0073775E">
              <w:rPr>
                <w:rFonts w:asciiTheme="minorHAnsi" w:hAnsiTheme="minorHAnsi"/>
                <w:sz w:val="20"/>
                <w:szCs w:val="20"/>
              </w:rPr>
              <w:t xml:space="preserve"> </w:t>
            </w:r>
            <w:r>
              <w:rPr>
                <w:rFonts w:asciiTheme="minorHAnsi" w:hAnsiTheme="minorHAnsi"/>
                <w:sz w:val="20"/>
                <w:szCs w:val="20"/>
              </w:rPr>
              <w:t xml:space="preserve">a pohonů </w:t>
            </w:r>
            <w:r w:rsidRPr="0073775E">
              <w:rPr>
                <w:rFonts w:asciiTheme="minorHAnsi" w:hAnsiTheme="minorHAnsi"/>
                <w:sz w:val="20"/>
                <w:szCs w:val="20"/>
              </w:rPr>
              <w:t>pro kolejová vozidla</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počet zaměstnanců v okrese Brno-venkov:</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 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5</w:t>
            </w:r>
            <w:r>
              <w:rPr>
                <w:rFonts w:asciiTheme="minorHAnsi" w:hAnsiTheme="minorHAnsi"/>
                <w:sz w:val="20"/>
                <w:szCs w:val="20"/>
              </w:rPr>
              <w:t>39</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 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530</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Německo</w:t>
            </w:r>
          </w:p>
        </w:tc>
      </w:tr>
      <w:tr w:rsidR="00DF03E3" w:rsidRPr="0073775E" w:rsidTr="00C112A9">
        <w:trPr>
          <w:trHeight w:val="1180"/>
        </w:trPr>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pStyle w:val="odrky-zprva-podniky"/>
              <w:tabs>
                <w:tab w:val="clear" w:pos="360"/>
              </w:tabs>
              <w:ind w:left="0" w:firstLine="0"/>
              <w:rPr>
                <w:rFonts w:asciiTheme="minorHAnsi" w:hAnsiTheme="minorHAnsi"/>
                <w:sz w:val="20"/>
              </w:rPr>
            </w:pPr>
            <w:r w:rsidRPr="0073775E">
              <w:rPr>
                <w:rFonts w:asciiTheme="minorHAnsi" w:hAnsiTheme="minorHAnsi"/>
                <w:sz w:val="20"/>
              </w:rPr>
              <w:t>Společnost je součástí německého nadnárodního koncernu Knorr-Bremse GmbH</w:t>
            </w:r>
            <w:r>
              <w:rPr>
                <w:rFonts w:asciiTheme="minorHAnsi" w:hAnsiTheme="minorHAnsi"/>
                <w:sz w:val="20"/>
              </w:rPr>
              <w:t xml:space="preserve"> s dlouholetou tradicí</w:t>
            </w:r>
            <w:r w:rsidRPr="0073775E">
              <w:rPr>
                <w:rFonts w:asciiTheme="minorHAnsi" w:hAnsiTheme="minorHAnsi"/>
                <w:sz w:val="20"/>
              </w:rPr>
              <w:t>.</w:t>
            </w:r>
            <w:r>
              <w:rPr>
                <w:rFonts w:asciiTheme="minorHAnsi" w:hAnsiTheme="minorHAnsi"/>
                <w:sz w:val="20"/>
              </w:rPr>
              <w:t xml:space="preserve"> S</w:t>
            </w:r>
            <w:r w:rsidRPr="0073775E">
              <w:rPr>
                <w:rFonts w:asciiTheme="minorHAnsi" w:hAnsiTheme="minorHAnsi"/>
                <w:sz w:val="20"/>
              </w:rPr>
              <w:t>pecializuj</w:t>
            </w:r>
            <w:r>
              <w:rPr>
                <w:rFonts w:asciiTheme="minorHAnsi" w:hAnsiTheme="minorHAnsi"/>
                <w:sz w:val="20"/>
              </w:rPr>
              <w:t>í se</w:t>
            </w:r>
            <w:r w:rsidRPr="0073775E">
              <w:rPr>
                <w:rFonts w:asciiTheme="minorHAnsi" w:hAnsiTheme="minorHAnsi"/>
                <w:sz w:val="20"/>
              </w:rPr>
              <w:t xml:space="preserve"> na </w:t>
            </w:r>
            <w:r>
              <w:rPr>
                <w:rFonts w:asciiTheme="minorHAnsi" w:hAnsiTheme="minorHAnsi"/>
                <w:sz w:val="20"/>
              </w:rPr>
              <w:t>konstrukci a výrobu dveřních systémů a</w:t>
            </w:r>
            <w:r w:rsidRPr="0073775E">
              <w:rPr>
                <w:rFonts w:asciiTheme="minorHAnsi" w:hAnsiTheme="minorHAnsi"/>
                <w:sz w:val="20"/>
              </w:rPr>
              <w:t xml:space="preserve"> brzdových systému pro kolejová vozidla a nákladní automobily. </w:t>
            </w:r>
            <w:r>
              <w:rPr>
                <w:rFonts w:asciiTheme="minorHAnsi" w:hAnsiTheme="minorHAnsi"/>
                <w:sz w:val="20"/>
              </w:rPr>
              <w:t xml:space="preserve">V  IFE-CR a.s. Modřice bylo v roce 2014 zaměstnáno 530 osob; oproti roku 2013 se stav zaměstnanců snížil </w:t>
            </w:r>
            <w:r w:rsidRPr="0073775E">
              <w:rPr>
                <w:rFonts w:asciiTheme="minorHAnsi" w:hAnsiTheme="minorHAnsi"/>
                <w:sz w:val="20"/>
              </w:rPr>
              <w:t>o</w:t>
            </w:r>
            <w:r>
              <w:rPr>
                <w:rFonts w:asciiTheme="minorHAnsi" w:hAnsiTheme="minorHAnsi"/>
                <w:sz w:val="20"/>
              </w:rPr>
              <w:t xml:space="preserve"> 9 </w:t>
            </w:r>
            <w:r w:rsidRPr="0073775E">
              <w:rPr>
                <w:rFonts w:asciiTheme="minorHAnsi" w:hAnsiTheme="minorHAnsi"/>
                <w:sz w:val="20"/>
              </w:rPr>
              <w:t>osob.</w:t>
            </w:r>
            <w:r>
              <w:rPr>
                <w:rFonts w:asciiTheme="minorHAnsi" w:hAnsiTheme="minorHAnsi"/>
                <w:sz w:val="20"/>
              </w:rPr>
              <w:t xml:space="preserve"> V roce 2015 je však předpoklad, že se stav zaměstnanců zvýší na 540 osob (nárůst + 10) a počet zaměstnanců bude stabilizovaný. </w:t>
            </w:r>
          </w:p>
        </w:tc>
      </w:tr>
    </w:tbl>
    <w:p w:rsidR="00DF03E3" w:rsidRPr="0073775E" w:rsidRDefault="00DF03E3" w:rsidP="00DF03E3">
      <w:pPr>
        <w:ind w:right="113"/>
        <w:rPr>
          <w:rStyle w:val="ZkladntextChar"/>
          <w:rFonts w:asciiTheme="minorHAnsi" w:eastAsiaTheme="majorEastAsia" w:hAnsiTheme="minorHAnsi"/>
          <w:color w:val="FF0000"/>
          <w:sz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IMI  International, s.r.o. – IMI Norgren CZ, Modřice</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lastRenderedPageBreak/>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Central Trade Park – D1 1573, Humpolec</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p</w:t>
            </w:r>
            <w:r w:rsidRPr="0073775E">
              <w:rPr>
                <w:rFonts w:asciiTheme="minorHAnsi" w:hAnsiTheme="minorHAnsi"/>
                <w:sz w:val="20"/>
                <w:szCs w:val="20"/>
              </w:rPr>
              <w:t>rodukuje pneumatické válce a ventily, ventilové terminály, tlakové spínače, úpravny a regulátory vzduchu,</w:t>
            </w:r>
            <w:r>
              <w:rPr>
                <w:rFonts w:asciiTheme="minorHAnsi" w:hAnsiTheme="minorHAnsi"/>
                <w:sz w:val="20"/>
                <w:szCs w:val="20"/>
              </w:rPr>
              <w:t xml:space="preserve"> vakuové prvky,</w:t>
            </w:r>
            <w:r w:rsidRPr="0073775E">
              <w:rPr>
                <w:rFonts w:asciiTheme="minorHAnsi" w:hAnsiTheme="minorHAnsi"/>
                <w:sz w:val="20"/>
                <w:szCs w:val="20"/>
              </w:rPr>
              <w:t xml:space="preserve"> šroubení a hadice</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počet zaměstnanců v okrese Brno-venkov:</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      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549</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      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584</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Spojené království Velké Británie a Severního Irska</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jc w:val="both"/>
              <w:rPr>
                <w:rFonts w:asciiTheme="minorHAnsi" w:hAnsiTheme="minorHAnsi"/>
                <w:sz w:val="20"/>
                <w:szCs w:val="20"/>
              </w:rPr>
            </w:pPr>
            <w:r w:rsidRPr="0073775E">
              <w:rPr>
                <w:rFonts w:asciiTheme="minorHAnsi" w:hAnsiTheme="minorHAnsi"/>
                <w:sz w:val="20"/>
                <w:szCs w:val="20"/>
              </w:rPr>
              <w:t>Společnost</w:t>
            </w:r>
            <w:r>
              <w:rPr>
                <w:rFonts w:asciiTheme="minorHAnsi" w:hAnsiTheme="minorHAnsi"/>
                <w:sz w:val="20"/>
                <w:szCs w:val="20"/>
              </w:rPr>
              <w:t xml:space="preserve"> vyvíjí a vyrábí na klíč pneumatické, hydraulické prvky a systémy, vakuové prvky, ventily a příslušenství použitelné i pro oblasti s extrémním zatížením. IMI Norgren CZ, Modřice</w:t>
            </w:r>
            <w:r w:rsidRPr="0073775E">
              <w:rPr>
                <w:rFonts w:asciiTheme="minorHAnsi" w:hAnsiTheme="minorHAnsi"/>
                <w:sz w:val="20"/>
                <w:szCs w:val="20"/>
              </w:rPr>
              <w:t xml:space="preserve"> má provoz v CTparku v Modřicích, kde vzniklo jedno ze čtyř světových vývojových center, které se zaměřuje na vývoj</w:t>
            </w:r>
            <w:r>
              <w:rPr>
                <w:rFonts w:asciiTheme="minorHAnsi" w:hAnsiTheme="minorHAnsi"/>
                <w:sz w:val="20"/>
                <w:szCs w:val="20"/>
              </w:rPr>
              <w:t xml:space="preserve"> a výrobu</w:t>
            </w:r>
            <w:r w:rsidRPr="0073775E">
              <w:rPr>
                <w:rFonts w:asciiTheme="minorHAnsi" w:hAnsiTheme="minorHAnsi"/>
                <w:sz w:val="20"/>
                <w:szCs w:val="20"/>
              </w:rPr>
              <w:t xml:space="preserve"> pneumatických a hydraulických komponentů. V roce 201</w:t>
            </w:r>
            <w:r>
              <w:rPr>
                <w:rFonts w:asciiTheme="minorHAnsi" w:hAnsiTheme="minorHAnsi"/>
                <w:sz w:val="20"/>
                <w:szCs w:val="20"/>
              </w:rPr>
              <w:t>4</w:t>
            </w:r>
            <w:r w:rsidRPr="0073775E">
              <w:rPr>
                <w:rFonts w:asciiTheme="minorHAnsi" w:hAnsiTheme="minorHAnsi"/>
                <w:sz w:val="20"/>
                <w:szCs w:val="20"/>
              </w:rPr>
              <w:t xml:space="preserve"> došlo</w:t>
            </w:r>
            <w:r>
              <w:rPr>
                <w:rFonts w:asciiTheme="minorHAnsi" w:hAnsiTheme="minorHAnsi"/>
                <w:sz w:val="20"/>
                <w:szCs w:val="20"/>
              </w:rPr>
              <w:t xml:space="preserve"> v provozu v</w:t>
            </w:r>
            <w:r w:rsidRPr="0073775E">
              <w:rPr>
                <w:rFonts w:asciiTheme="minorHAnsi" w:hAnsiTheme="minorHAnsi"/>
                <w:sz w:val="20"/>
                <w:szCs w:val="20"/>
              </w:rPr>
              <w:t xml:space="preserve"> </w:t>
            </w:r>
            <w:r>
              <w:rPr>
                <w:rFonts w:asciiTheme="minorHAnsi" w:hAnsiTheme="minorHAnsi"/>
                <w:sz w:val="20"/>
                <w:szCs w:val="20"/>
              </w:rPr>
              <w:t xml:space="preserve">Modřicích proti roku 2013 </w:t>
            </w:r>
            <w:r w:rsidRPr="0073775E">
              <w:rPr>
                <w:rFonts w:asciiTheme="minorHAnsi" w:hAnsiTheme="minorHAnsi"/>
                <w:sz w:val="20"/>
                <w:szCs w:val="20"/>
              </w:rPr>
              <w:t>k nárůstu zaměstnanců o</w:t>
            </w:r>
            <w:r>
              <w:rPr>
                <w:rFonts w:asciiTheme="minorHAnsi" w:hAnsiTheme="minorHAnsi"/>
                <w:sz w:val="20"/>
                <w:szCs w:val="20"/>
              </w:rPr>
              <w:t xml:space="preserve"> 35 </w:t>
            </w:r>
            <w:r w:rsidRPr="0073775E">
              <w:rPr>
                <w:rFonts w:asciiTheme="minorHAnsi" w:hAnsiTheme="minorHAnsi"/>
                <w:sz w:val="20"/>
                <w:szCs w:val="20"/>
              </w:rPr>
              <w:t>osob.</w:t>
            </w:r>
            <w:r>
              <w:rPr>
                <w:rFonts w:asciiTheme="minorHAnsi" w:hAnsiTheme="minorHAnsi"/>
                <w:sz w:val="20"/>
                <w:szCs w:val="20"/>
              </w:rPr>
              <w:t xml:space="preserve"> Nárůst byl pozvolný, v průběhu celého roku 2014 a pro rok 2015  plánují  setrvalý stav, tedy ani výrazné nábory, ale ani výrazné propouštění.</w:t>
            </w:r>
          </w:p>
        </w:tc>
      </w:tr>
    </w:tbl>
    <w:p w:rsidR="00DF03E3" w:rsidRPr="0073775E" w:rsidRDefault="00DF03E3" w:rsidP="00DF03E3">
      <w:pPr>
        <w:ind w:right="113"/>
        <w:rPr>
          <w:rFonts w:asciiTheme="minorHAnsi" w:hAnsiTheme="minorHAnsi"/>
          <w:b/>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Slévárna Kuřim, a.s.</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Blanenská 157, Kuřim</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a</w:t>
            </w:r>
            <w:r w:rsidRPr="0073775E">
              <w:rPr>
                <w:rFonts w:asciiTheme="minorHAnsi" w:hAnsiTheme="minorHAnsi"/>
                <w:sz w:val="20"/>
                <w:szCs w:val="20"/>
              </w:rPr>
              <w:t>kciová společnost zabývající se slévárenstvím, výrobou odlitků ze šedé, tvárné a ADI litiny pro obráběcí stroje a ostatní odvětví průmyslové výroby, obráběním odlitků a výrobou modelů pro ruční a strojové zpracování</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počet zaměstnanců v okrese:</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      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4</w:t>
            </w:r>
            <w:r>
              <w:rPr>
                <w:rFonts w:asciiTheme="minorHAnsi" w:hAnsiTheme="minorHAnsi"/>
                <w:sz w:val="20"/>
                <w:szCs w:val="20"/>
              </w:rPr>
              <w:t>1</w:t>
            </w:r>
            <w:r w:rsidRPr="0073775E">
              <w:rPr>
                <w:rFonts w:asciiTheme="minorHAnsi" w:hAnsiTheme="minorHAnsi"/>
                <w:sz w:val="20"/>
                <w:szCs w:val="20"/>
              </w:rPr>
              <w:t>4</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      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sidRPr="0073775E">
              <w:rPr>
                <w:rFonts w:asciiTheme="minorHAnsi" w:hAnsiTheme="minorHAnsi"/>
                <w:sz w:val="20"/>
                <w:szCs w:val="20"/>
              </w:rPr>
              <w:t>4</w:t>
            </w:r>
            <w:r>
              <w:rPr>
                <w:rFonts w:asciiTheme="minorHAnsi" w:hAnsiTheme="minorHAnsi"/>
                <w:sz w:val="20"/>
                <w:szCs w:val="20"/>
              </w:rPr>
              <w:t>20</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jc w:val="both"/>
              <w:rPr>
                <w:rFonts w:asciiTheme="minorHAnsi" w:hAnsiTheme="minorHAnsi"/>
                <w:sz w:val="20"/>
                <w:szCs w:val="20"/>
              </w:rPr>
            </w:pPr>
            <w:r w:rsidRPr="0073775E">
              <w:rPr>
                <w:rFonts w:asciiTheme="minorHAnsi" w:hAnsiTheme="minorHAnsi"/>
                <w:sz w:val="20"/>
                <w:szCs w:val="20"/>
              </w:rPr>
              <w:t>Společnost</w:t>
            </w:r>
            <w:r>
              <w:rPr>
                <w:rFonts w:asciiTheme="minorHAnsi" w:hAnsiTheme="minorHAnsi"/>
                <w:sz w:val="20"/>
                <w:szCs w:val="20"/>
              </w:rPr>
              <w:t xml:space="preserve"> zabývající se slévárenstvím a výrobou a obráběním odlitků</w:t>
            </w:r>
            <w:r w:rsidRPr="0073775E">
              <w:rPr>
                <w:rFonts w:asciiTheme="minorHAnsi" w:hAnsiTheme="minorHAnsi"/>
                <w:sz w:val="20"/>
                <w:szCs w:val="20"/>
              </w:rPr>
              <w:t xml:space="preserve"> hledá </w:t>
            </w:r>
            <w:r>
              <w:rPr>
                <w:rFonts w:asciiTheme="minorHAnsi" w:hAnsiTheme="minorHAnsi"/>
                <w:sz w:val="20"/>
                <w:szCs w:val="20"/>
              </w:rPr>
              <w:t xml:space="preserve">odborné pracovníky: </w:t>
            </w:r>
            <w:r w:rsidRPr="0073775E">
              <w:rPr>
                <w:rFonts w:asciiTheme="minorHAnsi" w:hAnsiTheme="minorHAnsi"/>
                <w:sz w:val="20"/>
                <w:szCs w:val="20"/>
              </w:rPr>
              <w:t>kvalitáře a testovače výrobků, specialisty na nákup a prodej</w:t>
            </w:r>
            <w:r>
              <w:rPr>
                <w:rFonts w:asciiTheme="minorHAnsi" w:hAnsiTheme="minorHAnsi"/>
                <w:sz w:val="20"/>
                <w:szCs w:val="20"/>
              </w:rPr>
              <w:t xml:space="preserve"> obráběcích</w:t>
            </w:r>
            <w:r w:rsidRPr="0073775E">
              <w:rPr>
                <w:rFonts w:asciiTheme="minorHAnsi" w:hAnsiTheme="minorHAnsi"/>
                <w:sz w:val="20"/>
                <w:szCs w:val="20"/>
              </w:rPr>
              <w:t xml:space="preserve"> strojů.</w:t>
            </w:r>
            <w:r>
              <w:rPr>
                <w:rFonts w:asciiTheme="minorHAnsi" w:hAnsiTheme="minorHAnsi"/>
                <w:sz w:val="20"/>
                <w:szCs w:val="20"/>
              </w:rPr>
              <w:t xml:space="preserve"> Meziročně došlo k mírnému zvýšení počtu pracovníků (+6 osob). </w:t>
            </w:r>
            <w:r w:rsidRPr="0073775E">
              <w:rPr>
                <w:rFonts w:asciiTheme="minorHAnsi" w:hAnsiTheme="minorHAnsi"/>
                <w:sz w:val="20"/>
                <w:szCs w:val="20"/>
              </w:rPr>
              <w:t>Situace v</w:t>
            </w:r>
            <w:r>
              <w:rPr>
                <w:rFonts w:asciiTheme="minorHAnsi" w:hAnsiTheme="minorHAnsi"/>
                <w:sz w:val="20"/>
                <w:szCs w:val="20"/>
              </w:rPr>
              <w:t> celkovém počtu zaměstnanců se stabilizovala a případná potřeba zvýšeného počtu zaměstnanců je doplňována pracovníky zajištěnými přes zprostředkovatelské agentury.</w:t>
            </w:r>
          </w:p>
        </w:tc>
      </w:tr>
    </w:tbl>
    <w:p w:rsidR="00DF03E3" w:rsidRDefault="00DF03E3" w:rsidP="00DF03E3">
      <w:pPr>
        <w:rPr>
          <w:rFonts w:asciiTheme="minorHAnsi" w:hAnsi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Karlova pekárna s.r.o.</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Brněnská 158, 667 01 Židlochovice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 xml:space="preserve">Výroba pekárenských a cukrárenských výrobků, </w:t>
            </w:r>
            <w:r>
              <w:rPr>
                <w:rFonts w:asciiTheme="minorHAnsi" w:hAnsiTheme="minorHAnsi"/>
                <w:sz w:val="20"/>
                <w:szCs w:val="20"/>
              </w:rPr>
              <w:lastRenderedPageBreak/>
              <w:t>trvanlivých cukrářských výrobků, sucharů a sušenek</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lastRenderedPageBreak/>
              <w:t>počet zaměstnanců v okrese Brno-venkov:</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      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408</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      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420</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342DDF" w:rsidRDefault="00DF03E3" w:rsidP="00DF03E3">
            <w:pPr>
              <w:pStyle w:val="Odstavecseseznamem"/>
              <w:numPr>
                <w:ilvl w:val="0"/>
                <w:numId w:val="29"/>
              </w:numPr>
              <w:ind w:right="113"/>
              <w:contextualSpacing/>
              <w:rPr>
                <w:rFonts w:asciiTheme="minorHAnsi" w:hAnsiTheme="minorHAnsi"/>
                <w:sz w:val="20"/>
                <w:szCs w:val="20"/>
              </w:rPr>
            </w:pP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Default="00DF03E3" w:rsidP="00C112A9">
            <w:pPr>
              <w:ind w:right="113"/>
              <w:jc w:val="both"/>
              <w:rPr>
                <w:rFonts w:asciiTheme="minorHAnsi" w:hAnsiTheme="minorHAnsi"/>
                <w:sz w:val="20"/>
                <w:szCs w:val="20"/>
              </w:rPr>
            </w:pPr>
            <w:r>
              <w:rPr>
                <w:rFonts w:asciiTheme="minorHAnsi" w:hAnsiTheme="minorHAnsi"/>
                <w:sz w:val="20"/>
                <w:szCs w:val="20"/>
              </w:rPr>
              <w:t>Karlova pekárna s.r.o. působí na trhu od roku 1990, kdy byl postaven první výrobní provoz pekárny v Židlochovicích. V roce 1994 byla pod Karlovu pekárnu připojena pekárna v Tišnově. V roce 2005 Karlova pekárna otevřela výrobu studené kuchyně v Měníně (okres Brno-venkov) a tímto způsobem dochází ke zhodnocování kvalitních pekařských výrobků ze stávajících provozů. Většina výrobků Karlovy pekárny je nabízena ve vlastních prod</w:t>
            </w:r>
            <w:r w:rsidR="00EF78B5">
              <w:rPr>
                <w:rFonts w:asciiTheme="minorHAnsi" w:hAnsiTheme="minorHAnsi"/>
                <w:sz w:val="20"/>
                <w:szCs w:val="20"/>
              </w:rPr>
              <w:t xml:space="preserve">ejnách, kterých je více než 30. </w:t>
            </w:r>
            <w:r>
              <w:rPr>
                <w:rFonts w:asciiTheme="minorHAnsi" w:hAnsiTheme="minorHAnsi"/>
                <w:sz w:val="20"/>
                <w:szCs w:val="20"/>
              </w:rPr>
              <w:t>Pekárna však dodává i do prodejen a obchodních řetězců. Pro rozšiřování výroby a distribuci výrobků potřebuje Karlova pekárna stále více pracovníků a to jak dělnických profesí, dále vyučených: v oborech pekař, cukrář/ka, tak i plánování a marketingu (SŠ,VŠ) a pro zajišťování rozvozu výrobků (řidiče) a jejich prodeje.</w:t>
            </w:r>
          </w:p>
          <w:p w:rsidR="00DF03E3" w:rsidRPr="0073775E" w:rsidRDefault="00DF03E3" w:rsidP="00C112A9">
            <w:pPr>
              <w:ind w:right="113"/>
              <w:jc w:val="both"/>
              <w:rPr>
                <w:rFonts w:asciiTheme="minorHAnsi" w:hAnsiTheme="minorHAnsi"/>
                <w:sz w:val="20"/>
                <w:szCs w:val="20"/>
              </w:rPr>
            </w:pPr>
            <w:r>
              <w:rPr>
                <w:rFonts w:asciiTheme="minorHAnsi" w:hAnsiTheme="minorHAnsi"/>
                <w:sz w:val="20"/>
                <w:szCs w:val="20"/>
              </w:rPr>
              <w:t>V roce 2014 byl proto zaznamenán nárůst počtu pracovníků o 12 osob. Stabilizace pracovních míst je předpokládána i v roce 2015, kdy je plánováno zvyšování zaměstnanců (ale vzhledem k nárůstu minimální mzdy jen ve stejném počtu jako v roce 2014-asi 12 osob). Karlova pekárna je významným zaměstnavatelem v daném regionu, poskytuje zaměstnání především pracovníkům s nižším vzděláním a ženám (i ve věku 50+).</w:t>
            </w:r>
          </w:p>
        </w:tc>
      </w:tr>
    </w:tbl>
    <w:p w:rsidR="00DF03E3" w:rsidRDefault="00DF03E3" w:rsidP="00DF03E3">
      <w:pPr>
        <w:rPr>
          <w:rFonts w:asciiTheme="minorHAnsi" w:hAnsi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sz w:val="20"/>
                <w:szCs w:val="20"/>
              </w:rPr>
            </w:pPr>
            <w:r w:rsidRPr="00CF1048">
              <w:rPr>
                <w:rFonts w:asciiTheme="minorHAnsi" w:hAnsiTheme="minorHAnsi"/>
                <w:b/>
                <w:sz w:val="20"/>
                <w:szCs w:val="20"/>
              </w:rPr>
              <w:t>DELIKOMAT s.r.o.</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sídlo:</w:t>
            </w:r>
          </w:p>
        </w:tc>
        <w:tc>
          <w:tcPr>
            <w:tcW w:w="4252" w:type="dxa"/>
            <w:tcBorders>
              <w:top w:val="double" w:sz="4" w:space="0" w:color="auto"/>
              <w:left w:val="nil"/>
              <w:bottom w:val="single" w:sz="4"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U Vlečky 843, 664 42 Modřice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předmět činnosti (podrobněji):</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instalace, pronájem, prodej, leasing a kompletní servis nápojových a prodejních automatů. Automaty jsou na teplé a studené nápoje (kávu, čaj a další), kusové zboží (svačinové automaty na bagety, balené nápoje, cukrovinky), sodobary, výdejníky vody. Je zajišťován veškerý servis a služby spojené s provozem automatů: prodej a doplnění směsí a kelímků do automatů, jejich rozvoz, doplňování kusovým zbožím, instalace, služby a opravy.</w:t>
            </w:r>
          </w:p>
        </w:tc>
      </w:tr>
      <w:tr w:rsidR="00DF03E3" w:rsidRPr="0073775E" w:rsidTr="00C112A9">
        <w:tc>
          <w:tcPr>
            <w:tcW w:w="4820" w:type="dxa"/>
            <w:tcBorders>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počet zaměstnanců v okrese Brno-venkov:</w:t>
            </w:r>
          </w:p>
        </w:tc>
        <w:tc>
          <w:tcPr>
            <w:tcW w:w="4252" w:type="dxa"/>
            <w:tcBorders>
              <w:left w:val="nil"/>
              <w:bottom w:val="nil"/>
              <w:right w:val="double" w:sz="4" w:space="0" w:color="auto"/>
            </w:tcBorders>
          </w:tcPr>
          <w:p w:rsidR="00DF03E3" w:rsidRPr="0073775E" w:rsidRDefault="00DF03E3" w:rsidP="00C112A9">
            <w:pPr>
              <w:ind w:right="113"/>
              <w:rPr>
                <w:rFonts w:asciiTheme="minorHAnsi" w:hAnsiTheme="minorHAnsi"/>
                <w:sz w:val="20"/>
                <w:szCs w:val="20"/>
              </w:rPr>
            </w:pPr>
          </w:p>
        </w:tc>
      </w:tr>
      <w:tr w:rsidR="00DF03E3" w:rsidRPr="0073775E" w:rsidTr="00C112A9">
        <w:tc>
          <w:tcPr>
            <w:tcW w:w="4820" w:type="dxa"/>
            <w:tcBorders>
              <w:top w:val="nil"/>
              <w:left w:val="double" w:sz="4" w:space="0" w:color="auto"/>
              <w:bottom w:val="nil"/>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      v roce 201</w:t>
            </w:r>
            <w:r>
              <w:rPr>
                <w:rFonts w:asciiTheme="minorHAnsi" w:hAnsiTheme="minorHAnsi"/>
                <w:bCs/>
                <w:iCs/>
                <w:sz w:val="20"/>
                <w:szCs w:val="20"/>
              </w:rPr>
              <w:t>3</w:t>
            </w:r>
          </w:p>
        </w:tc>
        <w:tc>
          <w:tcPr>
            <w:tcW w:w="4252" w:type="dxa"/>
            <w:tcBorders>
              <w:top w:val="nil"/>
              <w:left w:val="nil"/>
              <w:bottom w:val="nil"/>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414</w:t>
            </w: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 xml:space="preserve">      v roce 201</w:t>
            </w:r>
            <w:r>
              <w:rPr>
                <w:rFonts w:asciiTheme="minorHAnsi" w:hAnsiTheme="minorHAnsi"/>
                <w:bCs/>
                <w:iCs/>
                <w:sz w:val="20"/>
                <w:szCs w:val="20"/>
              </w:rPr>
              <w:t>4</w:t>
            </w:r>
          </w:p>
        </w:tc>
        <w:tc>
          <w:tcPr>
            <w:tcW w:w="4252" w:type="dxa"/>
            <w:tcBorders>
              <w:top w:val="nil"/>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426</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lastRenderedPageBreak/>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rPr>
            </w:pPr>
            <w:r>
              <w:rPr>
                <w:rFonts w:asciiTheme="minorHAnsi" w:hAnsiTheme="minorHAnsi"/>
                <w:sz w:val="20"/>
                <w:szCs w:val="20"/>
              </w:rPr>
              <w:t>Rakousko</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tcPr>
          <w:p w:rsidR="00DF03E3" w:rsidRPr="0073775E" w:rsidRDefault="00DF03E3" w:rsidP="00C112A9">
            <w:pPr>
              <w:ind w:right="113"/>
              <w:rPr>
                <w:rFonts w:asciiTheme="minorHAnsi" w:hAnsiTheme="minorHAnsi"/>
                <w:bCs/>
                <w:iCs/>
                <w:sz w:val="20"/>
                <w:szCs w:val="20"/>
              </w:rPr>
            </w:pPr>
            <w:r w:rsidRPr="0073775E">
              <w:rPr>
                <w:rFonts w:asciiTheme="minorHAnsi" w:hAnsiTheme="minorHAnsi"/>
                <w:bCs/>
                <w:iCs/>
                <w:sz w:val="20"/>
                <w:szCs w:val="20"/>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tcPr>
          <w:p w:rsidR="00DF03E3" w:rsidRDefault="00DF03E3" w:rsidP="00C112A9">
            <w:pPr>
              <w:ind w:right="113"/>
              <w:jc w:val="both"/>
              <w:rPr>
                <w:rFonts w:asciiTheme="minorHAnsi" w:hAnsiTheme="minorHAnsi"/>
                <w:sz w:val="20"/>
                <w:szCs w:val="20"/>
              </w:rPr>
            </w:pPr>
            <w:r>
              <w:rPr>
                <w:rFonts w:asciiTheme="minorHAnsi" w:hAnsiTheme="minorHAnsi"/>
                <w:sz w:val="20"/>
                <w:szCs w:val="20"/>
              </w:rPr>
              <w:t>DELIKOMAT s.r.o. působí na trhu nápojových a prodejních automatů již od roku 1992. Od roku 2001 je sídlem společnosti vlastní správní a logistická centrála v Modřicích u Brna, jejíž součástí je mj. také předváděcí showroom s automaty, které jsou plně automatické, snadné na obsluhu a nenáročné na provoz z hlediska spotřeby vstupních surovin a energií.</w:t>
            </w:r>
          </w:p>
          <w:p w:rsidR="00DF03E3" w:rsidRDefault="00DF03E3" w:rsidP="00C112A9">
            <w:pPr>
              <w:ind w:right="113"/>
              <w:jc w:val="both"/>
              <w:rPr>
                <w:rFonts w:asciiTheme="minorHAnsi" w:hAnsiTheme="minorHAnsi"/>
                <w:sz w:val="20"/>
                <w:szCs w:val="20"/>
              </w:rPr>
            </w:pPr>
            <w:r>
              <w:rPr>
                <w:rFonts w:asciiTheme="minorHAnsi" w:hAnsiTheme="minorHAnsi"/>
                <w:sz w:val="20"/>
                <w:szCs w:val="20"/>
              </w:rPr>
              <w:t xml:space="preserve">Zaměstnavatel působil nejprve v JM kraji, nyní má dalších 11 poboček po celé ČR. Zajišťuje kompletní servis a údržbu automatů v  co nejkratším možném čase. Z tohoto důvodu proto zajišťuje nepřetržitý servis a v loňském roce zvyšoval stav zaměstnanců (+12 osob). </w:t>
            </w:r>
          </w:p>
          <w:p w:rsidR="00DF03E3" w:rsidRPr="0073775E" w:rsidRDefault="00DF03E3" w:rsidP="00C112A9">
            <w:pPr>
              <w:ind w:right="113"/>
              <w:jc w:val="both"/>
              <w:rPr>
                <w:rFonts w:asciiTheme="minorHAnsi" w:hAnsiTheme="minorHAnsi"/>
                <w:sz w:val="20"/>
                <w:szCs w:val="20"/>
              </w:rPr>
            </w:pPr>
            <w:r>
              <w:rPr>
                <w:rFonts w:asciiTheme="minorHAnsi" w:hAnsiTheme="minorHAnsi"/>
                <w:sz w:val="20"/>
                <w:szCs w:val="20"/>
              </w:rPr>
              <w:t>Mezi své zaměstnance</w:t>
            </w:r>
            <w:r w:rsidR="00EF78B5">
              <w:rPr>
                <w:rFonts w:asciiTheme="minorHAnsi" w:hAnsiTheme="minorHAnsi"/>
                <w:sz w:val="20"/>
                <w:szCs w:val="20"/>
              </w:rPr>
              <w:t xml:space="preserve"> </w:t>
            </w:r>
            <w:r>
              <w:rPr>
                <w:rFonts w:asciiTheme="minorHAnsi" w:hAnsiTheme="minorHAnsi"/>
                <w:sz w:val="20"/>
                <w:szCs w:val="20"/>
              </w:rPr>
              <w:t>nabírá především elektrotechniky, elektromechaniky (odborné vzdělání SŠ elektro a nutný ŘP sk.B), kterým za pohotovostní servisní služby nabízí příplatky. Dále požaduje skladníky a řidiče. Patří mezi 100 nejstabilnějších českých firem. V roce 2014 zvyšoval stav zaměstnanců (+12 osob) a také v roce 2015 je předpokládán nárůst zaměstnanců.</w:t>
            </w:r>
          </w:p>
        </w:tc>
      </w:tr>
    </w:tbl>
    <w:p w:rsidR="00DF03E3" w:rsidRPr="0073775E" w:rsidRDefault="00DF03E3" w:rsidP="00DF03E3">
      <w:pPr>
        <w:rPr>
          <w:rFonts w:asciiTheme="minorHAnsi" w:hAnsiTheme="minorHAnsi"/>
          <w:sz w:val="20"/>
          <w:szCs w:val="20"/>
        </w:rPr>
      </w:pPr>
    </w:p>
    <w:p w:rsidR="00DF03E3" w:rsidRDefault="00DF03E3" w:rsidP="00DF03E3"/>
    <w:p w:rsidR="00DF03E3" w:rsidRPr="0073775E" w:rsidRDefault="00DF03E3" w:rsidP="00DF03E3">
      <w:pPr>
        <w:ind w:right="113"/>
        <w:rPr>
          <w:rFonts w:ascii="Arial" w:hAnsi="Arial" w:cs="Arial"/>
          <w:b/>
        </w:rPr>
      </w:pPr>
      <w:r w:rsidRPr="0073775E">
        <w:rPr>
          <w:rFonts w:ascii="Arial" w:hAnsi="Arial" w:cs="Arial"/>
          <w:b/>
        </w:rPr>
        <w:t>OKRES BŘECLAV</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bCs/>
                <w:sz w:val="20"/>
                <w:szCs w:val="20"/>
                <w:lang w:eastAsia="en-US"/>
              </w:rPr>
            </w:pPr>
            <w:r w:rsidRPr="00CF1048">
              <w:rPr>
                <w:rFonts w:asciiTheme="minorHAnsi" w:hAnsiTheme="minorHAnsi"/>
                <w:b/>
                <w:bCs/>
                <w:sz w:val="20"/>
                <w:szCs w:val="20"/>
                <w:lang w:eastAsia="en-US"/>
              </w:rPr>
              <w:t xml:space="preserve">GUMOTEX, </w:t>
            </w:r>
            <w:r w:rsidRPr="00CF1048">
              <w:rPr>
                <w:rFonts w:asciiTheme="minorHAnsi" w:hAnsiTheme="minorHAnsi"/>
                <w:b/>
                <w:sz w:val="20"/>
                <w:szCs w:val="20"/>
                <w:lang w:eastAsia="en-US"/>
              </w:rPr>
              <w:t>akciová společnost</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Mládežnická 3A, Břeclav</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výroba plastových a gumárenských výrobků</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Břeclav:</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1</w:t>
            </w:r>
            <w:r>
              <w:rPr>
                <w:rFonts w:asciiTheme="minorHAnsi" w:hAnsiTheme="minorHAnsi"/>
                <w:sz w:val="20"/>
                <w:szCs w:val="20"/>
                <w:lang w:eastAsia="en-US"/>
              </w:rPr>
              <w:t> </w:t>
            </w:r>
            <w:r w:rsidRPr="0073775E">
              <w:rPr>
                <w:rFonts w:asciiTheme="minorHAnsi" w:hAnsiTheme="minorHAnsi"/>
                <w:sz w:val="20"/>
                <w:szCs w:val="20"/>
                <w:lang w:eastAsia="en-US"/>
              </w:rPr>
              <w:t xml:space="preserve">200 </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1119 kmenových + 233 agenturních</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Pr>
                <w:rFonts w:asciiTheme="minorHAnsi" w:hAnsiTheme="minorHAnsi"/>
                <w:sz w:val="20"/>
                <w:szCs w:val="20"/>
                <w:lang w:eastAsia="en-US"/>
              </w:rPr>
              <w:t>Jeden z n</w:t>
            </w:r>
            <w:r w:rsidRPr="0073775E">
              <w:rPr>
                <w:rFonts w:asciiTheme="minorHAnsi" w:hAnsiTheme="minorHAnsi"/>
                <w:sz w:val="20"/>
                <w:szCs w:val="20"/>
                <w:lang w:eastAsia="en-US"/>
              </w:rPr>
              <w:t>ejvětší</w:t>
            </w:r>
            <w:r>
              <w:rPr>
                <w:rFonts w:asciiTheme="minorHAnsi" w:hAnsiTheme="minorHAnsi"/>
                <w:sz w:val="20"/>
                <w:szCs w:val="20"/>
                <w:lang w:eastAsia="en-US"/>
              </w:rPr>
              <w:t>ch</w:t>
            </w:r>
            <w:r w:rsidRPr="0073775E">
              <w:rPr>
                <w:rFonts w:asciiTheme="minorHAnsi" w:hAnsiTheme="minorHAnsi"/>
                <w:sz w:val="20"/>
                <w:szCs w:val="20"/>
                <w:lang w:eastAsia="en-US"/>
              </w:rPr>
              <w:t xml:space="preserve"> průmyslový</w:t>
            </w:r>
            <w:r>
              <w:rPr>
                <w:rFonts w:asciiTheme="minorHAnsi" w:hAnsiTheme="minorHAnsi"/>
                <w:sz w:val="20"/>
                <w:szCs w:val="20"/>
                <w:lang w:eastAsia="en-US"/>
              </w:rPr>
              <w:t>ch</w:t>
            </w:r>
            <w:r w:rsidRPr="0073775E">
              <w:rPr>
                <w:rFonts w:asciiTheme="minorHAnsi" w:hAnsiTheme="minorHAnsi"/>
                <w:sz w:val="20"/>
                <w:szCs w:val="20"/>
                <w:lang w:eastAsia="en-US"/>
              </w:rPr>
              <w:t xml:space="preserve"> podnik</w:t>
            </w:r>
            <w:r>
              <w:rPr>
                <w:rFonts w:asciiTheme="minorHAnsi" w:hAnsiTheme="minorHAnsi"/>
                <w:sz w:val="20"/>
                <w:szCs w:val="20"/>
                <w:lang w:eastAsia="en-US"/>
              </w:rPr>
              <w:t>ů</w:t>
            </w:r>
            <w:r w:rsidRPr="0073775E">
              <w:rPr>
                <w:rFonts w:asciiTheme="minorHAnsi" w:hAnsiTheme="minorHAnsi"/>
                <w:sz w:val="20"/>
                <w:szCs w:val="20"/>
                <w:lang w:eastAsia="en-US"/>
              </w:rPr>
              <w:t xml:space="preserve"> břeclavského regionu s více než polovinou produkce určenou pro export. Klíčové technologie – polyuretanové pěny, plastové díly pro automobily. </w:t>
            </w:r>
            <w:r>
              <w:rPr>
                <w:rFonts w:asciiTheme="minorHAnsi" w:hAnsiTheme="minorHAnsi"/>
                <w:sz w:val="20"/>
                <w:szCs w:val="20"/>
                <w:lang w:eastAsia="en-US"/>
              </w:rPr>
              <w:t xml:space="preserve">Po odprodeji provozu molitanu a následné restrukturalizaci stabilizovaný stav. </w:t>
            </w:r>
          </w:p>
        </w:tc>
      </w:tr>
    </w:tbl>
    <w:p w:rsidR="00DF03E3" w:rsidRPr="0073775E" w:rsidRDefault="00DF03E3" w:rsidP="00DF03E3">
      <w:pPr>
        <w:ind w:right="113"/>
        <w:rPr>
          <w:rFonts w:asciiTheme="minorHAnsi" w:hAnsiTheme="minorHAnsi"/>
          <w:b/>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bCs/>
                <w:sz w:val="20"/>
                <w:szCs w:val="20"/>
                <w:lang w:eastAsia="en-US"/>
              </w:rPr>
            </w:pPr>
            <w:r w:rsidRPr="00CF1048">
              <w:rPr>
                <w:rFonts w:asciiTheme="minorHAnsi" w:hAnsiTheme="minorHAnsi"/>
                <w:b/>
                <w:bCs/>
                <w:sz w:val="20"/>
                <w:szCs w:val="20"/>
                <w:lang w:eastAsia="en-US"/>
              </w:rPr>
              <w:t>Gebauer a Griller Kabeltechnik, spol. s r.o.</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bCs/>
                <w:sz w:val="20"/>
                <w:szCs w:val="20"/>
                <w:lang w:eastAsia="en-US"/>
              </w:rPr>
            </w:pPr>
            <w:r w:rsidRPr="0073775E">
              <w:rPr>
                <w:rFonts w:asciiTheme="minorHAnsi" w:hAnsiTheme="minorHAnsi"/>
                <w:bCs/>
                <w:sz w:val="20"/>
                <w:szCs w:val="20"/>
                <w:lang w:eastAsia="en-US"/>
              </w:rPr>
              <w:t>Nádražní 677E, Mikulov</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bCs/>
                <w:sz w:val="20"/>
                <w:szCs w:val="20"/>
                <w:lang w:eastAsia="en-US"/>
              </w:rPr>
              <w:t>výroba elektro</w:t>
            </w:r>
            <w:r>
              <w:rPr>
                <w:rFonts w:asciiTheme="minorHAnsi" w:hAnsiTheme="minorHAnsi"/>
                <w:bCs/>
                <w:sz w:val="20"/>
                <w:szCs w:val="20"/>
                <w:lang w:eastAsia="en-US"/>
              </w:rPr>
              <w:t xml:space="preserve"> </w:t>
            </w:r>
            <w:r w:rsidRPr="0073775E">
              <w:rPr>
                <w:rFonts w:asciiTheme="minorHAnsi" w:hAnsiTheme="minorHAnsi"/>
                <w:bCs/>
                <w:sz w:val="20"/>
                <w:szCs w:val="20"/>
                <w:lang w:eastAsia="en-US"/>
              </w:rPr>
              <w:t xml:space="preserve">kabelů a elektrických vodičů      </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Břeclav:</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 xml:space="preserve">1075  </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1350 kmenových + 200 agenturních</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lastRenderedPageBreak/>
              <w:t xml:space="preserve">země zahraničního partnera (pokud existuje) </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Rakousko</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bCs/>
                <w:sz w:val="20"/>
                <w:szCs w:val="20"/>
                <w:lang w:eastAsia="en-US"/>
              </w:rPr>
            </w:pPr>
            <w:r w:rsidRPr="0073775E">
              <w:rPr>
                <w:rFonts w:asciiTheme="minorHAnsi" w:hAnsiTheme="minorHAnsi"/>
                <w:bCs/>
                <w:sz w:val="20"/>
                <w:szCs w:val="20"/>
                <w:lang w:eastAsia="en-US"/>
              </w:rPr>
              <w:t xml:space="preserve">Výrobce kabelů, modulů a kabelových svazků pro automobilový a výtahový průmysl. Společnost  nejméně postižená ekonomickou krizí. </w:t>
            </w:r>
            <w:r>
              <w:rPr>
                <w:rFonts w:asciiTheme="minorHAnsi" w:hAnsiTheme="minorHAnsi"/>
                <w:bCs/>
                <w:sz w:val="20"/>
                <w:szCs w:val="20"/>
                <w:lang w:eastAsia="en-US"/>
              </w:rPr>
              <w:t>N</w:t>
            </w:r>
            <w:r w:rsidRPr="0073775E">
              <w:rPr>
                <w:rFonts w:asciiTheme="minorHAnsi" w:hAnsiTheme="minorHAnsi"/>
                <w:bCs/>
                <w:sz w:val="20"/>
                <w:szCs w:val="20"/>
                <w:lang w:eastAsia="en-US"/>
              </w:rPr>
              <w:t>ejvětší nárůst</w:t>
            </w:r>
            <w:r>
              <w:rPr>
                <w:rFonts w:asciiTheme="minorHAnsi" w:hAnsiTheme="minorHAnsi"/>
                <w:bCs/>
                <w:sz w:val="20"/>
                <w:szCs w:val="20"/>
                <w:lang w:eastAsia="en-US"/>
              </w:rPr>
              <w:t xml:space="preserve"> </w:t>
            </w:r>
            <w:r w:rsidRPr="0073775E">
              <w:rPr>
                <w:rFonts w:asciiTheme="minorHAnsi" w:hAnsiTheme="minorHAnsi"/>
                <w:bCs/>
                <w:sz w:val="20"/>
                <w:szCs w:val="20"/>
                <w:lang w:eastAsia="en-US"/>
              </w:rPr>
              <w:t>dělnických</w:t>
            </w:r>
            <w:r>
              <w:rPr>
                <w:rFonts w:asciiTheme="minorHAnsi" w:hAnsiTheme="minorHAnsi"/>
                <w:bCs/>
                <w:sz w:val="20"/>
                <w:szCs w:val="20"/>
                <w:lang w:eastAsia="en-US"/>
              </w:rPr>
              <w:t xml:space="preserve"> </w:t>
            </w:r>
            <w:r w:rsidRPr="0073775E">
              <w:rPr>
                <w:rFonts w:asciiTheme="minorHAnsi" w:hAnsiTheme="minorHAnsi"/>
                <w:bCs/>
                <w:sz w:val="20"/>
                <w:szCs w:val="20"/>
                <w:lang w:eastAsia="en-US"/>
              </w:rPr>
              <w:t>profesí ze všech nejvýzna</w:t>
            </w:r>
            <w:r>
              <w:rPr>
                <w:rFonts w:asciiTheme="minorHAnsi" w:hAnsiTheme="minorHAnsi"/>
                <w:bCs/>
                <w:sz w:val="20"/>
                <w:szCs w:val="20"/>
                <w:lang w:eastAsia="en-US"/>
              </w:rPr>
              <w:t>mnějších zaměstnavatelů v okrese</w:t>
            </w:r>
            <w:r w:rsidRPr="0073775E">
              <w:rPr>
                <w:rFonts w:asciiTheme="minorHAnsi" w:hAnsiTheme="minorHAnsi"/>
                <w:bCs/>
                <w:sz w:val="20"/>
                <w:szCs w:val="20"/>
                <w:lang w:eastAsia="en-US"/>
              </w:rPr>
              <w:t xml:space="preserve">. </w:t>
            </w:r>
            <w:r>
              <w:rPr>
                <w:rFonts w:asciiTheme="minorHAnsi" w:hAnsiTheme="minorHAnsi"/>
                <w:bCs/>
                <w:sz w:val="20"/>
                <w:szCs w:val="20"/>
                <w:lang w:eastAsia="en-US"/>
              </w:rPr>
              <w:t>Letos dokončena nová výrobní hala s kapacitou cca 350 pracovních míst.</w:t>
            </w:r>
          </w:p>
        </w:tc>
      </w:tr>
    </w:tbl>
    <w:p w:rsidR="00DF03E3" w:rsidRPr="0073775E" w:rsidRDefault="00DF03E3" w:rsidP="00DF03E3">
      <w:pPr>
        <w:ind w:right="113"/>
        <w:rPr>
          <w:rFonts w:asciiTheme="minorHAnsi" w:hAnsiTheme="minorHAnsi"/>
          <w:b/>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bCs/>
                <w:sz w:val="20"/>
                <w:szCs w:val="20"/>
                <w:lang w:eastAsia="en-US"/>
              </w:rPr>
            </w:pPr>
            <w:r w:rsidRPr="00CF1048">
              <w:rPr>
                <w:rFonts w:asciiTheme="minorHAnsi" w:hAnsiTheme="minorHAnsi"/>
                <w:b/>
                <w:bCs/>
                <w:sz w:val="20"/>
                <w:szCs w:val="20"/>
                <w:lang w:eastAsia="en-US"/>
              </w:rPr>
              <w:t>Nemocnice Břeclav, příspěvková organizace</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U Nemocnice 3066/1, Břeclav</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zdravotnická péče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Břeclav:</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819</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827</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Pr>
                <w:rFonts w:asciiTheme="minorHAnsi" w:hAnsiTheme="minorHAnsi"/>
                <w:sz w:val="20"/>
                <w:szCs w:val="20"/>
                <w:lang w:eastAsia="en-US"/>
              </w:rPr>
              <w:t>Jeden z největších zaměstnavatelů v okrese Břeclav poskytujících ambulantní a ústavní péči. Konsolidovaný stav, 827 kmenových zaměstnanců, z toho 120 zaměstnanců z EU (většinou lékaři a zdravotní sestry</w:t>
            </w:r>
            <w:r w:rsidRPr="0073775E">
              <w:rPr>
                <w:rFonts w:asciiTheme="minorHAnsi" w:hAnsiTheme="minorHAnsi"/>
                <w:sz w:val="20"/>
                <w:szCs w:val="20"/>
                <w:lang w:eastAsia="en-US"/>
              </w:rPr>
              <w:t xml:space="preserve"> </w:t>
            </w:r>
            <w:r>
              <w:rPr>
                <w:rFonts w:asciiTheme="minorHAnsi" w:hAnsiTheme="minorHAnsi"/>
                <w:sz w:val="20"/>
                <w:szCs w:val="20"/>
                <w:lang w:eastAsia="en-US"/>
              </w:rPr>
              <w:t>ze Slovenska).</w:t>
            </w:r>
          </w:p>
        </w:tc>
      </w:tr>
    </w:tbl>
    <w:p w:rsidR="00DF03E3" w:rsidRPr="0073775E" w:rsidRDefault="00DF03E3" w:rsidP="00DF03E3">
      <w:pPr>
        <w:ind w:right="113"/>
        <w:rPr>
          <w:rFonts w:asciiTheme="minorHAnsi" w:hAnsiTheme="minorHAnsi"/>
          <w:b/>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bCs/>
                <w:iCs/>
                <w:sz w:val="20"/>
                <w:szCs w:val="20"/>
                <w:lang w:eastAsia="en-US"/>
              </w:rPr>
            </w:pPr>
            <w:r w:rsidRPr="00CF1048">
              <w:rPr>
                <w:rFonts w:asciiTheme="minorHAnsi" w:hAnsiTheme="minorHAnsi"/>
                <w:b/>
                <w:bCs/>
                <w:iCs/>
                <w:sz w:val="20"/>
                <w:szCs w:val="20"/>
                <w:lang w:eastAsia="en-US"/>
              </w:rPr>
              <w:t>OTIS a.s.</w:t>
            </w:r>
          </w:p>
          <w:p w:rsidR="00DF03E3" w:rsidRPr="0073775E" w:rsidRDefault="00DF03E3" w:rsidP="00C112A9">
            <w:pPr>
              <w:ind w:right="113"/>
              <w:rPr>
                <w:rFonts w:asciiTheme="minorHAnsi" w:hAnsiTheme="minorHAnsi"/>
                <w:bCs/>
                <w:iCs/>
                <w:sz w:val="20"/>
                <w:szCs w:val="20"/>
                <w:lang w:eastAsia="en-US"/>
              </w:rPr>
            </w:pP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J. Opletala 1279/12, Břeclav</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Montáž, revize, opravy a zkoušky zdvihacích zařízení, pronájem nemovitostí</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bCs/>
                <w:iCs/>
                <w:sz w:val="20"/>
                <w:szCs w:val="20"/>
                <w:lang w:eastAsia="en-US"/>
              </w:rPr>
            </w:pP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 xml:space="preserve">v roce </w:t>
            </w:r>
            <w:r w:rsidRPr="0073775E">
              <w:rPr>
                <w:rFonts w:asciiTheme="minorHAnsi" w:hAnsiTheme="minorHAnsi"/>
                <w:bCs/>
                <w:iCs/>
                <w:sz w:val="20"/>
                <w:szCs w:val="20"/>
                <w:lang w:eastAsia="en-US"/>
              </w:rPr>
              <w:t>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683 </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799 kmenových + 154 agenturních</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země zahraničního partnera:</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Německo</w:t>
            </w:r>
          </w:p>
        </w:tc>
      </w:tr>
      <w:tr w:rsidR="00DF03E3" w:rsidRPr="0073775E" w:rsidTr="00C112A9">
        <w:trPr>
          <w:trHeight w:val="613"/>
        </w:trPr>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bCs/>
                <w:iCs/>
                <w:sz w:val="20"/>
                <w:szCs w:val="20"/>
                <w:lang w:eastAsia="en-US"/>
              </w:rPr>
            </w:pPr>
            <w:r w:rsidRPr="0073775E">
              <w:rPr>
                <w:rFonts w:asciiTheme="minorHAnsi" w:hAnsiTheme="minorHAnsi"/>
                <w:bCs/>
                <w:iCs/>
                <w:sz w:val="20"/>
                <w:szCs w:val="20"/>
                <w:lang w:eastAsia="en-US"/>
              </w:rPr>
              <w:t xml:space="preserve">Společnost zabývající se výrobou a servisem eskalátorů a zdvihových zařízení. V důsledku fúze firmy v r. 2011 snižování počtu zaměstnanců. Od roku 2012 je společnost stabilizovaná. V roce 2014 </w:t>
            </w:r>
            <w:r>
              <w:rPr>
                <w:rFonts w:asciiTheme="minorHAnsi" w:hAnsiTheme="minorHAnsi"/>
                <w:bCs/>
                <w:iCs/>
                <w:sz w:val="20"/>
                <w:szCs w:val="20"/>
                <w:lang w:eastAsia="en-US"/>
              </w:rPr>
              <w:t>značný nárůst</w:t>
            </w:r>
            <w:r w:rsidRPr="0073775E">
              <w:rPr>
                <w:rFonts w:asciiTheme="minorHAnsi" w:hAnsiTheme="minorHAnsi"/>
                <w:bCs/>
                <w:iCs/>
                <w:sz w:val="20"/>
                <w:szCs w:val="20"/>
                <w:lang w:eastAsia="en-US"/>
              </w:rPr>
              <w:t xml:space="preserve"> kvalifikovaných pr</w:t>
            </w:r>
            <w:r>
              <w:rPr>
                <w:rFonts w:asciiTheme="minorHAnsi" w:hAnsiTheme="minorHAnsi"/>
                <w:bCs/>
                <w:iCs/>
                <w:sz w:val="20"/>
                <w:szCs w:val="20"/>
                <w:lang w:eastAsia="en-US"/>
              </w:rPr>
              <w:t>acovníků strojírenských profesí vlivem získané zakázky pro londýnské metro (eskalátory).</w:t>
            </w:r>
          </w:p>
        </w:tc>
      </w:tr>
    </w:tbl>
    <w:p w:rsidR="00DF03E3" w:rsidRPr="0073775E" w:rsidRDefault="00DF03E3" w:rsidP="00DF03E3">
      <w:pPr>
        <w:ind w:right="113"/>
        <w:rPr>
          <w:rFonts w:asciiTheme="minorHAnsi" w:hAnsiTheme="minorHAnsi"/>
          <w:b/>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bCs/>
                <w:sz w:val="20"/>
                <w:szCs w:val="20"/>
                <w:lang w:eastAsia="en-US"/>
              </w:rPr>
            </w:pPr>
            <w:r w:rsidRPr="00CF1048">
              <w:rPr>
                <w:rFonts w:asciiTheme="minorHAnsi" w:hAnsiTheme="minorHAnsi"/>
                <w:b/>
                <w:bCs/>
                <w:sz w:val="20"/>
                <w:szCs w:val="20"/>
                <w:lang w:eastAsia="en-US"/>
              </w:rPr>
              <w:t>Jednota, spotřební družstvo v Mikulově</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Kostelní nám.157/9, Mikulov</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výroba, obchod, služby</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Břeclav:</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639</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643</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komentář: stručná charakteristika zaměstnavatele </w:t>
            </w:r>
            <w:r w:rsidRPr="0073775E">
              <w:rPr>
                <w:rFonts w:asciiTheme="minorHAnsi" w:hAnsiTheme="minorHAnsi"/>
                <w:bCs/>
                <w:iCs/>
                <w:sz w:val="20"/>
                <w:szCs w:val="20"/>
                <w:lang w:eastAsia="en-US"/>
              </w:rPr>
              <w:lastRenderedPageBreak/>
              <w:t>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lastRenderedPageBreak/>
              <w:t xml:space="preserve">Družstvo provozující síť maloobchodních </w:t>
            </w:r>
            <w:r w:rsidRPr="0073775E">
              <w:rPr>
                <w:rFonts w:asciiTheme="minorHAnsi" w:hAnsiTheme="minorHAnsi"/>
                <w:sz w:val="20"/>
                <w:szCs w:val="20"/>
                <w:lang w:eastAsia="en-US"/>
              </w:rPr>
              <w:lastRenderedPageBreak/>
              <w:t>prodejen především na venkově. V minulosti utrpělo expanzí obchodních řetězců. Od loňského roku je počet p</w:t>
            </w:r>
            <w:r>
              <w:rPr>
                <w:rFonts w:asciiTheme="minorHAnsi" w:hAnsiTheme="minorHAnsi"/>
                <w:sz w:val="20"/>
                <w:szCs w:val="20"/>
                <w:lang w:eastAsia="en-US"/>
              </w:rPr>
              <w:t>racovníků ve firmě stabilizován - meziročně mírný nárůst.</w:t>
            </w:r>
          </w:p>
        </w:tc>
      </w:tr>
    </w:tbl>
    <w:p w:rsidR="00DF03E3" w:rsidRDefault="00DF03E3" w:rsidP="00DF03E3">
      <w:pPr>
        <w:ind w:right="113"/>
        <w:rPr>
          <w:rFonts w:asciiTheme="minorHAnsi" w:hAnsiTheme="minorHAnsi"/>
          <w:b/>
          <w:color w:val="FF0000"/>
          <w:sz w:val="20"/>
          <w:szCs w:val="20"/>
        </w:rPr>
      </w:pPr>
    </w:p>
    <w:p w:rsidR="00DF03E3" w:rsidRPr="0073775E" w:rsidRDefault="00DF03E3" w:rsidP="00DF03E3">
      <w:pPr>
        <w:ind w:right="113"/>
        <w:rPr>
          <w:rFonts w:asciiTheme="minorHAnsi" w:hAnsiTheme="minorHAnsi"/>
          <w:b/>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CF1048" w:rsidRDefault="00DF03E3" w:rsidP="00C112A9">
            <w:pPr>
              <w:ind w:right="113"/>
              <w:rPr>
                <w:rFonts w:asciiTheme="minorHAnsi" w:hAnsiTheme="minorHAnsi"/>
                <w:b/>
                <w:bCs/>
                <w:iCs/>
                <w:sz w:val="20"/>
                <w:szCs w:val="20"/>
                <w:lang w:eastAsia="en-US"/>
              </w:rPr>
            </w:pPr>
            <w:r w:rsidRPr="00CF1048">
              <w:rPr>
                <w:rFonts w:asciiTheme="minorHAnsi" w:hAnsiTheme="minorHAnsi"/>
                <w:b/>
                <w:bCs/>
                <w:iCs/>
                <w:sz w:val="20"/>
                <w:szCs w:val="20"/>
                <w:lang w:eastAsia="en-US"/>
              </w:rPr>
              <w:t>MOSS logistics s.r.o.</w:t>
            </w:r>
          </w:p>
          <w:p w:rsidR="00DF03E3" w:rsidRPr="0073775E" w:rsidRDefault="00DF03E3" w:rsidP="00C112A9">
            <w:pPr>
              <w:ind w:right="113"/>
              <w:rPr>
                <w:rFonts w:asciiTheme="minorHAnsi" w:hAnsiTheme="minorHAnsi"/>
                <w:bCs/>
                <w:iCs/>
                <w:sz w:val="20"/>
                <w:szCs w:val="20"/>
                <w:lang w:eastAsia="en-US"/>
              </w:rPr>
            </w:pP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Bratislavská 21, Hustopeče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Silniční a motorová doprava</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bCs/>
                <w:iCs/>
                <w:sz w:val="20"/>
                <w:szCs w:val="20"/>
                <w:lang w:eastAsia="en-US"/>
              </w:rPr>
            </w:pP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w:t>
            </w:r>
            <w:r w:rsidRPr="0073775E">
              <w:rPr>
                <w:rFonts w:asciiTheme="minorHAnsi" w:hAnsiTheme="minorHAnsi"/>
                <w:bCs/>
                <w:iCs/>
                <w:sz w:val="20"/>
                <w:szCs w:val="20"/>
                <w:lang w:eastAsia="en-US"/>
              </w:rPr>
              <w:t xml:space="preserv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401</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441</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země zahraničního partnera:</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bCs/>
                <w:iCs/>
                <w:sz w:val="20"/>
                <w:szCs w:val="20"/>
                <w:lang w:eastAsia="en-US"/>
              </w:rPr>
            </w:pPr>
          </w:p>
        </w:tc>
      </w:tr>
      <w:tr w:rsidR="00DF03E3" w:rsidRPr="0073775E" w:rsidTr="00C112A9">
        <w:trPr>
          <w:trHeight w:val="613"/>
        </w:trPr>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bCs/>
                <w:iCs/>
                <w:sz w:val="20"/>
                <w:szCs w:val="20"/>
                <w:lang w:eastAsia="en-US"/>
              </w:rPr>
            </w:pPr>
            <w:r>
              <w:rPr>
                <w:rFonts w:asciiTheme="minorHAnsi" w:hAnsiTheme="minorHAnsi"/>
                <w:bCs/>
                <w:iCs/>
                <w:sz w:val="20"/>
                <w:szCs w:val="20"/>
                <w:lang w:eastAsia="en-US"/>
              </w:rPr>
              <w:t xml:space="preserve">Společnost provozuje mezinárodní </w:t>
            </w:r>
            <w:r w:rsidR="00EF78B5">
              <w:rPr>
                <w:rFonts w:asciiTheme="minorHAnsi" w:hAnsiTheme="minorHAnsi"/>
                <w:bCs/>
                <w:iCs/>
                <w:sz w:val="20"/>
                <w:szCs w:val="20"/>
                <w:lang w:eastAsia="en-US"/>
              </w:rPr>
              <w:t>kamionovou dopravou</w:t>
            </w:r>
            <w:r>
              <w:rPr>
                <w:rFonts w:asciiTheme="minorHAnsi" w:hAnsiTheme="minorHAnsi"/>
                <w:bCs/>
                <w:iCs/>
                <w:sz w:val="20"/>
                <w:szCs w:val="20"/>
                <w:lang w:eastAsia="en-US"/>
              </w:rPr>
              <w:t xml:space="preserve"> a spedici. Ve vlastním skladovém a logistickém centru v Hustopečích nabízí veškeré služby spojené se skladováním zboží, poradenstvím v oblasti logistiky včetně celních služeb a distribuce.  Stabilizovaný stav, meziročně zvyšující se počet zaměstnanců. </w:t>
            </w:r>
          </w:p>
        </w:tc>
      </w:tr>
    </w:tbl>
    <w:p w:rsidR="00DF03E3" w:rsidRPr="0073775E" w:rsidRDefault="00DF03E3" w:rsidP="00DF03E3">
      <w:pPr>
        <w:ind w:right="113"/>
        <w:rPr>
          <w:rFonts w:asciiTheme="minorHAnsi" w:hAnsiTheme="minorHAnsi"/>
          <w:b/>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CF1048" w:rsidRDefault="00DF03E3" w:rsidP="00C112A9">
            <w:pPr>
              <w:ind w:right="113"/>
              <w:rPr>
                <w:rFonts w:asciiTheme="minorHAnsi" w:hAnsiTheme="minorHAnsi"/>
                <w:b/>
                <w:bCs/>
                <w:iCs/>
                <w:sz w:val="20"/>
                <w:szCs w:val="20"/>
                <w:lang w:eastAsia="en-US"/>
              </w:rPr>
            </w:pPr>
            <w:r w:rsidRPr="00CF1048">
              <w:rPr>
                <w:rFonts w:asciiTheme="minorHAnsi" w:hAnsiTheme="minorHAnsi"/>
                <w:b/>
                <w:bCs/>
                <w:iCs/>
                <w:sz w:val="20"/>
                <w:szCs w:val="20"/>
                <w:lang w:eastAsia="en-US"/>
              </w:rPr>
              <w:t>BORS Břeclav</w:t>
            </w:r>
            <w:r>
              <w:rPr>
                <w:rFonts w:asciiTheme="minorHAnsi" w:hAnsiTheme="minorHAnsi"/>
                <w:b/>
                <w:bCs/>
                <w:iCs/>
                <w:sz w:val="20"/>
                <w:szCs w:val="20"/>
                <w:lang w:eastAsia="en-US"/>
              </w:rPr>
              <w:t xml:space="preserve"> a.s.</w:t>
            </w:r>
          </w:p>
        </w:tc>
      </w:tr>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double" w:sz="4" w:space="0" w:color="auto"/>
              <w:right w:val="double" w:sz="4" w:space="0" w:color="auto"/>
            </w:tcBorders>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Bratislavská 2284/26, Břeclav</w:t>
            </w:r>
          </w:p>
        </w:tc>
      </w:tr>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double" w:sz="4" w:space="0" w:color="auto"/>
              <w:left w:val="nil"/>
              <w:bottom w:val="double" w:sz="4" w:space="0" w:color="auto"/>
              <w:right w:val="double" w:sz="4" w:space="0" w:color="auto"/>
            </w:tcBorders>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silniční doprava, opravárenství, zasílatelství</w:t>
            </w:r>
          </w:p>
        </w:tc>
      </w:tr>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Břeclav:</w:t>
            </w:r>
          </w:p>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double" w:sz="4" w:space="0" w:color="auto"/>
              <w:left w:val="nil"/>
              <w:bottom w:val="double" w:sz="4" w:space="0" w:color="auto"/>
              <w:right w:val="double" w:sz="4" w:space="0" w:color="auto"/>
            </w:tcBorders>
          </w:tcPr>
          <w:p w:rsidR="00DF03E3" w:rsidRPr="0073775E" w:rsidRDefault="00DF03E3" w:rsidP="00C112A9">
            <w:pPr>
              <w:ind w:right="113"/>
              <w:rPr>
                <w:rFonts w:asciiTheme="minorHAnsi" w:hAnsiTheme="minorHAnsi"/>
                <w:bCs/>
                <w:iCs/>
                <w:sz w:val="20"/>
                <w:szCs w:val="20"/>
                <w:lang w:eastAsia="en-US"/>
              </w:rPr>
            </w:pPr>
          </w:p>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378</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381</w:t>
            </w:r>
          </w:p>
        </w:tc>
      </w:tr>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double" w:sz="4" w:space="0" w:color="auto"/>
              <w:left w:val="nil"/>
              <w:bottom w:val="double" w:sz="4" w:space="0" w:color="auto"/>
              <w:right w:val="double" w:sz="4" w:space="0" w:color="auto"/>
            </w:tcBorders>
          </w:tcPr>
          <w:p w:rsidR="00DF03E3" w:rsidRPr="0073775E" w:rsidRDefault="00DF03E3" w:rsidP="00C112A9">
            <w:pPr>
              <w:ind w:right="113"/>
              <w:rPr>
                <w:rFonts w:asciiTheme="minorHAnsi" w:hAnsiTheme="minorHAnsi"/>
                <w:bCs/>
                <w:iCs/>
                <w:sz w:val="20"/>
                <w:szCs w:val="20"/>
                <w:lang w:eastAsia="en-US"/>
              </w:rPr>
            </w:pPr>
          </w:p>
        </w:tc>
      </w:tr>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double" w:sz="4" w:space="0" w:color="auto"/>
              <w:left w:val="nil"/>
              <w:bottom w:val="double" w:sz="4" w:space="0" w:color="auto"/>
              <w:right w:val="double" w:sz="4" w:space="0" w:color="auto"/>
            </w:tcBorders>
          </w:tcPr>
          <w:p w:rsidR="00DF03E3" w:rsidRPr="0073775E" w:rsidRDefault="00DF03E3" w:rsidP="00C112A9">
            <w:pPr>
              <w:ind w:right="113"/>
              <w:jc w:val="both"/>
              <w:rPr>
                <w:rFonts w:asciiTheme="minorHAnsi" w:hAnsiTheme="minorHAnsi"/>
                <w:bCs/>
                <w:iCs/>
                <w:sz w:val="20"/>
                <w:szCs w:val="20"/>
                <w:lang w:eastAsia="en-US"/>
              </w:rPr>
            </w:pPr>
            <w:r>
              <w:rPr>
                <w:rFonts w:asciiTheme="minorHAnsi" w:hAnsiTheme="minorHAnsi"/>
                <w:bCs/>
                <w:iCs/>
                <w:sz w:val="20"/>
                <w:szCs w:val="20"/>
                <w:lang w:eastAsia="en-US"/>
              </w:rPr>
              <w:t>Aktivity společnosti zaměřeny na rozvoj a provozování nákladní autodopravy, osobní dopravy a poskytování komplexních celních služeb. Společnost má v současné době 381 kmenových zaměstnanců (provoz Břeclav 268 zaměstnanců, provoz Hustopeče 107 a provoz Mikulov 6 zaměstnanců).</w:t>
            </w:r>
          </w:p>
        </w:tc>
      </w:tr>
    </w:tbl>
    <w:p w:rsidR="00DF03E3" w:rsidRPr="0073775E" w:rsidRDefault="00DF03E3" w:rsidP="00DF03E3">
      <w:pPr>
        <w:ind w:right="113"/>
        <w:rPr>
          <w:rFonts w:asciiTheme="minorHAnsi" w:hAnsiTheme="minorHAnsi"/>
          <w:color w:val="FF0000"/>
          <w:sz w:val="20"/>
          <w:szCs w:val="20"/>
        </w:rPr>
      </w:pPr>
    </w:p>
    <w:p w:rsidR="00DF03E3" w:rsidRDefault="00DF03E3" w:rsidP="00DF03E3">
      <w:pPr>
        <w:ind w:right="113"/>
        <w:rPr>
          <w:rFonts w:ascii="Arial" w:hAnsi="Arial" w:cs="Arial"/>
          <w:b/>
        </w:rPr>
      </w:pPr>
    </w:p>
    <w:p w:rsidR="00DF03E3" w:rsidRPr="0073775E" w:rsidRDefault="00DF03E3" w:rsidP="00DF03E3">
      <w:pPr>
        <w:ind w:right="113"/>
        <w:rPr>
          <w:rFonts w:ascii="Arial" w:hAnsi="Arial" w:cs="Arial"/>
          <w:b/>
        </w:rPr>
      </w:pPr>
      <w:r w:rsidRPr="0073775E">
        <w:rPr>
          <w:rFonts w:ascii="Arial" w:hAnsi="Arial" w:cs="Arial"/>
          <w:b/>
        </w:rPr>
        <w:t>OKRES HODONÍN</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EF7BEB" w:rsidRDefault="00DF03E3" w:rsidP="00C112A9">
            <w:pPr>
              <w:ind w:right="113"/>
              <w:rPr>
                <w:rFonts w:asciiTheme="minorHAnsi" w:hAnsiTheme="minorHAnsi"/>
                <w:b/>
                <w:bCs/>
                <w:sz w:val="20"/>
                <w:szCs w:val="20"/>
                <w:lang w:eastAsia="en-US"/>
              </w:rPr>
            </w:pPr>
            <w:r w:rsidRPr="00EF7BEB">
              <w:rPr>
                <w:rFonts w:asciiTheme="minorHAnsi" w:hAnsiTheme="minorHAnsi"/>
                <w:b/>
                <w:sz w:val="20"/>
                <w:szCs w:val="20"/>
                <w:lang w:eastAsia="en-US"/>
              </w:rPr>
              <w:t>Nemocnice Kyjov, příspěvková organizace</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Kyjov, Strážovská 976</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ústavní zdravotní péče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Hodonín:</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rPr>
          <w:trHeight w:val="484"/>
        </w:trPr>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950</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995</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lastRenderedPageBreak/>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Největší zaměstnavatel v okrese s počtem zaměstnanců dlouhodobě nad 900 osob.</w:t>
            </w:r>
          </w:p>
        </w:tc>
      </w:tr>
    </w:tbl>
    <w:p w:rsidR="00DF03E3" w:rsidRPr="0073775E" w:rsidRDefault="00DF03E3" w:rsidP="00DF03E3">
      <w:pPr>
        <w:ind w:right="113"/>
        <w:rPr>
          <w:rFonts w:asciiTheme="minorHAnsi" w:hAnsiTheme="minorHAnsi"/>
          <w:b/>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EF7BEB" w:rsidRDefault="00DF03E3" w:rsidP="00C112A9">
            <w:pPr>
              <w:ind w:right="113"/>
              <w:rPr>
                <w:rFonts w:asciiTheme="minorHAnsi" w:hAnsiTheme="minorHAnsi"/>
                <w:b/>
                <w:bCs/>
                <w:sz w:val="20"/>
                <w:szCs w:val="20"/>
                <w:lang w:eastAsia="en-US"/>
              </w:rPr>
            </w:pPr>
            <w:r w:rsidRPr="00EF7BEB">
              <w:rPr>
                <w:rFonts w:asciiTheme="minorHAnsi" w:hAnsiTheme="minorHAnsi"/>
                <w:b/>
                <w:sz w:val="20"/>
                <w:szCs w:val="20"/>
                <w:lang w:eastAsia="en-US"/>
              </w:rPr>
              <w:t>Jednota, spotřební družstvo Hodonín</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Hodonín, Národní třída 13</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maloobchod s potravinami</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Hodonín:</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rPr>
          <w:trHeight w:val="497"/>
        </w:trPr>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556</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 xml:space="preserve">603 </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Německo</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 xml:space="preserve">Tradiční prodejce potravin s několika desítkami provozoven. </w:t>
            </w:r>
            <w:r>
              <w:rPr>
                <w:rFonts w:asciiTheme="minorHAnsi" w:hAnsiTheme="minorHAnsi"/>
                <w:sz w:val="20"/>
                <w:szCs w:val="20"/>
                <w:lang w:eastAsia="en-US"/>
              </w:rPr>
              <w:t>K  1. 1. 2014</w:t>
            </w:r>
            <w:r w:rsidRPr="0073775E">
              <w:rPr>
                <w:rFonts w:asciiTheme="minorHAnsi" w:hAnsiTheme="minorHAnsi"/>
                <w:sz w:val="20"/>
                <w:szCs w:val="20"/>
                <w:lang w:eastAsia="en-US"/>
              </w:rPr>
              <w:t xml:space="preserve"> proběhla fúze s Jednotou Nový Jičín a počet zaměstnanců tak cel</w:t>
            </w:r>
            <w:r>
              <w:rPr>
                <w:rFonts w:asciiTheme="minorHAnsi" w:hAnsiTheme="minorHAnsi"/>
                <w:sz w:val="20"/>
                <w:szCs w:val="20"/>
                <w:lang w:eastAsia="en-US"/>
              </w:rPr>
              <w:t>kově narostl na 763 zaměstnanců</w:t>
            </w:r>
          </w:p>
        </w:tc>
      </w:tr>
    </w:tbl>
    <w:p w:rsidR="00DF03E3" w:rsidRPr="0073775E" w:rsidRDefault="00DF03E3" w:rsidP="00DF03E3">
      <w:pPr>
        <w:ind w:right="113"/>
        <w:rPr>
          <w:rFonts w:asciiTheme="minorHAnsi" w:hAnsiTheme="minorHAnsi"/>
          <w:b/>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EF7BEB" w:rsidRDefault="00DF03E3" w:rsidP="00C112A9">
            <w:pPr>
              <w:ind w:right="113"/>
              <w:rPr>
                <w:rFonts w:asciiTheme="minorHAnsi" w:hAnsiTheme="minorHAnsi"/>
                <w:b/>
                <w:bCs/>
                <w:sz w:val="20"/>
                <w:szCs w:val="20"/>
                <w:lang w:eastAsia="en-US"/>
              </w:rPr>
            </w:pPr>
            <w:r w:rsidRPr="00EF7BEB">
              <w:rPr>
                <w:rFonts w:asciiTheme="minorHAnsi" w:hAnsiTheme="minorHAnsi"/>
                <w:b/>
                <w:sz w:val="20"/>
                <w:szCs w:val="20"/>
                <w:lang w:eastAsia="en-US"/>
              </w:rPr>
              <w:t>Jihomoravská armaturka, spol. s r.o.</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Hodonín, Lipová alej 1</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výroba vodárenských a průmyslových armatur</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Hodonín:</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rPr>
          <w:trHeight w:val="512"/>
        </w:trPr>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545</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562</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země zahraničního partnera (pokud existuje)</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Německo</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Zaměstnavatel dlouhodobě zaměstnává 500 - 550 osob, změny v rámci tohoto intervalu způsobuje aktuální stav zakázek.</w:t>
            </w:r>
          </w:p>
        </w:tc>
      </w:tr>
    </w:tbl>
    <w:p w:rsidR="00DF03E3" w:rsidRPr="0073775E" w:rsidRDefault="00DF03E3" w:rsidP="00DF03E3">
      <w:pPr>
        <w:ind w:right="113"/>
        <w:rPr>
          <w:rFonts w:asciiTheme="minorHAnsi" w:hAnsiTheme="minorHAnsi"/>
          <w:b/>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EF7BEB" w:rsidRDefault="00DF03E3" w:rsidP="00C112A9">
            <w:pPr>
              <w:ind w:right="113"/>
              <w:rPr>
                <w:rFonts w:asciiTheme="minorHAnsi" w:hAnsiTheme="minorHAnsi"/>
                <w:b/>
                <w:bCs/>
                <w:sz w:val="20"/>
                <w:szCs w:val="20"/>
                <w:lang w:eastAsia="en-US"/>
              </w:rPr>
            </w:pPr>
            <w:r w:rsidRPr="00EF7BEB">
              <w:rPr>
                <w:rFonts w:asciiTheme="minorHAnsi" w:hAnsiTheme="minorHAnsi"/>
                <w:b/>
                <w:sz w:val="20"/>
                <w:szCs w:val="20"/>
                <w:lang w:eastAsia="en-US"/>
              </w:rPr>
              <w:t>KORDÁRNA Plus, a.s.</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Velká nad Veličkou 890</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producent kordových tkanin pro gumárenský průmysl a technických tkanin</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Hodonín:</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rPr>
          <w:trHeight w:val="522"/>
        </w:trPr>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544</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573</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Společnost plánuje zvýšit počet zaměstnanců o 40 osob. Především v dělnických profesích.</w:t>
            </w:r>
          </w:p>
        </w:tc>
      </w:tr>
    </w:tbl>
    <w:p w:rsidR="00DF03E3" w:rsidRPr="0073775E" w:rsidRDefault="00DF03E3" w:rsidP="00DF03E3">
      <w:pPr>
        <w:rPr>
          <w:rFonts w:asciiTheme="minorHAnsi" w:hAnsi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EF7BEB" w:rsidRDefault="00DF03E3" w:rsidP="00C112A9">
            <w:pPr>
              <w:ind w:right="113"/>
              <w:rPr>
                <w:rFonts w:asciiTheme="minorHAnsi" w:hAnsiTheme="minorHAnsi"/>
                <w:b/>
                <w:bCs/>
                <w:sz w:val="20"/>
                <w:szCs w:val="20"/>
                <w:lang w:eastAsia="en-US"/>
              </w:rPr>
            </w:pPr>
            <w:r w:rsidRPr="00EF7BEB">
              <w:rPr>
                <w:rFonts w:asciiTheme="minorHAnsi" w:hAnsiTheme="minorHAnsi"/>
                <w:b/>
                <w:sz w:val="20"/>
                <w:szCs w:val="20"/>
                <w:lang w:eastAsia="en-US"/>
              </w:rPr>
              <w:t>Nemocnice TGM Hodonín, p.o.</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Hodonín, Purkyňova 11</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ústavní zdravotní péče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Hodonín:</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499</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504</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země zahraničního partnera (pokud existuje)</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Významný zaměstnavatel v okrese Hodonín. Proti předchozím letům mírný nárůst zaměstnanců.</w:t>
            </w:r>
          </w:p>
        </w:tc>
      </w:tr>
    </w:tbl>
    <w:p w:rsidR="00DF03E3" w:rsidRPr="0073775E" w:rsidRDefault="00DF03E3" w:rsidP="00DF03E3">
      <w:pPr>
        <w:rPr>
          <w:rFonts w:asciiTheme="minorHAnsi" w:hAnsi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EF7BEB" w:rsidRDefault="00DF03E3" w:rsidP="00C112A9">
            <w:pPr>
              <w:ind w:right="113"/>
              <w:rPr>
                <w:rFonts w:asciiTheme="minorHAnsi" w:hAnsiTheme="minorHAnsi"/>
                <w:b/>
                <w:bCs/>
                <w:sz w:val="20"/>
                <w:szCs w:val="20"/>
                <w:lang w:eastAsia="en-US"/>
              </w:rPr>
            </w:pPr>
            <w:r w:rsidRPr="00EF7BEB">
              <w:rPr>
                <w:rFonts w:asciiTheme="minorHAnsi" w:hAnsiTheme="minorHAnsi"/>
                <w:b/>
                <w:sz w:val="20"/>
                <w:szCs w:val="20"/>
                <w:lang w:eastAsia="en-US"/>
              </w:rPr>
              <w:t>MND Drilling</w:t>
            </w:r>
            <w:r w:rsidRPr="00EF7BEB">
              <w:rPr>
                <w:rFonts w:asciiTheme="minorHAnsi" w:eastAsiaTheme="minorHAnsi" w:hAnsiTheme="minorHAnsi"/>
                <w:b/>
                <w:sz w:val="20"/>
                <w:szCs w:val="20"/>
                <w:lang w:eastAsia="en-US"/>
              </w:rPr>
              <w:t>&amp;Services a.s.</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Velkomoravská 900/405 Lužice</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vrtání a opravy sond</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Hodonín:</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rPr>
          <w:trHeight w:val="522"/>
        </w:trPr>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493</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544</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Pr>
                <w:rFonts w:asciiTheme="minorHAnsi" w:hAnsiTheme="minorHAnsi" w:cs="Arial"/>
                <w:sz w:val="20"/>
                <w:szCs w:val="20"/>
              </w:rPr>
              <w:t xml:space="preserve">Dceřiná společnost MND a.s. (Moravské naftové doly). Celkem má skupina MND v okrese téměř tisíc zaměstnanců </w:t>
            </w:r>
            <w:r w:rsidRPr="007E1C03">
              <w:rPr>
                <w:rFonts w:asciiTheme="minorHAnsi" w:hAnsiTheme="minorHAnsi" w:cs="Arial"/>
                <w:sz w:val="20"/>
                <w:szCs w:val="20"/>
              </w:rPr>
              <w:t>(</w:t>
            </w:r>
            <w:r w:rsidRPr="007E1C03">
              <w:rPr>
                <w:rFonts w:asciiTheme="minorHAnsi" w:hAnsiTheme="minorHAnsi"/>
                <w:sz w:val="20"/>
                <w:szCs w:val="20"/>
              </w:rPr>
              <w:t>MND</w:t>
            </w:r>
            <w:r>
              <w:rPr>
                <w:rFonts w:asciiTheme="minorHAnsi" w:hAnsiTheme="minorHAnsi"/>
                <w:sz w:val="20"/>
                <w:szCs w:val="20"/>
              </w:rPr>
              <w:t xml:space="preserve"> </w:t>
            </w:r>
            <w:r w:rsidRPr="007E1C03">
              <w:rPr>
                <w:rFonts w:asciiTheme="minorHAnsi" w:hAnsiTheme="minorHAnsi"/>
                <w:sz w:val="20"/>
                <w:szCs w:val="20"/>
              </w:rPr>
              <w:t>a</w:t>
            </w:r>
            <w:r w:rsidRPr="007E1C03">
              <w:rPr>
                <w:rFonts w:asciiTheme="minorHAnsi" w:hAnsiTheme="minorHAnsi" w:cs="Arial"/>
                <w:sz w:val="20"/>
                <w:szCs w:val="20"/>
              </w:rPr>
              <w:t>.</w:t>
            </w:r>
            <w:r>
              <w:rPr>
                <w:rFonts w:asciiTheme="minorHAnsi" w:hAnsiTheme="minorHAnsi" w:cs="Arial"/>
                <w:sz w:val="20"/>
                <w:szCs w:val="20"/>
              </w:rPr>
              <w:t xml:space="preserve">s. /332/ + MND </w:t>
            </w:r>
            <w:r w:rsidRPr="0073775E">
              <w:rPr>
                <w:rFonts w:asciiTheme="minorHAnsi" w:hAnsiTheme="minorHAnsi"/>
                <w:sz w:val="20"/>
                <w:szCs w:val="20"/>
                <w:lang w:eastAsia="en-US"/>
              </w:rPr>
              <w:t>Drilling</w:t>
            </w:r>
            <w:r w:rsidRPr="0073775E">
              <w:rPr>
                <w:rFonts w:asciiTheme="minorHAnsi" w:eastAsiaTheme="minorHAnsi" w:hAnsiTheme="minorHAnsi"/>
                <w:sz w:val="20"/>
                <w:szCs w:val="20"/>
                <w:lang w:eastAsia="en-US"/>
              </w:rPr>
              <w:t>&amp;Services</w:t>
            </w:r>
            <w:r>
              <w:rPr>
                <w:rFonts w:asciiTheme="minorHAnsi" w:eastAsiaTheme="minorHAnsi" w:hAnsiTheme="minorHAnsi"/>
                <w:sz w:val="20"/>
                <w:szCs w:val="20"/>
                <w:lang w:eastAsia="en-US"/>
              </w:rPr>
              <w:t xml:space="preserve"> + </w:t>
            </w:r>
            <w:r w:rsidRPr="007E1C03">
              <w:rPr>
                <w:rFonts w:asciiTheme="minorHAnsi" w:eastAsiaTheme="minorHAnsi" w:hAnsiTheme="minorHAnsi"/>
                <w:bCs/>
                <w:sz w:val="20"/>
                <w:szCs w:val="20"/>
                <w:lang w:eastAsia="en-US"/>
              </w:rPr>
              <w:t>MND Gas Storage a.s.</w:t>
            </w:r>
            <w:r>
              <w:rPr>
                <w:rFonts w:asciiTheme="minorHAnsi" w:eastAsiaTheme="minorHAnsi" w:hAnsiTheme="minorHAnsi"/>
                <w:bCs/>
                <w:sz w:val="20"/>
                <w:szCs w:val="20"/>
                <w:lang w:eastAsia="en-US"/>
              </w:rPr>
              <w:t xml:space="preserve"> /40/)</w:t>
            </w:r>
          </w:p>
        </w:tc>
      </w:tr>
    </w:tbl>
    <w:p w:rsidR="00DF03E3" w:rsidRPr="0073775E" w:rsidRDefault="00DF03E3" w:rsidP="00DF03E3">
      <w:pPr>
        <w:rPr>
          <w:rFonts w:asciiTheme="minorHAnsi" w:hAnsi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EF7BEB" w:rsidRDefault="00DF03E3" w:rsidP="00C112A9">
            <w:pPr>
              <w:ind w:right="113"/>
              <w:rPr>
                <w:rFonts w:asciiTheme="minorHAnsi" w:hAnsiTheme="minorHAnsi"/>
                <w:b/>
                <w:bCs/>
                <w:sz w:val="20"/>
                <w:szCs w:val="20"/>
                <w:lang w:eastAsia="en-US"/>
              </w:rPr>
            </w:pPr>
            <w:r w:rsidRPr="00EF7BEB">
              <w:rPr>
                <w:rFonts w:asciiTheme="minorHAnsi" w:hAnsiTheme="minorHAnsi"/>
                <w:b/>
                <w:sz w:val="20"/>
                <w:szCs w:val="20"/>
                <w:lang w:eastAsia="en-US"/>
              </w:rPr>
              <w:t>VETROPACK MORAVIA GLASS, a.s.</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Kyjov, Havlíčkova 18</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výroba skleněných obalů</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Hodonín:</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rPr>
          <w:trHeight w:val="522"/>
        </w:trPr>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4</w:t>
            </w:r>
            <w:r>
              <w:rPr>
                <w:rFonts w:asciiTheme="minorHAnsi" w:hAnsiTheme="minorHAnsi"/>
                <w:sz w:val="20"/>
                <w:szCs w:val="20"/>
                <w:lang w:eastAsia="en-US"/>
              </w:rPr>
              <w:t>76</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478</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Rakousko</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 xml:space="preserve">Přední výrobce skleněných obalů. </w:t>
            </w:r>
            <w:r>
              <w:rPr>
                <w:rFonts w:asciiTheme="minorHAnsi" w:hAnsiTheme="minorHAnsi"/>
                <w:sz w:val="20"/>
                <w:szCs w:val="20"/>
                <w:lang w:eastAsia="en-US"/>
              </w:rPr>
              <w:t>N</w:t>
            </w:r>
            <w:r w:rsidRPr="0073775E">
              <w:rPr>
                <w:rFonts w:asciiTheme="minorHAnsi" w:hAnsiTheme="minorHAnsi"/>
                <w:sz w:val="20"/>
                <w:szCs w:val="20"/>
                <w:lang w:eastAsia="en-US"/>
              </w:rPr>
              <w:t>eplánují personální změny.</w:t>
            </w:r>
          </w:p>
        </w:tc>
      </w:tr>
    </w:tbl>
    <w:p w:rsidR="00DF03E3" w:rsidRPr="0073775E" w:rsidRDefault="00DF03E3" w:rsidP="00DF03E3">
      <w:pPr>
        <w:rPr>
          <w:rFonts w:asciiTheme="minorHAnsi" w:hAnsi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EF7BEB" w:rsidRDefault="00DF03E3" w:rsidP="00C112A9">
            <w:pPr>
              <w:ind w:right="113"/>
              <w:rPr>
                <w:rFonts w:asciiTheme="minorHAnsi" w:hAnsiTheme="minorHAnsi"/>
                <w:b/>
                <w:bCs/>
                <w:sz w:val="20"/>
                <w:szCs w:val="20"/>
                <w:lang w:eastAsia="en-US"/>
              </w:rPr>
            </w:pPr>
            <w:r w:rsidRPr="00EF7BEB">
              <w:rPr>
                <w:rFonts w:asciiTheme="minorHAnsi" w:hAnsiTheme="minorHAnsi"/>
                <w:b/>
                <w:sz w:val="20"/>
                <w:szCs w:val="20"/>
                <w:lang w:eastAsia="en-US"/>
              </w:rPr>
              <w:t>ČSAD Hodonín, a.s.</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Brněnská 3883/48, Hodonín</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Doprava, logistika, opravárenství</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Hodonín:</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rPr>
          <w:trHeight w:val="522"/>
        </w:trPr>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447</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571</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Přední dopravce osobní i nákladní přepravy.</w:t>
            </w:r>
            <w:r>
              <w:rPr>
                <w:rFonts w:asciiTheme="minorHAnsi" w:hAnsiTheme="minorHAnsi"/>
                <w:sz w:val="20"/>
                <w:szCs w:val="20"/>
                <w:lang w:eastAsia="en-US"/>
              </w:rPr>
              <w:t xml:space="preserve"> V roce 2014 výrazný nárůst počtu zaměstnanců</w:t>
            </w:r>
          </w:p>
        </w:tc>
      </w:tr>
    </w:tbl>
    <w:p w:rsidR="00DF03E3" w:rsidRPr="0073775E" w:rsidRDefault="00DF03E3" w:rsidP="00DF03E3">
      <w:pPr>
        <w:rPr>
          <w:rFonts w:asciiTheme="minorHAnsi" w:hAnsi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252"/>
      </w:tblGrid>
      <w:tr w:rsidR="00DF03E3" w:rsidRPr="0073775E"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Úplný a přesný název zaměstnavatele:</w:t>
            </w:r>
          </w:p>
        </w:tc>
        <w:tc>
          <w:tcPr>
            <w:tcW w:w="4252" w:type="dxa"/>
            <w:tcBorders>
              <w:top w:val="double" w:sz="4" w:space="0" w:color="auto"/>
              <w:left w:val="nil"/>
              <w:bottom w:val="double" w:sz="4" w:space="0" w:color="auto"/>
              <w:right w:val="double" w:sz="4" w:space="0" w:color="auto"/>
            </w:tcBorders>
            <w:hideMark/>
          </w:tcPr>
          <w:p w:rsidR="00DF03E3" w:rsidRPr="00EF7BEB" w:rsidRDefault="00DF03E3" w:rsidP="00C112A9">
            <w:pPr>
              <w:ind w:right="113"/>
              <w:rPr>
                <w:rFonts w:asciiTheme="minorHAnsi" w:hAnsiTheme="minorHAnsi"/>
                <w:b/>
                <w:bCs/>
                <w:sz w:val="20"/>
                <w:szCs w:val="20"/>
                <w:lang w:eastAsia="en-US"/>
              </w:rPr>
            </w:pPr>
            <w:r w:rsidRPr="00EF7BEB">
              <w:rPr>
                <w:rFonts w:asciiTheme="minorHAnsi" w:hAnsiTheme="minorHAnsi"/>
                <w:b/>
                <w:sz w:val="20"/>
                <w:szCs w:val="20"/>
                <w:lang w:eastAsia="en-US"/>
              </w:rPr>
              <w:t>Delimax, a.s.</w:t>
            </w:r>
          </w:p>
        </w:tc>
      </w:tr>
      <w:tr w:rsidR="00DF03E3" w:rsidRPr="0073775E"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sídlo:</w:t>
            </w:r>
          </w:p>
        </w:tc>
        <w:tc>
          <w:tcPr>
            <w:tcW w:w="4252" w:type="dxa"/>
            <w:tcBorders>
              <w:top w:val="double" w:sz="4" w:space="0" w:color="auto"/>
              <w:left w:val="nil"/>
              <w:bottom w:val="single" w:sz="4" w:space="0" w:color="auto"/>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Hodonín, Bratislavská 3</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předmět činnosti (podrobněji):</w:t>
            </w:r>
          </w:p>
        </w:tc>
        <w:tc>
          <w:tcPr>
            <w:tcW w:w="4252" w:type="dxa"/>
            <w:tcBorders>
              <w:top w:val="single" w:sz="4" w:space="0" w:color="auto"/>
              <w:left w:val="nil"/>
              <w:bottom w:val="nil"/>
              <w:right w:val="double" w:sz="4" w:space="0" w:color="auto"/>
            </w:tcBorders>
            <w:hideMark/>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zpracování ryb</w:t>
            </w:r>
          </w:p>
        </w:tc>
      </w:tr>
      <w:tr w:rsidR="00DF03E3" w:rsidRPr="0073775E"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počet zaměstnanců v okrese Hodonín:</w:t>
            </w:r>
          </w:p>
        </w:tc>
        <w:tc>
          <w:tcPr>
            <w:tcW w:w="4252" w:type="dxa"/>
            <w:tcBorders>
              <w:top w:val="single" w:sz="4" w:space="0" w:color="auto"/>
              <w:left w:val="nil"/>
              <w:bottom w:val="nil"/>
              <w:right w:val="double" w:sz="4" w:space="0" w:color="auto"/>
            </w:tcBorders>
          </w:tcPr>
          <w:p w:rsidR="00DF03E3" w:rsidRPr="0073775E" w:rsidRDefault="00DF03E3" w:rsidP="00C112A9">
            <w:pPr>
              <w:ind w:right="113"/>
              <w:rPr>
                <w:rFonts w:asciiTheme="minorHAnsi" w:hAnsiTheme="minorHAnsi"/>
                <w:sz w:val="20"/>
                <w:szCs w:val="20"/>
                <w:lang w:eastAsia="en-US"/>
              </w:rPr>
            </w:pPr>
          </w:p>
        </w:tc>
      </w:tr>
      <w:tr w:rsidR="00DF03E3" w:rsidRPr="0073775E" w:rsidTr="00C112A9">
        <w:trPr>
          <w:trHeight w:val="539"/>
        </w:trPr>
        <w:tc>
          <w:tcPr>
            <w:tcW w:w="4820" w:type="dxa"/>
            <w:tcBorders>
              <w:top w:val="nil"/>
              <w:left w:val="double" w:sz="4" w:space="0" w:color="auto"/>
              <w:bottom w:val="single" w:sz="12" w:space="0" w:color="auto"/>
              <w:right w:val="single" w:sz="12" w:space="0" w:color="auto"/>
            </w:tcBorders>
            <w:shd w:val="clear" w:color="auto" w:fill="E6E6E6"/>
            <w:hideMark/>
          </w:tcPr>
          <w:p w:rsidR="00DF03E3"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v roce 2013</w:t>
            </w:r>
          </w:p>
          <w:p w:rsidR="00DF03E3" w:rsidRPr="0073775E" w:rsidRDefault="00DF03E3" w:rsidP="00C112A9">
            <w:pPr>
              <w:ind w:right="113"/>
              <w:rPr>
                <w:rFonts w:asciiTheme="minorHAnsi" w:hAnsiTheme="minorHAnsi"/>
                <w:bCs/>
                <w:iCs/>
                <w:sz w:val="20"/>
                <w:szCs w:val="20"/>
                <w:lang w:eastAsia="en-US"/>
              </w:rPr>
            </w:pPr>
            <w:r>
              <w:rPr>
                <w:rFonts w:asciiTheme="minorHAnsi" w:hAnsiTheme="minorHAnsi"/>
                <w:bCs/>
                <w:iCs/>
                <w:sz w:val="20"/>
                <w:szCs w:val="20"/>
                <w:lang w:eastAsia="en-US"/>
              </w:rPr>
              <w:t>v roce 2014</w:t>
            </w:r>
          </w:p>
        </w:tc>
        <w:tc>
          <w:tcPr>
            <w:tcW w:w="4252" w:type="dxa"/>
            <w:tcBorders>
              <w:top w:val="nil"/>
              <w:left w:val="nil"/>
              <w:bottom w:val="single" w:sz="12" w:space="0" w:color="auto"/>
              <w:right w:val="double" w:sz="4" w:space="0" w:color="auto"/>
            </w:tcBorders>
            <w:hideMark/>
          </w:tcPr>
          <w:p w:rsidR="00DF03E3"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441</w:t>
            </w:r>
          </w:p>
          <w:p w:rsidR="00DF03E3" w:rsidRPr="0073775E" w:rsidRDefault="00DF03E3" w:rsidP="00C112A9">
            <w:pPr>
              <w:ind w:right="113"/>
              <w:rPr>
                <w:rFonts w:asciiTheme="minorHAnsi" w:hAnsiTheme="minorHAnsi"/>
                <w:sz w:val="20"/>
                <w:szCs w:val="20"/>
                <w:lang w:eastAsia="en-US"/>
              </w:rPr>
            </w:pPr>
            <w:r>
              <w:rPr>
                <w:rFonts w:asciiTheme="minorHAnsi" w:hAnsiTheme="minorHAnsi"/>
                <w:sz w:val="20"/>
                <w:szCs w:val="20"/>
                <w:lang w:eastAsia="en-US"/>
              </w:rPr>
              <w:t>455</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 xml:space="preserve">země zahraničního partnera (pokud existuje) </w:t>
            </w:r>
          </w:p>
        </w:tc>
        <w:tc>
          <w:tcPr>
            <w:tcW w:w="4252" w:type="dxa"/>
            <w:tcBorders>
              <w:top w:val="single" w:sz="12" w:space="0" w:color="auto"/>
              <w:left w:val="nil"/>
              <w:bottom w:val="single" w:sz="12" w:space="0" w:color="auto"/>
              <w:right w:val="double" w:sz="4" w:space="0" w:color="auto"/>
            </w:tcBorders>
          </w:tcPr>
          <w:p w:rsidR="00DF03E3" w:rsidRPr="0073775E" w:rsidRDefault="00DF03E3" w:rsidP="00C112A9">
            <w:pPr>
              <w:ind w:right="113"/>
              <w:rPr>
                <w:rFonts w:asciiTheme="minorHAnsi" w:hAnsiTheme="minorHAnsi"/>
                <w:sz w:val="20"/>
                <w:szCs w:val="20"/>
                <w:lang w:eastAsia="en-US"/>
              </w:rPr>
            </w:pPr>
            <w:r w:rsidRPr="0073775E">
              <w:rPr>
                <w:rFonts w:asciiTheme="minorHAnsi" w:hAnsiTheme="minorHAnsi"/>
                <w:sz w:val="20"/>
                <w:szCs w:val="20"/>
                <w:lang w:eastAsia="en-US"/>
              </w:rPr>
              <w:t>-</w:t>
            </w:r>
          </w:p>
        </w:tc>
      </w:tr>
      <w:tr w:rsidR="00DF03E3" w:rsidRPr="0073775E" w:rsidTr="00C112A9">
        <w:tc>
          <w:tcPr>
            <w:tcW w:w="4820" w:type="dxa"/>
            <w:tcBorders>
              <w:top w:val="single" w:sz="12" w:space="0" w:color="auto"/>
              <w:left w:val="double" w:sz="4" w:space="0" w:color="auto"/>
              <w:bottom w:val="single" w:sz="12" w:space="0" w:color="auto"/>
              <w:right w:val="single" w:sz="12" w:space="0" w:color="auto"/>
            </w:tcBorders>
            <w:shd w:val="clear" w:color="auto" w:fill="E6E6E6"/>
            <w:hideMark/>
          </w:tcPr>
          <w:p w:rsidR="00DF03E3" w:rsidRPr="0073775E" w:rsidRDefault="00DF03E3" w:rsidP="00C112A9">
            <w:pPr>
              <w:ind w:right="113"/>
              <w:rPr>
                <w:rFonts w:asciiTheme="minorHAnsi" w:hAnsiTheme="minorHAnsi"/>
                <w:bCs/>
                <w:iCs/>
                <w:sz w:val="20"/>
                <w:szCs w:val="20"/>
                <w:lang w:eastAsia="en-US"/>
              </w:rPr>
            </w:pPr>
            <w:r w:rsidRPr="0073775E">
              <w:rPr>
                <w:rFonts w:asciiTheme="minorHAnsi" w:hAnsiTheme="minorHAnsi"/>
                <w:bCs/>
                <w:iCs/>
                <w:sz w:val="20"/>
                <w:szCs w:val="20"/>
                <w:lang w:eastAsia="en-US"/>
              </w:rPr>
              <w:t>komentář: stručná charakteristika zaměstnavatele včetně vývoje za sledované období</w:t>
            </w:r>
          </w:p>
        </w:tc>
        <w:tc>
          <w:tcPr>
            <w:tcW w:w="4252" w:type="dxa"/>
            <w:tcBorders>
              <w:top w:val="single" w:sz="12" w:space="0" w:color="auto"/>
              <w:left w:val="nil"/>
              <w:bottom w:val="single" w:sz="12" w:space="0" w:color="auto"/>
              <w:right w:val="double" w:sz="4" w:space="0" w:color="auto"/>
            </w:tcBorders>
            <w:hideMark/>
          </w:tcPr>
          <w:p w:rsidR="00DF03E3" w:rsidRPr="0073775E" w:rsidRDefault="00DF03E3" w:rsidP="00C112A9">
            <w:pPr>
              <w:ind w:right="113"/>
              <w:jc w:val="both"/>
              <w:rPr>
                <w:rFonts w:asciiTheme="minorHAnsi" w:hAnsiTheme="minorHAnsi"/>
                <w:sz w:val="20"/>
                <w:szCs w:val="20"/>
                <w:lang w:eastAsia="en-US"/>
              </w:rPr>
            </w:pPr>
            <w:r w:rsidRPr="0073775E">
              <w:rPr>
                <w:rFonts w:asciiTheme="minorHAnsi" w:hAnsiTheme="minorHAnsi"/>
                <w:sz w:val="20"/>
                <w:szCs w:val="20"/>
                <w:lang w:eastAsia="en-US"/>
              </w:rPr>
              <w:t xml:space="preserve">Přední zpracovatel ryb v České republice. Vzhledem k zakázkám neplánují zvyšování stavu zaměstnanců. </w:t>
            </w:r>
          </w:p>
        </w:tc>
      </w:tr>
    </w:tbl>
    <w:p w:rsidR="00DF03E3" w:rsidRDefault="00DF03E3" w:rsidP="00DF03E3">
      <w:pPr>
        <w:ind w:right="113"/>
        <w:rPr>
          <w:rFonts w:ascii="Arial" w:hAnsi="Arial" w:cs="Arial"/>
          <w:b/>
        </w:rPr>
      </w:pPr>
    </w:p>
    <w:p w:rsidR="00DF03E3" w:rsidRPr="00EB029C" w:rsidRDefault="00DF03E3" w:rsidP="00DF03E3">
      <w:pPr>
        <w:ind w:right="113"/>
        <w:rPr>
          <w:rFonts w:asciiTheme="minorHAnsi" w:hAnsiTheme="minorHAnsi" w:cs="Arial"/>
          <w:b/>
          <w:bCs/>
          <w:sz w:val="28"/>
          <w:szCs w:val="28"/>
        </w:rPr>
      </w:pPr>
    </w:p>
    <w:p w:rsidR="00DF03E3" w:rsidRPr="00EB029C" w:rsidRDefault="00DF03E3" w:rsidP="00DF03E3">
      <w:pPr>
        <w:ind w:right="113"/>
        <w:rPr>
          <w:rFonts w:asciiTheme="minorHAnsi" w:hAnsiTheme="minorHAnsi"/>
          <w:b/>
          <w:sz w:val="28"/>
          <w:szCs w:val="28"/>
        </w:rPr>
      </w:pPr>
      <w:r w:rsidRPr="00EB029C">
        <w:rPr>
          <w:rFonts w:asciiTheme="minorHAnsi" w:hAnsiTheme="minorHAnsi"/>
          <w:b/>
          <w:sz w:val="28"/>
          <w:szCs w:val="28"/>
        </w:rPr>
        <w:t>OKRES VYŠKOV</w:t>
      </w:r>
    </w:p>
    <w:tbl>
      <w:tblPr>
        <w:tblW w:w="91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320"/>
      </w:tblGrid>
      <w:tr w:rsidR="00DF03E3" w:rsidRPr="00580037" w:rsidTr="00C112A9">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Úplný a přesný název zaměstnavatele:</w:t>
            </w:r>
          </w:p>
        </w:tc>
        <w:tc>
          <w:tcPr>
            <w:tcW w:w="4320" w:type="dxa"/>
            <w:tcBorders>
              <w:top w:val="double" w:sz="4" w:space="0" w:color="auto"/>
              <w:left w:val="nil"/>
              <w:bottom w:val="double" w:sz="4" w:space="0" w:color="auto"/>
              <w:right w:val="double" w:sz="4" w:space="0" w:color="auto"/>
            </w:tcBorders>
          </w:tcPr>
          <w:p w:rsidR="00DF03E3" w:rsidRPr="00580037" w:rsidRDefault="00DF03E3" w:rsidP="00C112A9">
            <w:pPr>
              <w:ind w:right="113"/>
              <w:rPr>
                <w:rFonts w:asciiTheme="minorHAnsi" w:hAnsiTheme="minorHAnsi"/>
                <w:b/>
                <w:sz w:val="20"/>
                <w:szCs w:val="20"/>
              </w:rPr>
            </w:pPr>
            <w:r w:rsidRPr="00580037">
              <w:rPr>
                <w:rFonts w:asciiTheme="minorHAnsi" w:hAnsiTheme="minorHAnsi"/>
                <w:b/>
                <w:sz w:val="20"/>
                <w:szCs w:val="20"/>
              </w:rPr>
              <w:t>European Data Project s.r.o.</w:t>
            </w:r>
          </w:p>
        </w:tc>
      </w:tr>
      <w:tr w:rsidR="00DF03E3" w:rsidRPr="00580037"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sídlo:</w:t>
            </w:r>
          </w:p>
        </w:tc>
        <w:tc>
          <w:tcPr>
            <w:tcW w:w="4320" w:type="dxa"/>
            <w:tcBorders>
              <w:top w:val="double" w:sz="4" w:space="0" w:color="auto"/>
              <w:left w:val="nil"/>
              <w:bottom w:val="single" w:sz="4" w:space="0" w:color="auto"/>
              <w:right w:val="double" w:sz="4" w:space="0" w:color="auto"/>
            </w:tcBorders>
          </w:tcPr>
          <w:p w:rsidR="00DF03E3" w:rsidRPr="00580037" w:rsidRDefault="00DF03E3" w:rsidP="00C112A9">
            <w:pPr>
              <w:ind w:right="113"/>
              <w:rPr>
                <w:rFonts w:asciiTheme="minorHAnsi" w:hAnsiTheme="minorHAnsi"/>
                <w:sz w:val="20"/>
                <w:szCs w:val="20"/>
              </w:rPr>
            </w:pPr>
            <w:r w:rsidRPr="00580037">
              <w:rPr>
                <w:rFonts w:asciiTheme="minorHAnsi" w:hAnsiTheme="minorHAnsi"/>
                <w:bCs/>
                <w:sz w:val="20"/>
                <w:szCs w:val="20"/>
              </w:rPr>
              <w:t>Komořany 146, PSČ 683 01</w:t>
            </w:r>
          </w:p>
        </w:tc>
      </w:tr>
      <w:tr w:rsidR="00DF03E3" w:rsidRPr="00580037" w:rsidTr="00C112A9">
        <w:tc>
          <w:tcPr>
            <w:tcW w:w="4820" w:type="dxa"/>
            <w:tcBorders>
              <w:top w:val="single" w:sz="4" w:space="0" w:color="auto"/>
              <w:left w:val="double" w:sz="4" w:space="0" w:color="auto"/>
              <w:bottom w:val="single" w:sz="4"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předmět činnosti (podrobněji):</w:t>
            </w:r>
          </w:p>
        </w:tc>
        <w:tc>
          <w:tcPr>
            <w:tcW w:w="4320" w:type="dxa"/>
            <w:tcBorders>
              <w:top w:val="single" w:sz="4" w:space="0" w:color="auto"/>
              <w:left w:val="nil"/>
              <w:bottom w:val="single" w:sz="4" w:space="0" w:color="auto"/>
              <w:right w:val="double" w:sz="4" w:space="0" w:color="auto"/>
            </w:tcBorders>
          </w:tcPr>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Kovovýroba a montáž elektronických zařízení</w:t>
            </w:r>
          </w:p>
        </w:tc>
      </w:tr>
      <w:tr w:rsidR="00DF03E3" w:rsidRPr="00580037"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počet zaměstnanců v okrese Vyškov:</w:t>
            </w:r>
          </w:p>
        </w:tc>
        <w:tc>
          <w:tcPr>
            <w:tcW w:w="4320" w:type="dxa"/>
            <w:tcBorders>
              <w:top w:val="single" w:sz="4" w:space="0" w:color="auto"/>
              <w:left w:val="nil"/>
              <w:bottom w:val="nil"/>
              <w:right w:val="double" w:sz="4" w:space="0" w:color="auto"/>
            </w:tcBorders>
          </w:tcPr>
          <w:p w:rsidR="00DF03E3" w:rsidRPr="00580037" w:rsidRDefault="00DF03E3" w:rsidP="00C112A9">
            <w:pPr>
              <w:ind w:right="113"/>
              <w:rPr>
                <w:rFonts w:asciiTheme="minorHAnsi" w:hAnsiTheme="minorHAnsi"/>
                <w:sz w:val="20"/>
                <w:szCs w:val="20"/>
              </w:rPr>
            </w:pP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v roce 2013</w:t>
            </w:r>
          </w:p>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v roce 2014</w:t>
            </w:r>
          </w:p>
        </w:tc>
        <w:tc>
          <w:tcPr>
            <w:tcW w:w="4320" w:type="dxa"/>
            <w:tcBorders>
              <w:top w:val="nil"/>
              <w:left w:val="nil"/>
              <w:bottom w:val="single" w:sz="12" w:space="0" w:color="auto"/>
              <w:right w:val="double" w:sz="4" w:space="0" w:color="auto"/>
            </w:tcBorders>
          </w:tcPr>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1 183</w:t>
            </w:r>
          </w:p>
          <w:p w:rsidR="00DF03E3" w:rsidRPr="007E38B9" w:rsidRDefault="00DF03E3" w:rsidP="00C112A9">
            <w:pPr>
              <w:ind w:right="113"/>
              <w:rPr>
                <w:rFonts w:asciiTheme="minorHAnsi" w:hAnsiTheme="minorHAnsi"/>
                <w:sz w:val="20"/>
                <w:szCs w:val="20"/>
              </w:rPr>
            </w:pPr>
            <w:r w:rsidRPr="007E38B9">
              <w:rPr>
                <w:rFonts w:asciiTheme="minorHAnsi" w:hAnsiTheme="minorHAnsi"/>
                <w:sz w:val="20"/>
                <w:szCs w:val="20"/>
              </w:rPr>
              <w:t>1 180</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 xml:space="preserve">země zahraničního partnera </w:t>
            </w:r>
            <w:r w:rsidRPr="00580037">
              <w:rPr>
                <w:rFonts w:asciiTheme="minorHAnsi" w:hAnsiTheme="minorHAnsi"/>
                <w:bCs/>
                <w:iCs/>
                <w:sz w:val="20"/>
                <w:szCs w:val="20"/>
              </w:rPr>
              <w:t>(pokud existuje)</w:t>
            </w:r>
          </w:p>
        </w:tc>
        <w:tc>
          <w:tcPr>
            <w:tcW w:w="4320" w:type="dxa"/>
            <w:tcBorders>
              <w:top w:val="nil"/>
              <w:left w:val="nil"/>
              <w:bottom w:val="single" w:sz="12" w:space="0" w:color="auto"/>
              <w:right w:val="double" w:sz="4" w:space="0" w:color="auto"/>
            </w:tcBorders>
          </w:tcPr>
          <w:p w:rsidR="00DF03E3" w:rsidRPr="00580037" w:rsidRDefault="00DF03E3" w:rsidP="00C112A9">
            <w:pPr>
              <w:ind w:right="113"/>
              <w:rPr>
                <w:rFonts w:asciiTheme="minorHAnsi" w:hAnsiTheme="minorHAnsi"/>
                <w:b/>
                <w:sz w:val="20"/>
                <w:szCs w:val="20"/>
              </w:rPr>
            </w:pPr>
            <w:r w:rsidRPr="00580037">
              <w:rPr>
                <w:rFonts w:asciiTheme="minorHAnsi" w:hAnsiTheme="minorHAnsi"/>
                <w:sz w:val="20"/>
                <w:szCs w:val="20"/>
              </w:rPr>
              <w:t>Švýcarsko</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komentář: stručná charakteristika zaměstnavatele včetně vývoje za sledované období</w:t>
            </w:r>
          </w:p>
        </w:tc>
        <w:tc>
          <w:tcPr>
            <w:tcW w:w="4320" w:type="dxa"/>
            <w:tcBorders>
              <w:top w:val="single" w:sz="12" w:space="0" w:color="auto"/>
              <w:left w:val="nil"/>
              <w:bottom w:val="double" w:sz="4" w:space="0" w:color="auto"/>
              <w:right w:val="double" w:sz="4" w:space="0" w:color="auto"/>
            </w:tcBorders>
          </w:tcPr>
          <w:p w:rsidR="00DF03E3" w:rsidRPr="00580037" w:rsidRDefault="00DF03E3" w:rsidP="00C112A9">
            <w:pPr>
              <w:ind w:right="113"/>
              <w:rPr>
                <w:rFonts w:asciiTheme="minorHAnsi" w:hAnsiTheme="minorHAnsi"/>
                <w:sz w:val="20"/>
                <w:szCs w:val="20"/>
              </w:rPr>
            </w:pPr>
            <w:r w:rsidRPr="00580037">
              <w:rPr>
                <w:rFonts w:asciiTheme="minorHAnsi" w:hAnsiTheme="minorHAnsi"/>
                <w:sz w:val="20"/>
                <w:szCs w:val="20"/>
              </w:rPr>
              <w:t xml:space="preserve">Stěžejní zaměstnavatel okresu, výroba elektronických zařízení, zpracování plechů, montážní linky. </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rPr>
            </w:pPr>
          </w:p>
        </w:tc>
        <w:tc>
          <w:tcPr>
            <w:tcW w:w="4320" w:type="dxa"/>
            <w:tcBorders>
              <w:top w:val="single" w:sz="12" w:space="0" w:color="auto"/>
              <w:left w:val="nil"/>
              <w:bottom w:val="double" w:sz="4" w:space="0" w:color="auto"/>
              <w:right w:val="double" w:sz="4" w:space="0" w:color="auto"/>
            </w:tcBorders>
          </w:tcPr>
          <w:p w:rsidR="00DF03E3" w:rsidRPr="00580037" w:rsidRDefault="00DF03E3" w:rsidP="00C112A9">
            <w:pPr>
              <w:ind w:right="113"/>
              <w:jc w:val="both"/>
              <w:rPr>
                <w:rFonts w:asciiTheme="minorHAnsi" w:hAnsiTheme="minorHAnsi"/>
                <w:sz w:val="20"/>
                <w:szCs w:val="20"/>
              </w:rPr>
            </w:pPr>
          </w:p>
        </w:tc>
      </w:tr>
    </w:tbl>
    <w:p w:rsidR="00DF03E3" w:rsidRPr="00580037" w:rsidRDefault="00DF03E3" w:rsidP="00DF03E3">
      <w:pPr>
        <w:ind w:right="113"/>
        <w:rPr>
          <w:rFonts w:asciiTheme="minorHAnsi" w:hAnsiTheme="minorHAnsi"/>
          <w:b/>
          <w:color w:val="FF0000"/>
          <w:sz w:val="20"/>
          <w:szCs w:val="20"/>
        </w:rPr>
      </w:pPr>
    </w:p>
    <w:tbl>
      <w:tblPr>
        <w:tblW w:w="91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315"/>
      </w:tblGrid>
      <w:tr w:rsidR="00DF03E3" w:rsidRPr="00580037"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Úplný a přesný název zaměstnavatele:</w:t>
            </w:r>
          </w:p>
        </w:tc>
        <w:tc>
          <w:tcPr>
            <w:tcW w:w="4315" w:type="dxa"/>
            <w:tcBorders>
              <w:top w:val="double" w:sz="4"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b/>
                <w:sz w:val="20"/>
                <w:szCs w:val="20"/>
                <w:lang w:eastAsia="en-US"/>
              </w:rPr>
              <w:t>Nemocnice Vyškov</w:t>
            </w:r>
            <w:r w:rsidRPr="00580037">
              <w:rPr>
                <w:rFonts w:asciiTheme="minorHAnsi" w:hAnsiTheme="minorHAnsi"/>
                <w:sz w:val="20"/>
                <w:szCs w:val="20"/>
                <w:lang w:eastAsia="en-US"/>
              </w:rPr>
              <w:t>, příspěvková organizace</w:t>
            </w:r>
          </w:p>
        </w:tc>
      </w:tr>
      <w:tr w:rsidR="00DF03E3" w:rsidRPr="00580037"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sídlo:</w:t>
            </w:r>
          </w:p>
        </w:tc>
        <w:tc>
          <w:tcPr>
            <w:tcW w:w="4315" w:type="dxa"/>
            <w:tcBorders>
              <w:top w:val="doub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bCs/>
                <w:sz w:val="20"/>
                <w:szCs w:val="20"/>
                <w:lang w:eastAsia="en-US"/>
              </w:rPr>
              <w:t>Purkyňova 36, 68201 Vyškov</w:t>
            </w:r>
          </w:p>
        </w:tc>
      </w:tr>
      <w:tr w:rsidR="00DF03E3" w:rsidRPr="00580037" w:rsidTr="00C112A9">
        <w:tc>
          <w:tcPr>
            <w:tcW w:w="4820" w:type="dxa"/>
            <w:tcBorders>
              <w:top w:val="sing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předmět činnosti (podrobněji):</w:t>
            </w:r>
          </w:p>
        </w:tc>
        <w:tc>
          <w:tcPr>
            <w:tcW w:w="4315" w:type="dxa"/>
            <w:tcBorders>
              <w:top w:val="sing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Ústavní zdravotní péče</w:t>
            </w:r>
          </w:p>
        </w:tc>
      </w:tr>
      <w:tr w:rsidR="00DF03E3" w:rsidRPr="00580037"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počet zaměstnanců v okrese Vyškov:</w:t>
            </w:r>
          </w:p>
        </w:tc>
        <w:tc>
          <w:tcPr>
            <w:tcW w:w="4315" w:type="dxa"/>
            <w:tcBorders>
              <w:top w:val="single" w:sz="4" w:space="0" w:color="auto"/>
              <w:left w:val="nil"/>
              <w:bottom w:val="nil"/>
              <w:right w:val="double" w:sz="4" w:space="0" w:color="auto"/>
            </w:tcBorders>
          </w:tcPr>
          <w:p w:rsidR="00DF03E3" w:rsidRPr="00580037" w:rsidRDefault="00DF03E3" w:rsidP="00C112A9">
            <w:pPr>
              <w:ind w:right="113"/>
              <w:rPr>
                <w:rFonts w:asciiTheme="minorHAnsi" w:hAnsiTheme="minorHAnsi"/>
                <w:sz w:val="20"/>
                <w:szCs w:val="20"/>
                <w:lang w:eastAsia="en-US"/>
              </w:rPr>
            </w:pP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v roce 2013</w:t>
            </w:r>
          </w:p>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v roce 2014</w:t>
            </w:r>
          </w:p>
        </w:tc>
        <w:tc>
          <w:tcPr>
            <w:tcW w:w="4315" w:type="dxa"/>
            <w:tcBorders>
              <w:top w:val="nil"/>
              <w:left w:val="nil"/>
              <w:bottom w:val="single" w:sz="12" w:space="0" w:color="auto"/>
              <w:right w:val="double" w:sz="4" w:space="0" w:color="auto"/>
            </w:tcBorders>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658</w:t>
            </w:r>
          </w:p>
          <w:p w:rsidR="00DF03E3" w:rsidRPr="007E38B9" w:rsidRDefault="00DF03E3" w:rsidP="00C112A9">
            <w:pPr>
              <w:ind w:right="113"/>
              <w:rPr>
                <w:rFonts w:asciiTheme="minorHAnsi" w:hAnsiTheme="minorHAnsi"/>
                <w:sz w:val="20"/>
                <w:szCs w:val="20"/>
                <w:lang w:eastAsia="en-US"/>
              </w:rPr>
            </w:pPr>
            <w:r w:rsidRPr="007E38B9">
              <w:rPr>
                <w:rFonts w:asciiTheme="minorHAnsi" w:hAnsiTheme="minorHAnsi"/>
                <w:sz w:val="20"/>
                <w:szCs w:val="20"/>
                <w:lang w:eastAsia="en-US"/>
              </w:rPr>
              <w:t>776</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země zahraničního partnera:</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b/>
                <w:sz w:val="20"/>
                <w:szCs w:val="20"/>
                <w:lang w:eastAsia="en-US"/>
              </w:rPr>
            </w:pP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komentář: stručná charakteristika zaměstnavatele včetně vývoje za sledované období</w:t>
            </w:r>
          </w:p>
        </w:tc>
        <w:tc>
          <w:tcPr>
            <w:tcW w:w="4315" w:type="dxa"/>
            <w:tcBorders>
              <w:top w:val="single" w:sz="12" w:space="0" w:color="auto"/>
              <w:left w:val="nil"/>
              <w:bottom w:val="double" w:sz="4" w:space="0" w:color="auto"/>
              <w:right w:val="double" w:sz="4" w:space="0" w:color="auto"/>
            </w:tcBorders>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cs="Arial"/>
                <w:sz w:val="20"/>
                <w:szCs w:val="20"/>
                <w:lang w:eastAsia="en-US"/>
              </w:rPr>
              <w:t xml:space="preserve">Stavy zaměstnanců se meziročně </w:t>
            </w:r>
            <w:r w:rsidRPr="00580037">
              <w:rPr>
                <w:rFonts w:asciiTheme="minorHAnsi" w:hAnsiTheme="minorHAnsi" w:cs="Arial"/>
                <w:b/>
                <w:sz w:val="20"/>
                <w:szCs w:val="20"/>
                <w:lang w:eastAsia="en-US"/>
              </w:rPr>
              <w:t>zvýšily</w:t>
            </w:r>
            <w:r w:rsidRPr="00580037">
              <w:rPr>
                <w:rFonts w:asciiTheme="minorHAnsi" w:hAnsiTheme="minorHAnsi" w:cs="Arial"/>
                <w:sz w:val="20"/>
                <w:szCs w:val="20"/>
                <w:lang w:eastAsia="en-US"/>
              </w:rPr>
              <w:t xml:space="preserve"> cca o </w:t>
            </w:r>
            <w:r w:rsidRPr="00580037">
              <w:rPr>
                <w:rFonts w:asciiTheme="minorHAnsi" w:hAnsiTheme="minorHAnsi" w:cs="Arial"/>
                <w:b/>
                <w:sz w:val="20"/>
                <w:szCs w:val="20"/>
                <w:lang w:eastAsia="en-US"/>
              </w:rPr>
              <w:t>120.</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lang w:eastAsia="en-US"/>
              </w:rPr>
            </w:pPr>
          </w:p>
        </w:tc>
        <w:tc>
          <w:tcPr>
            <w:tcW w:w="4315" w:type="dxa"/>
            <w:tcBorders>
              <w:top w:val="single" w:sz="12" w:space="0" w:color="auto"/>
              <w:left w:val="nil"/>
              <w:bottom w:val="double" w:sz="4" w:space="0" w:color="auto"/>
              <w:right w:val="double" w:sz="4" w:space="0" w:color="auto"/>
            </w:tcBorders>
          </w:tcPr>
          <w:p w:rsidR="00DF03E3" w:rsidRPr="00580037" w:rsidRDefault="00DF03E3" w:rsidP="00C112A9">
            <w:pPr>
              <w:ind w:right="113"/>
              <w:rPr>
                <w:rFonts w:asciiTheme="minorHAnsi" w:hAnsiTheme="minorHAnsi" w:cs="Arial"/>
                <w:sz w:val="20"/>
                <w:szCs w:val="20"/>
                <w:lang w:eastAsia="en-US"/>
              </w:rPr>
            </w:pPr>
          </w:p>
        </w:tc>
      </w:tr>
    </w:tbl>
    <w:p w:rsidR="00DF03E3" w:rsidRPr="00580037" w:rsidRDefault="00DF03E3" w:rsidP="00DF03E3">
      <w:pPr>
        <w:ind w:right="113"/>
        <w:rPr>
          <w:rFonts w:asciiTheme="minorHAnsi" w:hAnsiTheme="minorHAnsi"/>
          <w:color w:val="FF0000"/>
          <w:sz w:val="20"/>
          <w:szCs w:val="20"/>
          <w:highlight w:val="cyan"/>
        </w:rPr>
      </w:pPr>
    </w:p>
    <w:tbl>
      <w:tblPr>
        <w:tblW w:w="91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315"/>
      </w:tblGrid>
      <w:tr w:rsidR="00DF03E3" w:rsidRPr="00580037"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Úplný a přesný název zaměstnavatele:</w:t>
            </w:r>
          </w:p>
        </w:tc>
        <w:tc>
          <w:tcPr>
            <w:tcW w:w="4315" w:type="dxa"/>
            <w:tcBorders>
              <w:top w:val="double" w:sz="4"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b/>
                <w:sz w:val="20"/>
                <w:szCs w:val="20"/>
                <w:lang w:eastAsia="en-US"/>
              </w:rPr>
            </w:pPr>
            <w:r w:rsidRPr="00580037">
              <w:rPr>
                <w:rFonts w:asciiTheme="minorHAnsi" w:hAnsiTheme="minorHAnsi"/>
                <w:b/>
                <w:sz w:val="20"/>
                <w:szCs w:val="20"/>
                <w:lang w:eastAsia="en-US"/>
              </w:rPr>
              <w:t>Bioveta a.s.</w:t>
            </w:r>
          </w:p>
        </w:tc>
      </w:tr>
      <w:tr w:rsidR="00DF03E3" w:rsidRPr="00580037"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sídlo:</w:t>
            </w:r>
          </w:p>
        </w:tc>
        <w:tc>
          <w:tcPr>
            <w:tcW w:w="4315" w:type="dxa"/>
            <w:tcBorders>
              <w:top w:val="doub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bCs/>
                <w:sz w:val="20"/>
                <w:szCs w:val="20"/>
                <w:lang w:eastAsia="en-US"/>
              </w:rPr>
              <w:t>Komenského 212, Ivanovice na Hané</w:t>
            </w:r>
          </w:p>
        </w:tc>
      </w:tr>
      <w:tr w:rsidR="00DF03E3" w:rsidRPr="00580037" w:rsidTr="00C112A9">
        <w:tc>
          <w:tcPr>
            <w:tcW w:w="4820" w:type="dxa"/>
            <w:tcBorders>
              <w:top w:val="sing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předmět činnosti (podrobněji):</w:t>
            </w:r>
          </w:p>
        </w:tc>
        <w:tc>
          <w:tcPr>
            <w:tcW w:w="4315" w:type="dxa"/>
            <w:tcBorders>
              <w:top w:val="sing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Výroba a prodej veterinárních výrobků</w:t>
            </w:r>
          </w:p>
        </w:tc>
      </w:tr>
      <w:tr w:rsidR="00DF03E3" w:rsidRPr="00580037"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počet zaměstnanců v okrese Vyškov:</w:t>
            </w:r>
          </w:p>
        </w:tc>
        <w:tc>
          <w:tcPr>
            <w:tcW w:w="4315" w:type="dxa"/>
            <w:tcBorders>
              <w:top w:val="single" w:sz="4" w:space="0" w:color="auto"/>
              <w:left w:val="nil"/>
              <w:bottom w:val="nil"/>
              <w:right w:val="double" w:sz="4" w:space="0" w:color="auto"/>
            </w:tcBorders>
          </w:tcPr>
          <w:p w:rsidR="00DF03E3" w:rsidRPr="00580037" w:rsidRDefault="00DF03E3" w:rsidP="00C112A9">
            <w:pPr>
              <w:ind w:right="113"/>
              <w:rPr>
                <w:rFonts w:asciiTheme="minorHAnsi" w:hAnsiTheme="minorHAnsi"/>
                <w:sz w:val="20"/>
                <w:szCs w:val="20"/>
                <w:lang w:eastAsia="en-US"/>
              </w:rPr>
            </w:pP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v roce 2013</w:t>
            </w:r>
          </w:p>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v roce 2014</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550</w:t>
            </w:r>
          </w:p>
          <w:p w:rsidR="00DF03E3" w:rsidRPr="007E38B9" w:rsidRDefault="00DF03E3" w:rsidP="00C112A9">
            <w:pPr>
              <w:ind w:right="113"/>
              <w:rPr>
                <w:rFonts w:asciiTheme="minorHAnsi" w:hAnsiTheme="minorHAnsi"/>
                <w:sz w:val="20"/>
                <w:szCs w:val="20"/>
                <w:lang w:eastAsia="en-US"/>
              </w:rPr>
            </w:pPr>
            <w:r w:rsidRPr="007E38B9">
              <w:rPr>
                <w:rFonts w:asciiTheme="minorHAnsi" w:hAnsiTheme="minorHAnsi"/>
                <w:sz w:val="20"/>
                <w:szCs w:val="20"/>
                <w:lang w:eastAsia="en-US"/>
              </w:rPr>
              <w:t>573</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 xml:space="preserve">země zahraničního partnera </w:t>
            </w:r>
            <w:r w:rsidRPr="00580037">
              <w:rPr>
                <w:rFonts w:asciiTheme="minorHAnsi" w:hAnsiTheme="minorHAnsi"/>
                <w:bCs/>
                <w:iCs/>
                <w:sz w:val="20"/>
                <w:szCs w:val="20"/>
                <w:lang w:eastAsia="en-US"/>
              </w:rPr>
              <w:t>(pokud existuje)</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b/>
                <w:sz w:val="20"/>
                <w:szCs w:val="20"/>
                <w:lang w:eastAsia="en-US"/>
              </w:rPr>
            </w:pP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komentář: stručná charakteristika zaměstnavatele včetně vývoje za sledované období</w:t>
            </w:r>
          </w:p>
        </w:tc>
        <w:tc>
          <w:tcPr>
            <w:tcW w:w="4315" w:type="dxa"/>
            <w:tcBorders>
              <w:top w:val="single" w:sz="12" w:space="0" w:color="auto"/>
              <w:left w:val="nil"/>
              <w:bottom w:val="double" w:sz="4" w:space="0" w:color="auto"/>
              <w:right w:val="double" w:sz="4" w:space="0" w:color="auto"/>
            </w:tcBorders>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exportér veterinárních přípravků  do 70 zemí světa, v roce 2014 navázána spolupráce  s VŠ veterinární a farmaceutickou.</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lang w:eastAsia="en-US"/>
              </w:rPr>
            </w:pPr>
          </w:p>
        </w:tc>
        <w:tc>
          <w:tcPr>
            <w:tcW w:w="4315" w:type="dxa"/>
            <w:tcBorders>
              <w:top w:val="single" w:sz="12" w:space="0" w:color="auto"/>
              <w:left w:val="nil"/>
              <w:bottom w:val="double" w:sz="4" w:space="0" w:color="auto"/>
              <w:right w:val="double" w:sz="4" w:space="0" w:color="auto"/>
            </w:tcBorders>
          </w:tcPr>
          <w:p w:rsidR="00DF03E3" w:rsidRPr="00580037" w:rsidRDefault="00DF03E3" w:rsidP="00C112A9">
            <w:pPr>
              <w:ind w:right="113"/>
              <w:rPr>
                <w:rFonts w:asciiTheme="minorHAnsi" w:hAnsiTheme="minorHAnsi"/>
                <w:sz w:val="20"/>
                <w:szCs w:val="20"/>
                <w:lang w:eastAsia="en-US"/>
              </w:rPr>
            </w:pPr>
          </w:p>
        </w:tc>
      </w:tr>
    </w:tbl>
    <w:p w:rsidR="00DF03E3" w:rsidRPr="00580037" w:rsidRDefault="00DF03E3" w:rsidP="00DF03E3">
      <w:pPr>
        <w:ind w:right="113"/>
        <w:rPr>
          <w:rFonts w:asciiTheme="minorHAnsi" w:hAnsiTheme="minorHAnsi"/>
          <w:color w:val="FF0000"/>
          <w:sz w:val="20"/>
          <w:szCs w:val="20"/>
          <w:highlight w:val="cyan"/>
        </w:rPr>
      </w:pPr>
    </w:p>
    <w:tbl>
      <w:tblPr>
        <w:tblW w:w="91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315"/>
      </w:tblGrid>
      <w:tr w:rsidR="00DF03E3" w:rsidRPr="00580037"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Úplný a přesný název zaměstnavatele:</w:t>
            </w:r>
          </w:p>
        </w:tc>
        <w:tc>
          <w:tcPr>
            <w:tcW w:w="4315" w:type="dxa"/>
            <w:tcBorders>
              <w:top w:val="double" w:sz="4"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b/>
                <w:sz w:val="20"/>
                <w:szCs w:val="20"/>
                <w:lang w:eastAsia="en-US"/>
              </w:rPr>
            </w:pPr>
            <w:r w:rsidRPr="00580037">
              <w:rPr>
                <w:rFonts w:asciiTheme="minorHAnsi" w:hAnsiTheme="minorHAnsi"/>
                <w:b/>
                <w:sz w:val="20"/>
                <w:szCs w:val="20"/>
                <w:lang w:eastAsia="en-US"/>
              </w:rPr>
              <w:t>Lohmann &amp; Rauscher, s.r.o.</w:t>
            </w:r>
          </w:p>
        </w:tc>
      </w:tr>
      <w:tr w:rsidR="00DF03E3" w:rsidRPr="00580037"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sídlo:</w:t>
            </w:r>
          </w:p>
        </w:tc>
        <w:tc>
          <w:tcPr>
            <w:tcW w:w="4315" w:type="dxa"/>
            <w:tcBorders>
              <w:top w:val="doub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bCs/>
                <w:sz w:val="20"/>
                <w:szCs w:val="20"/>
                <w:lang w:eastAsia="en-US"/>
              </w:rPr>
              <w:t>Bučovická 256, Slavkov u Brna</w:t>
            </w:r>
          </w:p>
        </w:tc>
      </w:tr>
      <w:tr w:rsidR="00DF03E3" w:rsidRPr="00580037" w:rsidTr="00C112A9">
        <w:tc>
          <w:tcPr>
            <w:tcW w:w="4820" w:type="dxa"/>
            <w:tcBorders>
              <w:top w:val="sing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předmět činnosti (podrobněji):</w:t>
            </w:r>
          </w:p>
        </w:tc>
        <w:tc>
          <w:tcPr>
            <w:tcW w:w="4315" w:type="dxa"/>
            <w:tcBorders>
              <w:top w:val="sing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 xml:space="preserve">Výroba textilních výrobků pro zdravotnické účely </w:t>
            </w:r>
          </w:p>
        </w:tc>
      </w:tr>
      <w:tr w:rsidR="00DF03E3" w:rsidRPr="00580037"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počet zaměstnanců v okrese Vyškov:</w:t>
            </w:r>
          </w:p>
        </w:tc>
        <w:tc>
          <w:tcPr>
            <w:tcW w:w="4315" w:type="dxa"/>
            <w:tcBorders>
              <w:top w:val="single" w:sz="4" w:space="0" w:color="auto"/>
              <w:left w:val="nil"/>
              <w:bottom w:val="nil"/>
              <w:right w:val="double" w:sz="4" w:space="0" w:color="auto"/>
            </w:tcBorders>
          </w:tcPr>
          <w:p w:rsidR="00DF03E3" w:rsidRPr="00580037" w:rsidRDefault="00DF03E3" w:rsidP="00C112A9">
            <w:pPr>
              <w:ind w:right="113"/>
              <w:rPr>
                <w:rFonts w:asciiTheme="minorHAnsi" w:hAnsiTheme="minorHAnsi"/>
                <w:sz w:val="20"/>
                <w:szCs w:val="20"/>
                <w:lang w:eastAsia="en-US"/>
              </w:rPr>
            </w:pP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v roce 2013</w:t>
            </w:r>
          </w:p>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v roce 2014</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630</w:t>
            </w:r>
          </w:p>
          <w:p w:rsidR="00DF03E3" w:rsidRPr="007E38B9" w:rsidRDefault="00DF03E3" w:rsidP="00C112A9">
            <w:pPr>
              <w:ind w:right="113"/>
              <w:rPr>
                <w:rFonts w:asciiTheme="minorHAnsi" w:hAnsiTheme="minorHAnsi"/>
                <w:sz w:val="20"/>
                <w:szCs w:val="20"/>
                <w:lang w:eastAsia="en-US"/>
              </w:rPr>
            </w:pPr>
            <w:r w:rsidRPr="007E38B9">
              <w:rPr>
                <w:rFonts w:asciiTheme="minorHAnsi" w:hAnsiTheme="minorHAnsi"/>
                <w:sz w:val="20"/>
                <w:szCs w:val="20"/>
                <w:lang w:eastAsia="en-US"/>
              </w:rPr>
              <w:t>565</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 xml:space="preserve">země zahraničního partnera </w:t>
            </w:r>
            <w:r w:rsidRPr="00580037">
              <w:rPr>
                <w:rFonts w:asciiTheme="minorHAnsi" w:hAnsiTheme="minorHAnsi"/>
                <w:bCs/>
                <w:iCs/>
                <w:sz w:val="20"/>
                <w:szCs w:val="20"/>
                <w:lang w:eastAsia="en-US"/>
              </w:rPr>
              <w:t>(pokud existuje)</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b/>
                <w:sz w:val="20"/>
                <w:szCs w:val="20"/>
                <w:lang w:eastAsia="en-US"/>
              </w:rPr>
            </w:pPr>
            <w:r w:rsidRPr="00580037">
              <w:rPr>
                <w:rFonts w:asciiTheme="minorHAnsi" w:hAnsiTheme="minorHAnsi"/>
                <w:sz w:val="20"/>
                <w:szCs w:val="20"/>
                <w:lang w:eastAsia="en-US"/>
              </w:rPr>
              <w:t>Rakousko/ Německo</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komentář: stručná charakteristika zaměstnavatele včetně vývoje za sledované období</w:t>
            </w:r>
          </w:p>
        </w:tc>
        <w:tc>
          <w:tcPr>
            <w:tcW w:w="4315" w:type="dxa"/>
            <w:tcBorders>
              <w:top w:val="single" w:sz="12" w:space="0" w:color="auto"/>
              <w:left w:val="nil"/>
              <w:bottom w:val="double" w:sz="4" w:space="0" w:color="auto"/>
              <w:right w:val="double" w:sz="4" w:space="0" w:color="auto"/>
            </w:tcBorders>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 xml:space="preserve">Stěžejní zaměstnavatel mikroregionu, pro příští období není předpoklad výraznější změny počtu zaměstnanců. Meziročně došlo ke </w:t>
            </w:r>
            <w:r w:rsidRPr="00580037">
              <w:rPr>
                <w:rFonts w:asciiTheme="minorHAnsi" w:hAnsiTheme="minorHAnsi"/>
                <w:b/>
                <w:sz w:val="20"/>
                <w:szCs w:val="20"/>
                <w:lang w:eastAsia="en-US"/>
              </w:rPr>
              <w:t xml:space="preserve">snížení </w:t>
            </w:r>
            <w:r w:rsidRPr="00580037">
              <w:rPr>
                <w:rFonts w:asciiTheme="minorHAnsi" w:hAnsiTheme="minorHAnsi"/>
                <w:sz w:val="20"/>
                <w:szCs w:val="20"/>
                <w:lang w:eastAsia="en-US"/>
              </w:rPr>
              <w:t xml:space="preserve">stavu zaměstnanců </w:t>
            </w:r>
            <w:r w:rsidRPr="00580037">
              <w:rPr>
                <w:rFonts w:asciiTheme="minorHAnsi" w:hAnsiTheme="minorHAnsi"/>
                <w:b/>
                <w:sz w:val="20"/>
                <w:szCs w:val="20"/>
                <w:lang w:eastAsia="en-US"/>
              </w:rPr>
              <w:t>o 65.</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lang w:eastAsia="en-US"/>
              </w:rPr>
            </w:pPr>
          </w:p>
        </w:tc>
        <w:tc>
          <w:tcPr>
            <w:tcW w:w="4315" w:type="dxa"/>
            <w:tcBorders>
              <w:top w:val="single" w:sz="12" w:space="0" w:color="auto"/>
              <w:left w:val="nil"/>
              <w:bottom w:val="double" w:sz="4" w:space="0" w:color="auto"/>
              <w:right w:val="double" w:sz="4" w:space="0" w:color="auto"/>
            </w:tcBorders>
          </w:tcPr>
          <w:p w:rsidR="00DF03E3" w:rsidRPr="00580037" w:rsidRDefault="00DF03E3" w:rsidP="00C112A9">
            <w:pPr>
              <w:ind w:right="113"/>
              <w:jc w:val="both"/>
              <w:rPr>
                <w:rFonts w:asciiTheme="minorHAnsi" w:hAnsiTheme="minorHAnsi"/>
                <w:sz w:val="20"/>
                <w:szCs w:val="20"/>
                <w:lang w:eastAsia="en-US"/>
              </w:rPr>
            </w:pPr>
          </w:p>
        </w:tc>
      </w:tr>
    </w:tbl>
    <w:p w:rsidR="00DF03E3" w:rsidRPr="00580037" w:rsidRDefault="00DF03E3" w:rsidP="00DF03E3">
      <w:pPr>
        <w:ind w:right="113"/>
        <w:rPr>
          <w:rFonts w:asciiTheme="minorHAnsi" w:hAnsiTheme="minorHAnsi"/>
          <w:color w:val="FF0000"/>
          <w:sz w:val="20"/>
          <w:szCs w:val="20"/>
          <w:highlight w:val="cyan"/>
        </w:rPr>
      </w:pPr>
    </w:p>
    <w:tbl>
      <w:tblPr>
        <w:tblW w:w="91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315"/>
      </w:tblGrid>
      <w:tr w:rsidR="00DF03E3" w:rsidRPr="00580037"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Úplný a přesný název zaměstnavatele:</w:t>
            </w:r>
          </w:p>
        </w:tc>
        <w:tc>
          <w:tcPr>
            <w:tcW w:w="4315" w:type="dxa"/>
            <w:tcBorders>
              <w:top w:val="double" w:sz="4"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b/>
                <w:color w:val="000000"/>
                <w:sz w:val="20"/>
                <w:szCs w:val="20"/>
                <w:lang w:eastAsia="en-US"/>
              </w:rPr>
            </w:pPr>
            <w:r w:rsidRPr="00580037">
              <w:rPr>
                <w:rFonts w:asciiTheme="minorHAnsi" w:hAnsiTheme="minorHAnsi"/>
                <w:b/>
                <w:color w:val="000000"/>
                <w:sz w:val="20"/>
                <w:szCs w:val="20"/>
                <w:lang w:eastAsia="en-US"/>
              </w:rPr>
              <w:t>Lear Corporation Czech Republic s.r.o.</w:t>
            </w:r>
          </w:p>
        </w:tc>
      </w:tr>
      <w:tr w:rsidR="00DF03E3" w:rsidRPr="00580037"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sídlo:</w:t>
            </w:r>
          </w:p>
        </w:tc>
        <w:tc>
          <w:tcPr>
            <w:tcW w:w="4315" w:type="dxa"/>
            <w:tcBorders>
              <w:top w:val="doub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bCs/>
                <w:color w:val="000000"/>
                <w:sz w:val="20"/>
                <w:szCs w:val="20"/>
                <w:lang w:eastAsia="en-US"/>
              </w:rPr>
              <w:t>Tovární 735/10, Vyškov</w:t>
            </w:r>
          </w:p>
        </w:tc>
      </w:tr>
      <w:tr w:rsidR="00DF03E3" w:rsidRPr="00580037" w:rsidTr="00C112A9">
        <w:tc>
          <w:tcPr>
            <w:tcW w:w="4820" w:type="dxa"/>
            <w:tcBorders>
              <w:top w:val="sing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předmět činnosti (podrobněji):</w:t>
            </w:r>
          </w:p>
        </w:tc>
        <w:tc>
          <w:tcPr>
            <w:tcW w:w="4315" w:type="dxa"/>
            <w:tcBorders>
              <w:top w:val="sing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kovoobráběčství</w:t>
            </w:r>
          </w:p>
        </w:tc>
      </w:tr>
      <w:tr w:rsidR="00DF03E3" w:rsidRPr="00580037"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počet zaměstnanců v okrese Vyškov:</w:t>
            </w:r>
          </w:p>
        </w:tc>
        <w:tc>
          <w:tcPr>
            <w:tcW w:w="4315" w:type="dxa"/>
            <w:tcBorders>
              <w:top w:val="single" w:sz="4" w:space="0" w:color="auto"/>
              <w:left w:val="nil"/>
              <w:bottom w:val="nil"/>
              <w:right w:val="double" w:sz="4" w:space="0" w:color="auto"/>
            </w:tcBorders>
          </w:tcPr>
          <w:p w:rsidR="00DF03E3" w:rsidRPr="00580037" w:rsidRDefault="00DF03E3" w:rsidP="00C112A9">
            <w:pPr>
              <w:ind w:right="113"/>
              <w:rPr>
                <w:rFonts w:asciiTheme="minorHAnsi" w:hAnsiTheme="minorHAnsi"/>
                <w:color w:val="000000"/>
                <w:sz w:val="20"/>
                <w:szCs w:val="20"/>
                <w:lang w:eastAsia="en-US"/>
              </w:rPr>
            </w:pP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v roce 2013</w:t>
            </w:r>
          </w:p>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v roce 2014</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601</w:t>
            </w:r>
          </w:p>
          <w:p w:rsidR="00DF03E3" w:rsidRPr="007E38B9" w:rsidRDefault="00DF03E3" w:rsidP="00C112A9">
            <w:pPr>
              <w:ind w:right="113"/>
              <w:rPr>
                <w:rFonts w:asciiTheme="minorHAnsi" w:hAnsiTheme="minorHAnsi"/>
                <w:color w:val="000000"/>
                <w:sz w:val="20"/>
                <w:szCs w:val="20"/>
                <w:lang w:eastAsia="en-US"/>
              </w:rPr>
            </w:pPr>
            <w:r w:rsidRPr="007E38B9">
              <w:rPr>
                <w:rFonts w:asciiTheme="minorHAnsi" w:hAnsiTheme="minorHAnsi"/>
                <w:color w:val="000000"/>
                <w:sz w:val="20"/>
                <w:szCs w:val="20"/>
                <w:lang w:eastAsia="en-US"/>
              </w:rPr>
              <w:t>563</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země zahraničního partnera:</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b/>
                <w:color w:val="000000"/>
                <w:sz w:val="20"/>
                <w:szCs w:val="20"/>
                <w:lang w:eastAsia="en-US"/>
              </w:rPr>
            </w:pPr>
            <w:r w:rsidRPr="00580037">
              <w:rPr>
                <w:rFonts w:asciiTheme="minorHAnsi" w:hAnsiTheme="minorHAnsi"/>
                <w:color w:val="000000"/>
                <w:sz w:val="20"/>
                <w:szCs w:val="20"/>
                <w:lang w:eastAsia="en-US"/>
              </w:rPr>
              <w:t>Lucembursko</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komentář: stručná charakteristika zaměstnavatele včetně vývoje za sledované období</w:t>
            </w:r>
          </w:p>
        </w:tc>
        <w:tc>
          <w:tcPr>
            <w:tcW w:w="4315" w:type="dxa"/>
            <w:tcBorders>
              <w:top w:val="single" w:sz="12"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Společnost se zabývá mechanickou úpravou kovů.  V příštím roce by měly být počty zaměstnanců zachovány.</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580037" w:rsidRDefault="00DF03E3" w:rsidP="00C112A9">
            <w:pPr>
              <w:ind w:right="113"/>
              <w:rPr>
                <w:rFonts w:asciiTheme="minorHAnsi" w:hAnsiTheme="minorHAnsi"/>
                <w:color w:val="000000"/>
                <w:sz w:val="20"/>
                <w:szCs w:val="20"/>
                <w:lang w:eastAsia="en-US"/>
              </w:rPr>
            </w:pPr>
          </w:p>
        </w:tc>
        <w:tc>
          <w:tcPr>
            <w:tcW w:w="4315" w:type="dxa"/>
            <w:tcBorders>
              <w:top w:val="single" w:sz="12" w:space="0" w:color="auto"/>
              <w:left w:val="nil"/>
              <w:bottom w:val="double" w:sz="4" w:space="0" w:color="auto"/>
              <w:right w:val="double" w:sz="4" w:space="0" w:color="auto"/>
            </w:tcBorders>
          </w:tcPr>
          <w:p w:rsidR="00DF03E3" w:rsidRPr="00580037" w:rsidRDefault="00DF03E3" w:rsidP="00C112A9">
            <w:pPr>
              <w:ind w:right="113"/>
              <w:jc w:val="both"/>
              <w:rPr>
                <w:rFonts w:asciiTheme="minorHAnsi" w:hAnsiTheme="minorHAnsi"/>
                <w:color w:val="000000"/>
                <w:sz w:val="20"/>
                <w:szCs w:val="20"/>
                <w:lang w:eastAsia="en-US"/>
              </w:rPr>
            </w:pPr>
          </w:p>
        </w:tc>
      </w:tr>
    </w:tbl>
    <w:p w:rsidR="00DF03E3" w:rsidRPr="00580037" w:rsidRDefault="00DF03E3" w:rsidP="00DF03E3">
      <w:pPr>
        <w:ind w:right="113"/>
        <w:rPr>
          <w:rFonts w:asciiTheme="minorHAnsi" w:hAnsiTheme="minorHAnsi"/>
          <w:color w:val="FF0000"/>
          <w:sz w:val="20"/>
          <w:szCs w:val="20"/>
          <w:highlight w:val="cyan"/>
        </w:rPr>
      </w:pPr>
    </w:p>
    <w:tbl>
      <w:tblPr>
        <w:tblW w:w="91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315"/>
      </w:tblGrid>
      <w:tr w:rsidR="00DF03E3" w:rsidRPr="00580037" w:rsidTr="00C112A9">
        <w:trPr>
          <w:trHeight w:val="464"/>
        </w:trPr>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Úplný a přesný název zaměstnavatele:</w:t>
            </w:r>
          </w:p>
        </w:tc>
        <w:tc>
          <w:tcPr>
            <w:tcW w:w="4315" w:type="dxa"/>
            <w:tcBorders>
              <w:top w:val="double" w:sz="4"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b/>
                <w:sz w:val="20"/>
                <w:szCs w:val="20"/>
                <w:lang w:eastAsia="en-US"/>
              </w:rPr>
            </w:pPr>
            <w:r w:rsidRPr="00580037">
              <w:rPr>
                <w:rFonts w:asciiTheme="minorHAnsi" w:hAnsiTheme="minorHAnsi"/>
                <w:b/>
                <w:sz w:val="20"/>
                <w:szCs w:val="20"/>
                <w:lang w:eastAsia="en-US"/>
              </w:rPr>
              <w:t>Fritzmeier s.r.o.</w:t>
            </w:r>
          </w:p>
        </w:tc>
      </w:tr>
      <w:tr w:rsidR="00DF03E3" w:rsidRPr="00580037"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sídlo:</w:t>
            </w:r>
          </w:p>
        </w:tc>
        <w:tc>
          <w:tcPr>
            <w:tcW w:w="4315" w:type="dxa"/>
            <w:tcBorders>
              <w:top w:val="doub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bCs/>
                <w:sz w:val="20"/>
                <w:szCs w:val="20"/>
                <w:lang w:eastAsia="en-US"/>
              </w:rPr>
              <w:t>Tovární 592/3, Vyškov</w:t>
            </w:r>
          </w:p>
        </w:tc>
      </w:tr>
      <w:tr w:rsidR="00DF03E3" w:rsidRPr="00580037" w:rsidTr="00C112A9">
        <w:tc>
          <w:tcPr>
            <w:tcW w:w="4820" w:type="dxa"/>
            <w:tcBorders>
              <w:top w:val="sing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předmět činnosti (podrobněji):</w:t>
            </w:r>
          </w:p>
        </w:tc>
        <w:tc>
          <w:tcPr>
            <w:tcW w:w="4315" w:type="dxa"/>
            <w:tcBorders>
              <w:top w:val="sing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výroba komponentů pro zemědělské, stavební a manipulační stroje</w:t>
            </w:r>
          </w:p>
        </w:tc>
      </w:tr>
      <w:tr w:rsidR="00DF03E3" w:rsidRPr="00580037"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počet zaměstnanců v okrese Vyškov:</w:t>
            </w:r>
          </w:p>
        </w:tc>
        <w:tc>
          <w:tcPr>
            <w:tcW w:w="4315" w:type="dxa"/>
            <w:tcBorders>
              <w:top w:val="single" w:sz="4" w:space="0" w:color="auto"/>
              <w:left w:val="nil"/>
              <w:bottom w:val="nil"/>
              <w:right w:val="double" w:sz="4" w:space="0" w:color="auto"/>
            </w:tcBorders>
          </w:tcPr>
          <w:p w:rsidR="00DF03E3" w:rsidRPr="00580037" w:rsidRDefault="00DF03E3" w:rsidP="00C112A9">
            <w:pPr>
              <w:ind w:right="113"/>
              <w:rPr>
                <w:rFonts w:asciiTheme="minorHAnsi" w:hAnsiTheme="minorHAnsi"/>
                <w:sz w:val="20"/>
                <w:szCs w:val="20"/>
                <w:lang w:eastAsia="en-US"/>
              </w:rPr>
            </w:pP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v roce 2013</w:t>
            </w:r>
          </w:p>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v roce 2014</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518</w:t>
            </w:r>
          </w:p>
          <w:p w:rsidR="00DF03E3" w:rsidRPr="007E38B9" w:rsidRDefault="00DF03E3" w:rsidP="00C112A9">
            <w:pPr>
              <w:ind w:right="113"/>
              <w:rPr>
                <w:rFonts w:asciiTheme="minorHAnsi" w:hAnsiTheme="minorHAnsi"/>
                <w:sz w:val="20"/>
                <w:szCs w:val="20"/>
                <w:lang w:eastAsia="en-US"/>
              </w:rPr>
            </w:pPr>
            <w:r w:rsidRPr="007E38B9">
              <w:rPr>
                <w:rFonts w:asciiTheme="minorHAnsi" w:hAnsiTheme="minorHAnsi"/>
                <w:sz w:val="20"/>
                <w:szCs w:val="20"/>
                <w:lang w:eastAsia="en-US"/>
              </w:rPr>
              <w:t>554</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země zahraničního partnera:</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b/>
                <w:sz w:val="20"/>
                <w:szCs w:val="20"/>
                <w:lang w:eastAsia="en-US"/>
              </w:rPr>
            </w:pPr>
            <w:r w:rsidRPr="00580037">
              <w:rPr>
                <w:rFonts w:asciiTheme="minorHAnsi" w:hAnsiTheme="minorHAnsi"/>
                <w:sz w:val="20"/>
                <w:szCs w:val="20"/>
                <w:lang w:eastAsia="en-US"/>
              </w:rPr>
              <w:t>Německo</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sz w:val="20"/>
                <w:szCs w:val="20"/>
                <w:lang w:eastAsia="en-US"/>
              </w:rPr>
            </w:pPr>
            <w:r w:rsidRPr="00580037">
              <w:rPr>
                <w:rFonts w:asciiTheme="minorHAnsi" w:hAnsiTheme="minorHAnsi"/>
                <w:sz w:val="20"/>
                <w:szCs w:val="20"/>
                <w:lang w:eastAsia="en-US"/>
              </w:rPr>
              <w:t>komentář: stručná charakteristika zaměstnavatele včetně vývoje za sledované období</w:t>
            </w:r>
          </w:p>
        </w:tc>
        <w:tc>
          <w:tcPr>
            <w:tcW w:w="4315" w:type="dxa"/>
            <w:tcBorders>
              <w:top w:val="single" w:sz="12" w:space="0" w:color="auto"/>
              <w:left w:val="nil"/>
              <w:bottom w:val="double" w:sz="4" w:space="0" w:color="auto"/>
              <w:right w:val="double" w:sz="4" w:space="0" w:color="auto"/>
            </w:tcBorders>
            <w:hideMark/>
          </w:tcPr>
          <w:p w:rsidR="00DF03E3" w:rsidRPr="007E38B9" w:rsidRDefault="00DF03E3" w:rsidP="00C112A9">
            <w:pPr>
              <w:ind w:right="113"/>
              <w:rPr>
                <w:rFonts w:asciiTheme="minorHAnsi" w:hAnsiTheme="minorHAnsi"/>
                <w:sz w:val="20"/>
                <w:szCs w:val="20"/>
                <w:lang w:eastAsia="en-US"/>
              </w:rPr>
            </w:pPr>
            <w:r w:rsidRPr="007E38B9">
              <w:rPr>
                <w:rFonts w:asciiTheme="minorHAnsi" w:hAnsiTheme="minorHAnsi"/>
                <w:sz w:val="20"/>
                <w:szCs w:val="20"/>
                <w:lang w:eastAsia="en-US"/>
              </w:rPr>
              <w:t>Převážnou část výroby tvoří kabiny a karosářské díly pro zemědělské stroje. Meziročně došlo ke zvýšení stavu zaměstnanců o 36.</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580037" w:rsidRDefault="00DF03E3" w:rsidP="00C112A9">
            <w:pPr>
              <w:ind w:right="113"/>
              <w:rPr>
                <w:rFonts w:asciiTheme="minorHAnsi" w:hAnsiTheme="minorHAnsi"/>
                <w:sz w:val="20"/>
                <w:szCs w:val="20"/>
                <w:lang w:eastAsia="en-US"/>
              </w:rPr>
            </w:pPr>
          </w:p>
        </w:tc>
        <w:tc>
          <w:tcPr>
            <w:tcW w:w="4315" w:type="dxa"/>
            <w:tcBorders>
              <w:top w:val="single" w:sz="12" w:space="0" w:color="auto"/>
              <w:left w:val="nil"/>
              <w:bottom w:val="double" w:sz="4" w:space="0" w:color="auto"/>
              <w:right w:val="double" w:sz="4" w:space="0" w:color="auto"/>
            </w:tcBorders>
          </w:tcPr>
          <w:p w:rsidR="00DF03E3" w:rsidRPr="00580037" w:rsidRDefault="00DF03E3" w:rsidP="00C112A9">
            <w:pPr>
              <w:ind w:right="113"/>
              <w:jc w:val="both"/>
              <w:rPr>
                <w:rFonts w:asciiTheme="minorHAnsi" w:hAnsiTheme="minorHAnsi"/>
                <w:sz w:val="20"/>
                <w:szCs w:val="20"/>
                <w:lang w:eastAsia="en-US"/>
              </w:rPr>
            </w:pPr>
          </w:p>
        </w:tc>
      </w:tr>
    </w:tbl>
    <w:p w:rsidR="00DF03E3" w:rsidRPr="00580037" w:rsidRDefault="00DF03E3" w:rsidP="00DF03E3">
      <w:pPr>
        <w:ind w:right="113"/>
        <w:rPr>
          <w:rFonts w:asciiTheme="minorHAnsi" w:hAnsiTheme="minorHAnsi"/>
          <w:color w:val="FF0000"/>
          <w:sz w:val="20"/>
          <w:szCs w:val="20"/>
          <w:highlight w:val="cyan"/>
        </w:rPr>
      </w:pPr>
    </w:p>
    <w:tbl>
      <w:tblPr>
        <w:tblW w:w="91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315"/>
      </w:tblGrid>
      <w:tr w:rsidR="00DF03E3" w:rsidRPr="00580037"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Úplný a přesný název zaměstnavatele:</w:t>
            </w:r>
          </w:p>
        </w:tc>
        <w:tc>
          <w:tcPr>
            <w:tcW w:w="4315" w:type="dxa"/>
            <w:tcBorders>
              <w:top w:val="double" w:sz="4"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b/>
                <w:color w:val="000000"/>
                <w:sz w:val="20"/>
                <w:szCs w:val="20"/>
                <w:lang w:eastAsia="en-US"/>
              </w:rPr>
            </w:pPr>
            <w:r w:rsidRPr="00580037">
              <w:rPr>
                <w:rFonts w:asciiTheme="minorHAnsi" w:hAnsiTheme="minorHAnsi"/>
                <w:b/>
                <w:color w:val="000000"/>
                <w:sz w:val="20"/>
                <w:szCs w:val="20"/>
                <w:lang w:eastAsia="en-US"/>
              </w:rPr>
              <w:t>BKR ČR, s.r.o.</w:t>
            </w:r>
          </w:p>
        </w:tc>
      </w:tr>
      <w:tr w:rsidR="00DF03E3" w:rsidRPr="00580037"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sídlo:</w:t>
            </w:r>
          </w:p>
        </w:tc>
        <w:tc>
          <w:tcPr>
            <w:tcW w:w="4315" w:type="dxa"/>
            <w:tcBorders>
              <w:top w:val="doub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bCs/>
                <w:color w:val="000000"/>
                <w:sz w:val="20"/>
                <w:szCs w:val="20"/>
                <w:lang w:eastAsia="en-US"/>
              </w:rPr>
              <w:t>Tovární 2, Vyškov</w:t>
            </w:r>
          </w:p>
        </w:tc>
      </w:tr>
      <w:tr w:rsidR="00DF03E3" w:rsidRPr="00580037" w:rsidTr="00C112A9">
        <w:tc>
          <w:tcPr>
            <w:tcW w:w="4820" w:type="dxa"/>
            <w:tcBorders>
              <w:top w:val="sing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předmět činnosti (podrobněji):</w:t>
            </w:r>
          </w:p>
        </w:tc>
        <w:tc>
          <w:tcPr>
            <w:tcW w:w="4315" w:type="dxa"/>
            <w:tcBorders>
              <w:top w:val="sing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výroba žaluzií, rolet, vysunovacích rolet a doplňků okenního příslušenství</w:t>
            </w:r>
          </w:p>
        </w:tc>
      </w:tr>
      <w:tr w:rsidR="00DF03E3" w:rsidRPr="00580037"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počet zaměstnanců v okrese Vyškov:</w:t>
            </w:r>
          </w:p>
        </w:tc>
        <w:tc>
          <w:tcPr>
            <w:tcW w:w="4315" w:type="dxa"/>
            <w:tcBorders>
              <w:top w:val="single" w:sz="4" w:space="0" w:color="auto"/>
              <w:left w:val="nil"/>
              <w:bottom w:val="nil"/>
              <w:right w:val="double" w:sz="4" w:space="0" w:color="auto"/>
            </w:tcBorders>
          </w:tcPr>
          <w:p w:rsidR="00DF03E3" w:rsidRPr="00580037" w:rsidRDefault="00DF03E3" w:rsidP="00C112A9">
            <w:pPr>
              <w:ind w:right="113"/>
              <w:rPr>
                <w:rFonts w:asciiTheme="minorHAnsi" w:hAnsiTheme="minorHAnsi"/>
                <w:color w:val="000000"/>
                <w:sz w:val="20"/>
                <w:szCs w:val="20"/>
                <w:lang w:eastAsia="en-US"/>
              </w:rPr>
            </w:pP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v roce 2013</w:t>
            </w:r>
          </w:p>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v roce 2014</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406</w:t>
            </w:r>
          </w:p>
          <w:p w:rsidR="00DF03E3" w:rsidRPr="007E38B9" w:rsidRDefault="00DF03E3" w:rsidP="00C112A9">
            <w:pPr>
              <w:ind w:right="113"/>
              <w:rPr>
                <w:rFonts w:asciiTheme="minorHAnsi" w:hAnsiTheme="minorHAnsi"/>
                <w:color w:val="000000"/>
                <w:sz w:val="20"/>
                <w:szCs w:val="20"/>
                <w:lang w:eastAsia="en-US"/>
              </w:rPr>
            </w:pPr>
            <w:r w:rsidRPr="007E38B9">
              <w:rPr>
                <w:rFonts w:asciiTheme="minorHAnsi" w:hAnsiTheme="minorHAnsi"/>
                <w:color w:val="000000"/>
                <w:sz w:val="20"/>
                <w:szCs w:val="20"/>
                <w:lang w:eastAsia="en-US"/>
              </w:rPr>
              <w:t>416</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země zahraničního partnera:</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b/>
                <w:color w:val="000000"/>
                <w:sz w:val="20"/>
                <w:szCs w:val="20"/>
                <w:lang w:eastAsia="en-US"/>
              </w:rPr>
            </w:pPr>
            <w:r w:rsidRPr="00580037">
              <w:rPr>
                <w:rFonts w:asciiTheme="minorHAnsi" w:hAnsiTheme="minorHAnsi"/>
                <w:color w:val="000000"/>
                <w:sz w:val="20"/>
                <w:szCs w:val="20"/>
                <w:lang w:eastAsia="en-US"/>
              </w:rPr>
              <w:t>Dánsko</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komentář: stručná charakteristika zaměstnavatele včetně vývoje za sledované období</w:t>
            </w:r>
          </w:p>
        </w:tc>
        <w:tc>
          <w:tcPr>
            <w:tcW w:w="4315" w:type="dxa"/>
            <w:tcBorders>
              <w:top w:val="single" w:sz="12"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s="Arial"/>
                <w:color w:val="000000"/>
                <w:sz w:val="20"/>
                <w:szCs w:val="20"/>
                <w:lang w:eastAsia="en-US"/>
              </w:rPr>
              <w:t>Společnost neustále, i když mírně zvyšuje počty zaměstnanců. Pro další rok není plánována změna v počtu zaměstnanců.</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580037" w:rsidRDefault="00DF03E3" w:rsidP="00C112A9">
            <w:pPr>
              <w:ind w:right="113"/>
              <w:rPr>
                <w:rFonts w:asciiTheme="minorHAnsi" w:hAnsiTheme="minorHAnsi"/>
                <w:color w:val="000000"/>
                <w:sz w:val="20"/>
                <w:szCs w:val="20"/>
                <w:lang w:eastAsia="en-US"/>
              </w:rPr>
            </w:pPr>
          </w:p>
        </w:tc>
        <w:tc>
          <w:tcPr>
            <w:tcW w:w="4315" w:type="dxa"/>
            <w:tcBorders>
              <w:top w:val="single" w:sz="12" w:space="0" w:color="auto"/>
              <w:left w:val="nil"/>
              <w:bottom w:val="double" w:sz="4" w:space="0" w:color="auto"/>
              <w:right w:val="double" w:sz="4" w:space="0" w:color="auto"/>
            </w:tcBorders>
          </w:tcPr>
          <w:p w:rsidR="00DF03E3" w:rsidRPr="00580037" w:rsidRDefault="00DF03E3" w:rsidP="00C112A9">
            <w:pPr>
              <w:ind w:right="113"/>
              <w:jc w:val="both"/>
              <w:rPr>
                <w:rFonts w:asciiTheme="minorHAnsi" w:hAnsiTheme="minorHAnsi" w:cs="Arial"/>
                <w:color w:val="000000"/>
                <w:sz w:val="20"/>
                <w:szCs w:val="20"/>
                <w:lang w:eastAsia="en-US"/>
              </w:rPr>
            </w:pPr>
          </w:p>
        </w:tc>
      </w:tr>
    </w:tbl>
    <w:p w:rsidR="00DF03E3" w:rsidRPr="00580037" w:rsidRDefault="00DF03E3" w:rsidP="00DF03E3">
      <w:pPr>
        <w:ind w:right="113"/>
        <w:rPr>
          <w:rFonts w:asciiTheme="minorHAnsi" w:hAnsiTheme="minorHAnsi"/>
          <w:color w:val="FF0000"/>
          <w:sz w:val="20"/>
          <w:szCs w:val="20"/>
          <w:highlight w:val="cyan"/>
        </w:rPr>
      </w:pPr>
    </w:p>
    <w:tbl>
      <w:tblPr>
        <w:tblW w:w="91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315"/>
      </w:tblGrid>
      <w:tr w:rsidR="00DF03E3" w:rsidRPr="00580037"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Úplný a přesný název zaměstnavatele:</w:t>
            </w:r>
          </w:p>
        </w:tc>
        <w:tc>
          <w:tcPr>
            <w:tcW w:w="4315" w:type="dxa"/>
            <w:tcBorders>
              <w:top w:val="double" w:sz="4"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b/>
                <w:color w:val="000000"/>
                <w:sz w:val="20"/>
                <w:szCs w:val="20"/>
                <w:lang w:eastAsia="en-US"/>
              </w:rPr>
            </w:pPr>
            <w:r w:rsidRPr="00580037">
              <w:rPr>
                <w:rFonts w:asciiTheme="minorHAnsi" w:hAnsiTheme="minorHAnsi"/>
                <w:b/>
                <w:color w:val="000000"/>
                <w:sz w:val="20"/>
                <w:szCs w:val="20"/>
                <w:lang w:eastAsia="en-US"/>
              </w:rPr>
              <w:t>Fischer automotive systems s.r.o.</w:t>
            </w:r>
          </w:p>
        </w:tc>
      </w:tr>
      <w:tr w:rsidR="00DF03E3" w:rsidRPr="00580037"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sídlo:</w:t>
            </w:r>
          </w:p>
        </w:tc>
        <w:tc>
          <w:tcPr>
            <w:tcW w:w="4315" w:type="dxa"/>
            <w:tcBorders>
              <w:top w:val="doub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bCs/>
                <w:color w:val="000000"/>
                <w:sz w:val="20"/>
                <w:szCs w:val="20"/>
                <w:lang w:eastAsia="en-US"/>
              </w:rPr>
              <w:t>Osvoboditelů 889/89, Ivanovice na Hané</w:t>
            </w:r>
          </w:p>
        </w:tc>
      </w:tr>
      <w:tr w:rsidR="00DF03E3" w:rsidRPr="00580037" w:rsidTr="00C112A9">
        <w:tc>
          <w:tcPr>
            <w:tcW w:w="4820" w:type="dxa"/>
            <w:tcBorders>
              <w:top w:val="sing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předmět činnosti (podrobněji):</w:t>
            </w:r>
          </w:p>
        </w:tc>
        <w:tc>
          <w:tcPr>
            <w:tcW w:w="4315" w:type="dxa"/>
            <w:tcBorders>
              <w:top w:val="sing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Výroba komponentů do motorových vozidel</w:t>
            </w:r>
          </w:p>
        </w:tc>
      </w:tr>
      <w:tr w:rsidR="00DF03E3" w:rsidRPr="00580037"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počet zaměstnanců v okrese Vyškov:</w:t>
            </w:r>
          </w:p>
        </w:tc>
        <w:tc>
          <w:tcPr>
            <w:tcW w:w="4315" w:type="dxa"/>
            <w:tcBorders>
              <w:top w:val="single" w:sz="4" w:space="0" w:color="auto"/>
              <w:left w:val="nil"/>
              <w:bottom w:val="nil"/>
              <w:right w:val="double" w:sz="4" w:space="0" w:color="auto"/>
            </w:tcBorders>
          </w:tcPr>
          <w:p w:rsidR="00DF03E3" w:rsidRPr="00580037" w:rsidRDefault="00DF03E3" w:rsidP="00C112A9">
            <w:pPr>
              <w:ind w:right="113"/>
              <w:rPr>
                <w:rFonts w:asciiTheme="minorHAnsi" w:hAnsiTheme="minorHAnsi"/>
                <w:color w:val="000000"/>
                <w:sz w:val="20"/>
                <w:szCs w:val="20"/>
                <w:lang w:eastAsia="en-US"/>
              </w:rPr>
            </w:pPr>
          </w:p>
        </w:tc>
      </w:tr>
      <w:tr w:rsidR="00DF03E3" w:rsidRPr="00580037" w:rsidTr="00C112A9">
        <w:tc>
          <w:tcPr>
            <w:tcW w:w="4820" w:type="dxa"/>
            <w:tcBorders>
              <w:top w:val="nil"/>
              <w:left w:val="double" w:sz="4" w:space="0" w:color="auto"/>
              <w:bottom w:val="nil"/>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v roce 2013</w:t>
            </w:r>
          </w:p>
        </w:tc>
        <w:tc>
          <w:tcPr>
            <w:tcW w:w="4315" w:type="dxa"/>
            <w:tcBorders>
              <w:top w:val="nil"/>
              <w:left w:val="nil"/>
              <w:bottom w:val="nil"/>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290</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v roce 2014</w:t>
            </w:r>
          </w:p>
        </w:tc>
        <w:tc>
          <w:tcPr>
            <w:tcW w:w="4315" w:type="dxa"/>
            <w:tcBorders>
              <w:top w:val="nil"/>
              <w:left w:val="nil"/>
              <w:bottom w:val="single" w:sz="12" w:space="0" w:color="auto"/>
              <w:right w:val="double" w:sz="4" w:space="0" w:color="auto"/>
            </w:tcBorders>
            <w:hideMark/>
          </w:tcPr>
          <w:p w:rsidR="00DF03E3" w:rsidRPr="007E38B9" w:rsidRDefault="00DF03E3" w:rsidP="00C112A9">
            <w:pPr>
              <w:ind w:right="113"/>
              <w:rPr>
                <w:rFonts w:asciiTheme="minorHAnsi" w:hAnsiTheme="minorHAnsi"/>
                <w:color w:val="000000"/>
                <w:sz w:val="20"/>
                <w:szCs w:val="20"/>
                <w:lang w:eastAsia="en-US"/>
              </w:rPr>
            </w:pPr>
            <w:r w:rsidRPr="007E38B9">
              <w:rPr>
                <w:rFonts w:asciiTheme="minorHAnsi" w:hAnsiTheme="minorHAnsi"/>
                <w:color w:val="000000"/>
                <w:sz w:val="20"/>
                <w:szCs w:val="20"/>
                <w:lang w:eastAsia="en-US"/>
              </w:rPr>
              <w:t>392</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země zahraničního partnera:</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Německo</w:t>
            </w: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komentář: stručná charakteristika zaměstnavatele včetně vývoje za sledované období</w:t>
            </w:r>
          </w:p>
        </w:tc>
        <w:tc>
          <w:tcPr>
            <w:tcW w:w="4315" w:type="dxa"/>
            <w:tcBorders>
              <w:top w:val="single" w:sz="12"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cs="Arial"/>
                <w:color w:val="000000"/>
                <w:sz w:val="20"/>
                <w:szCs w:val="20"/>
                <w:lang w:eastAsia="en-US"/>
              </w:rPr>
            </w:pPr>
            <w:r w:rsidRPr="00580037">
              <w:rPr>
                <w:rFonts w:asciiTheme="minorHAnsi" w:hAnsiTheme="minorHAnsi" w:cs="Arial"/>
                <w:color w:val="000000"/>
                <w:sz w:val="20"/>
                <w:szCs w:val="20"/>
                <w:lang w:eastAsia="en-US"/>
              </w:rPr>
              <w:t xml:space="preserve">Jedná se o nově zřízený provoz v roce 2013, převážně drobné montážní práce. Meziroční nárůst počtu zaměstnanců je největší na okrese Vyškov </w:t>
            </w:r>
            <w:r w:rsidRPr="007E38B9">
              <w:rPr>
                <w:rFonts w:asciiTheme="minorHAnsi" w:hAnsiTheme="minorHAnsi" w:cs="Arial"/>
                <w:color w:val="000000"/>
                <w:sz w:val="20"/>
                <w:szCs w:val="20"/>
                <w:lang w:eastAsia="en-US"/>
              </w:rPr>
              <w:t>– nárůst o 100 zaměstnanců.</w:t>
            </w:r>
          </w:p>
        </w:tc>
      </w:tr>
    </w:tbl>
    <w:p w:rsidR="00DF03E3" w:rsidRPr="00580037" w:rsidRDefault="00DF03E3" w:rsidP="00DF03E3">
      <w:pPr>
        <w:ind w:right="113"/>
        <w:rPr>
          <w:rFonts w:asciiTheme="minorHAnsi" w:hAnsiTheme="minorHAnsi"/>
          <w:color w:val="FF0000"/>
          <w:sz w:val="20"/>
          <w:szCs w:val="20"/>
          <w:highlight w:val="cyan"/>
        </w:rPr>
      </w:pPr>
    </w:p>
    <w:tbl>
      <w:tblPr>
        <w:tblW w:w="91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315"/>
      </w:tblGrid>
      <w:tr w:rsidR="00DF03E3" w:rsidRPr="00580037" w:rsidTr="00C112A9">
        <w:tc>
          <w:tcPr>
            <w:tcW w:w="4820" w:type="dxa"/>
            <w:tcBorders>
              <w:top w:val="double" w:sz="4"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Úplný a přesný název zaměstnavatele:</w:t>
            </w:r>
          </w:p>
        </w:tc>
        <w:tc>
          <w:tcPr>
            <w:tcW w:w="4315" w:type="dxa"/>
            <w:tcBorders>
              <w:top w:val="double" w:sz="4"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b/>
                <w:color w:val="000000"/>
                <w:sz w:val="20"/>
                <w:szCs w:val="20"/>
                <w:lang w:eastAsia="en-US"/>
              </w:rPr>
            </w:pPr>
            <w:r w:rsidRPr="00580037">
              <w:rPr>
                <w:rFonts w:asciiTheme="minorHAnsi" w:hAnsiTheme="minorHAnsi"/>
                <w:b/>
                <w:color w:val="000000"/>
                <w:sz w:val="20"/>
                <w:szCs w:val="20"/>
                <w:lang w:eastAsia="en-US"/>
              </w:rPr>
              <w:t>Hestego a.s.</w:t>
            </w:r>
          </w:p>
        </w:tc>
      </w:tr>
      <w:tr w:rsidR="00DF03E3" w:rsidRPr="00580037" w:rsidTr="00C112A9">
        <w:tc>
          <w:tcPr>
            <w:tcW w:w="4820" w:type="dxa"/>
            <w:tcBorders>
              <w:top w:val="doub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sídlo:</w:t>
            </w:r>
          </w:p>
        </w:tc>
        <w:tc>
          <w:tcPr>
            <w:tcW w:w="4315" w:type="dxa"/>
            <w:tcBorders>
              <w:top w:val="doub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bCs/>
                <w:color w:val="000000"/>
                <w:sz w:val="20"/>
                <w:szCs w:val="20"/>
                <w:lang w:eastAsia="en-US"/>
              </w:rPr>
              <w:t>Na Nouzce 470/7, Vyškov</w:t>
            </w:r>
          </w:p>
        </w:tc>
      </w:tr>
      <w:tr w:rsidR="00DF03E3" w:rsidRPr="00580037" w:rsidTr="00C112A9">
        <w:tc>
          <w:tcPr>
            <w:tcW w:w="4820" w:type="dxa"/>
            <w:tcBorders>
              <w:top w:val="single" w:sz="4" w:space="0" w:color="auto"/>
              <w:left w:val="double" w:sz="4" w:space="0" w:color="auto"/>
              <w:bottom w:val="sing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předmět činnosti (podrobněji):</w:t>
            </w:r>
          </w:p>
        </w:tc>
        <w:tc>
          <w:tcPr>
            <w:tcW w:w="4315" w:type="dxa"/>
            <w:tcBorders>
              <w:top w:val="single" w:sz="4" w:space="0" w:color="auto"/>
              <w:left w:val="nil"/>
              <w:bottom w:val="single" w:sz="4"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kovoobrábění</w:t>
            </w:r>
          </w:p>
        </w:tc>
      </w:tr>
      <w:tr w:rsidR="00DF03E3" w:rsidRPr="00580037" w:rsidTr="00C112A9">
        <w:tc>
          <w:tcPr>
            <w:tcW w:w="4820" w:type="dxa"/>
            <w:tcBorders>
              <w:top w:val="single" w:sz="4" w:space="0" w:color="auto"/>
              <w:left w:val="double" w:sz="4" w:space="0" w:color="auto"/>
              <w:bottom w:val="nil"/>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počet zaměstnanců v okrese Vyškov:</w:t>
            </w:r>
          </w:p>
        </w:tc>
        <w:tc>
          <w:tcPr>
            <w:tcW w:w="4315" w:type="dxa"/>
            <w:tcBorders>
              <w:top w:val="single" w:sz="4" w:space="0" w:color="auto"/>
              <w:left w:val="nil"/>
              <w:bottom w:val="nil"/>
              <w:right w:val="double" w:sz="4" w:space="0" w:color="auto"/>
            </w:tcBorders>
          </w:tcPr>
          <w:p w:rsidR="00DF03E3" w:rsidRPr="00580037" w:rsidRDefault="00DF03E3" w:rsidP="00C112A9">
            <w:pPr>
              <w:ind w:right="113"/>
              <w:rPr>
                <w:rFonts w:asciiTheme="minorHAnsi" w:hAnsiTheme="minorHAnsi"/>
                <w:color w:val="000000"/>
                <w:sz w:val="20"/>
                <w:szCs w:val="20"/>
                <w:lang w:eastAsia="en-US"/>
              </w:rPr>
            </w:pPr>
          </w:p>
        </w:tc>
      </w:tr>
      <w:tr w:rsidR="00DF03E3" w:rsidRPr="00580037" w:rsidTr="00C112A9">
        <w:tc>
          <w:tcPr>
            <w:tcW w:w="4820" w:type="dxa"/>
            <w:tcBorders>
              <w:top w:val="nil"/>
              <w:left w:val="double" w:sz="4" w:space="0" w:color="auto"/>
              <w:bottom w:val="nil"/>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v roce 2013</w:t>
            </w:r>
          </w:p>
        </w:tc>
        <w:tc>
          <w:tcPr>
            <w:tcW w:w="4315" w:type="dxa"/>
            <w:tcBorders>
              <w:top w:val="nil"/>
              <w:left w:val="nil"/>
              <w:bottom w:val="nil"/>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325</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v roce 2014</w:t>
            </w:r>
          </w:p>
        </w:tc>
        <w:tc>
          <w:tcPr>
            <w:tcW w:w="4315" w:type="dxa"/>
            <w:tcBorders>
              <w:top w:val="nil"/>
              <w:left w:val="nil"/>
              <w:bottom w:val="single" w:sz="12" w:space="0" w:color="auto"/>
              <w:right w:val="double" w:sz="4" w:space="0" w:color="auto"/>
            </w:tcBorders>
            <w:hideMark/>
          </w:tcPr>
          <w:p w:rsidR="00DF03E3" w:rsidRPr="007E38B9" w:rsidRDefault="00DF03E3" w:rsidP="00C112A9">
            <w:pPr>
              <w:ind w:right="113"/>
              <w:rPr>
                <w:rFonts w:asciiTheme="minorHAnsi" w:hAnsiTheme="minorHAnsi"/>
                <w:color w:val="000000"/>
                <w:sz w:val="20"/>
                <w:szCs w:val="20"/>
                <w:lang w:eastAsia="en-US"/>
              </w:rPr>
            </w:pPr>
            <w:r w:rsidRPr="007E38B9">
              <w:rPr>
                <w:rFonts w:asciiTheme="minorHAnsi" w:hAnsiTheme="minorHAnsi"/>
                <w:color w:val="000000"/>
                <w:sz w:val="20"/>
                <w:szCs w:val="20"/>
                <w:lang w:eastAsia="en-US"/>
              </w:rPr>
              <w:t>329</w:t>
            </w:r>
          </w:p>
        </w:tc>
      </w:tr>
      <w:tr w:rsidR="00DF03E3" w:rsidRPr="00580037" w:rsidTr="00C112A9">
        <w:tc>
          <w:tcPr>
            <w:tcW w:w="4820" w:type="dxa"/>
            <w:tcBorders>
              <w:top w:val="nil"/>
              <w:left w:val="double" w:sz="4" w:space="0" w:color="auto"/>
              <w:bottom w:val="single" w:sz="12"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země zahraničního partnera:</w:t>
            </w:r>
          </w:p>
        </w:tc>
        <w:tc>
          <w:tcPr>
            <w:tcW w:w="4315" w:type="dxa"/>
            <w:tcBorders>
              <w:top w:val="nil"/>
              <w:left w:val="nil"/>
              <w:bottom w:val="single" w:sz="12" w:space="0" w:color="auto"/>
              <w:right w:val="double" w:sz="4" w:space="0" w:color="auto"/>
            </w:tcBorders>
            <w:hideMark/>
          </w:tcPr>
          <w:p w:rsidR="00DF03E3" w:rsidRPr="00580037" w:rsidRDefault="00DF03E3" w:rsidP="00C112A9">
            <w:pPr>
              <w:ind w:right="113"/>
              <w:rPr>
                <w:rFonts w:asciiTheme="minorHAnsi" w:hAnsiTheme="minorHAnsi"/>
                <w:color w:val="000000"/>
                <w:sz w:val="20"/>
                <w:szCs w:val="20"/>
                <w:lang w:eastAsia="en-US"/>
              </w:rPr>
            </w:pPr>
          </w:p>
        </w:tc>
      </w:tr>
      <w:tr w:rsidR="00DF03E3" w:rsidRPr="00580037" w:rsidTr="00C112A9">
        <w:tc>
          <w:tcPr>
            <w:tcW w:w="4820" w:type="dxa"/>
            <w:tcBorders>
              <w:top w:val="single" w:sz="12" w:space="0" w:color="auto"/>
              <w:left w:val="double" w:sz="4" w:space="0" w:color="auto"/>
              <w:bottom w:val="double" w:sz="4" w:space="0" w:color="auto"/>
              <w:right w:val="single" w:sz="12" w:space="0" w:color="auto"/>
            </w:tcBorders>
            <w:shd w:val="clear" w:color="auto" w:fill="E6E6E6"/>
            <w:hideMark/>
          </w:tcPr>
          <w:p w:rsidR="00DF03E3" w:rsidRPr="00580037" w:rsidRDefault="00DF03E3" w:rsidP="00C112A9">
            <w:pPr>
              <w:ind w:right="113"/>
              <w:rPr>
                <w:rFonts w:asciiTheme="minorHAnsi" w:hAnsiTheme="minorHAnsi"/>
                <w:color w:val="000000"/>
                <w:sz w:val="20"/>
                <w:szCs w:val="20"/>
                <w:lang w:eastAsia="en-US"/>
              </w:rPr>
            </w:pPr>
            <w:r w:rsidRPr="00580037">
              <w:rPr>
                <w:rFonts w:asciiTheme="minorHAnsi" w:hAnsiTheme="minorHAnsi"/>
                <w:color w:val="000000"/>
                <w:sz w:val="20"/>
                <w:szCs w:val="20"/>
                <w:lang w:eastAsia="en-US"/>
              </w:rPr>
              <w:t>komentář: stručná charakteristika zaměstnavatele včetně vývoje za sledované období</w:t>
            </w:r>
          </w:p>
        </w:tc>
        <w:tc>
          <w:tcPr>
            <w:tcW w:w="4315" w:type="dxa"/>
            <w:tcBorders>
              <w:top w:val="single" w:sz="12" w:space="0" w:color="auto"/>
              <w:left w:val="nil"/>
              <w:bottom w:val="double" w:sz="4" w:space="0" w:color="auto"/>
              <w:right w:val="double" w:sz="4" w:space="0" w:color="auto"/>
            </w:tcBorders>
            <w:hideMark/>
          </w:tcPr>
          <w:p w:rsidR="00DF03E3" w:rsidRPr="00580037" w:rsidRDefault="00DF03E3" w:rsidP="00C112A9">
            <w:pPr>
              <w:ind w:right="113"/>
              <w:rPr>
                <w:rFonts w:asciiTheme="minorHAnsi" w:hAnsiTheme="minorHAnsi" w:cs="Arial"/>
                <w:color w:val="000000"/>
                <w:sz w:val="20"/>
                <w:szCs w:val="20"/>
                <w:lang w:eastAsia="en-US"/>
              </w:rPr>
            </w:pPr>
            <w:r w:rsidRPr="00580037">
              <w:rPr>
                <w:rFonts w:asciiTheme="minorHAnsi" w:hAnsiTheme="minorHAnsi" w:cs="Arial"/>
                <w:color w:val="000000"/>
                <w:sz w:val="20"/>
                <w:szCs w:val="20"/>
                <w:lang w:eastAsia="en-US"/>
              </w:rPr>
              <w:t xml:space="preserve">Společnost se zabývá strojírenskou výrobou, zpracování plechů, převážně z nerezi. </w:t>
            </w:r>
          </w:p>
        </w:tc>
      </w:tr>
    </w:tbl>
    <w:p w:rsidR="00DF03E3" w:rsidRPr="00580037" w:rsidRDefault="00DF03E3" w:rsidP="00DF03E3">
      <w:pPr>
        <w:rPr>
          <w:rFonts w:asciiTheme="minorHAnsi" w:hAnsiTheme="minorHAnsi"/>
          <w:sz w:val="20"/>
          <w:szCs w:val="20"/>
        </w:rPr>
      </w:pPr>
    </w:p>
    <w:p w:rsidR="00DF03E3" w:rsidRDefault="00DF03E3" w:rsidP="00DF03E3">
      <w:pPr>
        <w:ind w:right="113"/>
        <w:rPr>
          <w:rFonts w:asciiTheme="minorHAnsi" w:hAnsiTheme="minorHAnsi" w:cstheme="minorHAnsi"/>
          <w:b/>
          <w:sz w:val="28"/>
          <w:szCs w:val="28"/>
        </w:rPr>
      </w:pPr>
    </w:p>
    <w:p w:rsidR="00DF03E3" w:rsidRDefault="00DF03E3" w:rsidP="00DF03E3">
      <w:pPr>
        <w:ind w:right="113"/>
        <w:rPr>
          <w:rFonts w:asciiTheme="minorHAnsi" w:hAnsiTheme="minorHAnsi" w:cstheme="minorHAnsi"/>
          <w:b/>
          <w:sz w:val="28"/>
          <w:szCs w:val="28"/>
        </w:rPr>
      </w:pPr>
      <w:r w:rsidRPr="00955CD3">
        <w:rPr>
          <w:rFonts w:asciiTheme="minorHAnsi" w:hAnsiTheme="minorHAnsi" w:cstheme="minorHAnsi"/>
          <w:b/>
          <w:sz w:val="28"/>
          <w:szCs w:val="28"/>
        </w:rPr>
        <w:t xml:space="preserve">OKRES ZNOJMO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63034E" w:rsidTr="00C112A9">
        <w:trPr>
          <w:trHeight w:val="292"/>
        </w:trPr>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A94C3B" w:rsidRDefault="00DF03E3" w:rsidP="00C112A9">
            <w:pPr>
              <w:ind w:right="113"/>
              <w:rPr>
                <w:rFonts w:asciiTheme="minorHAnsi" w:hAnsiTheme="minorHAnsi" w:cstheme="minorHAnsi"/>
                <w:b/>
                <w:sz w:val="20"/>
                <w:szCs w:val="20"/>
              </w:rPr>
            </w:pPr>
            <w:r w:rsidRPr="00A94C3B">
              <w:rPr>
                <w:rFonts w:asciiTheme="minorHAnsi" w:hAnsiTheme="minorHAnsi" w:cstheme="minorHAnsi"/>
                <w:b/>
                <w:sz w:val="20"/>
                <w:szCs w:val="20"/>
              </w:rPr>
              <w:t>Nemocnice Znojmo, příspěvková organizace</w:t>
            </w:r>
          </w:p>
        </w:tc>
      </w:tr>
      <w:tr w:rsidR="00DF03E3" w:rsidRPr="0063034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tabs>
                <w:tab w:val="left" w:pos="630"/>
                <w:tab w:val="left" w:pos="1605"/>
              </w:tabs>
              <w:ind w:right="113"/>
              <w:rPr>
                <w:rFonts w:asciiTheme="minorHAnsi" w:hAnsiTheme="minorHAnsi" w:cstheme="minorHAnsi"/>
                <w:sz w:val="20"/>
                <w:szCs w:val="20"/>
              </w:rPr>
            </w:pPr>
            <w:r w:rsidRPr="0063034E">
              <w:rPr>
                <w:rFonts w:asciiTheme="minorHAnsi" w:hAnsiTheme="minorHAnsi" w:cstheme="minorHAnsi"/>
                <w:sz w:val="20"/>
                <w:szCs w:val="20"/>
              </w:rPr>
              <w:t>sídlo:</w:t>
            </w:r>
            <w:r w:rsidRPr="0063034E">
              <w:rPr>
                <w:rFonts w:asciiTheme="minorHAnsi" w:hAnsiTheme="minorHAnsi" w:cstheme="minorHAnsi"/>
                <w:sz w:val="20"/>
                <w:szCs w:val="20"/>
              </w:rPr>
              <w:tab/>
            </w:r>
            <w:r w:rsidRPr="0063034E">
              <w:rPr>
                <w:rFonts w:asciiTheme="minorHAnsi" w:hAnsiTheme="minorHAnsi" w:cstheme="minorHAnsi"/>
                <w:sz w:val="20"/>
                <w:szCs w:val="20"/>
              </w:rPr>
              <w:tab/>
            </w:r>
          </w:p>
        </w:tc>
        <w:tc>
          <w:tcPr>
            <w:tcW w:w="4252" w:type="dxa"/>
            <w:tcBorders>
              <w:top w:val="double" w:sz="4" w:space="0" w:color="auto"/>
              <w:left w:val="nil"/>
              <w:bottom w:val="sing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MUDr. Jana Jánského 11, 669 02 Znojmo</w:t>
            </w:r>
          </w:p>
        </w:tc>
      </w:tr>
      <w:tr w:rsidR="00DF03E3" w:rsidRPr="0063034E" w:rsidTr="00C112A9">
        <w:trPr>
          <w:trHeight w:val="20"/>
        </w:trPr>
        <w:tc>
          <w:tcPr>
            <w:tcW w:w="4820" w:type="dxa"/>
            <w:tcBorders>
              <w:top w:val="sing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předmět činnosti (podrobněji):</w:t>
            </w:r>
          </w:p>
        </w:tc>
        <w:tc>
          <w:tcPr>
            <w:tcW w:w="4252" w:type="dxa"/>
            <w:tcBorders>
              <w:top w:val="single" w:sz="4" w:space="0" w:color="auto"/>
              <w:left w:val="nil"/>
              <w:bottom w:val="sing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Poskytování zdravotní péče</w:t>
            </w:r>
          </w:p>
        </w:tc>
      </w:tr>
      <w:tr w:rsidR="00DF03E3" w:rsidRPr="0063034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počet zaměstnanců v okrese Znojmo:</w:t>
            </w:r>
          </w:p>
        </w:tc>
        <w:tc>
          <w:tcPr>
            <w:tcW w:w="4252" w:type="dxa"/>
            <w:tcBorders>
              <w:top w:val="single" w:sz="4" w:space="0" w:color="auto"/>
              <w:left w:val="nil"/>
              <w:bottom w:val="nil"/>
              <w:right w:val="double" w:sz="4" w:space="0" w:color="auto"/>
            </w:tcBorders>
          </w:tcPr>
          <w:p w:rsidR="00DF03E3" w:rsidRPr="0063034E" w:rsidRDefault="00DF03E3" w:rsidP="00C112A9">
            <w:pPr>
              <w:ind w:right="113"/>
              <w:rPr>
                <w:rFonts w:asciiTheme="minorHAnsi" w:hAnsiTheme="minorHAnsi" w:cstheme="minorHAnsi"/>
                <w:sz w:val="20"/>
                <w:szCs w:val="20"/>
              </w:rPr>
            </w:pP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2013</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2014</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1 078</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1 081</w:t>
            </w: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země zahraničního partnera:</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w:t>
            </w:r>
          </w:p>
        </w:tc>
      </w:tr>
      <w:tr w:rsidR="00DF03E3" w:rsidRPr="0063034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komentář: stručná charakteristika zaměstnavatele včetně vývoje za sledované období</w:t>
            </w:r>
          </w:p>
        </w:tc>
        <w:tc>
          <w:tcPr>
            <w:tcW w:w="4252" w:type="dxa"/>
            <w:tcBorders>
              <w:top w:val="single" w:sz="12" w:space="0" w:color="auto"/>
              <w:left w:val="nil"/>
              <w:bottom w:val="doub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Zaměstnavatel s nejvyšším počtem zaměstnanců na okrese. Počty zaměstnanců zůstávají téměř každý rok beze změn.</w:t>
            </w:r>
            <w:r>
              <w:rPr>
                <w:rFonts w:asciiTheme="minorHAnsi" w:hAnsiTheme="minorHAnsi" w:cstheme="minorHAnsi"/>
                <w:sz w:val="20"/>
                <w:szCs w:val="20"/>
              </w:rPr>
              <w:t xml:space="preserve"> Stabilní zaměstnavatel.</w:t>
            </w:r>
          </w:p>
        </w:tc>
      </w:tr>
    </w:tbl>
    <w:p w:rsidR="00DF03E3" w:rsidRDefault="00DF03E3" w:rsidP="00DF03E3">
      <w:pPr>
        <w:ind w:right="113"/>
        <w:rPr>
          <w:rFonts w:asciiTheme="minorHAnsi" w:hAnsiTheme="minorHAnsi" w:cstheme="minorHAnsi"/>
          <w:b/>
          <w:sz w:val="20"/>
          <w:szCs w:val="20"/>
        </w:rPr>
      </w:pPr>
    </w:p>
    <w:p w:rsidR="00DF03E3" w:rsidRPr="0063034E" w:rsidRDefault="00DF03E3" w:rsidP="00DF03E3">
      <w:pPr>
        <w:ind w:right="113"/>
        <w:rPr>
          <w:rFonts w:asciiTheme="minorHAnsi" w:hAnsiTheme="minorHAnsi" w:cstheme="minorHAnsi"/>
          <w:b/>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63034E" w:rsidTr="00C112A9">
        <w:trPr>
          <w:trHeight w:val="292"/>
        </w:trPr>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A94C3B" w:rsidRDefault="00DF03E3" w:rsidP="00C112A9">
            <w:pPr>
              <w:ind w:right="113"/>
              <w:rPr>
                <w:rFonts w:asciiTheme="minorHAnsi" w:hAnsiTheme="minorHAnsi" w:cstheme="minorHAnsi"/>
                <w:b/>
                <w:sz w:val="20"/>
                <w:szCs w:val="20"/>
              </w:rPr>
            </w:pPr>
            <w:r w:rsidRPr="00A94C3B">
              <w:rPr>
                <w:rFonts w:asciiTheme="minorHAnsi" w:hAnsiTheme="minorHAnsi" w:cstheme="minorHAnsi"/>
                <w:b/>
                <w:bCs/>
                <w:sz w:val="20"/>
                <w:szCs w:val="20"/>
                <w:lang w:eastAsia="en-US"/>
              </w:rPr>
              <w:t>SAINT-GOBAIN ADFORS CZ, s.r.o</w:t>
            </w:r>
            <w:r w:rsidRPr="00A94C3B">
              <w:rPr>
                <w:rFonts w:asciiTheme="minorHAnsi" w:hAnsiTheme="minorHAnsi" w:cstheme="minorHAnsi"/>
                <w:b/>
                <w:sz w:val="20"/>
                <w:szCs w:val="20"/>
              </w:rPr>
              <w:t xml:space="preserve"> </w:t>
            </w:r>
          </w:p>
        </w:tc>
      </w:tr>
      <w:tr w:rsidR="00DF03E3" w:rsidRPr="0063034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sídlo:</w:t>
            </w:r>
          </w:p>
        </w:tc>
        <w:tc>
          <w:tcPr>
            <w:tcW w:w="4252" w:type="dxa"/>
            <w:tcBorders>
              <w:top w:val="double" w:sz="4" w:space="0" w:color="auto"/>
              <w:left w:val="nil"/>
              <w:bottom w:val="sing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Sokolovská 106, 570 01 Litomyšl Nedošín</w:t>
            </w:r>
          </w:p>
        </w:tc>
      </w:tr>
      <w:tr w:rsidR="00DF03E3" w:rsidRPr="0063034E" w:rsidTr="00C112A9">
        <w:tc>
          <w:tcPr>
            <w:tcW w:w="4820" w:type="dxa"/>
            <w:tcBorders>
              <w:top w:val="sing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předmět činnosti (podrobněji):</w:t>
            </w:r>
          </w:p>
        </w:tc>
        <w:tc>
          <w:tcPr>
            <w:tcW w:w="4252" w:type="dxa"/>
            <w:tcBorders>
              <w:top w:val="single" w:sz="4" w:space="0" w:color="auto"/>
              <w:left w:val="nil"/>
              <w:bottom w:val="sing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lang w:eastAsia="en-US"/>
              </w:rPr>
              <w:t>Výroba skelného vlákna</w:t>
            </w:r>
            <w:r w:rsidRPr="0063034E">
              <w:rPr>
                <w:rFonts w:asciiTheme="minorHAnsi" w:hAnsiTheme="minorHAnsi" w:cstheme="minorHAnsi"/>
                <w:sz w:val="20"/>
                <w:szCs w:val="20"/>
              </w:rPr>
              <w:t xml:space="preserve"> </w:t>
            </w:r>
          </w:p>
        </w:tc>
      </w:tr>
      <w:tr w:rsidR="00DF03E3" w:rsidRPr="0063034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počet zaměstnanců v okrese Znojmo:</w:t>
            </w:r>
          </w:p>
        </w:tc>
        <w:tc>
          <w:tcPr>
            <w:tcW w:w="4252" w:type="dxa"/>
            <w:tcBorders>
              <w:top w:val="single" w:sz="4" w:space="0" w:color="auto"/>
              <w:left w:val="nil"/>
              <w:bottom w:val="nil"/>
              <w:right w:val="double" w:sz="4" w:space="0" w:color="auto"/>
            </w:tcBorders>
          </w:tcPr>
          <w:p w:rsidR="00DF03E3" w:rsidRPr="0063034E" w:rsidRDefault="00DF03E3" w:rsidP="00C112A9">
            <w:pPr>
              <w:ind w:right="113"/>
              <w:rPr>
                <w:rFonts w:asciiTheme="minorHAnsi" w:hAnsiTheme="minorHAnsi" w:cstheme="minorHAnsi"/>
                <w:sz w:val="20"/>
                <w:szCs w:val="20"/>
              </w:rPr>
            </w:pP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2013</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2014</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469</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485</w:t>
            </w: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země zahraničního partnera:</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Německo</w:t>
            </w:r>
          </w:p>
        </w:tc>
      </w:tr>
      <w:tr w:rsidR="00DF03E3" w:rsidRPr="0063034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komentář: stručná charakteristika zaměstnavatele včetně vývoje za sledované období</w:t>
            </w:r>
          </w:p>
        </w:tc>
        <w:tc>
          <w:tcPr>
            <w:tcW w:w="4252" w:type="dxa"/>
            <w:tcBorders>
              <w:top w:val="single" w:sz="12" w:space="0" w:color="auto"/>
              <w:left w:val="nil"/>
              <w:bottom w:val="double" w:sz="4" w:space="0" w:color="auto"/>
              <w:right w:val="double" w:sz="4" w:space="0" w:color="auto"/>
            </w:tcBorders>
          </w:tcPr>
          <w:p w:rsidR="00DF03E3" w:rsidRPr="0063034E" w:rsidRDefault="00DF03E3" w:rsidP="00561EAD">
            <w:pPr>
              <w:ind w:right="113"/>
              <w:jc w:val="both"/>
              <w:rPr>
                <w:rFonts w:asciiTheme="minorHAnsi" w:hAnsiTheme="minorHAnsi" w:cstheme="minorHAnsi"/>
                <w:sz w:val="20"/>
                <w:szCs w:val="20"/>
              </w:rPr>
            </w:pPr>
            <w:r w:rsidRPr="0063034E">
              <w:rPr>
                <w:rFonts w:asciiTheme="minorHAnsi" w:hAnsiTheme="minorHAnsi" w:cstheme="minorHAnsi"/>
                <w:sz w:val="20"/>
                <w:szCs w:val="20"/>
                <w:lang w:eastAsia="en-US"/>
              </w:rPr>
              <w:t xml:space="preserve">Zaměstnavatel se zabývá </w:t>
            </w:r>
            <w:r w:rsidRPr="0063034E">
              <w:rPr>
                <w:rFonts w:asciiTheme="minorHAnsi" w:hAnsiTheme="minorHAnsi" w:cstheme="minorHAnsi"/>
                <w:sz w:val="20"/>
                <w:szCs w:val="20"/>
              </w:rPr>
              <w:t xml:space="preserve">výrobou </w:t>
            </w:r>
            <w:r w:rsidR="00EF78B5" w:rsidRPr="0063034E">
              <w:rPr>
                <w:rFonts w:asciiTheme="minorHAnsi" w:hAnsiTheme="minorHAnsi" w:cstheme="minorHAnsi"/>
                <w:sz w:val="20"/>
                <w:szCs w:val="20"/>
              </w:rPr>
              <w:t>sklovláknitých</w:t>
            </w:r>
            <w:r w:rsidRPr="0063034E">
              <w:rPr>
                <w:rFonts w:asciiTheme="minorHAnsi" w:hAnsiTheme="minorHAnsi" w:cstheme="minorHAnsi"/>
                <w:sz w:val="20"/>
                <w:szCs w:val="20"/>
              </w:rPr>
              <w:t xml:space="preserve"> textilií pro stavebnictví, výztuží omítek a zateplovacích systémů.</w:t>
            </w:r>
            <w:r w:rsidRPr="0063034E">
              <w:rPr>
                <w:rFonts w:asciiTheme="minorHAnsi" w:hAnsiTheme="minorHAnsi" w:cstheme="minorHAnsi"/>
                <w:sz w:val="20"/>
                <w:szCs w:val="20"/>
                <w:lang w:eastAsia="en-US"/>
              </w:rPr>
              <w:t xml:space="preserve"> Je to jeden z nejvýznamnějších průmyslových podniků </w:t>
            </w:r>
            <w:r>
              <w:rPr>
                <w:rFonts w:asciiTheme="minorHAnsi" w:hAnsiTheme="minorHAnsi" w:cstheme="minorHAnsi"/>
                <w:sz w:val="20"/>
                <w:szCs w:val="20"/>
                <w:lang w:eastAsia="en-US"/>
              </w:rPr>
              <w:t>na okrese</w:t>
            </w:r>
            <w:r w:rsidRPr="0063034E">
              <w:rPr>
                <w:rFonts w:asciiTheme="minorHAnsi" w:hAnsiTheme="minorHAnsi" w:cstheme="minorHAnsi"/>
                <w:sz w:val="20"/>
                <w:szCs w:val="20"/>
                <w:lang w:eastAsia="en-US"/>
              </w:rPr>
              <w:t xml:space="preserve">. </w:t>
            </w:r>
            <w:r w:rsidRPr="0063034E">
              <w:rPr>
                <w:rFonts w:asciiTheme="minorHAnsi" w:hAnsiTheme="minorHAnsi" w:cstheme="minorHAnsi"/>
                <w:sz w:val="20"/>
                <w:szCs w:val="20"/>
              </w:rPr>
              <w:t xml:space="preserve"> </w:t>
            </w:r>
          </w:p>
        </w:tc>
      </w:tr>
    </w:tbl>
    <w:p w:rsidR="00DF03E3" w:rsidRDefault="00DF03E3" w:rsidP="00DF03E3">
      <w:pPr>
        <w:ind w:right="113"/>
        <w:rPr>
          <w:rFonts w:asciiTheme="minorHAnsi" w:hAnsiTheme="minorHAnsi" w:cstheme="minorHAnsi"/>
          <w:b/>
          <w:sz w:val="20"/>
          <w:szCs w:val="20"/>
        </w:rPr>
      </w:pPr>
    </w:p>
    <w:p w:rsidR="00561EAD" w:rsidRPr="0063034E" w:rsidRDefault="00561EAD" w:rsidP="00DF03E3">
      <w:pPr>
        <w:ind w:right="113"/>
        <w:rPr>
          <w:rFonts w:asciiTheme="minorHAnsi" w:hAnsiTheme="minorHAnsi" w:cstheme="minorHAnsi"/>
          <w:b/>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63034E" w:rsidTr="00C112A9">
        <w:trPr>
          <w:trHeight w:val="292"/>
        </w:trPr>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A94C3B" w:rsidRDefault="00DF03E3" w:rsidP="00C112A9">
            <w:pPr>
              <w:ind w:right="113"/>
              <w:rPr>
                <w:rFonts w:asciiTheme="minorHAnsi" w:hAnsiTheme="minorHAnsi" w:cstheme="minorHAnsi"/>
                <w:b/>
                <w:sz w:val="20"/>
                <w:szCs w:val="20"/>
              </w:rPr>
            </w:pPr>
            <w:r w:rsidRPr="00A94C3B">
              <w:rPr>
                <w:rFonts w:asciiTheme="minorHAnsi" w:hAnsiTheme="minorHAnsi" w:cstheme="minorHAnsi"/>
                <w:b/>
                <w:sz w:val="20"/>
                <w:szCs w:val="20"/>
                <w:lang w:eastAsia="en-US"/>
              </w:rPr>
              <w:t>EGSTON SYSTEM ELECTRONIC, spol.  s r.o.</w:t>
            </w:r>
          </w:p>
        </w:tc>
      </w:tr>
      <w:tr w:rsidR="00DF03E3" w:rsidRPr="0063034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sídlo:</w:t>
            </w:r>
          </w:p>
        </w:tc>
        <w:tc>
          <w:tcPr>
            <w:tcW w:w="4252" w:type="dxa"/>
            <w:tcBorders>
              <w:top w:val="double" w:sz="4" w:space="0" w:color="auto"/>
              <w:left w:val="nil"/>
              <w:bottom w:val="single" w:sz="4" w:space="0" w:color="auto"/>
              <w:right w:val="double" w:sz="4" w:space="0" w:color="auto"/>
            </w:tcBorders>
          </w:tcPr>
          <w:p w:rsidR="00DF03E3" w:rsidRPr="0063034E" w:rsidRDefault="00DF03E3" w:rsidP="00C112A9">
            <w:pPr>
              <w:rPr>
                <w:rFonts w:asciiTheme="minorHAnsi" w:hAnsiTheme="minorHAnsi" w:cstheme="minorHAnsi"/>
                <w:color w:val="000000"/>
                <w:sz w:val="20"/>
                <w:szCs w:val="20"/>
              </w:rPr>
            </w:pPr>
            <w:r w:rsidRPr="0063034E">
              <w:rPr>
                <w:rFonts w:asciiTheme="minorHAnsi" w:hAnsiTheme="minorHAnsi" w:cstheme="minorHAnsi"/>
                <w:sz w:val="20"/>
                <w:szCs w:val="20"/>
                <w:lang w:eastAsia="en-US"/>
              </w:rPr>
              <w:t>U Černého mostu 734, 675 31 Jemnice</w:t>
            </w:r>
          </w:p>
        </w:tc>
      </w:tr>
      <w:tr w:rsidR="00DF03E3" w:rsidRPr="0063034E" w:rsidTr="00C112A9">
        <w:tc>
          <w:tcPr>
            <w:tcW w:w="4820" w:type="dxa"/>
            <w:tcBorders>
              <w:top w:val="sing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předmět činnosti (podrobněji):</w:t>
            </w:r>
          </w:p>
        </w:tc>
        <w:tc>
          <w:tcPr>
            <w:tcW w:w="4252" w:type="dxa"/>
            <w:tcBorders>
              <w:top w:val="single" w:sz="4" w:space="0" w:color="auto"/>
              <w:left w:val="nil"/>
              <w:bottom w:val="sing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bCs/>
                <w:iCs/>
                <w:sz w:val="20"/>
                <w:szCs w:val="20"/>
                <w:lang w:eastAsia="en-US"/>
              </w:rPr>
              <w:t>Výroba elektro součástek a kabelů</w:t>
            </w:r>
          </w:p>
        </w:tc>
      </w:tr>
      <w:tr w:rsidR="00DF03E3" w:rsidRPr="0063034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počet zaměstnanců v okrese Znojmo:</w:t>
            </w:r>
          </w:p>
        </w:tc>
        <w:tc>
          <w:tcPr>
            <w:tcW w:w="4252" w:type="dxa"/>
            <w:tcBorders>
              <w:top w:val="single" w:sz="4" w:space="0" w:color="auto"/>
              <w:left w:val="nil"/>
              <w:bottom w:val="nil"/>
              <w:right w:val="double" w:sz="4" w:space="0" w:color="auto"/>
            </w:tcBorders>
          </w:tcPr>
          <w:p w:rsidR="00DF03E3" w:rsidRPr="0063034E" w:rsidRDefault="00DF03E3" w:rsidP="00C112A9">
            <w:pPr>
              <w:ind w:right="113"/>
              <w:rPr>
                <w:rFonts w:asciiTheme="minorHAnsi" w:hAnsiTheme="minorHAnsi" w:cstheme="minorHAnsi"/>
                <w:sz w:val="20"/>
                <w:szCs w:val="20"/>
              </w:rPr>
            </w:pP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2013</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2014</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385</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438</w:t>
            </w: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země zahraničního partnera:</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Rakousko</w:t>
            </w:r>
          </w:p>
        </w:tc>
      </w:tr>
      <w:tr w:rsidR="00DF03E3" w:rsidRPr="0063034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komentář: stručná charakteristika zaměstnavatele včetně vývoje za sledované období</w:t>
            </w:r>
          </w:p>
        </w:tc>
        <w:tc>
          <w:tcPr>
            <w:tcW w:w="4252" w:type="dxa"/>
            <w:tcBorders>
              <w:top w:val="single" w:sz="12" w:space="0" w:color="auto"/>
              <w:left w:val="nil"/>
              <w:bottom w:val="double" w:sz="4" w:space="0" w:color="auto"/>
              <w:right w:val="double" w:sz="4" w:space="0" w:color="auto"/>
            </w:tcBorders>
          </w:tcPr>
          <w:p w:rsidR="00DF03E3" w:rsidRPr="0063034E" w:rsidRDefault="00DF03E3" w:rsidP="00561EAD">
            <w:pPr>
              <w:ind w:right="113"/>
              <w:jc w:val="both"/>
              <w:rPr>
                <w:rFonts w:asciiTheme="minorHAnsi" w:hAnsiTheme="minorHAnsi" w:cstheme="minorHAnsi"/>
                <w:sz w:val="20"/>
                <w:szCs w:val="20"/>
              </w:rPr>
            </w:pPr>
            <w:r w:rsidRPr="0063034E">
              <w:rPr>
                <w:rFonts w:asciiTheme="minorHAnsi" w:hAnsiTheme="minorHAnsi" w:cstheme="minorHAnsi"/>
                <w:sz w:val="20"/>
                <w:szCs w:val="20"/>
              </w:rPr>
              <w:t>Výr</w:t>
            </w:r>
            <w:r>
              <w:rPr>
                <w:rFonts w:asciiTheme="minorHAnsi" w:hAnsiTheme="minorHAnsi" w:cstheme="minorHAnsi"/>
                <w:sz w:val="20"/>
                <w:szCs w:val="20"/>
              </w:rPr>
              <w:t>oba elektro součástek a kabelů. V r</w:t>
            </w:r>
            <w:r w:rsidRPr="0063034E">
              <w:rPr>
                <w:rFonts w:asciiTheme="minorHAnsi" w:hAnsiTheme="minorHAnsi" w:cstheme="minorHAnsi"/>
                <w:sz w:val="20"/>
                <w:szCs w:val="20"/>
              </w:rPr>
              <w:t xml:space="preserve">oce 2014 </w:t>
            </w:r>
            <w:r w:rsidR="00561EAD">
              <w:rPr>
                <w:rFonts w:asciiTheme="minorHAnsi" w:hAnsiTheme="minorHAnsi" w:cstheme="minorHAnsi"/>
                <w:sz w:val="20"/>
                <w:szCs w:val="20"/>
              </w:rPr>
              <w:t xml:space="preserve"> bylo </w:t>
            </w:r>
            <w:r w:rsidRPr="0063034E">
              <w:rPr>
                <w:rFonts w:asciiTheme="minorHAnsi" w:hAnsiTheme="minorHAnsi" w:cstheme="minorHAnsi"/>
                <w:sz w:val="20"/>
                <w:szCs w:val="20"/>
              </w:rPr>
              <w:t>uskutečněno pro zaměstnavatele 37 výběrových řízení a pozvaných 600 uchazečů.</w:t>
            </w:r>
            <w:r>
              <w:rPr>
                <w:rFonts w:asciiTheme="minorHAnsi" w:hAnsiTheme="minorHAnsi" w:cstheme="minorHAnsi"/>
                <w:sz w:val="20"/>
                <w:szCs w:val="20"/>
              </w:rPr>
              <w:t xml:space="preserve"> Celkem nárůst o 53 zaměstnanců.</w:t>
            </w:r>
          </w:p>
        </w:tc>
      </w:tr>
    </w:tbl>
    <w:p w:rsidR="00DF03E3" w:rsidRPr="0063034E" w:rsidRDefault="00DF03E3" w:rsidP="00DF03E3">
      <w:pPr>
        <w:rPr>
          <w:rFonts w:asciiTheme="minorHAnsi" w:hAnsiTheme="minorHAnsi" w:cs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63034E" w:rsidTr="00C112A9">
        <w:trPr>
          <w:trHeight w:val="292"/>
        </w:trPr>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A94C3B" w:rsidRDefault="00DF03E3" w:rsidP="00C112A9">
            <w:pPr>
              <w:ind w:right="113"/>
              <w:rPr>
                <w:rFonts w:asciiTheme="minorHAnsi" w:hAnsiTheme="minorHAnsi" w:cstheme="minorHAnsi"/>
                <w:b/>
                <w:sz w:val="20"/>
                <w:szCs w:val="20"/>
              </w:rPr>
            </w:pPr>
            <w:r w:rsidRPr="00A94C3B">
              <w:rPr>
                <w:rFonts w:asciiTheme="minorHAnsi" w:hAnsiTheme="minorHAnsi" w:cstheme="minorHAnsi"/>
                <w:b/>
                <w:bCs/>
                <w:sz w:val="20"/>
                <w:szCs w:val="20"/>
                <w:lang w:eastAsia="en-US"/>
              </w:rPr>
              <w:t>JEDNOTA, spotřební družstvo, Moravský Krumlov</w:t>
            </w:r>
          </w:p>
        </w:tc>
      </w:tr>
      <w:tr w:rsidR="00DF03E3" w:rsidRPr="0063034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sídlo:</w:t>
            </w:r>
          </w:p>
        </w:tc>
        <w:tc>
          <w:tcPr>
            <w:tcW w:w="4252" w:type="dxa"/>
            <w:tcBorders>
              <w:top w:val="double" w:sz="4" w:space="0" w:color="auto"/>
              <w:left w:val="nil"/>
              <w:bottom w:val="single" w:sz="4" w:space="0" w:color="auto"/>
              <w:right w:val="double" w:sz="4" w:space="0" w:color="auto"/>
            </w:tcBorders>
          </w:tcPr>
          <w:p w:rsidR="00DF03E3" w:rsidRPr="0063034E" w:rsidRDefault="00DF03E3" w:rsidP="00C112A9">
            <w:pPr>
              <w:rPr>
                <w:rFonts w:asciiTheme="minorHAnsi" w:hAnsiTheme="minorHAnsi" w:cstheme="minorHAnsi"/>
                <w:color w:val="000000"/>
                <w:sz w:val="20"/>
                <w:szCs w:val="20"/>
              </w:rPr>
            </w:pPr>
            <w:r w:rsidRPr="0063034E">
              <w:rPr>
                <w:rFonts w:asciiTheme="minorHAnsi" w:hAnsiTheme="minorHAnsi" w:cstheme="minorHAnsi"/>
                <w:color w:val="000000"/>
                <w:sz w:val="20"/>
                <w:szCs w:val="20"/>
              </w:rPr>
              <w:t>nám. T. G. Masaryka 28, 67201 Moravský Krumlov</w:t>
            </w:r>
          </w:p>
        </w:tc>
      </w:tr>
      <w:tr w:rsidR="00DF03E3" w:rsidRPr="0063034E" w:rsidTr="00C112A9">
        <w:tc>
          <w:tcPr>
            <w:tcW w:w="4820" w:type="dxa"/>
            <w:tcBorders>
              <w:top w:val="sing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předmět činnosti (podrobněji):</w:t>
            </w:r>
          </w:p>
        </w:tc>
        <w:tc>
          <w:tcPr>
            <w:tcW w:w="4252" w:type="dxa"/>
            <w:tcBorders>
              <w:top w:val="single" w:sz="4" w:space="0" w:color="auto"/>
              <w:left w:val="nil"/>
              <w:bottom w:val="sing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lang w:eastAsia="en-US"/>
              </w:rPr>
              <w:t>Výroba, obchod, služby</w:t>
            </w:r>
          </w:p>
        </w:tc>
      </w:tr>
      <w:tr w:rsidR="00DF03E3" w:rsidRPr="0063034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počet zaměstnanců v okrese Znojmo:</w:t>
            </w:r>
          </w:p>
        </w:tc>
        <w:tc>
          <w:tcPr>
            <w:tcW w:w="4252" w:type="dxa"/>
            <w:tcBorders>
              <w:top w:val="single" w:sz="4" w:space="0" w:color="auto"/>
              <w:left w:val="nil"/>
              <w:bottom w:val="nil"/>
              <w:right w:val="double" w:sz="4" w:space="0" w:color="auto"/>
            </w:tcBorders>
          </w:tcPr>
          <w:p w:rsidR="00DF03E3" w:rsidRPr="0063034E" w:rsidRDefault="00DF03E3" w:rsidP="00C112A9">
            <w:pPr>
              <w:ind w:right="113"/>
              <w:rPr>
                <w:rFonts w:asciiTheme="minorHAnsi" w:hAnsiTheme="minorHAnsi" w:cstheme="minorHAnsi"/>
                <w:sz w:val="20"/>
                <w:szCs w:val="20"/>
              </w:rPr>
            </w:pP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2013</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2014</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390</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395</w:t>
            </w: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země zahraničního partnera:</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w:t>
            </w:r>
          </w:p>
        </w:tc>
      </w:tr>
      <w:tr w:rsidR="00DF03E3" w:rsidRPr="0063034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komentář: stručná charakteristika zaměstnavatele včetně vývoje za sledované období</w:t>
            </w:r>
          </w:p>
        </w:tc>
        <w:tc>
          <w:tcPr>
            <w:tcW w:w="4252" w:type="dxa"/>
            <w:tcBorders>
              <w:top w:val="single" w:sz="12" w:space="0" w:color="auto"/>
              <w:left w:val="nil"/>
              <w:bottom w:val="double" w:sz="4" w:space="0" w:color="auto"/>
              <w:right w:val="double" w:sz="4" w:space="0" w:color="auto"/>
            </w:tcBorders>
          </w:tcPr>
          <w:p w:rsidR="00DF03E3" w:rsidRPr="0063034E" w:rsidRDefault="00DF03E3" w:rsidP="00C112A9">
            <w:pPr>
              <w:ind w:right="113"/>
              <w:jc w:val="both"/>
              <w:rPr>
                <w:rFonts w:asciiTheme="minorHAnsi" w:hAnsiTheme="minorHAnsi" w:cstheme="minorHAnsi"/>
                <w:sz w:val="20"/>
                <w:szCs w:val="20"/>
              </w:rPr>
            </w:pPr>
            <w:r w:rsidRPr="0063034E">
              <w:rPr>
                <w:rFonts w:asciiTheme="minorHAnsi" w:hAnsiTheme="minorHAnsi" w:cstheme="minorHAnsi"/>
                <w:sz w:val="20"/>
                <w:szCs w:val="20"/>
                <w:lang w:eastAsia="en-US"/>
              </w:rPr>
              <w:t>Družstvo provozující síť maloobchodních prodejen</w:t>
            </w:r>
            <w:r>
              <w:rPr>
                <w:rFonts w:asciiTheme="minorHAnsi" w:hAnsiTheme="minorHAnsi" w:cstheme="minorHAnsi"/>
                <w:sz w:val="20"/>
                <w:szCs w:val="20"/>
                <w:lang w:eastAsia="en-US"/>
              </w:rPr>
              <w:t xml:space="preserve"> potravin a smíšeného zboží</w:t>
            </w:r>
            <w:r w:rsidRPr="0063034E">
              <w:rPr>
                <w:rFonts w:asciiTheme="minorHAnsi" w:hAnsiTheme="minorHAnsi" w:cstheme="minorHAnsi"/>
                <w:sz w:val="20"/>
                <w:szCs w:val="20"/>
                <w:lang w:eastAsia="en-US"/>
              </w:rPr>
              <w:t xml:space="preserve"> především na venkově. V minulosti utrpělo expanzí obchodních řetězců. Stavy </w:t>
            </w:r>
            <w:r>
              <w:rPr>
                <w:rFonts w:asciiTheme="minorHAnsi" w:hAnsiTheme="minorHAnsi" w:cstheme="minorHAnsi"/>
                <w:sz w:val="20"/>
                <w:szCs w:val="20"/>
                <w:lang w:eastAsia="en-US"/>
              </w:rPr>
              <w:t xml:space="preserve">v roce 2014 </w:t>
            </w:r>
            <w:r w:rsidRPr="0063034E">
              <w:rPr>
                <w:rFonts w:asciiTheme="minorHAnsi" w:hAnsiTheme="minorHAnsi" w:cstheme="minorHAnsi"/>
                <w:sz w:val="20"/>
                <w:szCs w:val="20"/>
                <w:lang w:eastAsia="en-US"/>
              </w:rPr>
              <w:t>téměř beze změn.</w:t>
            </w:r>
          </w:p>
        </w:tc>
      </w:tr>
    </w:tbl>
    <w:p w:rsidR="00DF03E3" w:rsidRPr="0063034E" w:rsidRDefault="00DF03E3" w:rsidP="00DF03E3">
      <w:pPr>
        <w:rPr>
          <w:rFonts w:asciiTheme="minorHAnsi" w:hAnsiTheme="minorHAnsi" w:cs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63034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Úplný a přesný název zaměstnavatele:</w:t>
            </w:r>
          </w:p>
        </w:tc>
        <w:tc>
          <w:tcPr>
            <w:tcW w:w="4252" w:type="dxa"/>
            <w:tcBorders>
              <w:top w:val="single" w:sz="12" w:space="0" w:color="auto"/>
              <w:left w:val="nil"/>
              <w:bottom w:val="double" w:sz="4" w:space="0" w:color="auto"/>
              <w:right w:val="double" w:sz="4" w:space="0" w:color="auto"/>
            </w:tcBorders>
          </w:tcPr>
          <w:p w:rsidR="00DF03E3" w:rsidRPr="00A94C3B" w:rsidRDefault="00DF03E3" w:rsidP="00C112A9">
            <w:pPr>
              <w:ind w:right="113"/>
              <w:jc w:val="both"/>
              <w:rPr>
                <w:rFonts w:asciiTheme="minorHAnsi" w:hAnsiTheme="minorHAnsi" w:cstheme="minorHAnsi"/>
                <w:b/>
                <w:sz w:val="20"/>
                <w:szCs w:val="20"/>
                <w:lang w:eastAsia="en-US"/>
              </w:rPr>
            </w:pPr>
            <w:r w:rsidRPr="00A94C3B">
              <w:rPr>
                <w:rFonts w:asciiTheme="minorHAnsi" w:hAnsiTheme="minorHAnsi" w:cstheme="minorHAnsi"/>
                <w:b/>
                <w:sz w:val="20"/>
                <w:szCs w:val="20"/>
                <w:lang w:eastAsia="en-US"/>
              </w:rPr>
              <w:t>TAMURA-EUROPE-LIMITED, organizační složka</w:t>
            </w:r>
          </w:p>
        </w:tc>
      </w:tr>
      <w:tr w:rsidR="00DF03E3" w:rsidRPr="0063034E" w:rsidTr="00C112A9">
        <w:tc>
          <w:tcPr>
            <w:tcW w:w="4820" w:type="dxa"/>
            <w:tcBorders>
              <w:top w:val="double" w:sz="4" w:space="0" w:color="auto"/>
              <w:left w:val="double" w:sz="4" w:space="0" w:color="auto"/>
              <w:bottom w:val="single" w:sz="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sídlo:</w:t>
            </w:r>
          </w:p>
        </w:tc>
        <w:tc>
          <w:tcPr>
            <w:tcW w:w="4252" w:type="dxa"/>
            <w:tcBorders>
              <w:top w:val="double" w:sz="4" w:space="0" w:color="auto"/>
              <w:left w:val="nil"/>
              <w:bottom w:val="single" w:sz="2" w:space="0" w:color="auto"/>
              <w:right w:val="double" w:sz="4" w:space="0" w:color="auto"/>
            </w:tcBorders>
          </w:tcPr>
          <w:p w:rsidR="00DF03E3" w:rsidRPr="0063034E" w:rsidRDefault="00DF03E3" w:rsidP="00C112A9">
            <w:pPr>
              <w:ind w:right="113"/>
              <w:jc w:val="both"/>
              <w:rPr>
                <w:rFonts w:asciiTheme="minorHAnsi" w:hAnsiTheme="minorHAnsi" w:cstheme="minorHAnsi"/>
                <w:sz w:val="20"/>
                <w:szCs w:val="20"/>
                <w:lang w:eastAsia="en-US"/>
              </w:rPr>
            </w:pPr>
            <w:r w:rsidRPr="0063034E">
              <w:rPr>
                <w:rFonts w:asciiTheme="minorHAnsi" w:hAnsiTheme="minorHAnsi" w:cstheme="minorHAnsi"/>
                <w:sz w:val="20"/>
                <w:szCs w:val="20"/>
                <w:lang w:eastAsia="en-US"/>
              </w:rPr>
              <w:t>Průmyslová 20, 669 02 Znojmo</w:t>
            </w:r>
          </w:p>
        </w:tc>
      </w:tr>
      <w:tr w:rsidR="00DF03E3" w:rsidRPr="0063034E" w:rsidTr="00C112A9">
        <w:tc>
          <w:tcPr>
            <w:tcW w:w="4820" w:type="dxa"/>
            <w:tcBorders>
              <w:top w:val="single" w:sz="2" w:space="0" w:color="auto"/>
              <w:left w:val="double" w:sz="4" w:space="0" w:color="auto"/>
              <w:bottom w:val="single" w:sz="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předmět činnosti (podrobněji):</w:t>
            </w:r>
          </w:p>
        </w:tc>
        <w:tc>
          <w:tcPr>
            <w:tcW w:w="4252" w:type="dxa"/>
            <w:tcBorders>
              <w:top w:val="single" w:sz="2" w:space="0" w:color="auto"/>
              <w:left w:val="nil"/>
              <w:bottom w:val="single" w:sz="2" w:space="0" w:color="auto"/>
              <w:right w:val="double" w:sz="4" w:space="0" w:color="auto"/>
            </w:tcBorders>
          </w:tcPr>
          <w:p w:rsidR="00DF03E3" w:rsidRPr="0063034E" w:rsidRDefault="00DF03E3" w:rsidP="00C112A9">
            <w:pPr>
              <w:ind w:right="113"/>
              <w:jc w:val="both"/>
              <w:rPr>
                <w:rFonts w:asciiTheme="minorHAnsi" w:hAnsiTheme="minorHAnsi" w:cstheme="minorHAnsi"/>
                <w:sz w:val="20"/>
                <w:szCs w:val="20"/>
                <w:lang w:eastAsia="en-US"/>
              </w:rPr>
            </w:pPr>
            <w:r w:rsidRPr="0063034E">
              <w:rPr>
                <w:rFonts w:asciiTheme="minorHAnsi" w:hAnsiTheme="minorHAnsi" w:cstheme="minorHAnsi"/>
                <w:sz w:val="20"/>
                <w:szCs w:val="20"/>
                <w:lang w:eastAsia="en-US"/>
              </w:rPr>
              <w:t>Výroba transformátorů</w:t>
            </w:r>
          </w:p>
        </w:tc>
      </w:tr>
      <w:tr w:rsidR="00DF03E3" w:rsidRPr="0063034E" w:rsidTr="00C112A9">
        <w:trPr>
          <w:trHeight w:val="872"/>
        </w:trPr>
        <w:tc>
          <w:tcPr>
            <w:tcW w:w="4820" w:type="dxa"/>
            <w:tcBorders>
              <w:top w:val="single" w:sz="2" w:space="0" w:color="auto"/>
              <w:left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počet zaměstnanců v okrese Znojmo:</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2013</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2014</w:t>
            </w:r>
          </w:p>
        </w:tc>
        <w:tc>
          <w:tcPr>
            <w:tcW w:w="4252" w:type="dxa"/>
            <w:tcBorders>
              <w:top w:val="single" w:sz="2" w:space="0" w:color="auto"/>
              <w:left w:val="nil"/>
              <w:right w:val="double" w:sz="4" w:space="0" w:color="auto"/>
            </w:tcBorders>
          </w:tcPr>
          <w:p w:rsidR="00DF03E3" w:rsidRPr="0063034E" w:rsidRDefault="00DF03E3" w:rsidP="00C112A9">
            <w:pPr>
              <w:ind w:right="113"/>
              <w:jc w:val="both"/>
              <w:rPr>
                <w:rFonts w:asciiTheme="minorHAnsi" w:hAnsiTheme="minorHAnsi" w:cstheme="minorHAnsi"/>
                <w:sz w:val="20"/>
                <w:szCs w:val="20"/>
                <w:lang w:eastAsia="en-US"/>
              </w:rPr>
            </w:pPr>
          </w:p>
          <w:p w:rsidR="00DF03E3" w:rsidRPr="0063034E" w:rsidRDefault="00DF03E3" w:rsidP="00C112A9">
            <w:pPr>
              <w:ind w:right="113"/>
              <w:jc w:val="both"/>
              <w:rPr>
                <w:rFonts w:asciiTheme="minorHAnsi" w:hAnsiTheme="minorHAnsi" w:cstheme="minorHAnsi"/>
                <w:sz w:val="20"/>
                <w:szCs w:val="20"/>
                <w:lang w:eastAsia="en-US"/>
              </w:rPr>
            </w:pPr>
            <w:r w:rsidRPr="0063034E">
              <w:rPr>
                <w:rFonts w:asciiTheme="minorHAnsi" w:hAnsiTheme="minorHAnsi" w:cstheme="minorHAnsi"/>
                <w:sz w:val="20"/>
                <w:szCs w:val="20"/>
                <w:lang w:eastAsia="en-US"/>
              </w:rPr>
              <w:t>352</w:t>
            </w:r>
          </w:p>
          <w:p w:rsidR="00DF03E3" w:rsidRPr="0063034E" w:rsidRDefault="00DF03E3" w:rsidP="00C112A9">
            <w:pPr>
              <w:ind w:right="113"/>
              <w:jc w:val="both"/>
              <w:rPr>
                <w:rFonts w:asciiTheme="minorHAnsi" w:hAnsiTheme="minorHAnsi" w:cstheme="minorHAnsi"/>
                <w:sz w:val="20"/>
                <w:szCs w:val="20"/>
                <w:lang w:eastAsia="en-US"/>
              </w:rPr>
            </w:pPr>
            <w:r w:rsidRPr="0063034E">
              <w:rPr>
                <w:rFonts w:asciiTheme="minorHAnsi" w:hAnsiTheme="minorHAnsi" w:cstheme="minorHAnsi"/>
                <w:sz w:val="20"/>
                <w:szCs w:val="20"/>
                <w:lang w:eastAsia="en-US"/>
              </w:rPr>
              <w:t>350</w:t>
            </w:r>
          </w:p>
        </w:tc>
      </w:tr>
      <w:tr w:rsidR="00DF03E3" w:rsidRPr="0063034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země zahraničního partnera:</w:t>
            </w:r>
          </w:p>
        </w:tc>
        <w:tc>
          <w:tcPr>
            <w:tcW w:w="4252" w:type="dxa"/>
            <w:tcBorders>
              <w:top w:val="single" w:sz="12" w:space="0" w:color="auto"/>
              <w:left w:val="nil"/>
              <w:bottom w:val="double" w:sz="4" w:space="0" w:color="auto"/>
              <w:right w:val="double" w:sz="4" w:space="0" w:color="auto"/>
            </w:tcBorders>
          </w:tcPr>
          <w:p w:rsidR="00DF03E3" w:rsidRPr="0063034E" w:rsidRDefault="00DF03E3" w:rsidP="00C112A9">
            <w:pPr>
              <w:ind w:right="113"/>
              <w:jc w:val="both"/>
              <w:rPr>
                <w:rFonts w:asciiTheme="minorHAnsi" w:hAnsiTheme="minorHAnsi" w:cstheme="minorHAnsi"/>
                <w:sz w:val="20"/>
                <w:szCs w:val="20"/>
                <w:lang w:eastAsia="en-US"/>
              </w:rPr>
            </w:pPr>
            <w:r w:rsidRPr="0063034E">
              <w:rPr>
                <w:rFonts w:asciiTheme="minorHAnsi" w:hAnsiTheme="minorHAnsi" w:cstheme="minorHAnsi"/>
                <w:sz w:val="20"/>
                <w:szCs w:val="20"/>
                <w:lang w:eastAsia="en-US"/>
              </w:rPr>
              <w:t>Japonsko</w:t>
            </w:r>
          </w:p>
        </w:tc>
      </w:tr>
      <w:tr w:rsidR="00DF03E3" w:rsidRPr="0063034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komentář: stručná charakteristika zaměstnavatele včetně vývoje za sledované období</w:t>
            </w:r>
          </w:p>
        </w:tc>
        <w:tc>
          <w:tcPr>
            <w:tcW w:w="4252" w:type="dxa"/>
            <w:tcBorders>
              <w:top w:val="single" w:sz="12" w:space="0" w:color="auto"/>
              <w:left w:val="nil"/>
              <w:bottom w:val="double" w:sz="4" w:space="0" w:color="auto"/>
              <w:right w:val="double" w:sz="4" w:space="0" w:color="auto"/>
            </w:tcBorders>
          </w:tcPr>
          <w:p w:rsidR="00DF03E3" w:rsidRPr="0063034E" w:rsidRDefault="00DF03E3" w:rsidP="00C112A9">
            <w:pPr>
              <w:ind w:right="113"/>
              <w:jc w:val="both"/>
              <w:rPr>
                <w:rFonts w:asciiTheme="minorHAnsi" w:hAnsiTheme="minorHAnsi" w:cstheme="minorHAnsi"/>
                <w:sz w:val="20"/>
                <w:szCs w:val="20"/>
                <w:lang w:eastAsia="en-US"/>
              </w:rPr>
            </w:pPr>
            <w:r>
              <w:rPr>
                <w:rFonts w:asciiTheme="minorHAnsi" w:hAnsiTheme="minorHAnsi" w:cstheme="minorHAnsi"/>
                <w:sz w:val="20"/>
                <w:szCs w:val="20"/>
                <w:lang w:eastAsia="en-US"/>
              </w:rPr>
              <w:t xml:space="preserve">Zaměstnavatel zabývající se výrobou transformátorů, elektroniky, tepelných čerpadel a další. </w:t>
            </w:r>
            <w:r w:rsidRPr="0063034E">
              <w:rPr>
                <w:rFonts w:asciiTheme="minorHAnsi" w:hAnsiTheme="minorHAnsi" w:cstheme="minorHAnsi"/>
                <w:sz w:val="20"/>
                <w:szCs w:val="20"/>
                <w:lang w:eastAsia="en-US"/>
              </w:rPr>
              <w:t>Tamura patří mezi největší firmy soukromých zaměstnavatelů na Znojemsku. V roce 2013 bylo přijato 133 zaměstnanců. Téměř všichni byli z evidence ÚP. V roce 2014 stav beze změn.</w:t>
            </w:r>
          </w:p>
        </w:tc>
      </w:tr>
    </w:tbl>
    <w:p w:rsidR="00DF03E3" w:rsidRPr="0063034E" w:rsidRDefault="00DF03E3" w:rsidP="00DF03E3">
      <w:pPr>
        <w:rPr>
          <w:rFonts w:asciiTheme="minorHAnsi" w:hAnsiTheme="minorHAnsi" w:cs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63034E" w:rsidTr="00C112A9">
        <w:trPr>
          <w:trHeight w:val="292"/>
        </w:trPr>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A94C3B" w:rsidRDefault="00DF03E3" w:rsidP="00C112A9">
            <w:pPr>
              <w:ind w:right="113"/>
              <w:rPr>
                <w:rFonts w:asciiTheme="minorHAnsi" w:hAnsiTheme="minorHAnsi" w:cstheme="minorHAnsi"/>
                <w:b/>
                <w:sz w:val="20"/>
                <w:szCs w:val="20"/>
              </w:rPr>
            </w:pPr>
            <w:r w:rsidRPr="00A94C3B">
              <w:rPr>
                <w:rFonts w:asciiTheme="minorHAnsi" w:hAnsiTheme="minorHAnsi" w:cstheme="minorHAnsi"/>
                <w:b/>
                <w:sz w:val="20"/>
                <w:szCs w:val="20"/>
                <w:lang w:eastAsia="en-US"/>
              </w:rPr>
              <w:t>LAUFEN CZ s.r.o.</w:t>
            </w:r>
          </w:p>
        </w:tc>
      </w:tr>
      <w:tr w:rsidR="00DF03E3" w:rsidRPr="0063034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sídlo:</w:t>
            </w:r>
          </w:p>
        </w:tc>
        <w:tc>
          <w:tcPr>
            <w:tcW w:w="4252" w:type="dxa"/>
            <w:tcBorders>
              <w:top w:val="double" w:sz="4" w:space="0" w:color="auto"/>
              <w:left w:val="nil"/>
              <w:bottom w:val="single" w:sz="4" w:space="0" w:color="auto"/>
              <w:right w:val="double" w:sz="4" w:space="0" w:color="auto"/>
            </w:tcBorders>
          </w:tcPr>
          <w:p w:rsidR="00DF03E3" w:rsidRPr="0063034E" w:rsidRDefault="00DF03E3" w:rsidP="00C112A9">
            <w:pPr>
              <w:rPr>
                <w:rFonts w:asciiTheme="minorHAnsi" w:hAnsiTheme="minorHAnsi" w:cstheme="minorHAnsi"/>
                <w:color w:val="000000"/>
                <w:sz w:val="20"/>
                <w:szCs w:val="20"/>
              </w:rPr>
            </w:pPr>
            <w:r w:rsidRPr="0063034E">
              <w:rPr>
                <w:rFonts w:asciiTheme="minorHAnsi" w:hAnsiTheme="minorHAnsi" w:cstheme="minorHAnsi"/>
                <w:sz w:val="20"/>
                <w:szCs w:val="20"/>
                <w:lang w:eastAsia="en-US"/>
              </w:rPr>
              <w:t>V tůních č.p. 1637/3, 120 00  Praha</w:t>
            </w:r>
          </w:p>
        </w:tc>
      </w:tr>
      <w:tr w:rsidR="00DF03E3" w:rsidRPr="0063034E" w:rsidTr="00C112A9">
        <w:tc>
          <w:tcPr>
            <w:tcW w:w="4820" w:type="dxa"/>
            <w:tcBorders>
              <w:top w:val="sing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předmět činnosti (podrobněji):</w:t>
            </w:r>
          </w:p>
        </w:tc>
        <w:tc>
          <w:tcPr>
            <w:tcW w:w="4252" w:type="dxa"/>
            <w:tcBorders>
              <w:top w:val="single" w:sz="4" w:space="0" w:color="auto"/>
              <w:left w:val="nil"/>
              <w:bottom w:val="sing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bCs/>
                <w:iCs/>
                <w:sz w:val="20"/>
                <w:szCs w:val="20"/>
                <w:lang w:eastAsia="en-US"/>
              </w:rPr>
              <w:t>Výroba sanitární keramiky</w:t>
            </w:r>
          </w:p>
        </w:tc>
      </w:tr>
      <w:tr w:rsidR="00DF03E3" w:rsidRPr="0063034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počet zaměstnanců v okrese Znojmo:</w:t>
            </w:r>
          </w:p>
        </w:tc>
        <w:tc>
          <w:tcPr>
            <w:tcW w:w="4252" w:type="dxa"/>
            <w:tcBorders>
              <w:top w:val="single" w:sz="4" w:space="0" w:color="auto"/>
              <w:left w:val="nil"/>
              <w:bottom w:val="nil"/>
              <w:right w:val="double" w:sz="4" w:space="0" w:color="auto"/>
            </w:tcBorders>
          </w:tcPr>
          <w:p w:rsidR="00DF03E3" w:rsidRPr="0063034E" w:rsidRDefault="00DF03E3" w:rsidP="00C112A9">
            <w:pPr>
              <w:ind w:right="113"/>
              <w:rPr>
                <w:rFonts w:asciiTheme="minorHAnsi" w:hAnsiTheme="minorHAnsi" w:cstheme="minorHAnsi"/>
                <w:sz w:val="20"/>
                <w:szCs w:val="20"/>
              </w:rPr>
            </w:pP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2013</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2014</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288</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326</w:t>
            </w: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země zahraničního partnera:</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Španělsko</w:t>
            </w:r>
          </w:p>
        </w:tc>
      </w:tr>
      <w:tr w:rsidR="00DF03E3" w:rsidRPr="0063034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komentář: stručná charakteristika zaměstnavatele včetně vývoje za sledované období</w:t>
            </w:r>
          </w:p>
        </w:tc>
        <w:tc>
          <w:tcPr>
            <w:tcW w:w="4252" w:type="dxa"/>
            <w:tcBorders>
              <w:top w:val="single" w:sz="12" w:space="0" w:color="auto"/>
              <w:left w:val="nil"/>
              <w:bottom w:val="double" w:sz="4" w:space="0" w:color="auto"/>
              <w:right w:val="double" w:sz="4" w:space="0" w:color="auto"/>
            </w:tcBorders>
          </w:tcPr>
          <w:p w:rsidR="00DF03E3" w:rsidRPr="0063034E" w:rsidRDefault="00DF03E3" w:rsidP="00C112A9">
            <w:pPr>
              <w:ind w:right="113"/>
              <w:jc w:val="both"/>
              <w:rPr>
                <w:rFonts w:asciiTheme="minorHAnsi" w:hAnsiTheme="minorHAnsi" w:cstheme="minorHAnsi"/>
                <w:sz w:val="20"/>
                <w:szCs w:val="20"/>
              </w:rPr>
            </w:pPr>
            <w:r w:rsidRPr="0063034E">
              <w:rPr>
                <w:rFonts w:asciiTheme="minorHAnsi" w:hAnsiTheme="minorHAnsi" w:cstheme="minorHAnsi"/>
                <w:sz w:val="20"/>
                <w:szCs w:val="20"/>
              </w:rPr>
              <w:t>Společnost LAUFEN CZ s.r.o. je předním výrobcem a prodejcem sanitární keramiky v České republice. Stavy zaměstnanců na okrese Znojmo se v roce 2014 zvýšily o 38 osob.</w:t>
            </w:r>
          </w:p>
        </w:tc>
      </w:tr>
    </w:tbl>
    <w:p w:rsidR="00DF03E3" w:rsidRDefault="00DF03E3" w:rsidP="00DF03E3">
      <w:pPr>
        <w:rPr>
          <w:rFonts w:asciiTheme="minorHAnsi" w:hAnsiTheme="minorHAnsi" w:cstheme="minorHAnsi"/>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63034E" w:rsidTr="00C112A9">
        <w:trPr>
          <w:trHeight w:val="263"/>
        </w:trPr>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A94C3B" w:rsidRDefault="00DF03E3" w:rsidP="00C112A9">
            <w:pPr>
              <w:ind w:right="113"/>
              <w:rPr>
                <w:rFonts w:asciiTheme="minorHAnsi" w:hAnsiTheme="minorHAnsi" w:cstheme="minorHAnsi"/>
                <w:b/>
                <w:sz w:val="20"/>
                <w:szCs w:val="20"/>
              </w:rPr>
            </w:pPr>
            <w:r w:rsidRPr="00A94C3B">
              <w:rPr>
                <w:rFonts w:asciiTheme="minorHAnsi" w:hAnsiTheme="minorHAnsi" w:cstheme="minorHAnsi"/>
                <w:b/>
                <w:sz w:val="20"/>
                <w:szCs w:val="20"/>
              </w:rPr>
              <w:t>VAPAS, a.s.</w:t>
            </w:r>
          </w:p>
        </w:tc>
      </w:tr>
      <w:tr w:rsidR="00DF03E3" w:rsidRPr="0063034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sídlo:</w:t>
            </w:r>
          </w:p>
        </w:tc>
        <w:tc>
          <w:tcPr>
            <w:tcW w:w="4252" w:type="dxa"/>
            <w:tcBorders>
              <w:top w:val="double" w:sz="4" w:space="0" w:color="auto"/>
              <w:left w:val="nil"/>
              <w:bottom w:val="sing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Nádražní 484, 671 67 Hrušovany nad Jevišovkou</w:t>
            </w:r>
          </w:p>
        </w:tc>
      </w:tr>
      <w:tr w:rsidR="00DF03E3" w:rsidRPr="0063034E" w:rsidTr="00C112A9">
        <w:trPr>
          <w:trHeight w:val="392"/>
        </w:trPr>
        <w:tc>
          <w:tcPr>
            <w:tcW w:w="4820" w:type="dxa"/>
            <w:tcBorders>
              <w:top w:val="sing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předmět činnosti (podrobněji):</w:t>
            </w:r>
          </w:p>
        </w:tc>
        <w:tc>
          <w:tcPr>
            <w:tcW w:w="4252" w:type="dxa"/>
            <w:tcBorders>
              <w:top w:val="single" w:sz="4" w:space="0" w:color="auto"/>
              <w:left w:val="nil"/>
              <w:bottom w:val="sing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Silniční a nákladní doprava</w:t>
            </w:r>
          </w:p>
        </w:tc>
      </w:tr>
      <w:tr w:rsidR="00DF03E3" w:rsidRPr="0063034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počet zaměstnanců v okrese Znojmo:</w:t>
            </w:r>
          </w:p>
        </w:tc>
        <w:tc>
          <w:tcPr>
            <w:tcW w:w="4252" w:type="dxa"/>
            <w:tcBorders>
              <w:top w:val="single" w:sz="4" w:space="0" w:color="auto"/>
              <w:left w:val="nil"/>
              <w:bottom w:val="nil"/>
              <w:right w:val="double" w:sz="4" w:space="0" w:color="auto"/>
            </w:tcBorders>
          </w:tcPr>
          <w:p w:rsidR="00DF03E3" w:rsidRPr="0063034E" w:rsidRDefault="00DF03E3" w:rsidP="00C112A9">
            <w:pPr>
              <w:ind w:right="113"/>
              <w:rPr>
                <w:rFonts w:asciiTheme="minorHAnsi" w:hAnsiTheme="minorHAnsi" w:cstheme="minorHAnsi"/>
                <w:sz w:val="20"/>
                <w:szCs w:val="20"/>
              </w:rPr>
            </w:pP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2013</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2014</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299</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329</w:t>
            </w: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země zahraničního partnera:</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w:t>
            </w:r>
          </w:p>
        </w:tc>
      </w:tr>
      <w:tr w:rsidR="00DF03E3" w:rsidRPr="0063034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komentář: stručná charakteristika zaměstnavatele včetně vývoje za sledované období</w:t>
            </w:r>
          </w:p>
        </w:tc>
        <w:tc>
          <w:tcPr>
            <w:tcW w:w="4252" w:type="dxa"/>
            <w:tcBorders>
              <w:top w:val="single" w:sz="12" w:space="0" w:color="auto"/>
              <w:left w:val="nil"/>
              <w:bottom w:val="doub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 xml:space="preserve">Rozvíjející se firma v oblasti silniční a nákladní dopravy. </w:t>
            </w:r>
            <w:r>
              <w:rPr>
                <w:rFonts w:asciiTheme="minorHAnsi" w:hAnsiTheme="minorHAnsi" w:cstheme="minorHAnsi"/>
                <w:sz w:val="20"/>
                <w:szCs w:val="20"/>
              </w:rPr>
              <w:t xml:space="preserve">Přeprava zboží v České republice a po celé Evropě. Specializují se na přepravu krmiv. </w:t>
            </w:r>
            <w:r w:rsidRPr="0063034E">
              <w:rPr>
                <w:rFonts w:asciiTheme="minorHAnsi" w:hAnsiTheme="minorHAnsi" w:cstheme="minorHAnsi"/>
                <w:sz w:val="20"/>
                <w:szCs w:val="20"/>
              </w:rPr>
              <w:t>Vždy ke konci roku se zvedají st</w:t>
            </w:r>
            <w:r>
              <w:rPr>
                <w:rFonts w:asciiTheme="minorHAnsi" w:hAnsiTheme="minorHAnsi" w:cstheme="minorHAnsi"/>
                <w:sz w:val="20"/>
                <w:szCs w:val="20"/>
              </w:rPr>
              <w:t>avy zaměstnanců - firma nabírá</w:t>
            </w:r>
            <w:r w:rsidRPr="0063034E">
              <w:rPr>
                <w:rFonts w:asciiTheme="minorHAnsi" w:hAnsiTheme="minorHAnsi" w:cstheme="minorHAnsi"/>
                <w:sz w:val="20"/>
                <w:szCs w:val="20"/>
              </w:rPr>
              <w:t xml:space="preserve"> řidiče na kampaň.</w:t>
            </w:r>
          </w:p>
        </w:tc>
      </w:tr>
    </w:tbl>
    <w:p w:rsidR="00DF03E3" w:rsidRPr="0063034E" w:rsidRDefault="00DF03E3" w:rsidP="00DF03E3">
      <w:pPr>
        <w:ind w:right="113"/>
        <w:rPr>
          <w:rFonts w:asciiTheme="minorHAnsi" w:hAnsiTheme="minorHAnsi" w:cstheme="minorHAnsi"/>
          <w:b/>
          <w:color w:val="FF0000"/>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252"/>
      </w:tblGrid>
      <w:tr w:rsidR="00DF03E3" w:rsidRPr="0063034E" w:rsidTr="00C112A9">
        <w:trPr>
          <w:trHeight w:val="292"/>
        </w:trPr>
        <w:tc>
          <w:tcPr>
            <w:tcW w:w="4820" w:type="dxa"/>
            <w:tcBorders>
              <w:top w:val="double" w:sz="4"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Úplný a přesný název zaměstnavatele:</w:t>
            </w:r>
          </w:p>
        </w:tc>
        <w:tc>
          <w:tcPr>
            <w:tcW w:w="4252" w:type="dxa"/>
            <w:tcBorders>
              <w:top w:val="double" w:sz="4" w:space="0" w:color="auto"/>
              <w:left w:val="nil"/>
              <w:bottom w:val="double" w:sz="4" w:space="0" w:color="auto"/>
              <w:right w:val="double" w:sz="4" w:space="0" w:color="auto"/>
            </w:tcBorders>
          </w:tcPr>
          <w:p w:rsidR="00DF03E3" w:rsidRPr="00A94C3B" w:rsidRDefault="00DF03E3" w:rsidP="00C112A9">
            <w:pPr>
              <w:ind w:right="113"/>
              <w:rPr>
                <w:rFonts w:asciiTheme="minorHAnsi" w:hAnsiTheme="minorHAnsi" w:cstheme="minorHAnsi"/>
                <w:b/>
                <w:sz w:val="20"/>
                <w:szCs w:val="20"/>
              </w:rPr>
            </w:pPr>
            <w:r w:rsidRPr="00A94C3B">
              <w:rPr>
                <w:rFonts w:asciiTheme="minorHAnsi" w:hAnsiTheme="minorHAnsi" w:cstheme="minorHAnsi"/>
                <w:b/>
                <w:sz w:val="20"/>
                <w:szCs w:val="20"/>
                <w:lang w:eastAsia="en-US"/>
              </w:rPr>
              <w:t>Moravskoslezské cukrovary, a.s.</w:t>
            </w:r>
          </w:p>
        </w:tc>
      </w:tr>
      <w:tr w:rsidR="00DF03E3" w:rsidRPr="0063034E" w:rsidTr="00C112A9">
        <w:tc>
          <w:tcPr>
            <w:tcW w:w="4820" w:type="dxa"/>
            <w:tcBorders>
              <w:top w:val="doub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sídlo:</w:t>
            </w:r>
          </w:p>
        </w:tc>
        <w:tc>
          <w:tcPr>
            <w:tcW w:w="4252" w:type="dxa"/>
            <w:tcBorders>
              <w:top w:val="double" w:sz="4" w:space="0" w:color="auto"/>
              <w:left w:val="nil"/>
              <w:bottom w:val="single" w:sz="4" w:space="0" w:color="auto"/>
              <w:right w:val="double" w:sz="4" w:space="0" w:color="auto"/>
            </w:tcBorders>
          </w:tcPr>
          <w:p w:rsidR="00DF03E3" w:rsidRPr="0063034E" w:rsidRDefault="00DF03E3" w:rsidP="00C112A9">
            <w:pPr>
              <w:rPr>
                <w:rFonts w:asciiTheme="minorHAnsi" w:hAnsiTheme="minorHAnsi" w:cstheme="minorHAnsi"/>
                <w:sz w:val="20"/>
                <w:szCs w:val="20"/>
              </w:rPr>
            </w:pPr>
            <w:r w:rsidRPr="0063034E">
              <w:rPr>
                <w:rFonts w:asciiTheme="minorHAnsi" w:hAnsiTheme="minorHAnsi" w:cstheme="minorHAnsi"/>
                <w:sz w:val="20"/>
                <w:szCs w:val="20"/>
                <w:lang w:eastAsia="en-US"/>
              </w:rPr>
              <w:t>Cukrovarská 657, 671 67 Hrušovany nad Jevišovkou</w:t>
            </w:r>
          </w:p>
        </w:tc>
      </w:tr>
      <w:tr w:rsidR="00DF03E3" w:rsidRPr="0063034E" w:rsidTr="00C112A9">
        <w:tc>
          <w:tcPr>
            <w:tcW w:w="4820" w:type="dxa"/>
            <w:tcBorders>
              <w:top w:val="single" w:sz="4" w:space="0" w:color="auto"/>
              <w:left w:val="double" w:sz="4" w:space="0" w:color="auto"/>
              <w:bottom w:val="sing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předmět činnosti (podrobněji):</w:t>
            </w:r>
          </w:p>
        </w:tc>
        <w:tc>
          <w:tcPr>
            <w:tcW w:w="4252" w:type="dxa"/>
            <w:tcBorders>
              <w:top w:val="single" w:sz="4" w:space="0" w:color="auto"/>
              <w:left w:val="nil"/>
              <w:bottom w:val="sing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bCs/>
                <w:iCs/>
                <w:sz w:val="20"/>
                <w:szCs w:val="20"/>
                <w:lang w:eastAsia="en-US"/>
              </w:rPr>
              <w:t>Výroba cukru</w:t>
            </w:r>
          </w:p>
        </w:tc>
      </w:tr>
      <w:tr w:rsidR="00DF03E3" w:rsidRPr="0063034E" w:rsidTr="00C112A9">
        <w:tc>
          <w:tcPr>
            <w:tcW w:w="4820" w:type="dxa"/>
            <w:tcBorders>
              <w:top w:val="single" w:sz="4" w:space="0" w:color="auto"/>
              <w:left w:val="double" w:sz="4" w:space="0" w:color="auto"/>
              <w:bottom w:val="nil"/>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počet zaměstnanců v okrese Znojmo:</w:t>
            </w:r>
          </w:p>
        </w:tc>
        <w:tc>
          <w:tcPr>
            <w:tcW w:w="4252" w:type="dxa"/>
            <w:tcBorders>
              <w:top w:val="single" w:sz="4" w:space="0" w:color="auto"/>
              <w:left w:val="nil"/>
              <w:bottom w:val="nil"/>
              <w:right w:val="double" w:sz="4" w:space="0" w:color="auto"/>
            </w:tcBorders>
          </w:tcPr>
          <w:p w:rsidR="00DF03E3" w:rsidRPr="0063034E" w:rsidRDefault="00DF03E3" w:rsidP="00C112A9">
            <w:pPr>
              <w:ind w:right="113"/>
              <w:rPr>
                <w:rFonts w:asciiTheme="minorHAnsi" w:hAnsiTheme="minorHAnsi" w:cstheme="minorHAnsi"/>
                <w:sz w:val="20"/>
                <w:szCs w:val="20"/>
              </w:rPr>
            </w:pP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2013</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v roce 2014</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305</w:t>
            </w:r>
          </w:p>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306</w:t>
            </w:r>
          </w:p>
        </w:tc>
      </w:tr>
      <w:tr w:rsidR="00DF03E3" w:rsidRPr="0063034E" w:rsidTr="00C112A9">
        <w:tc>
          <w:tcPr>
            <w:tcW w:w="4820" w:type="dxa"/>
            <w:tcBorders>
              <w:top w:val="nil"/>
              <w:left w:val="double" w:sz="4" w:space="0" w:color="auto"/>
              <w:bottom w:val="single" w:sz="12"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země zahraničního partnera:</w:t>
            </w:r>
          </w:p>
        </w:tc>
        <w:tc>
          <w:tcPr>
            <w:tcW w:w="4252" w:type="dxa"/>
            <w:tcBorders>
              <w:top w:val="nil"/>
              <w:left w:val="nil"/>
              <w:bottom w:val="single" w:sz="12"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Rakousko</w:t>
            </w:r>
          </w:p>
        </w:tc>
      </w:tr>
      <w:tr w:rsidR="00DF03E3" w:rsidRPr="0063034E" w:rsidTr="00C112A9">
        <w:tc>
          <w:tcPr>
            <w:tcW w:w="4820" w:type="dxa"/>
            <w:tcBorders>
              <w:top w:val="single" w:sz="12" w:space="0" w:color="auto"/>
              <w:left w:val="double" w:sz="4" w:space="0" w:color="auto"/>
              <w:bottom w:val="double" w:sz="4" w:space="0" w:color="auto"/>
              <w:right w:val="single" w:sz="12" w:space="0" w:color="auto"/>
            </w:tcBorders>
            <w:shd w:val="clear" w:color="auto" w:fill="E6E6E6"/>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komentář: stručná charakteristika zaměstnavatele včetně vývoje za sledované období</w:t>
            </w:r>
          </w:p>
        </w:tc>
        <w:tc>
          <w:tcPr>
            <w:tcW w:w="4252" w:type="dxa"/>
            <w:tcBorders>
              <w:top w:val="single" w:sz="12" w:space="0" w:color="auto"/>
              <w:left w:val="nil"/>
              <w:bottom w:val="double" w:sz="4" w:space="0" w:color="auto"/>
              <w:right w:val="double" w:sz="4" w:space="0" w:color="auto"/>
            </w:tcBorders>
          </w:tcPr>
          <w:p w:rsidR="00DF03E3" w:rsidRPr="0063034E" w:rsidRDefault="00DF03E3" w:rsidP="00C112A9">
            <w:pPr>
              <w:ind w:right="113"/>
              <w:rPr>
                <w:rFonts w:asciiTheme="minorHAnsi" w:hAnsiTheme="minorHAnsi" w:cstheme="minorHAnsi"/>
                <w:sz w:val="20"/>
                <w:szCs w:val="20"/>
              </w:rPr>
            </w:pPr>
            <w:r w:rsidRPr="0063034E">
              <w:rPr>
                <w:rFonts w:asciiTheme="minorHAnsi" w:hAnsiTheme="minorHAnsi" w:cstheme="minorHAnsi"/>
                <w:sz w:val="20"/>
                <w:szCs w:val="20"/>
              </w:rPr>
              <w:t xml:space="preserve">Firma se zabývá výrobou cukru a krmiv a poradenstvím v oblasti zemědělství. </w:t>
            </w:r>
            <w:r w:rsidRPr="0073775E">
              <w:rPr>
                <w:rFonts w:asciiTheme="minorHAnsi" w:hAnsiTheme="minorHAnsi" w:cs="Arial"/>
                <w:sz w:val="20"/>
                <w:szCs w:val="20"/>
              </w:rPr>
              <w:t>Stavy zaměstnanců se v  roce 2013 zvýšily o 109 osob</w:t>
            </w:r>
            <w:r w:rsidRPr="0073775E">
              <w:rPr>
                <w:rFonts w:asciiTheme="minorHAnsi" w:hAnsiTheme="minorHAnsi"/>
                <w:sz w:val="20"/>
                <w:szCs w:val="20"/>
              </w:rPr>
              <w:t>.</w:t>
            </w:r>
            <w:r>
              <w:rPr>
                <w:rFonts w:asciiTheme="minorHAnsi" w:hAnsiTheme="minorHAnsi"/>
                <w:sz w:val="20"/>
                <w:szCs w:val="20"/>
              </w:rPr>
              <w:t xml:space="preserve"> </w:t>
            </w:r>
            <w:r>
              <w:rPr>
                <w:rFonts w:asciiTheme="minorHAnsi" w:hAnsiTheme="minorHAnsi" w:cstheme="minorHAnsi"/>
                <w:sz w:val="20"/>
                <w:szCs w:val="20"/>
              </w:rPr>
              <w:t>V roce 2014 stavy t</w:t>
            </w:r>
            <w:r w:rsidRPr="0063034E">
              <w:rPr>
                <w:rFonts w:asciiTheme="minorHAnsi" w:hAnsiTheme="minorHAnsi" w:cstheme="minorHAnsi"/>
                <w:sz w:val="20"/>
                <w:szCs w:val="20"/>
              </w:rPr>
              <w:t>éměř beze změn.</w:t>
            </w:r>
          </w:p>
        </w:tc>
      </w:tr>
    </w:tbl>
    <w:p w:rsidR="00DF03E3" w:rsidRPr="00580037" w:rsidRDefault="00DF03E3" w:rsidP="00DF03E3">
      <w:pPr>
        <w:rPr>
          <w:rFonts w:asciiTheme="minorHAnsi" w:hAnsiTheme="minorHAnsi"/>
          <w:sz w:val="20"/>
          <w:szCs w:val="20"/>
        </w:rPr>
      </w:pPr>
    </w:p>
    <w:p w:rsidR="00DF03E3" w:rsidRDefault="00DF03E3">
      <w:pPr>
        <w:spacing w:after="200"/>
        <w:rPr>
          <w:rFonts w:ascii="Arial" w:eastAsiaTheme="majorEastAsia" w:hAnsi="Arial" w:cstheme="majorBidi"/>
          <w:b/>
          <w:bCs/>
          <w:sz w:val="30"/>
          <w:szCs w:val="26"/>
        </w:rPr>
      </w:pPr>
      <w:r>
        <w:br w:type="page"/>
      </w:r>
    </w:p>
    <w:p w:rsidR="00087E45" w:rsidRPr="00BA162D" w:rsidRDefault="00087E45" w:rsidP="00087E45">
      <w:pPr>
        <w:pStyle w:val="Nadpis2"/>
      </w:pPr>
      <w:bookmarkStart w:id="12" w:name="_Toc411611469"/>
      <w:r w:rsidRPr="00BA162D">
        <w:t>1.3 Stručná charakteristika poptávky po pracovní síle</w:t>
      </w:r>
      <w:bookmarkEnd w:id="10"/>
      <w:bookmarkEnd w:id="12"/>
    </w:p>
    <w:p w:rsidR="00087E45" w:rsidRDefault="00087E45" w:rsidP="00087E45">
      <w:pPr>
        <w:pStyle w:val="Zkladntext"/>
        <w:jc w:val="both"/>
        <w:rPr>
          <w:rFonts w:ascii="Arial" w:hAnsi="Arial" w:cs="Arial"/>
          <w:b w:val="0"/>
          <w:sz w:val="22"/>
          <w:szCs w:val="22"/>
        </w:rPr>
      </w:pPr>
    </w:p>
    <w:p w:rsidR="00087E45" w:rsidRPr="002B21A4" w:rsidRDefault="00087E45" w:rsidP="00087E45">
      <w:pPr>
        <w:pStyle w:val="Zkladntext"/>
        <w:jc w:val="both"/>
        <w:rPr>
          <w:rFonts w:ascii="Arial" w:hAnsi="Arial" w:cs="Arial"/>
          <w:b w:val="0"/>
          <w:sz w:val="22"/>
          <w:szCs w:val="22"/>
        </w:rPr>
      </w:pPr>
      <w:r w:rsidRPr="002B21A4">
        <w:rPr>
          <w:rFonts w:ascii="Arial" w:hAnsi="Arial" w:cs="Arial"/>
          <w:b w:val="0"/>
          <w:sz w:val="22"/>
          <w:szCs w:val="22"/>
        </w:rPr>
        <w:t>Počet volných pracovních míst nabízených v Jihomoravském kraji se v roce 201</w:t>
      </w:r>
      <w:r>
        <w:rPr>
          <w:rFonts w:ascii="Arial" w:hAnsi="Arial" w:cs="Arial"/>
          <w:b w:val="0"/>
          <w:sz w:val="22"/>
          <w:szCs w:val="22"/>
        </w:rPr>
        <w:t>4</w:t>
      </w:r>
      <w:r w:rsidRPr="002B21A4">
        <w:rPr>
          <w:rFonts w:ascii="Arial" w:hAnsi="Arial" w:cs="Arial"/>
          <w:b w:val="0"/>
          <w:sz w:val="22"/>
          <w:szCs w:val="22"/>
        </w:rPr>
        <w:t xml:space="preserve"> pohyboval v průměru okolo </w:t>
      </w:r>
      <w:r>
        <w:rPr>
          <w:rFonts w:ascii="Arial" w:hAnsi="Arial" w:cs="Arial"/>
          <w:b w:val="0"/>
          <w:sz w:val="22"/>
          <w:szCs w:val="22"/>
        </w:rPr>
        <w:t>4</w:t>
      </w:r>
      <w:r w:rsidRPr="002B21A4">
        <w:rPr>
          <w:rFonts w:ascii="Arial" w:hAnsi="Arial" w:cs="Arial"/>
          <w:b w:val="0"/>
          <w:sz w:val="22"/>
          <w:szCs w:val="22"/>
        </w:rPr>
        <w:t>,</w:t>
      </w:r>
      <w:r>
        <w:rPr>
          <w:rFonts w:ascii="Arial" w:hAnsi="Arial" w:cs="Arial"/>
          <w:b w:val="0"/>
          <w:sz w:val="22"/>
          <w:szCs w:val="22"/>
        </w:rPr>
        <w:t>3</w:t>
      </w:r>
      <w:r w:rsidRPr="002B21A4">
        <w:rPr>
          <w:rFonts w:ascii="Arial" w:hAnsi="Arial" w:cs="Arial"/>
          <w:b w:val="0"/>
          <w:sz w:val="22"/>
          <w:szCs w:val="22"/>
        </w:rPr>
        <w:t xml:space="preserve"> tis. </w:t>
      </w:r>
      <w:r>
        <w:rPr>
          <w:rFonts w:ascii="Arial" w:hAnsi="Arial" w:cs="Arial"/>
          <w:b w:val="0"/>
          <w:sz w:val="22"/>
          <w:szCs w:val="22"/>
        </w:rPr>
        <w:t xml:space="preserve">Proti loňskému průměrnému </w:t>
      </w:r>
      <w:r w:rsidRPr="002B21A4">
        <w:rPr>
          <w:rFonts w:ascii="Arial" w:hAnsi="Arial" w:cs="Arial"/>
          <w:b w:val="0"/>
          <w:sz w:val="22"/>
          <w:szCs w:val="22"/>
        </w:rPr>
        <w:t xml:space="preserve">stavu počet nabízených míst </w:t>
      </w:r>
      <w:r w:rsidR="00AD2C21">
        <w:rPr>
          <w:rFonts w:ascii="Arial" w:hAnsi="Arial" w:cs="Arial"/>
          <w:b w:val="0"/>
          <w:sz w:val="22"/>
          <w:szCs w:val="22"/>
        </w:rPr>
        <w:t xml:space="preserve">výrazně </w:t>
      </w:r>
      <w:r>
        <w:rPr>
          <w:rFonts w:ascii="Arial" w:hAnsi="Arial" w:cs="Arial"/>
          <w:b w:val="0"/>
          <w:sz w:val="22"/>
          <w:szCs w:val="22"/>
        </w:rPr>
        <w:t>vzrostl</w:t>
      </w:r>
      <w:r w:rsidRPr="002B21A4">
        <w:rPr>
          <w:rFonts w:ascii="Arial" w:hAnsi="Arial" w:cs="Arial"/>
          <w:b w:val="0"/>
          <w:sz w:val="22"/>
          <w:szCs w:val="22"/>
        </w:rPr>
        <w:t xml:space="preserve"> (o </w:t>
      </w:r>
      <w:r>
        <w:rPr>
          <w:rFonts w:ascii="Arial" w:hAnsi="Arial" w:cs="Arial"/>
          <w:b w:val="0"/>
          <w:sz w:val="22"/>
          <w:szCs w:val="22"/>
        </w:rPr>
        <w:t>1 503</w:t>
      </w:r>
      <w:r w:rsidRPr="002B21A4">
        <w:rPr>
          <w:rFonts w:ascii="Arial" w:hAnsi="Arial" w:cs="Arial"/>
          <w:b w:val="0"/>
          <w:sz w:val="22"/>
          <w:szCs w:val="22"/>
        </w:rPr>
        <w:t xml:space="preserve"> míst, z </w:t>
      </w:r>
      <w:r>
        <w:rPr>
          <w:rFonts w:ascii="Arial" w:hAnsi="Arial" w:cs="Arial"/>
          <w:b w:val="0"/>
          <w:sz w:val="22"/>
          <w:szCs w:val="22"/>
        </w:rPr>
        <w:t>2</w:t>
      </w:r>
      <w:r w:rsidRPr="002B21A4">
        <w:rPr>
          <w:rFonts w:ascii="Arial" w:hAnsi="Arial" w:cs="Arial"/>
          <w:b w:val="0"/>
          <w:sz w:val="22"/>
          <w:szCs w:val="22"/>
        </w:rPr>
        <w:t xml:space="preserve"> </w:t>
      </w:r>
      <w:r>
        <w:rPr>
          <w:rFonts w:ascii="Arial" w:hAnsi="Arial" w:cs="Arial"/>
          <w:b w:val="0"/>
          <w:sz w:val="22"/>
          <w:szCs w:val="22"/>
        </w:rPr>
        <w:t>819</w:t>
      </w:r>
      <w:r w:rsidRPr="002B21A4">
        <w:rPr>
          <w:rFonts w:ascii="Arial" w:hAnsi="Arial" w:cs="Arial"/>
          <w:b w:val="0"/>
          <w:sz w:val="22"/>
          <w:szCs w:val="22"/>
        </w:rPr>
        <w:t xml:space="preserve"> v roce 201</w:t>
      </w:r>
      <w:r>
        <w:rPr>
          <w:rFonts w:ascii="Arial" w:hAnsi="Arial" w:cs="Arial"/>
          <w:b w:val="0"/>
          <w:sz w:val="22"/>
          <w:szCs w:val="22"/>
        </w:rPr>
        <w:t>3</w:t>
      </w:r>
      <w:r w:rsidRPr="002B21A4">
        <w:rPr>
          <w:rFonts w:ascii="Arial" w:hAnsi="Arial" w:cs="Arial"/>
          <w:b w:val="0"/>
          <w:sz w:val="22"/>
          <w:szCs w:val="22"/>
        </w:rPr>
        <w:t xml:space="preserve"> na </w:t>
      </w:r>
      <w:r>
        <w:rPr>
          <w:rFonts w:ascii="Arial" w:hAnsi="Arial" w:cs="Arial"/>
          <w:b w:val="0"/>
          <w:sz w:val="22"/>
          <w:szCs w:val="22"/>
        </w:rPr>
        <w:t>4</w:t>
      </w:r>
      <w:r w:rsidRPr="002B21A4">
        <w:rPr>
          <w:rFonts w:ascii="Arial" w:hAnsi="Arial" w:cs="Arial"/>
          <w:b w:val="0"/>
          <w:sz w:val="22"/>
          <w:szCs w:val="22"/>
        </w:rPr>
        <w:t> </w:t>
      </w:r>
      <w:r>
        <w:rPr>
          <w:rFonts w:ascii="Arial" w:hAnsi="Arial" w:cs="Arial"/>
          <w:b w:val="0"/>
          <w:sz w:val="22"/>
          <w:szCs w:val="22"/>
        </w:rPr>
        <w:t>322</w:t>
      </w:r>
      <w:r w:rsidRPr="002B21A4">
        <w:rPr>
          <w:rFonts w:ascii="Arial" w:hAnsi="Arial" w:cs="Arial"/>
          <w:b w:val="0"/>
          <w:sz w:val="22"/>
          <w:szCs w:val="22"/>
        </w:rPr>
        <w:t xml:space="preserve"> v roce 201</w:t>
      </w:r>
      <w:r>
        <w:rPr>
          <w:rFonts w:ascii="Arial" w:hAnsi="Arial" w:cs="Arial"/>
          <w:b w:val="0"/>
          <w:sz w:val="22"/>
          <w:szCs w:val="22"/>
        </w:rPr>
        <w:t>4</w:t>
      </w:r>
      <w:r w:rsidRPr="002B21A4">
        <w:rPr>
          <w:rFonts w:ascii="Arial" w:hAnsi="Arial" w:cs="Arial"/>
          <w:b w:val="0"/>
          <w:sz w:val="22"/>
          <w:szCs w:val="22"/>
        </w:rPr>
        <w:t xml:space="preserve">). Největší počet míst byl nabízen v  </w:t>
      </w:r>
      <w:r>
        <w:rPr>
          <w:rFonts w:ascii="Arial" w:hAnsi="Arial" w:cs="Arial"/>
          <w:b w:val="0"/>
          <w:sz w:val="22"/>
          <w:szCs w:val="22"/>
        </w:rPr>
        <w:t>září</w:t>
      </w:r>
      <w:r w:rsidRPr="002B21A4">
        <w:rPr>
          <w:rFonts w:ascii="Arial" w:hAnsi="Arial" w:cs="Arial"/>
          <w:b w:val="0"/>
          <w:sz w:val="22"/>
          <w:szCs w:val="22"/>
        </w:rPr>
        <w:t xml:space="preserve"> a to </w:t>
      </w:r>
      <w:r>
        <w:rPr>
          <w:rFonts w:ascii="Arial" w:hAnsi="Arial" w:cs="Arial"/>
          <w:b w:val="0"/>
          <w:sz w:val="22"/>
          <w:szCs w:val="22"/>
        </w:rPr>
        <w:t>4</w:t>
      </w:r>
      <w:r w:rsidRPr="002B21A4">
        <w:rPr>
          <w:rFonts w:ascii="Arial" w:hAnsi="Arial" w:cs="Arial"/>
          <w:b w:val="0"/>
          <w:sz w:val="22"/>
          <w:szCs w:val="22"/>
        </w:rPr>
        <w:t> </w:t>
      </w:r>
      <w:r>
        <w:rPr>
          <w:rFonts w:ascii="Arial" w:hAnsi="Arial" w:cs="Arial"/>
          <w:b w:val="0"/>
          <w:sz w:val="22"/>
          <w:szCs w:val="22"/>
        </w:rPr>
        <w:t>984</w:t>
      </w:r>
      <w:r w:rsidRPr="002B21A4">
        <w:rPr>
          <w:rFonts w:ascii="Arial" w:hAnsi="Arial" w:cs="Arial"/>
          <w:b w:val="0"/>
          <w:sz w:val="22"/>
          <w:szCs w:val="22"/>
        </w:rPr>
        <w:t>, nejméně naopak v </w:t>
      </w:r>
      <w:r>
        <w:rPr>
          <w:rFonts w:ascii="Arial" w:hAnsi="Arial" w:cs="Arial"/>
          <w:b w:val="0"/>
          <w:sz w:val="22"/>
          <w:szCs w:val="22"/>
        </w:rPr>
        <w:t>lednu</w:t>
      </w:r>
      <w:r w:rsidRPr="002B21A4">
        <w:rPr>
          <w:rFonts w:ascii="Arial" w:hAnsi="Arial" w:cs="Arial"/>
          <w:b w:val="0"/>
          <w:sz w:val="22"/>
          <w:szCs w:val="22"/>
        </w:rPr>
        <w:t xml:space="preserve"> - </w:t>
      </w:r>
      <w:r>
        <w:rPr>
          <w:rFonts w:ascii="Arial" w:hAnsi="Arial" w:cs="Arial"/>
          <w:b w:val="0"/>
          <w:sz w:val="22"/>
          <w:szCs w:val="22"/>
        </w:rPr>
        <w:t>3</w:t>
      </w:r>
      <w:r w:rsidRPr="002B21A4">
        <w:rPr>
          <w:rFonts w:ascii="Arial" w:hAnsi="Arial" w:cs="Arial"/>
          <w:b w:val="0"/>
          <w:sz w:val="22"/>
          <w:szCs w:val="22"/>
        </w:rPr>
        <w:t> </w:t>
      </w:r>
      <w:r>
        <w:rPr>
          <w:rFonts w:ascii="Arial" w:hAnsi="Arial" w:cs="Arial"/>
          <w:b w:val="0"/>
          <w:sz w:val="22"/>
          <w:szCs w:val="22"/>
        </w:rPr>
        <w:t>068</w:t>
      </w:r>
      <w:r w:rsidRPr="002B21A4">
        <w:rPr>
          <w:rFonts w:ascii="Arial" w:hAnsi="Arial" w:cs="Arial"/>
          <w:b w:val="0"/>
          <w:sz w:val="22"/>
          <w:szCs w:val="22"/>
        </w:rPr>
        <w:t xml:space="preserve"> míst.  </w:t>
      </w:r>
      <w:r w:rsidRPr="00502D7D">
        <w:rPr>
          <w:rFonts w:ascii="Arial" w:hAnsi="Arial" w:cs="Arial"/>
          <w:b w:val="0"/>
          <w:sz w:val="22"/>
          <w:szCs w:val="22"/>
        </w:rPr>
        <w:t xml:space="preserve">Z regionálního hlediska bylo v roce 2014 nejvíce míst evidováno v Brně-městě, a to v měsíčním  průměru </w:t>
      </w:r>
      <w:r>
        <w:rPr>
          <w:rFonts w:ascii="Arial" w:hAnsi="Arial" w:cs="Arial"/>
          <w:b w:val="0"/>
          <w:sz w:val="22"/>
          <w:szCs w:val="22"/>
        </w:rPr>
        <w:t xml:space="preserve">  </w:t>
      </w:r>
      <w:r w:rsidRPr="00502D7D">
        <w:rPr>
          <w:rFonts w:ascii="Arial" w:hAnsi="Arial" w:cs="Arial"/>
          <w:b w:val="0"/>
          <w:sz w:val="22"/>
          <w:szCs w:val="22"/>
        </w:rPr>
        <w:t xml:space="preserve">1 423, což bylo více než 34 % z celkového počtu. </w:t>
      </w:r>
      <w:r w:rsidR="00AD2C21">
        <w:rPr>
          <w:rFonts w:ascii="Arial" w:hAnsi="Arial" w:cs="Arial"/>
          <w:b w:val="0"/>
          <w:sz w:val="22"/>
          <w:szCs w:val="22"/>
        </w:rPr>
        <w:t>N</w:t>
      </w:r>
      <w:r w:rsidRPr="00502D7D">
        <w:rPr>
          <w:rFonts w:ascii="Arial" w:hAnsi="Arial" w:cs="Arial"/>
          <w:b w:val="0"/>
          <w:sz w:val="22"/>
          <w:szCs w:val="22"/>
        </w:rPr>
        <w:t>ejméně bylo uchazečům nabízeno volných míst v okresech Vyškov (</w:t>
      </w:r>
      <w:r w:rsidR="00AD2C21">
        <w:rPr>
          <w:rFonts w:ascii="Arial" w:hAnsi="Arial" w:cs="Arial"/>
          <w:b w:val="0"/>
          <w:sz w:val="22"/>
          <w:szCs w:val="22"/>
        </w:rPr>
        <w:t xml:space="preserve">v průměru </w:t>
      </w:r>
      <w:r w:rsidRPr="00502D7D">
        <w:rPr>
          <w:rFonts w:ascii="Arial" w:hAnsi="Arial" w:cs="Arial"/>
          <w:b w:val="0"/>
          <w:sz w:val="22"/>
          <w:szCs w:val="22"/>
        </w:rPr>
        <w:t>263) a Blansko (</w:t>
      </w:r>
      <w:r w:rsidR="00AD2C21">
        <w:rPr>
          <w:rFonts w:ascii="Arial" w:hAnsi="Arial" w:cs="Arial"/>
          <w:b w:val="0"/>
          <w:sz w:val="22"/>
          <w:szCs w:val="22"/>
        </w:rPr>
        <w:t xml:space="preserve">v průměru </w:t>
      </w:r>
      <w:r w:rsidRPr="00502D7D">
        <w:rPr>
          <w:rFonts w:ascii="Arial" w:hAnsi="Arial" w:cs="Arial"/>
          <w:b w:val="0"/>
          <w:sz w:val="22"/>
          <w:szCs w:val="22"/>
        </w:rPr>
        <w:t>370).</w:t>
      </w:r>
      <w:r w:rsidRPr="002B21A4">
        <w:rPr>
          <w:rFonts w:ascii="Arial" w:hAnsi="Arial" w:cs="Arial"/>
          <w:b w:val="0"/>
          <w:sz w:val="22"/>
          <w:szCs w:val="22"/>
        </w:rPr>
        <w:t xml:space="preserve"> </w:t>
      </w:r>
    </w:p>
    <w:p w:rsidR="00087E45" w:rsidRPr="002B21A4" w:rsidRDefault="00087E45" w:rsidP="00087E45">
      <w:pPr>
        <w:jc w:val="both"/>
        <w:rPr>
          <w:rFonts w:ascii="Arial" w:hAnsi="Arial" w:cs="Arial"/>
          <w:sz w:val="22"/>
          <w:szCs w:val="22"/>
        </w:rPr>
      </w:pPr>
    </w:p>
    <w:p w:rsidR="00087E45" w:rsidRPr="002B21A4" w:rsidRDefault="00087E45" w:rsidP="00087E45">
      <w:pPr>
        <w:jc w:val="both"/>
        <w:rPr>
          <w:rFonts w:ascii="Arial" w:hAnsi="Arial" w:cs="Arial"/>
          <w:sz w:val="22"/>
          <w:szCs w:val="22"/>
        </w:rPr>
      </w:pPr>
      <w:r w:rsidRPr="002B21A4">
        <w:rPr>
          <w:rFonts w:ascii="Arial" w:hAnsi="Arial" w:cs="Arial"/>
          <w:sz w:val="22"/>
          <w:szCs w:val="22"/>
        </w:rPr>
        <w:t>V roce 201</w:t>
      </w:r>
      <w:r>
        <w:rPr>
          <w:rFonts w:ascii="Arial" w:hAnsi="Arial" w:cs="Arial"/>
          <w:sz w:val="22"/>
          <w:szCs w:val="22"/>
        </w:rPr>
        <w:t>4</w:t>
      </w:r>
      <w:r w:rsidRPr="002B21A4">
        <w:rPr>
          <w:rFonts w:ascii="Arial" w:hAnsi="Arial" w:cs="Arial"/>
          <w:sz w:val="22"/>
          <w:szCs w:val="22"/>
        </w:rPr>
        <w:t xml:space="preserve"> na jedno volné pracovní místo připadlo v kraji v</w:t>
      </w:r>
      <w:r>
        <w:rPr>
          <w:rFonts w:ascii="Arial" w:hAnsi="Arial" w:cs="Arial"/>
          <w:sz w:val="22"/>
          <w:szCs w:val="22"/>
        </w:rPr>
        <w:t xml:space="preserve"> měsíčním </w:t>
      </w:r>
      <w:r w:rsidRPr="002B21A4">
        <w:rPr>
          <w:rFonts w:ascii="Arial" w:hAnsi="Arial" w:cs="Arial"/>
          <w:sz w:val="22"/>
          <w:szCs w:val="22"/>
        </w:rPr>
        <w:t xml:space="preserve"> průměru </w:t>
      </w:r>
      <w:r>
        <w:rPr>
          <w:rFonts w:ascii="Arial" w:hAnsi="Arial" w:cs="Arial"/>
          <w:sz w:val="22"/>
          <w:szCs w:val="22"/>
        </w:rPr>
        <w:t>16,7</w:t>
      </w:r>
      <w:r w:rsidRPr="002B21A4">
        <w:rPr>
          <w:rFonts w:ascii="Arial" w:hAnsi="Arial" w:cs="Arial"/>
          <w:sz w:val="22"/>
          <w:szCs w:val="22"/>
        </w:rPr>
        <w:t xml:space="preserve"> nezaměstnaných, což je hodnota značně převyšující celorepublikový průměr (1</w:t>
      </w:r>
      <w:r>
        <w:rPr>
          <w:rFonts w:ascii="Arial" w:hAnsi="Arial" w:cs="Arial"/>
          <w:sz w:val="22"/>
          <w:szCs w:val="22"/>
        </w:rPr>
        <w:t>1</w:t>
      </w:r>
      <w:r w:rsidRPr="002B21A4">
        <w:rPr>
          <w:rFonts w:ascii="Arial" w:hAnsi="Arial" w:cs="Arial"/>
          <w:sz w:val="22"/>
          <w:szCs w:val="22"/>
        </w:rPr>
        <w:t>,</w:t>
      </w:r>
      <w:r>
        <w:rPr>
          <w:rFonts w:ascii="Arial" w:hAnsi="Arial" w:cs="Arial"/>
          <w:sz w:val="22"/>
          <w:szCs w:val="22"/>
        </w:rPr>
        <w:t>7</w:t>
      </w:r>
      <w:r w:rsidRPr="002B21A4">
        <w:rPr>
          <w:rFonts w:ascii="Arial" w:hAnsi="Arial" w:cs="Arial"/>
          <w:sz w:val="22"/>
          <w:szCs w:val="22"/>
        </w:rPr>
        <w:t xml:space="preserve">). Nejnižší disproporce mezi nabídkou a poptávkou je evidována v okrese </w:t>
      </w:r>
      <w:r>
        <w:rPr>
          <w:rFonts w:ascii="Arial" w:hAnsi="Arial" w:cs="Arial"/>
          <w:sz w:val="22"/>
          <w:szCs w:val="22"/>
        </w:rPr>
        <w:t>Břeclav</w:t>
      </w:r>
      <w:r w:rsidRPr="002B21A4">
        <w:rPr>
          <w:rFonts w:ascii="Arial" w:hAnsi="Arial" w:cs="Arial"/>
          <w:sz w:val="22"/>
          <w:szCs w:val="22"/>
        </w:rPr>
        <w:t>, kde</w:t>
      </w:r>
      <w:r w:rsidR="00300538">
        <w:rPr>
          <w:rFonts w:ascii="Arial" w:hAnsi="Arial" w:cs="Arial"/>
          <w:sz w:val="22"/>
          <w:szCs w:val="22"/>
        </w:rPr>
        <w:t xml:space="preserve"> se o každé z nabízených míst </w:t>
      </w:r>
      <w:r w:rsidRPr="002B21A4">
        <w:rPr>
          <w:rFonts w:ascii="Arial" w:hAnsi="Arial" w:cs="Arial"/>
          <w:sz w:val="22"/>
          <w:szCs w:val="22"/>
        </w:rPr>
        <w:t xml:space="preserve">aritmeticky uchází </w:t>
      </w:r>
      <w:r>
        <w:rPr>
          <w:rFonts w:ascii="Arial" w:hAnsi="Arial" w:cs="Arial"/>
          <w:sz w:val="22"/>
          <w:szCs w:val="22"/>
        </w:rPr>
        <w:t>11,7</w:t>
      </w:r>
      <w:r w:rsidRPr="002B21A4">
        <w:rPr>
          <w:rFonts w:ascii="Arial" w:hAnsi="Arial" w:cs="Arial"/>
          <w:sz w:val="22"/>
          <w:szCs w:val="22"/>
        </w:rPr>
        <w:t xml:space="preserve"> nezaměstnaných, naopak nejvyšší je tato disproporce v okresech Hodonín (na každé z nabízených míst připadá 3</w:t>
      </w:r>
      <w:r>
        <w:rPr>
          <w:rFonts w:ascii="Arial" w:hAnsi="Arial" w:cs="Arial"/>
          <w:sz w:val="22"/>
          <w:szCs w:val="22"/>
        </w:rPr>
        <w:t>0</w:t>
      </w:r>
      <w:r w:rsidRPr="002B21A4">
        <w:rPr>
          <w:rFonts w:ascii="Arial" w:hAnsi="Arial" w:cs="Arial"/>
          <w:sz w:val="22"/>
          <w:szCs w:val="22"/>
        </w:rPr>
        <w:t>,</w:t>
      </w:r>
      <w:r>
        <w:rPr>
          <w:rFonts w:ascii="Arial" w:hAnsi="Arial" w:cs="Arial"/>
          <w:sz w:val="22"/>
          <w:szCs w:val="22"/>
        </w:rPr>
        <w:t xml:space="preserve">6 </w:t>
      </w:r>
      <w:r w:rsidRPr="002B21A4">
        <w:rPr>
          <w:rFonts w:ascii="Arial" w:hAnsi="Arial" w:cs="Arial"/>
          <w:sz w:val="22"/>
          <w:szCs w:val="22"/>
        </w:rPr>
        <w:t xml:space="preserve">nezaměstnaných) </w:t>
      </w:r>
    </w:p>
    <w:p w:rsidR="00087E45" w:rsidRPr="00104500" w:rsidRDefault="00087E45" w:rsidP="00087E45">
      <w:pPr>
        <w:jc w:val="both"/>
      </w:pPr>
    </w:p>
    <w:p w:rsidR="00087E45" w:rsidRPr="002B21A4" w:rsidRDefault="00300538" w:rsidP="00300538">
      <w:pPr>
        <w:pStyle w:val="Bezmezer"/>
      </w:pPr>
      <w:r w:rsidRPr="00300538">
        <w:rPr>
          <w:rFonts w:ascii="Arial" w:hAnsi="Arial" w:cs="Arial"/>
          <w:b/>
          <w:i/>
          <w:sz w:val="20"/>
          <w:szCs w:val="20"/>
        </w:rPr>
        <w:t xml:space="preserve">Obr. </w:t>
      </w:r>
      <w:r w:rsidRPr="00300538">
        <w:rPr>
          <w:rFonts w:ascii="Arial" w:hAnsi="Arial" w:cs="Arial"/>
          <w:b/>
          <w:i/>
          <w:sz w:val="20"/>
          <w:szCs w:val="20"/>
        </w:rPr>
        <w:fldChar w:fldCharType="begin"/>
      </w:r>
      <w:r w:rsidRPr="00300538">
        <w:rPr>
          <w:rFonts w:ascii="Arial" w:hAnsi="Arial" w:cs="Arial"/>
          <w:b/>
          <w:i/>
          <w:sz w:val="20"/>
          <w:szCs w:val="20"/>
        </w:rPr>
        <w:instrText xml:space="preserve"> SEQ Obr. \* ARABIC </w:instrText>
      </w:r>
      <w:r w:rsidRPr="00300538">
        <w:rPr>
          <w:rFonts w:ascii="Arial" w:hAnsi="Arial" w:cs="Arial"/>
          <w:b/>
          <w:i/>
          <w:sz w:val="20"/>
          <w:szCs w:val="20"/>
        </w:rPr>
        <w:fldChar w:fldCharType="separate"/>
      </w:r>
      <w:r w:rsidR="009E38FD">
        <w:rPr>
          <w:rFonts w:ascii="Arial" w:hAnsi="Arial" w:cs="Arial"/>
          <w:b/>
          <w:i/>
          <w:noProof/>
          <w:sz w:val="20"/>
          <w:szCs w:val="20"/>
        </w:rPr>
        <w:t>3</w:t>
      </w:r>
      <w:r w:rsidRPr="00300538">
        <w:rPr>
          <w:rFonts w:ascii="Arial" w:hAnsi="Arial" w:cs="Arial"/>
          <w:b/>
          <w:i/>
          <w:sz w:val="20"/>
          <w:szCs w:val="20"/>
        </w:rPr>
        <w:fldChar w:fldCharType="end"/>
      </w:r>
      <w:r w:rsidR="00087E45" w:rsidRPr="00300538">
        <w:rPr>
          <w:rFonts w:ascii="Arial" w:hAnsi="Arial" w:cs="Arial"/>
          <w:b/>
          <w:i/>
          <w:sz w:val="20"/>
          <w:szCs w:val="20"/>
        </w:rPr>
        <w:t>: Počet uchazečů na 1 volné pracovní místo v Jihomoravském kraji v roce 2014</w:t>
      </w:r>
      <w:r w:rsidR="00087E45" w:rsidRPr="00300538">
        <w:rPr>
          <w:rFonts w:ascii="Arial" w:hAnsi="Arial" w:cs="Arial"/>
          <w:b/>
          <w:i/>
          <w:sz w:val="20"/>
          <w:szCs w:val="20"/>
        </w:rPr>
        <w:tab/>
      </w:r>
      <w:r w:rsidR="00087E45" w:rsidRPr="00300538">
        <w:rPr>
          <w:rFonts w:ascii="Arial" w:hAnsi="Arial" w:cs="Arial"/>
          <w:b/>
          <w:i/>
          <w:sz w:val="20"/>
          <w:szCs w:val="20"/>
        </w:rPr>
        <w:tab/>
        <w:t>(roční průměry)</w:t>
      </w:r>
      <w:r w:rsidR="00087E45" w:rsidRPr="005374A4">
        <w:rPr>
          <w:snapToGrid w:val="0"/>
          <w:color w:val="000000"/>
          <w:w w:val="0"/>
          <w:sz w:val="0"/>
          <w:szCs w:val="0"/>
          <w:u w:color="000000"/>
          <w:bdr w:val="none" w:sz="0" w:space="0" w:color="000000"/>
          <w:shd w:val="clear" w:color="000000" w:fill="000000"/>
          <w:lang w:val="x-none" w:eastAsia="x-none" w:bidi="x-none"/>
        </w:rPr>
        <w:t xml:space="preserve"> </w:t>
      </w:r>
      <w:r w:rsidR="00087E45">
        <w:rPr>
          <w:noProof/>
        </w:rPr>
        <w:drawing>
          <wp:inline distT="0" distB="0" distL="0" distR="0" wp14:anchorId="49E6FEFB" wp14:editId="3DD0BA1A">
            <wp:extent cx="5760000" cy="4320000"/>
            <wp:effectExtent l="0" t="0" r="0" b="4445"/>
            <wp:docPr id="1" name="Obrázek 1" descr="C:\Users\petr.jirasek\Desktop\Exportované mapy\Zpráva\2014\VP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etr.jirasek\Desktop\Exportované mapy\Zpráva\2014\VP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rsidR="00087E45" w:rsidRPr="00104500" w:rsidRDefault="00087E45" w:rsidP="00087E45">
      <w:pPr>
        <w:jc w:val="center"/>
        <w:rPr>
          <w:rFonts w:asciiTheme="minorHAnsi" w:hAnsiTheme="minorHAnsi"/>
        </w:rPr>
      </w:pPr>
    </w:p>
    <w:p w:rsidR="00087E45" w:rsidRDefault="00087E45" w:rsidP="00087E45">
      <w:pPr>
        <w:pStyle w:val="Zkladntext"/>
        <w:jc w:val="both"/>
        <w:rPr>
          <w:rFonts w:asciiTheme="minorHAnsi" w:hAnsiTheme="minorHAnsi"/>
          <w:b w:val="0"/>
        </w:rPr>
      </w:pPr>
    </w:p>
    <w:p w:rsidR="00087E45" w:rsidRPr="00104500" w:rsidRDefault="00087E45" w:rsidP="00087E45">
      <w:pPr>
        <w:pStyle w:val="Zkladntext"/>
        <w:jc w:val="both"/>
        <w:rPr>
          <w:rFonts w:asciiTheme="minorHAnsi" w:hAnsiTheme="minorHAnsi"/>
          <w:b w:val="0"/>
        </w:rPr>
      </w:pPr>
    </w:p>
    <w:p w:rsidR="00087E45" w:rsidRPr="00104500" w:rsidRDefault="00087E45" w:rsidP="00087E45">
      <w:pPr>
        <w:pStyle w:val="Zkladntext"/>
        <w:jc w:val="both"/>
        <w:rPr>
          <w:rFonts w:asciiTheme="minorHAnsi" w:hAnsiTheme="minorHAnsi"/>
          <w:b w:val="0"/>
        </w:rPr>
      </w:pPr>
    </w:p>
    <w:p w:rsidR="00087E45" w:rsidRDefault="00087E45" w:rsidP="00087E45">
      <w:pPr>
        <w:jc w:val="both"/>
        <w:rPr>
          <w:rFonts w:ascii="Arial" w:hAnsi="Arial" w:cs="Arial"/>
          <w:sz w:val="22"/>
          <w:szCs w:val="22"/>
        </w:rPr>
      </w:pPr>
      <w:r w:rsidRPr="0084055C">
        <w:rPr>
          <w:rFonts w:ascii="Arial" w:hAnsi="Arial" w:cs="Arial"/>
          <w:sz w:val="22"/>
          <w:szCs w:val="22"/>
        </w:rPr>
        <w:t>Ve struktuře volných pracovních míst podle požadovaného stupně vzdělání došlo v průběhu roku 201</w:t>
      </w:r>
      <w:r>
        <w:rPr>
          <w:rFonts w:ascii="Arial" w:hAnsi="Arial" w:cs="Arial"/>
          <w:sz w:val="22"/>
          <w:szCs w:val="22"/>
        </w:rPr>
        <w:t>4</w:t>
      </w:r>
      <w:r w:rsidRPr="0084055C">
        <w:rPr>
          <w:rFonts w:ascii="Arial" w:hAnsi="Arial" w:cs="Arial"/>
          <w:sz w:val="22"/>
          <w:szCs w:val="22"/>
        </w:rPr>
        <w:t xml:space="preserve"> k</w:t>
      </w:r>
      <w:r w:rsidRPr="0084055C">
        <w:rPr>
          <w:rFonts w:ascii="Arial" w:hAnsi="Arial" w:cs="Arial"/>
          <w:color w:val="FF0000"/>
          <w:sz w:val="22"/>
          <w:szCs w:val="22"/>
        </w:rPr>
        <w:t> </w:t>
      </w:r>
      <w:r w:rsidRPr="0084055C">
        <w:rPr>
          <w:rFonts w:ascii="Arial" w:hAnsi="Arial" w:cs="Arial"/>
          <w:sz w:val="22"/>
          <w:szCs w:val="22"/>
        </w:rPr>
        <w:t xml:space="preserve">výraznému nárůstu počtu hlášených volných pracovních míst </w:t>
      </w:r>
      <w:r>
        <w:rPr>
          <w:rFonts w:ascii="Arial" w:hAnsi="Arial" w:cs="Arial"/>
          <w:sz w:val="22"/>
          <w:szCs w:val="22"/>
        </w:rPr>
        <w:t>ve všech kategoriích vzdělání</w:t>
      </w:r>
      <w:r w:rsidRPr="0084055C">
        <w:rPr>
          <w:rFonts w:ascii="Arial" w:hAnsi="Arial" w:cs="Arial"/>
          <w:sz w:val="22"/>
          <w:szCs w:val="22"/>
        </w:rPr>
        <w:t xml:space="preserve">. </w:t>
      </w:r>
      <w:r>
        <w:rPr>
          <w:rFonts w:ascii="Arial" w:hAnsi="Arial" w:cs="Arial"/>
          <w:sz w:val="22"/>
          <w:szCs w:val="22"/>
        </w:rPr>
        <w:t>Nejvyšší nárůst</w:t>
      </w:r>
      <w:r w:rsidRPr="0084055C">
        <w:rPr>
          <w:rFonts w:ascii="Arial" w:hAnsi="Arial" w:cs="Arial"/>
          <w:sz w:val="22"/>
          <w:szCs w:val="22"/>
        </w:rPr>
        <w:t xml:space="preserve"> </w:t>
      </w:r>
      <w:r>
        <w:rPr>
          <w:rFonts w:ascii="Arial" w:hAnsi="Arial" w:cs="Arial"/>
          <w:sz w:val="22"/>
          <w:szCs w:val="22"/>
        </w:rPr>
        <w:t>počtu</w:t>
      </w:r>
      <w:r w:rsidRPr="0084055C">
        <w:rPr>
          <w:rFonts w:ascii="Arial" w:hAnsi="Arial" w:cs="Arial"/>
          <w:sz w:val="22"/>
          <w:szCs w:val="22"/>
        </w:rPr>
        <w:t xml:space="preserve"> volných </w:t>
      </w:r>
      <w:r>
        <w:rPr>
          <w:rFonts w:ascii="Arial" w:hAnsi="Arial" w:cs="Arial"/>
          <w:sz w:val="22"/>
          <w:szCs w:val="22"/>
        </w:rPr>
        <w:t xml:space="preserve">míst byl zaznamenán v kategorii vzdělání učňovské a střední bez maturity. Tato kategorie zaznamenala ve srovnání s rokem 2013 nárůst téměř o polovinu (o 898 míst). </w:t>
      </w:r>
      <w:r w:rsidRPr="0084055C">
        <w:rPr>
          <w:rFonts w:ascii="Arial" w:hAnsi="Arial" w:cs="Arial"/>
          <w:sz w:val="22"/>
          <w:szCs w:val="22"/>
        </w:rPr>
        <w:t xml:space="preserve">Mírný </w:t>
      </w:r>
      <w:r>
        <w:rPr>
          <w:rFonts w:ascii="Arial" w:hAnsi="Arial" w:cs="Arial"/>
          <w:sz w:val="22"/>
          <w:szCs w:val="22"/>
        </w:rPr>
        <w:t>nárůst</w:t>
      </w:r>
      <w:r w:rsidRPr="0084055C">
        <w:rPr>
          <w:rFonts w:ascii="Arial" w:hAnsi="Arial" w:cs="Arial"/>
          <w:sz w:val="22"/>
          <w:szCs w:val="22"/>
        </w:rPr>
        <w:t xml:space="preserve"> volných míst byl zaznamenán pro osoby se středoškolským vzděláním s maturitou, kterým bylo průměrně v letošním roce nabízeno </w:t>
      </w:r>
      <w:r>
        <w:rPr>
          <w:rFonts w:ascii="Arial" w:hAnsi="Arial" w:cs="Arial"/>
          <w:sz w:val="22"/>
          <w:szCs w:val="22"/>
        </w:rPr>
        <w:t>753</w:t>
      </w:r>
      <w:r w:rsidRPr="0084055C">
        <w:rPr>
          <w:rFonts w:ascii="Arial" w:hAnsi="Arial" w:cs="Arial"/>
          <w:sz w:val="22"/>
          <w:szCs w:val="22"/>
        </w:rPr>
        <w:t xml:space="preserve"> volných pracovních míst (</w:t>
      </w:r>
      <w:r>
        <w:rPr>
          <w:rFonts w:ascii="Arial" w:hAnsi="Arial" w:cs="Arial"/>
          <w:sz w:val="22"/>
          <w:szCs w:val="22"/>
        </w:rPr>
        <w:t>nárůst</w:t>
      </w:r>
      <w:r w:rsidRPr="0084055C">
        <w:rPr>
          <w:rFonts w:ascii="Arial" w:hAnsi="Arial" w:cs="Arial"/>
          <w:sz w:val="22"/>
          <w:szCs w:val="22"/>
        </w:rPr>
        <w:t xml:space="preserve"> o </w:t>
      </w:r>
      <w:r>
        <w:rPr>
          <w:rFonts w:ascii="Arial" w:hAnsi="Arial" w:cs="Arial"/>
          <w:sz w:val="22"/>
          <w:szCs w:val="22"/>
        </w:rPr>
        <w:t>109</w:t>
      </w:r>
      <w:r w:rsidRPr="0084055C">
        <w:rPr>
          <w:rFonts w:ascii="Arial" w:hAnsi="Arial" w:cs="Arial"/>
          <w:sz w:val="22"/>
          <w:szCs w:val="22"/>
        </w:rPr>
        <w:t xml:space="preserve"> míst). Nejméně míst je stále evidováno pro osoby s vysokoškolským a vyšším odborným vzděláním (průměrně v letošním roce pouhých </w:t>
      </w:r>
      <w:r>
        <w:rPr>
          <w:rFonts w:ascii="Arial" w:hAnsi="Arial" w:cs="Arial"/>
          <w:sz w:val="22"/>
          <w:szCs w:val="22"/>
        </w:rPr>
        <w:t>268</w:t>
      </w:r>
      <w:r w:rsidRPr="0084055C">
        <w:rPr>
          <w:rFonts w:ascii="Arial" w:hAnsi="Arial" w:cs="Arial"/>
          <w:sz w:val="22"/>
          <w:szCs w:val="22"/>
        </w:rPr>
        <w:t xml:space="preserve"> míst pro VŠ a </w:t>
      </w:r>
      <w:r>
        <w:rPr>
          <w:rFonts w:ascii="Arial" w:hAnsi="Arial" w:cs="Arial"/>
          <w:sz w:val="22"/>
          <w:szCs w:val="22"/>
        </w:rPr>
        <w:t>43</w:t>
      </w:r>
      <w:r w:rsidRPr="0084055C">
        <w:rPr>
          <w:rFonts w:ascii="Arial" w:hAnsi="Arial" w:cs="Arial"/>
          <w:sz w:val="22"/>
          <w:szCs w:val="22"/>
        </w:rPr>
        <w:t xml:space="preserve"> pro VOŠ). Na tuto skutečnost má do jisté míry vliv neochota zaměstnavatelů zveřejňovat svá vysoce kvalifikovaná místa prostřednictvím úřadů práce.</w:t>
      </w:r>
    </w:p>
    <w:p w:rsidR="00087E45" w:rsidRDefault="00087E45" w:rsidP="00087E45">
      <w:pPr>
        <w:jc w:val="both"/>
        <w:rPr>
          <w:rFonts w:ascii="Arial" w:hAnsi="Arial" w:cs="Arial"/>
          <w:sz w:val="22"/>
          <w:szCs w:val="22"/>
        </w:rPr>
      </w:pPr>
    </w:p>
    <w:p w:rsidR="00087E45" w:rsidRDefault="00087E45" w:rsidP="00087E45">
      <w:pPr>
        <w:jc w:val="both"/>
        <w:rPr>
          <w:rFonts w:ascii="Arial" w:hAnsi="Arial" w:cs="Arial"/>
          <w:sz w:val="22"/>
          <w:szCs w:val="22"/>
        </w:rPr>
      </w:pPr>
      <w:r>
        <w:rPr>
          <w:rFonts w:ascii="Arial" w:hAnsi="Arial" w:cs="Arial"/>
          <w:sz w:val="22"/>
          <w:szCs w:val="22"/>
        </w:rPr>
        <w:t xml:space="preserve">Porovnání uchazečů a volných míst není ve struktuře dle vzdělání úplně přesné. Zaměstnavatelé ve volných místech udávají nejnižší požadované vzdělání, takže např. </w:t>
      </w:r>
      <w:r w:rsidR="00300538">
        <w:rPr>
          <w:rFonts w:ascii="Arial" w:hAnsi="Arial" w:cs="Arial"/>
          <w:sz w:val="22"/>
          <w:szCs w:val="22"/>
        </w:rPr>
        <w:t>p</w:t>
      </w:r>
      <w:r>
        <w:rPr>
          <w:rFonts w:ascii="Arial" w:hAnsi="Arial" w:cs="Arial"/>
          <w:sz w:val="22"/>
          <w:szCs w:val="22"/>
        </w:rPr>
        <w:t>okud je na volné místo požadováno vzdělání s maturitou, pravděpodobně se zaměstnavatelé nebudou bránit ani uchazečům s vyšším odborným či vysokoškolským vzděláním.</w:t>
      </w:r>
    </w:p>
    <w:p w:rsidR="00F91C2E" w:rsidRPr="0084055C" w:rsidRDefault="00F91C2E" w:rsidP="00087E45">
      <w:pPr>
        <w:jc w:val="both"/>
        <w:rPr>
          <w:rFonts w:ascii="Arial" w:hAnsi="Arial" w:cs="Arial"/>
          <w:b/>
          <w:sz w:val="22"/>
          <w:szCs w:val="22"/>
        </w:rPr>
      </w:pPr>
    </w:p>
    <w:p w:rsidR="00087E45" w:rsidRPr="00795A25" w:rsidRDefault="00795A25" w:rsidP="007168E0">
      <w:pPr>
        <w:pStyle w:val="Bezmezer"/>
        <w:spacing w:line="276" w:lineRule="auto"/>
        <w:rPr>
          <w:rFonts w:ascii="Arial" w:hAnsi="Arial" w:cs="Arial"/>
          <w:b/>
          <w:bCs/>
          <w:i/>
          <w:sz w:val="20"/>
          <w:szCs w:val="20"/>
        </w:rPr>
      </w:pPr>
      <w:bookmarkStart w:id="13" w:name="_Toc381372882"/>
      <w:r w:rsidRPr="00795A25">
        <w:rPr>
          <w:rFonts w:ascii="Arial" w:hAnsi="Arial" w:cs="Arial"/>
          <w:b/>
          <w:i/>
          <w:sz w:val="20"/>
          <w:szCs w:val="20"/>
        </w:rPr>
        <w:t xml:space="preserve">Tab. </w:t>
      </w:r>
      <w:r w:rsidRPr="00795A25">
        <w:rPr>
          <w:rFonts w:ascii="Arial" w:hAnsi="Arial" w:cs="Arial"/>
          <w:b/>
          <w:i/>
          <w:sz w:val="20"/>
          <w:szCs w:val="20"/>
        </w:rPr>
        <w:fldChar w:fldCharType="begin"/>
      </w:r>
      <w:r w:rsidRPr="00795A25">
        <w:rPr>
          <w:rFonts w:ascii="Arial" w:hAnsi="Arial" w:cs="Arial"/>
          <w:b/>
          <w:i/>
          <w:sz w:val="20"/>
          <w:szCs w:val="20"/>
        </w:rPr>
        <w:instrText xml:space="preserve"> SEQ Tab. \* ARABIC </w:instrText>
      </w:r>
      <w:r w:rsidRPr="00795A25">
        <w:rPr>
          <w:rFonts w:ascii="Arial" w:hAnsi="Arial" w:cs="Arial"/>
          <w:b/>
          <w:i/>
          <w:sz w:val="20"/>
          <w:szCs w:val="20"/>
        </w:rPr>
        <w:fldChar w:fldCharType="separate"/>
      </w:r>
      <w:r w:rsidR="004378F3">
        <w:rPr>
          <w:rFonts w:ascii="Arial" w:hAnsi="Arial" w:cs="Arial"/>
          <w:b/>
          <w:i/>
          <w:noProof/>
          <w:sz w:val="20"/>
          <w:szCs w:val="20"/>
        </w:rPr>
        <w:t>4</w:t>
      </w:r>
      <w:r w:rsidRPr="00795A25">
        <w:rPr>
          <w:rFonts w:ascii="Arial" w:hAnsi="Arial" w:cs="Arial"/>
          <w:b/>
          <w:i/>
          <w:sz w:val="20"/>
          <w:szCs w:val="20"/>
        </w:rPr>
        <w:fldChar w:fldCharType="end"/>
      </w:r>
      <w:r w:rsidR="00087E45" w:rsidRPr="00795A25">
        <w:rPr>
          <w:rFonts w:ascii="Arial" w:hAnsi="Arial" w:cs="Arial"/>
          <w:b/>
          <w:i/>
          <w:sz w:val="20"/>
          <w:szCs w:val="20"/>
        </w:rPr>
        <w:t>: Struktura volných míst v Jihomoravském kraji podle stupně vzdělání</w:t>
      </w:r>
      <w:bookmarkEnd w:id="13"/>
      <w:r w:rsidR="00087E45" w:rsidRPr="00795A25">
        <w:rPr>
          <w:rFonts w:ascii="Arial" w:hAnsi="Arial" w:cs="Arial"/>
          <w:b/>
          <w:i/>
          <w:sz w:val="20"/>
          <w:szCs w:val="20"/>
        </w:rPr>
        <w:t xml:space="preserve"> </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133"/>
        <w:gridCol w:w="1562"/>
        <w:gridCol w:w="980"/>
        <w:gridCol w:w="1562"/>
        <w:gridCol w:w="975"/>
      </w:tblGrid>
      <w:tr w:rsidR="00087E45" w:rsidRPr="00EB61F7" w:rsidTr="00482B40">
        <w:trPr>
          <w:trHeight w:hRule="exact" w:val="368"/>
        </w:trPr>
        <w:tc>
          <w:tcPr>
            <w:tcW w:w="2243" w:type="pct"/>
            <w:vMerge w:val="restart"/>
            <w:tcBorders>
              <w:top w:val="single" w:sz="12" w:space="0" w:color="auto"/>
              <w:bottom w:val="single" w:sz="8" w:space="0" w:color="auto"/>
              <w:right w:val="single" w:sz="12" w:space="0" w:color="auto"/>
            </w:tcBorders>
            <w:shd w:val="clear" w:color="auto" w:fill="D9D9D9" w:themeFill="background1" w:themeFillShade="D9"/>
            <w:vAlign w:val="center"/>
            <w:hideMark/>
          </w:tcPr>
          <w:p w:rsidR="00087E45" w:rsidRPr="00EB61F7" w:rsidRDefault="00087E45" w:rsidP="00482B40">
            <w:pPr>
              <w:jc w:val="center"/>
              <w:rPr>
                <w:rFonts w:ascii="Calibri" w:hAnsi="Calibri"/>
                <w:b/>
                <w:color w:val="000000"/>
                <w:sz w:val="22"/>
                <w:szCs w:val="22"/>
              </w:rPr>
            </w:pPr>
            <w:r w:rsidRPr="00EB61F7">
              <w:rPr>
                <w:rFonts w:ascii="Calibri" w:hAnsi="Calibri"/>
                <w:b/>
                <w:color w:val="000000"/>
                <w:sz w:val="22"/>
                <w:szCs w:val="22"/>
              </w:rPr>
              <w:t>Stupeň vzdělání</w:t>
            </w:r>
          </w:p>
        </w:tc>
        <w:tc>
          <w:tcPr>
            <w:tcW w:w="1380" w:type="pct"/>
            <w:gridSpan w:val="2"/>
            <w:tcBorders>
              <w:top w:val="single" w:sz="12" w:space="0" w:color="auto"/>
              <w:left w:val="single" w:sz="12" w:space="0" w:color="auto"/>
              <w:bottom w:val="single" w:sz="8" w:space="0" w:color="auto"/>
            </w:tcBorders>
            <w:shd w:val="clear" w:color="auto" w:fill="D9D9D9" w:themeFill="background1" w:themeFillShade="D9"/>
            <w:noWrap/>
            <w:vAlign w:val="center"/>
            <w:hideMark/>
          </w:tcPr>
          <w:p w:rsidR="00087E45" w:rsidRPr="00EB61F7" w:rsidRDefault="00087E45" w:rsidP="00482B40">
            <w:pPr>
              <w:jc w:val="center"/>
              <w:rPr>
                <w:rFonts w:ascii="Calibri" w:hAnsi="Calibri"/>
                <w:b/>
                <w:color w:val="000000"/>
                <w:sz w:val="22"/>
                <w:szCs w:val="22"/>
              </w:rPr>
            </w:pPr>
            <w:r w:rsidRPr="00EB61F7">
              <w:rPr>
                <w:rFonts w:ascii="Calibri" w:hAnsi="Calibri"/>
                <w:b/>
                <w:color w:val="000000"/>
                <w:sz w:val="22"/>
                <w:szCs w:val="22"/>
              </w:rPr>
              <w:t>Rok 2014</w:t>
            </w:r>
          </w:p>
        </w:tc>
        <w:tc>
          <w:tcPr>
            <w:tcW w:w="1377" w:type="pct"/>
            <w:gridSpan w:val="2"/>
            <w:tcBorders>
              <w:top w:val="single" w:sz="12" w:space="0" w:color="auto"/>
              <w:bottom w:val="single" w:sz="8" w:space="0" w:color="auto"/>
            </w:tcBorders>
            <w:shd w:val="clear" w:color="auto" w:fill="D9D9D9" w:themeFill="background1" w:themeFillShade="D9"/>
            <w:noWrap/>
            <w:vAlign w:val="center"/>
            <w:hideMark/>
          </w:tcPr>
          <w:p w:rsidR="00087E45" w:rsidRPr="00EB61F7" w:rsidRDefault="00087E45" w:rsidP="00482B40">
            <w:pPr>
              <w:jc w:val="center"/>
              <w:rPr>
                <w:rFonts w:ascii="Calibri" w:hAnsi="Calibri"/>
                <w:b/>
                <w:color w:val="000000"/>
                <w:sz w:val="22"/>
                <w:szCs w:val="22"/>
              </w:rPr>
            </w:pPr>
            <w:r w:rsidRPr="00EB61F7">
              <w:rPr>
                <w:rFonts w:ascii="Calibri" w:hAnsi="Calibri"/>
                <w:b/>
                <w:color w:val="000000"/>
                <w:sz w:val="22"/>
                <w:szCs w:val="22"/>
              </w:rPr>
              <w:t>Rok 2013</w:t>
            </w:r>
          </w:p>
        </w:tc>
      </w:tr>
      <w:tr w:rsidR="00087E45" w:rsidRPr="00EB61F7" w:rsidTr="00482B40">
        <w:trPr>
          <w:trHeight w:val="830"/>
        </w:trPr>
        <w:tc>
          <w:tcPr>
            <w:tcW w:w="2243" w:type="pct"/>
            <w:vMerge/>
            <w:tcBorders>
              <w:top w:val="single" w:sz="8" w:space="0" w:color="auto"/>
              <w:bottom w:val="single" w:sz="8" w:space="0" w:color="auto"/>
              <w:right w:val="single" w:sz="12" w:space="0" w:color="auto"/>
            </w:tcBorders>
            <w:shd w:val="clear" w:color="auto" w:fill="D9D9D9" w:themeFill="background1" w:themeFillShade="D9"/>
            <w:vAlign w:val="center"/>
            <w:hideMark/>
          </w:tcPr>
          <w:p w:rsidR="00087E45" w:rsidRPr="00EB61F7" w:rsidRDefault="00087E45" w:rsidP="00482B40">
            <w:pPr>
              <w:rPr>
                <w:rFonts w:ascii="Calibri" w:hAnsi="Calibri"/>
                <w:b/>
                <w:color w:val="000000"/>
                <w:sz w:val="22"/>
                <w:szCs w:val="22"/>
              </w:rPr>
            </w:pPr>
          </w:p>
        </w:tc>
        <w:tc>
          <w:tcPr>
            <w:tcW w:w="1380" w:type="pct"/>
            <w:gridSpan w:val="2"/>
            <w:tcBorders>
              <w:top w:val="single" w:sz="8" w:space="0" w:color="auto"/>
              <w:left w:val="single" w:sz="12" w:space="0" w:color="auto"/>
              <w:bottom w:val="single" w:sz="8" w:space="0" w:color="auto"/>
            </w:tcBorders>
            <w:shd w:val="clear" w:color="auto" w:fill="D9D9D9" w:themeFill="background1" w:themeFillShade="D9"/>
            <w:vAlign w:val="center"/>
            <w:hideMark/>
          </w:tcPr>
          <w:p w:rsidR="00087E45" w:rsidRPr="00EB61F7" w:rsidRDefault="00087E45" w:rsidP="00482B40">
            <w:pPr>
              <w:jc w:val="center"/>
              <w:rPr>
                <w:rFonts w:ascii="Calibri" w:hAnsi="Calibri"/>
                <w:b/>
                <w:color w:val="000000"/>
                <w:sz w:val="22"/>
                <w:szCs w:val="22"/>
              </w:rPr>
            </w:pPr>
            <w:r w:rsidRPr="00EB61F7">
              <w:rPr>
                <w:rFonts w:ascii="Calibri" w:hAnsi="Calibri"/>
                <w:b/>
                <w:color w:val="000000"/>
                <w:sz w:val="22"/>
                <w:szCs w:val="22"/>
              </w:rPr>
              <w:t>Počet a podíl volných pracovních míst</w:t>
            </w:r>
          </w:p>
        </w:tc>
        <w:tc>
          <w:tcPr>
            <w:tcW w:w="1377" w:type="pct"/>
            <w:gridSpan w:val="2"/>
            <w:tcBorders>
              <w:top w:val="single" w:sz="8" w:space="0" w:color="auto"/>
              <w:bottom w:val="single" w:sz="8" w:space="0" w:color="auto"/>
            </w:tcBorders>
            <w:shd w:val="clear" w:color="auto" w:fill="D9D9D9" w:themeFill="background1" w:themeFillShade="D9"/>
            <w:vAlign w:val="center"/>
            <w:hideMark/>
          </w:tcPr>
          <w:p w:rsidR="00087E45" w:rsidRPr="00EB61F7" w:rsidRDefault="00087E45" w:rsidP="00482B40">
            <w:pPr>
              <w:jc w:val="center"/>
              <w:rPr>
                <w:rFonts w:ascii="Calibri" w:hAnsi="Calibri"/>
                <w:b/>
                <w:color w:val="000000"/>
                <w:sz w:val="22"/>
                <w:szCs w:val="22"/>
              </w:rPr>
            </w:pPr>
            <w:r w:rsidRPr="00EB61F7">
              <w:rPr>
                <w:rFonts w:ascii="Calibri" w:hAnsi="Calibri"/>
                <w:b/>
                <w:color w:val="000000"/>
                <w:sz w:val="22"/>
                <w:szCs w:val="22"/>
              </w:rPr>
              <w:t>Počet a podíl volných pracovních míst</w:t>
            </w:r>
          </w:p>
        </w:tc>
      </w:tr>
      <w:tr w:rsidR="00087E45" w:rsidRPr="00EB61F7" w:rsidTr="00482B40">
        <w:trPr>
          <w:trHeight w:val="313"/>
        </w:trPr>
        <w:tc>
          <w:tcPr>
            <w:tcW w:w="2243" w:type="pct"/>
            <w:vMerge/>
            <w:tcBorders>
              <w:top w:val="single" w:sz="8" w:space="0" w:color="auto"/>
              <w:bottom w:val="single" w:sz="8" w:space="0" w:color="auto"/>
              <w:right w:val="single" w:sz="12" w:space="0" w:color="auto"/>
            </w:tcBorders>
            <w:shd w:val="clear" w:color="auto" w:fill="D9D9D9" w:themeFill="background1" w:themeFillShade="D9"/>
            <w:vAlign w:val="center"/>
            <w:hideMark/>
          </w:tcPr>
          <w:p w:rsidR="00087E45" w:rsidRPr="00EB61F7" w:rsidRDefault="00087E45" w:rsidP="00482B40">
            <w:pPr>
              <w:rPr>
                <w:rFonts w:ascii="Calibri" w:hAnsi="Calibri"/>
                <w:b/>
                <w:color w:val="000000"/>
                <w:sz w:val="22"/>
                <w:szCs w:val="22"/>
              </w:rPr>
            </w:pPr>
          </w:p>
        </w:tc>
        <w:tc>
          <w:tcPr>
            <w:tcW w:w="848" w:type="pct"/>
            <w:tcBorders>
              <w:top w:val="single" w:sz="8" w:space="0" w:color="auto"/>
              <w:left w:val="single" w:sz="12" w:space="0" w:color="auto"/>
              <w:bottom w:val="single" w:sz="8" w:space="0" w:color="auto"/>
            </w:tcBorders>
            <w:shd w:val="clear" w:color="auto" w:fill="D9D9D9" w:themeFill="background1" w:themeFillShade="D9"/>
            <w:noWrap/>
            <w:vAlign w:val="center"/>
            <w:hideMark/>
          </w:tcPr>
          <w:p w:rsidR="00087E45" w:rsidRPr="00EB61F7" w:rsidRDefault="00087E45" w:rsidP="00482B40">
            <w:pPr>
              <w:jc w:val="center"/>
              <w:rPr>
                <w:rFonts w:ascii="Calibri" w:hAnsi="Calibri"/>
                <w:b/>
                <w:color w:val="000000"/>
                <w:sz w:val="22"/>
                <w:szCs w:val="22"/>
              </w:rPr>
            </w:pPr>
            <w:r w:rsidRPr="00EB61F7">
              <w:rPr>
                <w:rFonts w:ascii="Calibri" w:hAnsi="Calibri"/>
                <w:b/>
                <w:color w:val="000000"/>
                <w:sz w:val="22"/>
                <w:szCs w:val="22"/>
              </w:rPr>
              <w:t>celkem</w:t>
            </w:r>
          </w:p>
        </w:tc>
        <w:tc>
          <w:tcPr>
            <w:tcW w:w="532" w:type="pct"/>
            <w:tcBorders>
              <w:top w:val="single" w:sz="8" w:space="0" w:color="auto"/>
              <w:bottom w:val="single" w:sz="8" w:space="0" w:color="auto"/>
            </w:tcBorders>
            <w:shd w:val="clear" w:color="auto" w:fill="D9D9D9" w:themeFill="background1" w:themeFillShade="D9"/>
            <w:noWrap/>
            <w:vAlign w:val="center"/>
            <w:hideMark/>
          </w:tcPr>
          <w:p w:rsidR="00087E45" w:rsidRPr="00EB61F7" w:rsidRDefault="00087E45" w:rsidP="00482B40">
            <w:pPr>
              <w:jc w:val="center"/>
              <w:rPr>
                <w:rFonts w:ascii="Calibri" w:hAnsi="Calibri"/>
                <w:b/>
                <w:color w:val="000000"/>
                <w:sz w:val="22"/>
                <w:szCs w:val="22"/>
              </w:rPr>
            </w:pPr>
            <w:r w:rsidRPr="00EB61F7">
              <w:rPr>
                <w:rFonts w:ascii="Calibri" w:hAnsi="Calibri"/>
                <w:b/>
                <w:color w:val="000000"/>
                <w:sz w:val="22"/>
                <w:szCs w:val="22"/>
              </w:rPr>
              <w:t xml:space="preserve"> v %</w:t>
            </w:r>
          </w:p>
        </w:tc>
        <w:tc>
          <w:tcPr>
            <w:tcW w:w="848" w:type="pct"/>
            <w:tcBorders>
              <w:top w:val="single" w:sz="8" w:space="0" w:color="auto"/>
              <w:bottom w:val="single" w:sz="8" w:space="0" w:color="auto"/>
            </w:tcBorders>
            <w:shd w:val="clear" w:color="auto" w:fill="D9D9D9" w:themeFill="background1" w:themeFillShade="D9"/>
            <w:noWrap/>
            <w:vAlign w:val="center"/>
            <w:hideMark/>
          </w:tcPr>
          <w:p w:rsidR="00087E45" w:rsidRPr="00EB61F7" w:rsidRDefault="00087E45" w:rsidP="00482B40">
            <w:pPr>
              <w:jc w:val="center"/>
              <w:rPr>
                <w:rFonts w:ascii="Calibri" w:hAnsi="Calibri"/>
                <w:b/>
                <w:color w:val="000000"/>
                <w:sz w:val="22"/>
                <w:szCs w:val="22"/>
              </w:rPr>
            </w:pPr>
            <w:r w:rsidRPr="00EB61F7">
              <w:rPr>
                <w:rFonts w:ascii="Calibri" w:hAnsi="Calibri"/>
                <w:b/>
                <w:color w:val="000000"/>
                <w:sz w:val="22"/>
                <w:szCs w:val="22"/>
              </w:rPr>
              <w:t>celkem</w:t>
            </w:r>
          </w:p>
        </w:tc>
        <w:tc>
          <w:tcPr>
            <w:tcW w:w="529" w:type="pct"/>
            <w:tcBorders>
              <w:top w:val="single" w:sz="8" w:space="0" w:color="auto"/>
              <w:bottom w:val="single" w:sz="8" w:space="0" w:color="auto"/>
            </w:tcBorders>
            <w:shd w:val="clear" w:color="auto" w:fill="D9D9D9" w:themeFill="background1" w:themeFillShade="D9"/>
            <w:noWrap/>
            <w:vAlign w:val="center"/>
            <w:hideMark/>
          </w:tcPr>
          <w:p w:rsidR="00087E45" w:rsidRPr="00EB61F7" w:rsidRDefault="00087E45" w:rsidP="00482B40">
            <w:pPr>
              <w:jc w:val="center"/>
              <w:rPr>
                <w:rFonts w:ascii="Calibri" w:hAnsi="Calibri"/>
                <w:b/>
                <w:color w:val="000000"/>
                <w:sz w:val="22"/>
                <w:szCs w:val="22"/>
              </w:rPr>
            </w:pPr>
            <w:r w:rsidRPr="00EB61F7">
              <w:rPr>
                <w:rFonts w:ascii="Calibri" w:hAnsi="Calibri"/>
                <w:b/>
                <w:color w:val="000000"/>
                <w:sz w:val="22"/>
                <w:szCs w:val="22"/>
              </w:rPr>
              <w:t xml:space="preserve"> v %</w:t>
            </w:r>
          </w:p>
        </w:tc>
      </w:tr>
      <w:tr w:rsidR="00087E45" w:rsidRPr="00EB61F7" w:rsidTr="00482B40">
        <w:trPr>
          <w:trHeight w:hRule="exact" w:val="313"/>
        </w:trPr>
        <w:tc>
          <w:tcPr>
            <w:tcW w:w="2243" w:type="pct"/>
            <w:tcBorders>
              <w:top w:val="single" w:sz="8" w:space="0" w:color="auto"/>
              <w:bottom w:val="single" w:sz="8" w:space="0" w:color="auto"/>
              <w:right w:val="single" w:sz="12" w:space="0" w:color="auto"/>
            </w:tcBorders>
            <w:shd w:val="clear" w:color="auto" w:fill="auto"/>
            <w:noWrap/>
            <w:vAlign w:val="bottom"/>
            <w:hideMark/>
          </w:tcPr>
          <w:p w:rsidR="00087E45" w:rsidRPr="00EB61F7" w:rsidRDefault="00087E45" w:rsidP="00482B40">
            <w:pPr>
              <w:rPr>
                <w:rFonts w:ascii="Calibri" w:hAnsi="Calibri"/>
                <w:color w:val="000000"/>
                <w:sz w:val="22"/>
                <w:szCs w:val="22"/>
              </w:rPr>
            </w:pPr>
            <w:r w:rsidRPr="00EB61F7">
              <w:rPr>
                <w:rFonts w:ascii="Calibri" w:hAnsi="Calibri"/>
                <w:color w:val="000000"/>
                <w:sz w:val="22"/>
                <w:szCs w:val="22"/>
              </w:rPr>
              <w:t>základní a bez vzdělání (A - E)</w:t>
            </w:r>
          </w:p>
        </w:tc>
        <w:tc>
          <w:tcPr>
            <w:tcW w:w="848" w:type="pct"/>
            <w:tcBorders>
              <w:top w:val="single" w:sz="8" w:space="0" w:color="auto"/>
              <w:left w:val="single" w:sz="12" w:space="0" w:color="auto"/>
            </w:tcBorders>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1 270</w:t>
            </w:r>
          </w:p>
        </w:tc>
        <w:tc>
          <w:tcPr>
            <w:tcW w:w="532" w:type="pct"/>
            <w:tcBorders>
              <w:top w:val="single" w:sz="8" w:space="0" w:color="auto"/>
            </w:tcBorders>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29,4</w:t>
            </w:r>
          </w:p>
        </w:tc>
        <w:tc>
          <w:tcPr>
            <w:tcW w:w="848" w:type="pct"/>
            <w:tcBorders>
              <w:top w:val="single" w:sz="8" w:space="0" w:color="auto"/>
            </w:tcBorders>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900</w:t>
            </w:r>
          </w:p>
        </w:tc>
        <w:tc>
          <w:tcPr>
            <w:tcW w:w="529" w:type="pct"/>
            <w:tcBorders>
              <w:top w:val="single" w:sz="8" w:space="0" w:color="auto"/>
            </w:tcBorders>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31,9</w:t>
            </w:r>
          </w:p>
        </w:tc>
      </w:tr>
      <w:tr w:rsidR="00087E45" w:rsidRPr="00EB61F7" w:rsidTr="00482B40">
        <w:trPr>
          <w:trHeight w:hRule="exact" w:val="313"/>
        </w:trPr>
        <w:tc>
          <w:tcPr>
            <w:tcW w:w="2243" w:type="pct"/>
            <w:tcBorders>
              <w:top w:val="single" w:sz="8" w:space="0" w:color="auto"/>
              <w:bottom w:val="single" w:sz="8" w:space="0" w:color="auto"/>
              <w:right w:val="single" w:sz="12" w:space="0" w:color="auto"/>
            </w:tcBorders>
            <w:shd w:val="clear" w:color="auto" w:fill="auto"/>
            <w:noWrap/>
            <w:vAlign w:val="bottom"/>
            <w:hideMark/>
          </w:tcPr>
          <w:p w:rsidR="00087E45" w:rsidRPr="00EB61F7" w:rsidRDefault="00087E45" w:rsidP="00482B40">
            <w:pPr>
              <w:rPr>
                <w:rFonts w:ascii="Calibri" w:hAnsi="Calibri"/>
                <w:color w:val="000000"/>
                <w:sz w:val="22"/>
                <w:szCs w:val="22"/>
              </w:rPr>
            </w:pPr>
            <w:r w:rsidRPr="00EB61F7">
              <w:rPr>
                <w:rFonts w:ascii="Calibri" w:hAnsi="Calibri"/>
                <w:color w:val="000000"/>
                <w:sz w:val="22"/>
                <w:szCs w:val="22"/>
              </w:rPr>
              <w:t>učňovské a střední bez maturity (H, J)</w:t>
            </w:r>
          </w:p>
        </w:tc>
        <w:tc>
          <w:tcPr>
            <w:tcW w:w="848" w:type="pct"/>
            <w:tcBorders>
              <w:left w:val="single" w:sz="12" w:space="0" w:color="auto"/>
            </w:tcBorders>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1 989</w:t>
            </w:r>
          </w:p>
        </w:tc>
        <w:tc>
          <w:tcPr>
            <w:tcW w:w="532" w:type="pct"/>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46,0</w:t>
            </w:r>
          </w:p>
        </w:tc>
        <w:tc>
          <w:tcPr>
            <w:tcW w:w="848" w:type="pct"/>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1 091</w:t>
            </w:r>
          </w:p>
        </w:tc>
        <w:tc>
          <w:tcPr>
            <w:tcW w:w="529" w:type="pct"/>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38,7</w:t>
            </w:r>
          </w:p>
        </w:tc>
      </w:tr>
      <w:tr w:rsidR="00087E45" w:rsidRPr="00EB61F7" w:rsidTr="00482B40">
        <w:trPr>
          <w:trHeight w:hRule="exact" w:val="313"/>
        </w:trPr>
        <w:tc>
          <w:tcPr>
            <w:tcW w:w="2243" w:type="pct"/>
            <w:tcBorders>
              <w:top w:val="single" w:sz="8" w:space="0" w:color="auto"/>
              <w:bottom w:val="single" w:sz="8" w:space="0" w:color="auto"/>
              <w:right w:val="single" w:sz="12" w:space="0" w:color="auto"/>
            </w:tcBorders>
            <w:shd w:val="clear" w:color="auto" w:fill="auto"/>
            <w:noWrap/>
            <w:vAlign w:val="bottom"/>
            <w:hideMark/>
          </w:tcPr>
          <w:p w:rsidR="00087E45" w:rsidRPr="00EB61F7" w:rsidRDefault="00087E45" w:rsidP="00482B40">
            <w:pPr>
              <w:rPr>
                <w:rFonts w:ascii="Calibri" w:hAnsi="Calibri"/>
                <w:color w:val="000000"/>
                <w:sz w:val="22"/>
                <w:szCs w:val="22"/>
              </w:rPr>
            </w:pPr>
            <w:r w:rsidRPr="00EB61F7">
              <w:rPr>
                <w:rFonts w:ascii="Calibri" w:hAnsi="Calibri"/>
                <w:color w:val="000000"/>
                <w:sz w:val="22"/>
                <w:szCs w:val="22"/>
              </w:rPr>
              <w:t>střední s maturitou (K, L, M)</w:t>
            </w:r>
          </w:p>
        </w:tc>
        <w:tc>
          <w:tcPr>
            <w:tcW w:w="848" w:type="pct"/>
            <w:tcBorders>
              <w:left w:val="single" w:sz="12" w:space="0" w:color="auto"/>
            </w:tcBorders>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753</w:t>
            </w:r>
          </w:p>
        </w:tc>
        <w:tc>
          <w:tcPr>
            <w:tcW w:w="532" w:type="pct"/>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17,4</w:t>
            </w:r>
          </w:p>
        </w:tc>
        <w:tc>
          <w:tcPr>
            <w:tcW w:w="848" w:type="pct"/>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644</w:t>
            </w:r>
          </w:p>
        </w:tc>
        <w:tc>
          <w:tcPr>
            <w:tcW w:w="529" w:type="pct"/>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22,8</w:t>
            </w:r>
          </w:p>
        </w:tc>
      </w:tr>
      <w:tr w:rsidR="00087E45" w:rsidRPr="00EB61F7" w:rsidTr="00482B40">
        <w:trPr>
          <w:trHeight w:hRule="exact" w:val="313"/>
        </w:trPr>
        <w:tc>
          <w:tcPr>
            <w:tcW w:w="2243" w:type="pct"/>
            <w:tcBorders>
              <w:top w:val="single" w:sz="8" w:space="0" w:color="auto"/>
              <w:bottom w:val="single" w:sz="8" w:space="0" w:color="auto"/>
              <w:right w:val="single" w:sz="12" w:space="0" w:color="auto"/>
            </w:tcBorders>
            <w:shd w:val="clear" w:color="auto" w:fill="auto"/>
            <w:noWrap/>
            <w:vAlign w:val="bottom"/>
            <w:hideMark/>
          </w:tcPr>
          <w:p w:rsidR="00087E45" w:rsidRPr="00EB61F7" w:rsidRDefault="00087E45" w:rsidP="00482B40">
            <w:pPr>
              <w:rPr>
                <w:rFonts w:ascii="Calibri" w:hAnsi="Calibri"/>
                <w:color w:val="000000"/>
                <w:sz w:val="22"/>
                <w:szCs w:val="22"/>
              </w:rPr>
            </w:pPr>
            <w:r w:rsidRPr="00EB61F7">
              <w:rPr>
                <w:rFonts w:ascii="Calibri" w:hAnsi="Calibri"/>
                <w:color w:val="000000"/>
                <w:sz w:val="22"/>
                <w:szCs w:val="22"/>
              </w:rPr>
              <w:t xml:space="preserve">vyšší a </w:t>
            </w:r>
            <w:r w:rsidR="00300538" w:rsidRPr="00EB61F7">
              <w:rPr>
                <w:rFonts w:ascii="Calibri" w:hAnsi="Calibri"/>
                <w:color w:val="000000"/>
                <w:sz w:val="22"/>
                <w:szCs w:val="22"/>
              </w:rPr>
              <w:t>vysokoškolské (N, R</w:t>
            </w:r>
            <w:r w:rsidR="00300538">
              <w:rPr>
                <w:rFonts w:ascii="Calibri" w:hAnsi="Calibri"/>
                <w:color w:val="000000"/>
                <w:sz w:val="22"/>
                <w:szCs w:val="22"/>
              </w:rPr>
              <w:t>,</w:t>
            </w:r>
            <w:r w:rsidR="00300538" w:rsidRPr="00EB61F7">
              <w:rPr>
                <w:rFonts w:ascii="Calibri" w:hAnsi="Calibri"/>
                <w:color w:val="000000"/>
                <w:sz w:val="22"/>
                <w:szCs w:val="22"/>
              </w:rPr>
              <w:t xml:space="preserve"> T, V)</w:t>
            </w:r>
          </w:p>
        </w:tc>
        <w:tc>
          <w:tcPr>
            <w:tcW w:w="848" w:type="pct"/>
            <w:tcBorders>
              <w:left w:val="single" w:sz="12" w:space="0" w:color="auto"/>
            </w:tcBorders>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311</w:t>
            </w:r>
          </w:p>
        </w:tc>
        <w:tc>
          <w:tcPr>
            <w:tcW w:w="532" w:type="pct"/>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7,2</w:t>
            </w:r>
          </w:p>
        </w:tc>
        <w:tc>
          <w:tcPr>
            <w:tcW w:w="848" w:type="pct"/>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185</w:t>
            </w:r>
          </w:p>
        </w:tc>
        <w:tc>
          <w:tcPr>
            <w:tcW w:w="529" w:type="pct"/>
            <w:shd w:val="clear" w:color="auto" w:fill="auto"/>
            <w:noWrap/>
            <w:vAlign w:val="bottom"/>
          </w:tcPr>
          <w:p w:rsidR="00087E45" w:rsidRDefault="00087E45" w:rsidP="00482B40">
            <w:pPr>
              <w:jc w:val="right"/>
              <w:rPr>
                <w:rFonts w:ascii="Calibri" w:hAnsi="Calibri"/>
                <w:color w:val="000000"/>
                <w:sz w:val="22"/>
                <w:szCs w:val="22"/>
              </w:rPr>
            </w:pPr>
            <w:r>
              <w:rPr>
                <w:rFonts w:ascii="Calibri" w:hAnsi="Calibri"/>
                <w:color w:val="000000"/>
                <w:sz w:val="22"/>
                <w:szCs w:val="22"/>
              </w:rPr>
              <w:t>6,6</w:t>
            </w:r>
          </w:p>
        </w:tc>
      </w:tr>
      <w:tr w:rsidR="00087E45" w:rsidRPr="00EB61F7" w:rsidTr="00482B40">
        <w:trPr>
          <w:trHeight w:hRule="exact" w:val="313"/>
        </w:trPr>
        <w:tc>
          <w:tcPr>
            <w:tcW w:w="2243" w:type="pct"/>
            <w:tcBorders>
              <w:top w:val="single" w:sz="8" w:space="0" w:color="auto"/>
              <w:bottom w:val="single" w:sz="12" w:space="0" w:color="auto"/>
              <w:right w:val="single" w:sz="12" w:space="0" w:color="auto"/>
            </w:tcBorders>
            <w:shd w:val="clear" w:color="auto" w:fill="auto"/>
            <w:noWrap/>
            <w:vAlign w:val="bottom"/>
            <w:hideMark/>
          </w:tcPr>
          <w:p w:rsidR="00087E45" w:rsidRPr="00EB61F7" w:rsidRDefault="00087E45" w:rsidP="00482B40">
            <w:pPr>
              <w:rPr>
                <w:rFonts w:ascii="Calibri" w:hAnsi="Calibri"/>
                <w:b/>
                <w:color w:val="000000"/>
                <w:sz w:val="22"/>
                <w:szCs w:val="22"/>
              </w:rPr>
            </w:pPr>
            <w:r w:rsidRPr="00EB61F7">
              <w:rPr>
                <w:rFonts w:ascii="Calibri" w:hAnsi="Calibri"/>
                <w:b/>
                <w:color w:val="000000"/>
                <w:sz w:val="22"/>
                <w:szCs w:val="22"/>
              </w:rPr>
              <w:t>Celkem</w:t>
            </w:r>
          </w:p>
        </w:tc>
        <w:tc>
          <w:tcPr>
            <w:tcW w:w="848" w:type="pct"/>
            <w:tcBorders>
              <w:left w:val="single" w:sz="12" w:space="0" w:color="auto"/>
            </w:tcBorders>
            <w:shd w:val="clear" w:color="auto" w:fill="auto"/>
            <w:noWrap/>
            <w:vAlign w:val="bottom"/>
          </w:tcPr>
          <w:p w:rsidR="00087E45" w:rsidRPr="003B74D3" w:rsidRDefault="00087E45" w:rsidP="00482B40">
            <w:pPr>
              <w:jc w:val="right"/>
              <w:rPr>
                <w:rFonts w:ascii="Calibri" w:hAnsi="Calibri"/>
                <w:b/>
                <w:color w:val="000000"/>
                <w:sz w:val="22"/>
                <w:szCs w:val="22"/>
              </w:rPr>
            </w:pPr>
            <w:r w:rsidRPr="003B74D3">
              <w:rPr>
                <w:rFonts w:ascii="Calibri" w:hAnsi="Calibri"/>
                <w:b/>
                <w:color w:val="000000"/>
                <w:sz w:val="22"/>
                <w:szCs w:val="22"/>
              </w:rPr>
              <w:t>4 322</w:t>
            </w:r>
          </w:p>
        </w:tc>
        <w:tc>
          <w:tcPr>
            <w:tcW w:w="532" w:type="pct"/>
            <w:shd w:val="clear" w:color="auto" w:fill="auto"/>
            <w:noWrap/>
            <w:vAlign w:val="bottom"/>
          </w:tcPr>
          <w:p w:rsidR="00087E45" w:rsidRPr="003B74D3" w:rsidRDefault="00087E45" w:rsidP="00482B40">
            <w:pPr>
              <w:jc w:val="right"/>
              <w:rPr>
                <w:rFonts w:ascii="Calibri" w:hAnsi="Calibri"/>
                <w:b/>
                <w:color w:val="000000"/>
                <w:sz w:val="22"/>
                <w:szCs w:val="22"/>
              </w:rPr>
            </w:pPr>
            <w:r w:rsidRPr="003B74D3">
              <w:rPr>
                <w:rFonts w:ascii="Calibri" w:hAnsi="Calibri"/>
                <w:b/>
                <w:color w:val="000000"/>
                <w:sz w:val="22"/>
                <w:szCs w:val="22"/>
              </w:rPr>
              <w:t>100,0</w:t>
            </w:r>
          </w:p>
        </w:tc>
        <w:tc>
          <w:tcPr>
            <w:tcW w:w="848" w:type="pct"/>
            <w:shd w:val="clear" w:color="auto" w:fill="auto"/>
            <w:noWrap/>
            <w:vAlign w:val="bottom"/>
          </w:tcPr>
          <w:p w:rsidR="00087E45" w:rsidRPr="003B74D3" w:rsidRDefault="00087E45" w:rsidP="00482B40">
            <w:pPr>
              <w:jc w:val="right"/>
              <w:rPr>
                <w:rFonts w:ascii="Calibri" w:hAnsi="Calibri"/>
                <w:b/>
                <w:color w:val="000000"/>
                <w:sz w:val="22"/>
                <w:szCs w:val="22"/>
              </w:rPr>
            </w:pPr>
            <w:r w:rsidRPr="003B74D3">
              <w:rPr>
                <w:rFonts w:ascii="Calibri" w:hAnsi="Calibri"/>
                <w:b/>
                <w:color w:val="000000"/>
                <w:sz w:val="22"/>
                <w:szCs w:val="22"/>
              </w:rPr>
              <w:t>2 819</w:t>
            </w:r>
          </w:p>
        </w:tc>
        <w:tc>
          <w:tcPr>
            <w:tcW w:w="529" w:type="pct"/>
            <w:shd w:val="clear" w:color="auto" w:fill="auto"/>
            <w:noWrap/>
            <w:vAlign w:val="bottom"/>
          </w:tcPr>
          <w:p w:rsidR="00087E45" w:rsidRPr="003B74D3" w:rsidRDefault="00087E45" w:rsidP="00482B40">
            <w:pPr>
              <w:jc w:val="right"/>
              <w:rPr>
                <w:rFonts w:ascii="Calibri" w:hAnsi="Calibri"/>
                <w:b/>
                <w:color w:val="000000"/>
                <w:sz w:val="22"/>
                <w:szCs w:val="22"/>
              </w:rPr>
            </w:pPr>
            <w:r w:rsidRPr="003B74D3">
              <w:rPr>
                <w:rFonts w:ascii="Calibri" w:hAnsi="Calibri"/>
                <w:b/>
                <w:color w:val="000000"/>
                <w:sz w:val="22"/>
                <w:szCs w:val="22"/>
              </w:rPr>
              <w:t>100,0</w:t>
            </w:r>
          </w:p>
        </w:tc>
      </w:tr>
    </w:tbl>
    <w:p w:rsidR="00087E45" w:rsidRPr="002B21A4" w:rsidRDefault="00087E45" w:rsidP="00087E45">
      <w:pPr>
        <w:rPr>
          <w:rFonts w:ascii="Arial" w:hAnsi="Arial" w:cs="Arial"/>
          <w:sz w:val="20"/>
          <w:szCs w:val="20"/>
        </w:rPr>
      </w:pPr>
      <w:r w:rsidRPr="002B21A4">
        <w:rPr>
          <w:rFonts w:ascii="Arial" w:hAnsi="Arial" w:cs="Arial"/>
          <w:b/>
          <w:sz w:val="20"/>
          <w:szCs w:val="20"/>
        </w:rPr>
        <w:t>Pramen</w:t>
      </w:r>
      <w:r w:rsidRPr="002B21A4">
        <w:rPr>
          <w:rFonts w:ascii="Arial" w:hAnsi="Arial" w:cs="Arial"/>
          <w:sz w:val="20"/>
          <w:szCs w:val="20"/>
        </w:rPr>
        <w:t>: MPSV ČR, čtvrtletní statistiky, 201</w:t>
      </w:r>
      <w:r>
        <w:rPr>
          <w:rFonts w:ascii="Arial" w:hAnsi="Arial" w:cs="Arial"/>
          <w:sz w:val="20"/>
          <w:szCs w:val="20"/>
        </w:rPr>
        <w:t>4</w:t>
      </w:r>
    </w:p>
    <w:p w:rsidR="00087E45" w:rsidRDefault="00087E45" w:rsidP="00087E45">
      <w:pPr>
        <w:jc w:val="both"/>
        <w:rPr>
          <w:rFonts w:asciiTheme="minorHAnsi" w:hAnsiTheme="minorHAnsi"/>
          <w:bCs/>
          <w:color w:val="FF0000"/>
        </w:rPr>
      </w:pPr>
    </w:p>
    <w:p w:rsidR="00087E45" w:rsidRPr="0084055C" w:rsidRDefault="00087E45" w:rsidP="00087E45">
      <w:pPr>
        <w:jc w:val="both"/>
        <w:rPr>
          <w:rFonts w:ascii="Arial" w:hAnsi="Arial" w:cs="Arial"/>
          <w:color w:val="FF0000"/>
          <w:sz w:val="22"/>
          <w:szCs w:val="22"/>
        </w:rPr>
      </w:pPr>
      <w:r w:rsidRPr="0084055C">
        <w:rPr>
          <w:rFonts w:ascii="Arial" w:hAnsi="Arial" w:cs="Arial"/>
          <w:sz w:val="22"/>
          <w:szCs w:val="22"/>
        </w:rPr>
        <w:t>V průběhu roku 201</w:t>
      </w:r>
      <w:r>
        <w:rPr>
          <w:rFonts w:ascii="Arial" w:hAnsi="Arial" w:cs="Arial"/>
          <w:sz w:val="22"/>
          <w:szCs w:val="22"/>
        </w:rPr>
        <w:t>4</w:t>
      </w:r>
      <w:r w:rsidRPr="0084055C">
        <w:rPr>
          <w:rFonts w:ascii="Arial" w:hAnsi="Arial" w:cs="Arial"/>
          <w:sz w:val="22"/>
          <w:szCs w:val="22"/>
        </w:rPr>
        <w:t xml:space="preserve">, stejně jako v předchozím období, se úřadům práce nedařilo dlouhodobě obsazovat některá volná pracovní místa. </w:t>
      </w:r>
      <w:r w:rsidR="00AD2C21">
        <w:rPr>
          <w:rFonts w:ascii="Arial" w:hAnsi="Arial" w:cs="Arial"/>
          <w:sz w:val="22"/>
          <w:szCs w:val="22"/>
        </w:rPr>
        <w:t>Jednalo se především o kvalifiko</w:t>
      </w:r>
      <w:r w:rsidR="00063CD1">
        <w:rPr>
          <w:rFonts w:ascii="Arial" w:hAnsi="Arial" w:cs="Arial"/>
          <w:sz w:val="22"/>
          <w:szCs w:val="22"/>
        </w:rPr>
        <w:t>vané strojírenské profese (seřizovači a obsluha CNC, svářeči, soustružníci, brusiči atd.), ale také např. řidiči nákladních automobilů. Zde je důvodem především nedostatek vhodných uchazečů s potřebnou kvalifikací. Na druhé straně mezi obtížně obsaditelná patří i místa pro nekvalifikované,</w:t>
      </w:r>
      <w:r w:rsidR="002F4C0E">
        <w:rPr>
          <w:rFonts w:ascii="Arial" w:hAnsi="Arial" w:cs="Arial"/>
          <w:sz w:val="22"/>
          <w:szCs w:val="22"/>
        </w:rPr>
        <w:t xml:space="preserve"> </w:t>
      </w:r>
      <w:r w:rsidR="00063CD1">
        <w:rPr>
          <w:rFonts w:ascii="Arial" w:hAnsi="Arial" w:cs="Arial"/>
          <w:sz w:val="22"/>
          <w:szCs w:val="22"/>
        </w:rPr>
        <w:t>u kterých je nabízena nízká (většinou minimální mzda) nebo se jedná o fyzicky namáhavou práci (sezonní dělníci v zemědělství a stavebnictví).</w:t>
      </w:r>
    </w:p>
    <w:p w:rsidR="00087E45" w:rsidRDefault="00087E45" w:rsidP="00087E45">
      <w:pPr>
        <w:jc w:val="both"/>
        <w:rPr>
          <w:rFonts w:ascii="Arial" w:hAnsi="Arial" w:cs="Arial"/>
          <w:sz w:val="22"/>
          <w:szCs w:val="22"/>
        </w:rPr>
      </w:pPr>
    </w:p>
    <w:p w:rsidR="00087E45" w:rsidRDefault="00087E45" w:rsidP="001378C5">
      <w:pPr>
        <w:jc w:val="both"/>
      </w:pPr>
      <w:r w:rsidRPr="00EA42D4">
        <w:rPr>
          <w:rFonts w:ascii="Arial" w:hAnsi="Arial" w:cs="Arial"/>
          <w:sz w:val="22"/>
          <w:szCs w:val="22"/>
        </w:rPr>
        <w:t>V evidenci volných míst převažují z hlediska kategorií zaměstnání především místa vhodná pro profese manuální. V hlavních třídách 5 - 9 CZ-ISCO bylo průměrně v roce 2014 evidováno 3 133 pracovních míst (tj. 72,8 % z jejich celkového úhrnu). Z</w:t>
      </w:r>
      <w:r w:rsidR="007773FE">
        <w:rPr>
          <w:rFonts w:ascii="Arial" w:hAnsi="Arial" w:cs="Arial"/>
          <w:sz w:val="22"/>
          <w:szCs w:val="22"/>
        </w:rPr>
        <w:t> </w:t>
      </w:r>
      <w:r w:rsidRPr="00EA42D4">
        <w:rPr>
          <w:rFonts w:ascii="Arial" w:hAnsi="Arial" w:cs="Arial"/>
          <w:sz w:val="22"/>
          <w:szCs w:val="22"/>
        </w:rPr>
        <w:t>toho</w:t>
      </w:r>
      <w:r w:rsidR="007773FE">
        <w:rPr>
          <w:rFonts w:ascii="Arial" w:hAnsi="Arial" w:cs="Arial"/>
          <w:sz w:val="22"/>
          <w:szCs w:val="22"/>
        </w:rPr>
        <w:t xml:space="preserve"> </w:t>
      </w:r>
      <w:r w:rsidR="002F4C0E">
        <w:rPr>
          <w:rFonts w:ascii="Arial" w:hAnsi="Arial" w:cs="Arial"/>
          <w:sz w:val="22"/>
          <w:szCs w:val="22"/>
        </w:rPr>
        <w:t>třetina (</w:t>
      </w:r>
      <w:r w:rsidR="002F4C0E" w:rsidRPr="00EA42D4">
        <w:rPr>
          <w:rFonts w:ascii="Arial" w:hAnsi="Arial" w:cs="Arial"/>
          <w:sz w:val="22"/>
          <w:szCs w:val="22"/>
        </w:rPr>
        <w:t>1</w:t>
      </w:r>
      <w:r w:rsidR="002F4C0E">
        <w:rPr>
          <w:rFonts w:ascii="Arial" w:hAnsi="Arial" w:cs="Arial"/>
          <w:sz w:val="22"/>
          <w:szCs w:val="22"/>
        </w:rPr>
        <w:t xml:space="preserve"> 028 </w:t>
      </w:r>
      <w:r w:rsidR="002F4C0E" w:rsidRPr="00EA42D4">
        <w:rPr>
          <w:rFonts w:ascii="Arial" w:hAnsi="Arial" w:cs="Arial"/>
          <w:sz w:val="22"/>
          <w:szCs w:val="22"/>
        </w:rPr>
        <w:t>míst</w:t>
      </w:r>
      <w:r w:rsidR="002F4C0E">
        <w:rPr>
          <w:rFonts w:ascii="Arial" w:hAnsi="Arial" w:cs="Arial"/>
          <w:sz w:val="22"/>
          <w:szCs w:val="22"/>
        </w:rPr>
        <w:t xml:space="preserve">) </w:t>
      </w:r>
      <w:r w:rsidR="007773FE">
        <w:rPr>
          <w:rFonts w:ascii="Arial" w:hAnsi="Arial" w:cs="Arial"/>
          <w:sz w:val="22"/>
          <w:szCs w:val="22"/>
        </w:rPr>
        <w:t>připadala na</w:t>
      </w:r>
      <w:r w:rsidRPr="00EA42D4">
        <w:rPr>
          <w:rFonts w:ascii="Arial" w:hAnsi="Arial" w:cs="Arial"/>
          <w:sz w:val="22"/>
          <w:szCs w:val="22"/>
        </w:rPr>
        <w:t xml:space="preserve"> </w:t>
      </w:r>
      <w:r w:rsidR="007773FE">
        <w:rPr>
          <w:rFonts w:ascii="Arial" w:hAnsi="Arial" w:cs="Arial"/>
          <w:sz w:val="22"/>
          <w:szCs w:val="22"/>
        </w:rPr>
        <w:t xml:space="preserve">kvalifikované </w:t>
      </w:r>
      <w:r w:rsidRPr="00EA42D4">
        <w:rPr>
          <w:rFonts w:ascii="Arial" w:hAnsi="Arial" w:cs="Arial"/>
          <w:sz w:val="22"/>
          <w:szCs w:val="22"/>
        </w:rPr>
        <w:t>dělnick</w:t>
      </w:r>
      <w:r w:rsidR="002F4C0E">
        <w:rPr>
          <w:rFonts w:ascii="Arial" w:hAnsi="Arial" w:cs="Arial"/>
          <w:sz w:val="22"/>
          <w:szCs w:val="22"/>
        </w:rPr>
        <w:t>é</w:t>
      </w:r>
      <w:r w:rsidRPr="00EA42D4">
        <w:rPr>
          <w:rFonts w:ascii="Arial" w:hAnsi="Arial" w:cs="Arial"/>
          <w:sz w:val="22"/>
          <w:szCs w:val="22"/>
        </w:rPr>
        <w:t xml:space="preserve"> profes</w:t>
      </w:r>
      <w:r w:rsidR="002F4C0E">
        <w:rPr>
          <w:rFonts w:ascii="Arial" w:hAnsi="Arial" w:cs="Arial"/>
          <w:sz w:val="22"/>
          <w:szCs w:val="22"/>
        </w:rPr>
        <w:t xml:space="preserve">e v </w:t>
      </w:r>
      <w:r w:rsidRPr="00EA42D4">
        <w:rPr>
          <w:rFonts w:ascii="Arial" w:hAnsi="Arial" w:cs="Arial"/>
          <w:sz w:val="22"/>
          <w:szCs w:val="22"/>
        </w:rPr>
        <w:t>7. hlavní třídě CZ-ISCO</w:t>
      </w:r>
      <w:r w:rsidR="002F4C0E">
        <w:rPr>
          <w:rFonts w:ascii="Arial" w:hAnsi="Arial" w:cs="Arial"/>
          <w:sz w:val="22"/>
          <w:szCs w:val="22"/>
        </w:rPr>
        <w:t xml:space="preserve"> - </w:t>
      </w:r>
      <w:r w:rsidR="002F4C0E" w:rsidRPr="00EA42D4">
        <w:rPr>
          <w:rFonts w:ascii="Arial" w:hAnsi="Arial" w:cs="Arial"/>
          <w:sz w:val="22"/>
          <w:szCs w:val="22"/>
        </w:rPr>
        <w:t>Řemeslníci a kvalifikovaní výrobci</w:t>
      </w:r>
      <w:r w:rsidR="002F4C0E">
        <w:rPr>
          <w:rFonts w:ascii="Arial" w:hAnsi="Arial" w:cs="Arial"/>
          <w:sz w:val="22"/>
          <w:szCs w:val="22"/>
        </w:rPr>
        <w:t>,</w:t>
      </w:r>
      <w:r w:rsidR="002F4C0E" w:rsidRPr="00EA42D4">
        <w:rPr>
          <w:rFonts w:ascii="Arial" w:hAnsi="Arial" w:cs="Arial"/>
          <w:sz w:val="22"/>
          <w:szCs w:val="22"/>
        </w:rPr>
        <w:t xml:space="preserve"> zpracovatelé a opraváři</w:t>
      </w:r>
      <w:r w:rsidR="002F4C0E">
        <w:rPr>
          <w:rFonts w:ascii="Arial" w:hAnsi="Arial" w:cs="Arial"/>
          <w:sz w:val="22"/>
          <w:szCs w:val="22"/>
        </w:rPr>
        <w:t>.</w:t>
      </w:r>
      <w:r w:rsidRPr="00EA42D4">
        <w:rPr>
          <w:rFonts w:ascii="Arial" w:hAnsi="Arial" w:cs="Arial"/>
          <w:sz w:val="22"/>
          <w:szCs w:val="22"/>
        </w:rPr>
        <w:t xml:space="preserve"> </w:t>
      </w:r>
      <w:r w:rsidR="002F4C0E">
        <w:rPr>
          <w:rFonts w:ascii="Arial" w:hAnsi="Arial" w:cs="Arial"/>
          <w:sz w:val="22"/>
          <w:szCs w:val="22"/>
        </w:rPr>
        <w:t>Tato třída zaznamenala v</w:t>
      </w:r>
      <w:r w:rsidRPr="00EA42D4">
        <w:rPr>
          <w:rFonts w:ascii="Arial" w:hAnsi="Arial" w:cs="Arial"/>
          <w:sz w:val="22"/>
          <w:szCs w:val="22"/>
        </w:rPr>
        <w:t xml:space="preserve"> uplynulém roce </w:t>
      </w:r>
      <w:r w:rsidR="002F4C0E">
        <w:rPr>
          <w:rFonts w:ascii="Arial" w:hAnsi="Arial" w:cs="Arial"/>
          <w:sz w:val="22"/>
          <w:szCs w:val="22"/>
        </w:rPr>
        <w:t>výrazný</w:t>
      </w:r>
      <w:r w:rsidR="002F4C0E" w:rsidRPr="00EA42D4">
        <w:rPr>
          <w:rFonts w:ascii="Arial" w:hAnsi="Arial" w:cs="Arial"/>
          <w:sz w:val="22"/>
          <w:szCs w:val="22"/>
        </w:rPr>
        <w:t xml:space="preserve"> nárůst nabídky volných</w:t>
      </w:r>
      <w:r w:rsidR="002F4C0E">
        <w:rPr>
          <w:rFonts w:ascii="Arial" w:hAnsi="Arial" w:cs="Arial"/>
          <w:sz w:val="22"/>
          <w:szCs w:val="22"/>
        </w:rPr>
        <w:t xml:space="preserve"> pracovních a stala </w:t>
      </w:r>
      <w:r w:rsidRPr="00EA42D4">
        <w:rPr>
          <w:rFonts w:ascii="Arial" w:hAnsi="Arial" w:cs="Arial"/>
          <w:sz w:val="22"/>
          <w:szCs w:val="22"/>
        </w:rPr>
        <w:t xml:space="preserve">se nejžádanější třídou </w:t>
      </w:r>
      <w:r w:rsidR="002F4C0E">
        <w:rPr>
          <w:rFonts w:ascii="Arial" w:hAnsi="Arial" w:cs="Arial"/>
          <w:sz w:val="22"/>
          <w:szCs w:val="22"/>
        </w:rPr>
        <w:t>CZ-ISCO.</w:t>
      </w:r>
      <w:r w:rsidRPr="00EA42D4">
        <w:rPr>
          <w:rFonts w:ascii="Arial" w:hAnsi="Arial" w:cs="Arial"/>
          <w:sz w:val="22"/>
          <w:szCs w:val="22"/>
        </w:rPr>
        <w:t xml:space="preserve"> </w:t>
      </w:r>
      <w:r w:rsidR="002F4C0E">
        <w:rPr>
          <w:rFonts w:ascii="Arial" w:hAnsi="Arial" w:cs="Arial"/>
          <w:sz w:val="22"/>
          <w:szCs w:val="22"/>
        </w:rPr>
        <w:t>Relativně nejvyšší byl však nárůst nabídky pracovních míst v 8</w:t>
      </w:r>
      <w:r w:rsidR="002F4C0E" w:rsidRPr="00EA42D4">
        <w:rPr>
          <w:rFonts w:ascii="Arial" w:hAnsi="Arial" w:cs="Arial"/>
          <w:sz w:val="22"/>
          <w:szCs w:val="22"/>
        </w:rPr>
        <w:t>. hlavní třídě CZ-ISCO</w:t>
      </w:r>
      <w:r w:rsidR="002F4C0E">
        <w:rPr>
          <w:rFonts w:ascii="Arial" w:hAnsi="Arial" w:cs="Arial"/>
          <w:sz w:val="22"/>
          <w:szCs w:val="22"/>
        </w:rPr>
        <w:t xml:space="preserve"> – Obsluha strojů a zařízení, </w:t>
      </w:r>
      <w:r w:rsidR="001378C5">
        <w:rPr>
          <w:rFonts w:ascii="Arial" w:hAnsi="Arial" w:cs="Arial"/>
          <w:sz w:val="22"/>
          <w:szCs w:val="22"/>
        </w:rPr>
        <w:t xml:space="preserve">kde počet nabízených míst stoupl oproti předchozímu roku na trojnásobek. </w:t>
      </w:r>
    </w:p>
    <w:p w:rsidR="00087E45" w:rsidRDefault="00087E45" w:rsidP="00087E45">
      <w:pPr>
        <w:rPr>
          <w:rFonts w:ascii="Arial" w:hAnsi="Arial" w:cs="Arial"/>
          <w:b/>
          <w:sz w:val="20"/>
          <w:szCs w:val="20"/>
        </w:rPr>
      </w:pPr>
    </w:p>
    <w:p w:rsidR="00087E45" w:rsidRPr="00F91C2E" w:rsidRDefault="00795A25" w:rsidP="00F91C2E">
      <w:pPr>
        <w:pStyle w:val="Bezmezer"/>
        <w:rPr>
          <w:rFonts w:ascii="Arial" w:hAnsi="Arial" w:cs="Arial"/>
          <w:b/>
          <w:sz w:val="20"/>
          <w:szCs w:val="20"/>
        </w:rPr>
      </w:pPr>
      <w:r w:rsidRPr="00F91C2E">
        <w:rPr>
          <w:rFonts w:ascii="Arial" w:hAnsi="Arial" w:cs="Arial"/>
          <w:b/>
          <w:sz w:val="20"/>
          <w:szCs w:val="20"/>
        </w:rPr>
        <w:t xml:space="preserve">Tab. </w:t>
      </w:r>
      <w:r w:rsidRPr="00F91C2E">
        <w:rPr>
          <w:rFonts w:ascii="Arial" w:hAnsi="Arial" w:cs="Arial"/>
          <w:b/>
          <w:sz w:val="20"/>
          <w:szCs w:val="20"/>
        </w:rPr>
        <w:fldChar w:fldCharType="begin"/>
      </w:r>
      <w:r w:rsidRPr="00F91C2E">
        <w:rPr>
          <w:rFonts w:ascii="Arial" w:hAnsi="Arial" w:cs="Arial"/>
          <w:b/>
          <w:sz w:val="20"/>
          <w:szCs w:val="20"/>
        </w:rPr>
        <w:instrText xml:space="preserve"> SEQ Tab. \* ARABIC </w:instrText>
      </w:r>
      <w:r w:rsidRPr="00F91C2E">
        <w:rPr>
          <w:rFonts w:ascii="Arial" w:hAnsi="Arial" w:cs="Arial"/>
          <w:b/>
          <w:sz w:val="20"/>
          <w:szCs w:val="20"/>
        </w:rPr>
        <w:fldChar w:fldCharType="separate"/>
      </w:r>
      <w:r w:rsidR="004378F3">
        <w:rPr>
          <w:rFonts w:ascii="Arial" w:hAnsi="Arial" w:cs="Arial"/>
          <w:b/>
          <w:noProof/>
          <w:sz w:val="20"/>
          <w:szCs w:val="20"/>
        </w:rPr>
        <w:t>5</w:t>
      </w:r>
      <w:r w:rsidRPr="00F91C2E">
        <w:rPr>
          <w:rFonts w:ascii="Arial" w:hAnsi="Arial" w:cs="Arial"/>
          <w:b/>
          <w:sz w:val="20"/>
          <w:szCs w:val="20"/>
        </w:rPr>
        <w:fldChar w:fldCharType="end"/>
      </w:r>
      <w:r w:rsidR="00087E45" w:rsidRPr="00F91C2E">
        <w:rPr>
          <w:rFonts w:ascii="Arial" w:hAnsi="Arial" w:cs="Arial"/>
          <w:b/>
          <w:sz w:val="20"/>
          <w:szCs w:val="20"/>
        </w:rPr>
        <w:t xml:space="preserve">: Struktura volných míst v Jihomoravském kraji podle hlavních tříd kategorie zaměstnání (CZ-ISCO) </w:t>
      </w:r>
    </w:p>
    <w:tbl>
      <w:tblPr>
        <w:tblpPr w:leftFromText="141" w:rightFromText="141" w:vertAnchor="text" w:horzAnchor="margin" w:tblpXSpec="center" w:tblpY="143"/>
        <w:tblW w:w="9072"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477"/>
        <w:gridCol w:w="1158"/>
        <w:gridCol w:w="1158"/>
        <w:gridCol w:w="1279"/>
      </w:tblGrid>
      <w:tr w:rsidR="00087E45" w:rsidRPr="00104500" w:rsidTr="00482B40">
        <w:trPr>
          <w:trHeight w:val="340"/>
          <w:jc w:val="center"/>
        </w:trPr>
        <w:tc>
          <w:tcPr>
            <w:tcW w:w="3019" w:type="pct"/>
            <w:vMerge w:val="restart"/>
            <w:tcBorders>
              <w:top w:val="single" w:sz="12" w:space="0" w:color="auto"/>
              <w:bottom w:val="single" w:sz="8" w:space="0" w:color="auto"/>
              <w:right w:val="single" w:sz="12" w:space="0" w:color="auto"/>
            </w:tcBorders>
            <w:shd w:val="clear" w:color="auto" w:fill="D9D9D9" w:themeFill="background1" w:themeFillShade="D9"/>
            <w:vAlign w:val="center"/>
            <w:hideMark/>
          </w:tcPr>
          <w:p w:rsidR="00087E45" w:rsidRPr="00104500" w:rsidRDefault="00087E45" w:rsidP="00482B40">
            <w:pPr>
              <w:jc w:val="center"/>
              <w:rPr>
                <w:rFonts w:asciiTheme="minorHAnsi" w:hAnsiTheme="minorHAnsi"/>
                <w:b/>
                <w:bCs/>
                <w:color w:val="000000"/>
              </w:rPr>
            </w:pPr>
            <w:r w:rsidRPr="00104500">
              <w:rPr>
                <w:rFonts w:asciiTheme="minorHAnsi" w:hAnsiTheme="minorHAnsi"/>
                <w:b/>
                <w:bCs/>
                <w:color w:val="000000"/>
                <w:sz w:val="22"/>
                <w:szCs w:val="22"/>
              </w:rPr>
              <w:t>Kategorie zaměstnání</w:t>
            </w:r>
          </w:p>
        </w:tc>
        <w:tc>
          <w:tcPr>
            <w:tcW w:w="638" w:type="pct"/>
            <w:vMerge w:val="restart"/>
            <w:tcBorders>
              <w:top w:val="single" w:sz="12" w:space="0" w:color="auto"/>
              <w:left w:val="single" w:sz="12" w:space="0" w:color="auto"/>
              <w:bottom w:val="single" w:sz="8" w:space="0" w:color="auto"/>
            </w:tcBorders>
            <w:shd w:val="clear" w:color="auto" w:fill="D9D9D9" w:themeFill="background1" w:themeFillShade="D9"/>
            <w:vAlign w:val="center"/>
            <w:hideMark/>
          </w:tcPr>
          <w:p w:rsidR="00087E45" w:rsidRPr="00104500" w:rsidRDefault="00087E45" w:rsidP="00482B40">
            <w:pPr>
              <w:jc w:val="center"/>
              <w:rPr>
                <w:rFonts w:asciiTheme="minorHAnsi" w:hAnsiTheme="minorHAnsi"/>
                <w:b/>
                <w:bCs/>
                <w:color w:val="000000"/>
              </w:rPr>
            </w:pPr>
            <w:r w:rsidRPr="00104500">
              <w:rPr>
                <w:rFonts w:asciiTheme="minorHAnsi" w:hAnsiTheme="minorHAnsi"/>
                <w:b/>
                <w:bCs/>
                <w:color w:val="000000"/>
                <w:sz w:val="22"/>
                <w:szCs w:val="22"/>
              </w:rPr>
              <w:t>Hlavní třída      CZ-ISCO</w:t>
            </w:r>
          </w:p>
        </w:tc>
        <w:tc>
          <w:tcPr>
            <w:tcW w:w="1343" w:type="pct"/>
            <w:gridSpan w:val="2"/>
            <w:vMerge w:val="restart"/>
            <w:tcBorders>
              <w:top w:val="single" w:sz="12" w:space="0" w:color="auto"/>
              <w:bottom w:val="single" w:sz="8" w:space="0" w:color="auto"/>
            </w:tcBorders>
            <w:shd w:val="clear" w:color="auto" w:fill="D9D9D9" w:themeFill="background1" w:themeFillShade="D9"/>
            <w:vAlign w:val="center"/>
            <w:hideMark/>
          </w:tcPr>
          <w:p w:rsidR="00087E45" w:rsidRPr="00104500" w:rsidRDefault="00087E45" w:rsidP="00482B40">
            <w:pPr>
              <w:jc w:val="center"/>
              <w:rPr>
                <w:rFonts w:asciiTheme="minorHAnsi" w:hAnsiTheme="minorHAnsi"/>
                <w:b/>
                <w:bCs/>
                <w:color w:val="000000"/>
              </w:rPr>
            </w:pPr>
            <w:r w:rsidRPr="00104500">
              <w:rPr>
                <w:rFonts w:asciiTheme="minorHAnsi" w:hAnsiTheme="minorHAnsi"/>
                <w:b/>
                <w:bCs/>
                <w:color w:val="000000"/>
                <w:sz w:val="22"/>
                <w:szCs w:val="22"/>
              </w:rPr>
              <w:t>Průměrný počet vol</w:t>
            </w:r>
            <w:r>
              <w:rPr>
                <w:rFonts w:asciiTheme="minorHAnsi" w:hAnsiTheme="minorHAnsi"/>
                <w:b/>
                <w:bCs/>
                <w:color w:val="000000"/>
                <w:sz w:val="22"/>
                <w:szCs w:val="22"/>
              </w:rPr>
              <w:t>ných pracovních míst v roce 2014</w:t>
            </w:r>
            <w:r w:rsidRPr="00104500">
              <w:rPr>
                <w:rFonts w:asciiTheme="minorHAnsi" w:hAnsiTheme="minorHAnsi"/>
                <w:b/>
                <w:bCs/>
                <w:color w:val="000000"/>
                <w:sz w:val="22"/>
                <w:szCs w:val="22"/>
              </w:rPr>
              <w:t xml:space="preserve"> </w:t>
            </w:r>
          </w:p>
        </w:tc>
      </w:tr>
      <w:tr w:rsidR="00087E45" w:rsidRPr="00104500" w:rsidTr="00482B40">
        <w:trPr>
          <w:trHeight w:val="340"/>
          <w:jc w:val="center"/>
        </w:trPr>
        <w:tc>
          <w:tcPr>
            <w:tcW w:w="3019" w:type="pct"/>
            <w:vMerge/>
            <w:tcBorders>
              <w:top w:val="single" w:sz="8" w:space="0" w:color="auto"/>
              <w:bottom w:val="single" w:sz="8" w:space="0" w:color="auto"/>
              <w:right w:val="single" w:sz="12" w:space="0" w:color="auto"/>
            </w:tcBorders>
            <w:vAlign w:val="center"/>
            <w:hideMark/>
          </w:tcPr>
          <w:p w:rsidR="00087E45" w:rsidRPr="00104500" w:rsidRDefault="00087E45" w:rsidP="00482B40">
            <w:pPr>
              <w:rPr>
                <w:rFonts w:asciiTheme="minorHAnsi" w:hAnsiTheme="minorHAnsi"/>
                <w:b/>
                <w:bCs/>
                <w:color w:val="000000"/>
              </w:rPr>
            </w:pPr>
          </w:p>
        </w:tc>
        <w:tc>
          <w:tcPr>
            <w:tcW w:w="638" w:type="pct"/>
            <w:vMerge/>
            <w:tcBorders>
              <w:top w:val="single" w:sz="8" w:space="0" w:color="auto"/>
              <w:left w:val="single" w:sz="12" w:space="0" w:color="auto"/>
              <w:bottom w:val="single" w:sz="8" w:space="0" w:color="auto"/>
            </w:tcBorders>
            <w:vAlign w:val="center"/>
            <w:hideMark/>
          </w:tcPr>
          <w:p w:rsidR="00087E45" w:rsidRPr="00104500" w:rsidRDefault="00087E45" w:rsidP="00482B40">
            <w:pPr>
              <w:rPr>
                <w:rFonts w:asciiTheme="minorHAnsi" w:hAnsiTheme="minorHAnsi"/>
                <w:b/>
                <w:bCs/>
                <w:color w:val="000000"/>
              </w:rPr>
            </w:pPr>
          </w:p>
        </w:tc>
        <w:tc>
          <w:tcPr>
            <w:tcW w:w="1343" w:type="pct"/>
            <w:gridSpan w:val="2"/>
            <w:vMerge/>
            <w:tcBorders>
              <w:top w:val="single" w:sz="8" w:space="0" w:color="auto"/>
              <w:bottom w:val="single" w:sz="8" w:space="0" w:color="auto"/>
            </w:tcBorders>
            <w:vAlign w:val="center"/>
            <w:hideMark/>
          </w:tcPr>
          <w:p w:rsidR="00087E45" w:rsidRPr="00104500" w:rsidRDefault="00087E45" w:rsidP="00482B40">
            <w:pPr>
              <w:rPr>
                <w:rFonts w:asciiTheme="minorHAnsi" w:hAnsiTheme="minorHAnsi"/>
                <w:b/>
                <w:bCs/>
                <w:color w:val="000000"/>
              </w:rPr>
            </w:pPr>
          </w:p>
        </w:tc>
      </w:tr>
      <w:tr w:rsidR="00087E45" w:rsidRPr="00104500" w:rsidTr="00482B40">
        <w:trPr>
          <w:trHeight w:val="340"/>
          <w:jc w:val="center"/>
        </w:trPr>
        <w:tc>
          <w:tcPr>
            <w:tcW w:w="3019" w:type="pct"/>
            <w:vMerge/>
            <w:tcBorders>
              <w:top w:val="single" w:sz="8" w:space="0" w:color="auto"/>
              <w:bottom w:val="single" w:sz="8" w:space="0" w:color="auto"/>
              <w:right w:val="single" w:sz="12" w:space="0" w:color="auto"/>
            </w:tcBorders>
            <w:vAlign w:val="center"/>
            <w:hideMark/>
          </w:tcPr>
          <w:p w:rsidR="00087E45" w:rsidRPr="00104500" w:rsidRDefault="00087E45" w:rsidP="00482B40">
            <w:pPr>
              <w:rPr>
                <w:rFonts w:asciiTheme="minorHAnsi" w:hAnsiTheme="minorHAnsi"/>
                <w:b/>
                <w:bCs/>
                <w:color w:val="000000"/>
              </w:rPr>
            </w:pPr>
          </w:p>
        </w:tc>
        <w:tc>
          <w:tcPr>
            <w:tcW w:w="638" w:type="pct"/>
            <w:vMerge/>
            <w:tcBorders>
              <w:top w:val="single" w:sz="8" w:space="0" w:color="auto"/>
              <w:left w:val="single" w:sz="12" w:space="0" w:color="auto"/>
              <w:bottom w:val="single" w:sz="8" w:space="0" w:color="auto"/>
            </w:tcBorders>
            <w:vAlign w:val="center"/>
            <w:hideMark/>
          </w:tcPr>
          <w:p w:rsidR="00087E45" w:rsidRPr="00104500" w:rsidRDefault="00087E45" w:rsidP="00482B40">
            <w:pPr>
              <w:rPr>
                <w:rFonts w:asciiTheme="minorHAnsi" w:hAnsiTheme="minorHAnsi"/>
                <w:b/>
                <w:bCs/>
                <w:color w:val="000000"/>
              </w:rPr>
            </w:pPr>
          </w:p>
        </w:tc>
        <w:tc>
          <w:tcPr>
            <w:tcW w:w="638" w:type="pct"/>
            <w:tcBorders>
              <w:top w:val="single" w:sz="8" w:space="0" w:color="auto"/>
              <w:bottom w:val="single" w:sz="8" w:space="0" w:color="auto"/>
            </w:tcBorders>
            <w:shd w:val="clear" w:color="auto" w:fill="D9D9D9" w:themeFill="background1" w:themeFillShade="D9"/>
            <w:vAlign w:val="center"/>
            <w:hideMark/>
          </w:tcPr>
          <w:p w:rsidR="00087E45" w:rsidRPr="00104500" w:rsidRDefault="00087E45" w:rsidP="00482B40">
            <w:pPr>
              <w:jc w:val="center"/>
              <w:rPr>
                <w:rFonts w:asciiTheme="minorHAnsi" w:hAnsiTheme="minorHAnsi"/>
                <w:b/>
                <w:bCs/>
                <w:color w:val="000000"/>
              </w:rPr>
            </w:pPr>
            <w:r w:rsidRPr="00104500">
              <w:rPr>
                <w:rFonts w:asciiTheme="minorHAnsi" w:hAnsiTheme="minorHAnsi"/>
                <w:b/>
                <w:bCs/>
                <w:color w:val="000000"/>
                <w:sz w:val="22"/>
                <w:szCs w:val="22"/>
              </w:rPr>
              <w:t>celkem</w:t>
            </w:r>
          </w:p>
        </w:tc>
        <w:tc>
          <w:tcPr>
            <w:tcW w:w="705" w:type="pct"/>
            <w:tcBorders>
              <w:top w:val="single" w:sz="8" w:space="0" w:color="auto"/>
              <w:bottom w:val="single" w:sz="8" w:space="0" w:color="auto"/>
            </w:tcBorders>
            <w:shd w:val="clear" w:color="auto" w:fill="D9D9D9" w:themeFill="background1" w:themeFillShade="D9"/>
            <w:vAlign w:val="center"/>
            <w:hideMark/>
          </w:tcPr>
          <w:p w:rsidR="00087E45" w:rsidRPr="00104500" w:rsidRDefault="00087E45" w:rsidP="00482B40">
            <w:pPr>
              <w:jc w:val="center"/>
              <w:rPr>
                <w:rFonts w:asciiTheme="minorHAnsi" w:hAnsiTheme="minorHAnsi"/>
                <w:b/>
                <w:bCs/>
                <w:color w:val="000000"/>
              </w:rPr>
            </w:pPr>
            <w:r>
              <w:rPr>
                <w:rFonts w:asciiTheme="minorHAnsi" w:hAnsiTheme="minorHAnsi"/>
                <w:b/>
                <w:bCs/>
                <w:color w:val="000000"/>
                <w:sz w:val="22"/>
                <w:szCs w:val="22"/>
              </w:rPr>
              <w:t xml:space="preserve"> v </w:t>
            </w:r>
            <w:r w:rsidRPr="00104500">
              <w:rPr>
                <w:rFonts w:asciiTheme="minorHAnsi" w:hAnsiTheme="minorHAnsi"/>
                <w:b/>
                <w:bCs/>
                <w:color w:val="000000"/>
                <w:sz w:val="22"/>
                <w:szCs w:val="22"/>
              </w:rPr>
              <w:t>%</w:t>
            </w:r>
          </w:p>
        </w:tc>
      </w:tr>
      <w:tr w:rsidR="00087E45" w:rsidRPr="00104500" w:rsidTr="00482B40">
        <w:trPr>
          <w:trHeight w:val="340"/>
          <w:jc w:val="center"/>
        </w:trPr>
        <w:tc>
          <w:tcPr>
            <w:tcW w:w="3019" w:type="pct"/>
            <w:tcBorders>
              <w:top w:val="single" w:sz="8" w:space="0" w:color="auto"/>
              <w:bottom w:val="single" w:sz="8"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color w:val="000000"/>
              </w:rPr>
            </w:pPr>
            <w:r w:rsidRPr="00104500">
              <w:rPr>
                <w:rFonts w:asciiTheme="minorHAnsi" w:hAnsiTheme="minorHAnsi"/>
                <w:color w:val="000000"/>
                <w:sz w:val="22"/>
                <w:szCs w:val="22"/>
              </w:rPr>
              <w:t>Zákonodárci, vedoucí a řídící pracovníci</w:t>
            </w:r>
          </w:p>
        </w:tc>
        <w:tc>
          <w:tcPr>
            <w:tcW w:w="638" w:type="pct"/>
            <w:tcBorders>
              <w:top w:val="single" w:sz="8" w:space="0" w:color="auto"/>
              <w:left w:val="single" w:sz="12" w:space="0" w:color="auto"/>
              <w:bottom w:val="single" w:sz="8" w:space="0" w:color="auto"/>
            </w:tcBorders>
            <w:shd w:val="clear" w:color="auto" w:fill="auto"/>
            <w:vAlign w:val="center"/>
            <w:hideMark/>
          </w:tcPr>
          <w:p w:rsidR="00087E45" w:rsidRPr="00104500" w:rsidRDefault="00087E45" w:rsidP="00482B40">
            <w:pPr>
              <w:jc w:val="right"/>
              <w:rPr>
                <w:rFonts w:asciiTheme="minorHAnsi" w:hAnsiTheme="minorHAnsi"/>
                <w:color w:val="000000"/>
              </w:rPr>
            </w:pPr>
            <w:r w:rsidRPr="00104500">
              <w:rPr>
                <w:rFonts w:asciiTheme="minorHAnsi" w:hAnsiTheme="minorHAnsi"/>
                <w:color w:val="000000"/>
                <w:sz w:val="22"/>
                <w:szCs w:val="22"/>
              </w:rPr>
              <w:t>1</w:t>
            </w:r>
          </w:p>
        </w:tc>
        <w:tc>
          <w:tcPr>
            <w:tcW w:w="638" w:type="pct"/>
            <w:tcBorders>
              <w:top w:val="single" w:sz="8" w:space="0" w:color="auto"/>
              <w:bottom w:val="single" w:sz="8" w:space="0" w:color="auto"/>
            </w:tcBorders>
            <w:shd w:val="clear" w:color="auto" w:fill="auto"/>
            <w:noWrap/>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70</w:t>
            </w:r>
          </w:p>
        </w:tc>
        <w:tc>
          <w:tcPr>
            <w:tcW w:w="705" w:type="pct"/>
            <w:tcBorders>
              <w:top w:val="single" w:sz="8" w:space="0" w:color="auto"/>
              <w:bottom w:val="single" w:sz="8" w:space="0" w:color="auto"/>
            </w:tcBorders>
            <w:shd w:val="clear" w:color="auto" w:fill="auto"/>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1,6</w:t>
            </w:r>
          </w:p>
        </w:tc>
      </w:tr>
      <w:tr w:rsidR="00087E45" w:rsidRPr="00104500" w:rsidTr="00482B40">
        <w:trPr>
          <w:trHeight w:val="340"/>
          <w:jc w:val="center"/>
        </w:trPr>
        <w:tc>
          <w:tcPr>
            <w:tcW w:w="3019" w:type="pct"/>
            <w:tcBorders>
              <w:top w:val="single" w:sz="8" w:space="0" w:color="auto"/>
              <w:bottom w:val="single" w:sz="8"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color w:val="000000"/>
              </w:rPr>
            </w:pPr>
            <w:r w:rsidRPr="00104500">
              <w:rPr>
                <w:rFonts w:asciiTheme="minorHAnsi" w:hAnsiTheme="minorHAnsi"/>
                <w:color w:val="000000"/>
                <w:sz w:val="22"/>
                <w:szCs w:val="22"/>
              </w:rPr>
              <w:t>Vědečtí a odborní duševní pracovníci</w:t>
            </w:r>
          </w:p>
        </w:tc>
        <w:tc>
          <w:tcPr>
            <w:tcW w:w="638" w:type="pct"/>
            <w:tcBorders>
              <w:top w:val="single" w:sz="8" w:space="0" w:color="auto"/>
              <w:left w:val="single" w:sz="12" w:space="0" w:color="auto"/>
              <w:bottom w:val="single" w:sz="8" w:space="0" w:color="auto"/>
            </w:tcBorders>
            <w:shd w:val="clear" w:color="auto" w:fill="auto"/>
            <w:vAlign w:val="center"/>
            <w:hideMark/>
          </w:tcPr>
          <w:p w:rsidR="00087E45" w:rsidRPr="00104500" w:rsidRDefault="00087E45" w:rsidP="00482B40">
            <w:pPr>
              <w:jc w:val="right"/>
              <w:rPr>
                <w:rFonts w:asciiTheme="minorHAnsi" w:hAnsiTheme="minorHAnsi"/>
                <w:color w:val="000000"/>
              </w:rPr>
            </w:pPr>
            <w:r w:rsidRPr="00104500">
              <w:rPr>
                <w:rFonts w:asciiTheme="minorHAnsi" w:hAnsiTheme="minorHAnsi"/>
                <w:color w:val="000000"/>
                <w:sz w:val="22"/>
                <w:szCs w:val="22"/>
              </w:rPr>
              <w:t>2</w:t>
            </w:r>
          </w:p>
        </w:tc>
        <w:tc>
          <w:tcPr>
            <w:tcW w:w="638" w:type="pct"/>
            <w:tcBorders>
              <w:top w:val="single" w:sz="8" w:space="0" w:color="auto"/>
              <w:bottom w:val="single" w:sz="8" w:space="0" w:color="auto"/>
            </w:tcBorders>
            <w:shd w:val="clear" w:color="auto" w:fill="auto"/>
            <w:noWrap/>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358</w:t>
            </w:r>
          </w:p>
        </w:tc>
        <w:tc>
          <w:tcPr>
            <w:tcW w:w="705" w:type="pct"/>
            <w:tcBorders>
              <w:top w:val="single" w:sz="8" w:space="0" w:color="auto"/>
              <w:bottom w:val="single" w:sz="8" w:space="0" w:color="auto"/>
            </w:tcBorders>
            <w:shd w:val="clear" w:color="auto" w:fill="auto"/>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8,3</w:t>
            </w:r>
          </w:p>
        </w:tc>
      </w:tr>
      <w:tr w:rsidR="00087E45" w:rsidRPr="00104500" w:rsidTr="00482B40">
        <w:trPr>
          <w:trHeight w:val="340"/>
          <w:jc w:val="center"/>
        </w:trPr>
        <w:tc>
          <w:tcPr>
            <w:tcW w:w="3019" w:type="pct"/>
            <w:tcBorders>
              <w:top w:val="single" w:sz="8" w:space="0" w:color="auto"/>
              <w:bottom w:val="single" w:sz="8"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color w:val="000000"/>
              </w:rPr>
            </w:pPr>
            <w:r w:rsidRPr="00104500">
              <w:rPr>
                <w:rFonts w:asciiTheme="minorHAnsi" w:hAnsiTheme="minorHAnsi"/>
                <w:color w:val="000000"/>
                <w:sz w:val="22"/>
                <w:szCs w:val="22"/>
              </w:rPr>
              <w:t xml:space="preserve">Techn., zdravot. </w:t>
            </w:r>
            <w:r>
              <w:rPr>
                <w:rFonts w:asciiTheme="minorHAnsi" w:hAnsiTheme="minorHAnsi"/>
                <w:color w:val="000000"/>
                <w:sz w:val="22"/>
                <w:szCs w:val="22"/>
              </w:rPr>
              <w:t>a</w:t>
            </w:r>
            <w:r w:rsidRPr="00104500">
              <w:rPr>
                <w:rFonts w:asciiTheme="minorHAnsi" w:hAnsiTheme="minorHAnsi"/>
                <w:color w:val="000000"/>
                <w:sz w:val="22"/>
                <w:szCs w:val="22"/>
              </w:rPr>
              <w:t xml:space="preserve"> pedagog. pracovníci.</w:t>
            </w:r>
          </w:p>
        </w:tc>
        <w:tc>
          <w:tcPr>
            <w:tcW w:w="638" w:type="pct"/>
            <w:tcBorders>
              <w:top w:val="single" w:sz="8" w:space="0" w:color="auto"/>
              <w:left w:val="single" w:sz="12" w:space="0" w:color="auto"/>
              <w:bottom w:val="single" w:sz="8" w:space="0" w:color="auto"/>
            </w:tcBorders>
            <w:shd w:val="clear" w:color="auto" w:fill="auto"/>
            <w:vAlign w:val="center"/>
            <w:hideMark/>
          </w:tcPr>
          <w:p w:rsidR="00087E45" w:rsidRPr="00104500" w:rsidRDefault="00087E45" w:rsidP="00482B40">
            <w:pPr>
              <w:jc w:val="right"/>
              <w:rPr>
                <w:rFonts w:asciiTheme="minorHAnsi" w:hAnsiTheme="minorHAnsi"/>
                <w:color w:val="000000"/>
              </w:rPr>
            </w:pPr>
            <w:r w:rsidRPr="00104500">
              <w:rPr>
                <w:rFonts w:asciiTheme="minorHAnsi" w:hAnsiTheme="minorHAnsi"/>
                <w:color w:val="000000"/>
                <w:sz w:val="22"/>
                <w:szCs w:val="22"/>
              </w:rPr>
              <w:t>3</w:t>
            </w:r>
          </w:p>
        </w:tc>
        <w:tc>
          <w:tcPr>
            <w:tcW w:w="638" w:type="pct"/>
            <w:tcBorders>
              <w:top w:val="single" w:sz="8" w:space="0" w:color="auto"/>
              <w:bottom w:val="single" w:sz="8" w:space="0" w:color="auto"/>
            </w:tcBorders>
            <w:shd w:val="clear" w:color="auto" w:fill="auto"/>
            <w:noWrap/>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513</w:t>
            </w:r>
          </w:p>
        </w:tc>
        <w:tc>
          <w:tcPr>
            <w:tcW w:w="705" w:type="pct"/>
            <w:tcBorders>
              <w:top w:val="single" w:sz="8" w:space="0" w:color="auto"/>
              <w:bottom w:val="single" w:sz="8" w:space="0" w:color="auto"/>
            </w:tcBorders>
            <w:shd w:val="clear" w:color="auto" w:fill="auto"/>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11,9</w:t>
            </w:r>
          </w:p>
        </w:tc>
      </w:tr>
      <w:tr w:rsidR="00087E45" w:rsidRPr="00104500" w:rsidTr="00482B40">
        <w:trPr>
          <w:trHeight w:val="340"/>
          <w:jc w:val="center"/>
        </w:trPr>
        <w:tc>
          <w:tcPr>
            <w:tcW w:w="3019" w:type="pct"/>
            <w:tcBorders>
              <w:top w:val="single" w:sz="8" w:space="0" w:color="auto"/>
              <w:bottom w:val="single" w:sz="8"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color w:val="000000"/>
              </w:rPr>
            </w:pPr>
            <w:r w:rsidRPr="00104500">
              <w:rPr>
                <w:rFonts w:asciiTheme="minorHAnsi" w:hAnsiTheme="minorHAnsi"/>
                <w:color w:val="000000"/>
                <w:sz w:val="22"/>
                <w:szCs w:val="22"/>
              </w:rPr>
              <w:t>Nižší administrativní pracovníci (úředníci)</w:t>
            </w:r>
          </w:p>
        </w:tc>
        <w:tc>
          <w:tcPr>
            <w:tcW w:w="638" w:type="pct"/>
            <w:tcBorders>
              <w:top w:val="single" w:sz="8" w:space="0" w:color="auto"/>
              <w:left w:val="single" w:sz="12" w:space="0" w:color="auto"/>
              <w:bottom w:val="single" w:sz="8" w:space="0" w:color="auto"/>
            </w:tcBorders>
            <w:shd w:val="clear" w:color="auto" w:fill="auto"/>
            <w:vAlign w:val="center"/>
            <w:hideMark/>
          </w:tcPr>
          <w:p w:rsidR="00087E45" w:rsidRPr="00104500" w:rsidRDefault="00087E45" w:rsidP="00482B40">
            <w:pPr>
              <w:jc w:val="right"/>
              <w:rPr>
                <w:rFonts w:asciiTheme="minorHAnsi" w:hAnsiTheme="minorHAnsi"/>
                <w:color w:val="000000"/>
              </w:rPr>
            </w:pPr>
            <w:r w:rsidRPr="00104500">
              <w:rPr>
                <w:rFonts w:asciiTheme="minorHAnsi" w:hAnsiTheme="minorHAnsi"/>
                <w:color w:val="000000"/>
                <w:sz w:val="22"/>
                <w:szCs w:val="22"/>
              </w:rPr>
              <w:t>4</w:t>
            </w:r>
          </w:p>
        </w:tc>
        <w:tc>
          <w:tcPr>
            <w:tcW w:w="638" w:type="pct"/>
            <w:tcBorders>
              <w:top w:val="single" w:sz="8" w:space="0" w:color="auto"/>
              <w:bottom w:val="single" w:sz="8" w:space="0" w:color="auto"/>
            </w:tcBorders>
            <w:shd w:val="clear" w:color="auto" w:fill="auto"/>
            <w:noWrap/>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236</w:t>
            </w:r>
          </w:p>
        </w:tc>
        <w:tc>
          <w:tcPr>
            <w:tcW w:w="705" w:type="pct"/>
            <w:tcBorders>
              <w:top w:val="single" w:sz="8" w:space="0" w:color="auto"/>
              <w:bottom w:val="single" w:sz="8" w:space="0" w:color="auto"/>
            </w:tcBorders>
            <w:shd w:val="clear" w:color="auto" w:fill="auto"/>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5,5</w:t>
            </w:r>
          </w:p>
        </w:tc>
      </w:tr>
      <w:tr w:rsidR="00087E45" w:rsidRPr="00104500" w:rsidTr="00482B40">
        <w:trPr>
          <w:trHeight w:val="340"/>
          <w:jc w:val="center"/>
        </w:trPr>
        <w:tc>
          <w:tcPr>
            <w:tcW w:w="3019" w:type="pct"/>
            <w:tcBorders>
              <w:top w:val="single" w:sz="8" w:space="0" w:color="auto"/>
              <w:bottom w:val="single" w:sz="8"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color w:val="000000"/>
              </w:rPr>
            </w:pPr>
            <w:r w:rsidRPr="00104500">
              <w:rPr>
                <w:rFonts w:asciiTheme="minorHAnsi" w:hAnsiTheme="minorHAnsi"/>
                <w:color w:val="000000"/>
                <w:sz w:val="22"/>
                <w:szCs w:val="22"/>
              </w:rPr>
              <w:t>Provozní pracovníci ve službách a obchodě</w:t>
            </w:r>
          </w:p>
        </w:tc>
        <w:tc>
          <w:tcPr>
            <w:tcW w:w="638" w:type="pct"/>
            <w:tcBorders>
              <w:top w:val="single" w:sz="8" w:space="0" w:color="auto"/>
              <w:left w:val="single" w:sz="12" w:space="0" w:color="auto"/>
              <w:bottom w:val="single" w:sz="8" w:space="0" w:color="auto"/>
            </w:tcBorders>
            <w:shd w:val="clear" w:color="auto" w:fill="auto"/>
            <w:vAlign w:val="center"/>
            <w:hideMark/>
          </w:tcPr>
          <w:p w:rsidR="00087E45" w:rsidRPr="00104500" w:rsidRDefault="00087E45" w:rsidP="00482B40">
            <w:pPr>
              <w:jc w:val="right"/>
              <w:rPr>
                <w:rFonts w:asciiTheme="minorHAnsi" w:hAnsiTheme="minorHAnsi"/>
                <w:color w:val="000000"/>
              </w:rPr>
            </w:pPr>
            <w:r w:rsidRPr="00104500">
              <w:rPr>
                <w:rFonts w:asciiTheme="minorHAnsi" w:hAnsiTheme="minorHAnsi"/>
                <w:color w:val="000000"/>
                <w:sz w:val="22"/>
                <w:szCs w:val="22"/>
              </w:rPr>
              <w:t>5</w:t>
            </w:r>
          </w:p>
        </w:tc>
        <w:tc>
          <w:tcPr>
            <w:tcW w:w="638" w:type="pct"/>
            <w:tcBorders>
              <w:top w:val="single" w:sz="8" w:space="0" w:color="auto"/>
              <w:bottom w:val="single" w:sz="8" w:space="0" w:color="auto"/>
            </w:tcBorders>
            <w:shd w:val="clear" w:color="auto" w:fill="auto"/>
            <w:noWrap/>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680</w:t>
            </w:r>
          </w:p>
        </w:tc>
        <w:tc>
          <w:tcPr>
            <w:tcW w:w="705" w:type="pct"/>
            <w:tcBorders>
              <w:top w:val="single" w:sz="8" w:space="0" w:color="auto"/>
              <w:bottom w:val="single" w:sz="8" w:space="0" w:color="auto"/>
            </w:tcBorders>
            <w:shd w:val="clear" w:color="auto" w:fill="auto"/>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15,7</w:t>
            </w:r>
          </w:p>
        </w:tc>
      </w:tr>
      <w:tr w:rsidR="00087E45" w:rsidRPr="00104500" w:rsidTr="00482B40">
        <w:trPr>
          <w:trHeight w:val="340"/>
          <w:jc w:val="center"/>
        </w:trPr>
        <w:tc>
          <w:tcPr>
            <w:tcW w:w="3019" w:type="pct"/>
            <w:tcBorders>
              <w:top w:val="single" w:sz="8" w:space="0" w:color="auto"/>
              <w:bottom w:val="single" w:sz="8"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color w:val="000000"/>
              </w:rPr>
            </w:pPr>
            <w:r w:rsidRPr="00104500">
              <w:rPr>
                <w:rFonts w:asciiTheme="minorHAnsi" w:hAnsiTheme="minorHAnsi"/>
                <w:color w:val="000000"/>
                <w:sz w:val="22"/>
                <w:szCs w:val="22"/>
              </w:rPr>
              <w:t>Kvalifik. dělníci v zem. a les. (vč. příbuz. oborů)</w:t>
            </w:r>
          </w:p>
        </w:tc>
        <w:tc>
          <w:tcPr>
            <w:tcW w:w="638" w:type="pct"/>
            <w:tcBorders>
              <w:top w:val="single" w:sz="8" w:space="0" w:color="auto"/>
              <w:left w:val="single" w:sz="12" w:space="0" w:color="auto"/>
            </w:tcBorders>
            <w:shd w:val="clear" w:color="auto" w:fill="auto"/>
            <w:vAlign w:val="center"/>
            <w:hideMark/>
          </w:tcPr>
          <w:p w:rsidR="00087E45" w:rsidRPr="00104500" w:rsidRDefault="00087E45" w:rsidP="00482B40">
            <w:pPr>
              <w:jc w:val="right"/>
              <w:rPr>
                <w:rFonts w:asciiTheme="minorHAnsi" w:hAnsiTheme="minorHAnsi"/>
                <w:color w:val="000000"/>
              </w:rPr>
            </w:pPr>
            <w:r w:rsidRPr="00104500">
              <w:rPr>
                <w:rFonts w:asciiTheme="minorHAnsi" w:hAnsiTheme="minorHAnsi"/>
                <w:color w:val="000000"/>
                <w:sz w:val="22"/>
                <w:szCs w:val="22"/>
              </w:rPr>
              <w:t>6</w:t>
            </w:r>
          </w:p>
        </w:tc>
        <w:tc>
          <w:tcPr>
            <w:tcW w:w="638" w:type="pct"/>
            <w:tcBorders>
              <w:top w:val="single" w:sz="8" w:space="0" w:color="auto"/>
            </w:tcBorders>
            <w:shd w:val="clear" w:color="auto" w:fill="auto"/>
            <w:noWrap/>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16</w:t>
            </w:r>
          </w:p>
        </w:tc>
        <w:tc>
          <w:tcPr>
            <w:tcW w:w="705" w:type="pct"/>
            <w:tcBorders>
              <w:top w:val="single" w:sz="8" w:space="0" w:color="auto"/>
            </w:tcBorders>
            <w:shd w:val="clear" w:color="auto" w:fill="auto"/>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0,4</w:t>
            </w:r>
          </w:p>
        </w:tc>
      </w:tr>
      <w:tr w:rsidR="00087E45" w:rsidRPr="00104500" w:rsidTr="00482B40">
        <w:trPr>
          <w:trHeight w:val="340"/>
          <w:jc w:val="center"/>
        </w:trPr>
        <w:tc>
          <w:tcPr>
            <w:tcW w:w="3019" w:type="pct"/>
            <w:tcBorders>
              <w:top w:val="single" w:sz="8" w:space="0" w:color="auto"/>
              <w:bottom w:val="single" w:sz="8"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color w:val="000000"/>
              </w:rPr>
            </w:pPr>
            <w:r w:rsidRPr="00104500">
              <w:rPr>
                <w:rFonts w:asciiTheme="minorHAnsi" w:hAnsiTheme="minorHAnsi"/>
                <w:color w:val="000000"/>
                <w:sz w:val="22"/>
                <w:szCs w:val="22"/>
              </w:rPr>
              <w:t>Řemeslníci a kvalifik. výrobci, zpracovatelé, opraváři</w:t>
            </w:r>
          </w:p>
        </w:tc>
        <w:tc>
          <w:tcPr>
            <w:tcW w:w="638" w:type="pct"/>
            <w:tcBorders>
              <w:left w:val="single" w:sz="12" w:space="0" w:color="auto"/>
            </w:tcBorders>
            <w:shd w:val="clear" w:color="auto" w:fill="auto"/>
            <w:vAlign w:val="center"/>
            <w:hideMark/>
          </w:tcPr>
          <w:p w:rsidR="00087E45" w:rsidRPr="00104500" w:rsidRDefault="00087E45" w:rsidP="00482B40">
            <w:pPr>
              <w:jc w:val="right"/>
              <w:rPr>
                <w:rFonts w:asciiTheme="minorHAnsi" w:hAnsiTheme="minorHAnsi"/>
                <w:color w:val="000000"/>
              </w:rPr>
            </w:pPr>
            <w:r w:rsidRPr="00104500">
              <w:rPr>
                <w:rFonts w:asciiTheme="minorHAnsi" w:hAnsiTheme="minorHAnsi"/>
                <w:color w:val="000000"/>
                <w:sz w:val="22"/>
                <w:szCs w:val="22"/>
              </w:rPr>
              <w:t>7</w:t>
            </w:r>
          </w:p>
        </w:tc>
        <w:tc>
          <w:tcPr>
            <w:tcW w:w="638" w:type="pct"/>
            <w:shd w:val="clear" w:color="auto" w:fill="auto"/>
            <w:noWrap/>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1</w:t>
            </w:r>
            <w:r>
              <w:rPr>
                <w:rFonts w:asciiTheme="minorHAnsi" w:hAnsiTheme="minorHAnsi"/>
                <w:sz w:val="22"/>
                <w:szCs w:val="22"/>
              </w:rPr>
              <w:t xml:space="preserve"> </w:t>
            </w:r>
            <w:r w:rsidRPr="00133BBB">
              <w:rPr>
                <w:rFonts w:asciiTheme="minorHAnsi" w:hAnsiTheme="minorHAnsi"/>
                <w:sz w:val="22"/>
                <w:szCs w:val="22"/>
              </w:rPr>
              <w:t>028</w:t>
            </w:r>
          </w:p>
        </w:tc>
        <w:tc>
          <w:tcPr>
            <w:tcW w:w="705" w:type="pct"/>
            <w:shd w:val="clear" w:color="auto" w:fill="auto"/>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23,8</w:t>
            </w:r>
          </w:p>
        </w:tc>
      </w:tr>
      <w:tr w:rsidR="00087E45" w:rsidRPr="00104500" w:rsidTr="00482B40">
        <w:trPr>
          <w:trHeight w:val="340"/>
          <w:jc w:val="center"/>
        </w:trPr>
        <w:tc>
          <w:tcPr>
            <w:tcW w:w="3019" w:type="pct"/>
            <w:tcBorders>
              <w:top w:val="single" w:sz="8" w:space="0" w:color="auto"/>
              <w:bottom w:val="single" w:sz="8"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color w:val="000000"/>
              </w:rPr>
            </w:pPr>
            <w:r w:rsidRPr="00104500">
              <w:rPr>
                <w:rFonts w:asciiTheme="minorHAnsi" w:hAnsiTheme="minorHAnsi"/>
                <w:color w:val="000000"/>
                <w:sz w:val="22"/>
                <w:szCs w:val="22"/>
              </w:rPr>
              <w:t>Obsluha strojů a zařízení</w:t>
            </w:r>
          </w:p>
        </w:tc>
        <w:tc>
          <w:tcPr>
            <w:tcW w:w="638" w:type="pct"/>
            <w:tcBorders>
              <w:left w:val="single" w:sz="12" w:space="0" w:color="auto"/>
            </w:tcBorders>
            <w:shd w:val="clear" w:color="auto" w:fill="auto"/>
            <w:vAlign w:val="center"/>
            <w:hideMark/>
          </w:tcPr>
          <w:p w:rsidR="00087E45" w:rsidRPr="00104500" w:rsidRDefault="00087E45" w:rsidP="00482B40">
            <w:pPr>
              <w:jc w:val="right"/>
              <w:rPr>
                <w:rFonts w:asciiTheme="minorHAnsi" w:hAnsiTheme="minorHAnsi"/>
                <w:color w:val="000000"/>
              </w:rPr>
            </w:pPr>
            <w:r w:rsidRPr="00104500">
              <w:rPr>
                <w:rFonts w:asciiTheme="minorHAnsi" w:hAnsiTheme="minorHAnsi"/>
                <w:color w:val="000000"/>
                <w:sz w:val="22"/>
                <w:szCs w:val="22"/>
              </w:rPr>
              <w:t>8</w:t>
            </w:r>
          </w:p>
        </w:tc>
        <w:tc>
          <w:tcPr>
            <w:tcW w:w="638" w:type="pct"/>
            <w:shd w:val="clear" w:color="auto" w:fill="auto"/>
            <w:noWrap/>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674</w:t>
            </w:r>
          </w:p>
        </w:tc>
        <w:tc>
          <w:tcPr>
            <w:tcW w:w="705" w:type="pct"/>
            <w:shd w:val="clear" w:color="auto" w:fill="auto"/>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15,6</w:t>
            </w:r>
          </w:p>
        </w:tc>
      </w:tr>
      <w:tr w:rsidR="00087E45" w:rsidRPr="00104500" w:rsidTr="00482B40">
        <w:trPr>
          <w:trHeight w:val="340"/>
          <w:jc w:val="center"/>
        </w:trPr>
        <w:tc>
          <w:tcPr>
            <w:tcW w:w="3019" w:type="pct"/>
            <w:tcBorders>
              <w:top w:val="single" w:sz="8" w:space="0" w:color="auto"/>
              <w:bottom w:val="single" w:sz="8"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color w:val="000000"/>
              </w:rPr>
            </w:pPr>
            <w:r w:rsidRPr="00104500">
              <w:rPr>
                <w:rFonts w:asciiTheme="minorHAnsi" w:hAnsiTheme="minorHAnsi"/>
                <w:color w:val="000000"/>
                <w:sz w:val="22"/>
                <w:szCs w:val="22"/>
              </w:rPr>
              <w:t>Pomocní a nekvalifikovaní pracovníci</w:t>
            </w:r>
          </w:p>
        </w:tc>
        <w:tc>
          <w:tcPr>
            <w:tcW w:w="638" w:type="pct"/>
            <w:tcBorders>
              <w:left w:val="single" w:sz="12" w:space="0" w:color="auto"/>
            </w:tcBorders>
            <w:shd w:val="clear" w:color="auto" w:fill="auto"/>
            <w:vAlign w:val="center"/>
            <w:hideMark/>
          </w:tcPr>
          <w:p w:rsidR="00087E45" w:rsidRPr="00104500" w:rsidRDefault="00087E45" w:rsidP="00482B40">
            <w:pPr>
              <w:jc w:val="right"/>
              <w:rPr>
                <w:rFonts w:asciiTheme="minorHAnsi" w:hAnsiTheme="minorHAnsi"/>
                <w:color w:val="000000"/>
              </w:rPr>
            </w:pPr>
            <w:r w:rsidRPr="00104500">
              <w:rPr>
                <w:rFonts w:asciiTheme="minorHAnsi" w:hAnsiTheme="minorHAnsi"/>
                <w:color w:val="000000"/>
                <w:sz w:val="22"/>
                <w:szCs w:val="22"/>
              </w:rPr>
              <w:t>9</w:t>
            </w:r>
          </w:p>
        </w:tc>
        <w:tc>
          <w:tcPr>
            <w:tcW w:w="638" w:type="pct"/>
            <w:shd w:val="clear" w:color="auto" w:fill="auto"/>
            <w:noWrap/>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735</w:t>
            </w:r>
          </w:p>
        </w:tc>
        <w:tc>
          <w:tcPr>
            <w:tcW w:w="705" w:type="pct"/>
            <w:shd w:val="clear" w:color="auto" w:fill="auto"/>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17,0</w:t>
            </w:r>
          </w:p>
        </w:tc>
      </w:tr>
      <w:tr w:rsidR="00087E45" w:rsidRPr="00104500" w:rsidTr="00482B40">
        <w:trPr>
          <w:trHeight w:val="340"/>
          <w:jc w:val="center"/>
        </w:trPr>
        <w:tc>
          <w:tcPr>
            <w:tcW w:w="3019" w:type="pct"/>
            <w:tcBorders>
              <w:top w:val="single" w:sz="8" w:space="0" w:color="auto"/>
              <w:bottom w:val="single" w:sz="8"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color w:val="000000"/>
              </w:rPr>
            </w:pPr>
            <w:r>
              <w:rPr>
                <w:rFonts w:asciiTheme="minorHAnsi" w:hAnsiTheme="minorHAnsi"/>
                <w:color w:val="000000"/>
                <w:sz w:val="22"/>
                <w:szCs w:val="22"/>
              </w:rPr>
              <w:t>Pracovníci armády</w:t>
            </w:r>
          </w:p>
        </w:tc>
        <w:tc>
          <w:tcPr>
            <w:tcW w:w="638" w:type="pct"/>
            <w:tcBorders>
              <w:left w:val="single" w:sz="12" w:space="0" w:color="auto"/>
            </w:tcBorders>
            <w:shd w:val="clear" w:color="auto" w:fill="auto"/>
            <w:vAlign w:val="center"/>
            <w:hideMark/>
          </w:tcPr>
          <w:p w:rsidR="00087E45" w:rsidRPr="00104500" w:rsidRDefault="00087E45" w:rsidP="00482B40">
            <w:pPr>
              <w:jc w:val="right"/>
              <w:rPr>
                <w:rFonts w:asciiTheme="minorHAnsi" w:hAnsiTheme="minorHAnsi"/>
                <w:color w:val="000000"/>
              </w:rPr>
            </w:pPr>
            <w:r>
              <w:rPr>
                <w:rFonts w:asciiTheme="minorHAnsi" w:hAnsiTheme="minorHAnsi"/>
                <w:color w:val="000000"/>
                <w:sz w:val="22"/>
                <w:szCs w:val="22"/>
              </w:rPr>
              <w:t>0</w:t>
            </w:r>
            <w:r w:rsidRPr="00104500">
              <w:rPr>
                <w:rFonts w:asciiTheme="minorHAnsi" w:hAnsiTheme="minorHAnsi"/>
                <w:color w:val="000000"/>
                <w:sz w:val="22"/>
                <w:szCs w:val="22"/>
              </w:rPr>
              <w:t> </w:t>
            </w:r>
          </w:p>
        </w:tc>
        <w:tc>
          <w:tcPr>
            <w:tcW w:w="638" w:type="pct"/>
            <w:shd w:val="clear" w:color="auto" w:fill="auto"/>
            <w:noWrap/>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13</w:t>
            </w:r>
          </w:p>
        </w:tc>
        <w:tc>
          <w:tcPr>
            <w:tcW w:w="705" w:type="pct"/>
            <w:shd w:val="clear" w:color="auto" w:fill="auto"/>
            <w:vAlign w:val="center"/>
          </w:tcPr>
          <w:p w:rsidR="00087E45" w:rsidRPr="00133BBB" w:rsidRDefault="00087E45" w:rsidP="00482B40">
            <w:pPr>
              <w:jc w:val="right"/>
              <w:rPr>
                <w:rFonts w:asciiTheme="minorHAnsi" w:hAnsiTheme="minorHAnsi"/>
                <w:sz w:val="22"/>
                <w:szCs w:val="22"/>
              </w:rPr>
            </w:pPr>
            <w:r w:rsidRPr="00133BBB">
              <w:rPr>
                <w:rFonts w:asciiTheme="minorHAnsi" w:hAnsiTheme="minorHAnsi"/>
                <w:sz w:val="22"/>
                <w:szCs w:val="22"/>
              </w:rPr>
              <w:t>0,3</w:t>
            </w:r>
          </w:p>
        </w:tc>
      </w:tr>
      <w:tr w:rsidR="00087E45" w:rsidRPr="00104500" w:rsidTr="00482B40">
        <w:trPr>
          <w:trHeight w:val="340"/>
          <w:jc w:val="center"/>
        </w:trPr>
        <w:tc>
          <w:tcPr>
            <w:tcW w:w="3019" w:type="pct"/>
            <w:tcBorders>
              <w:top w:val="single" w:sz="8" w:space="0" w:color="auto"/>
              <w:bottom w:val="single" w:sz="12" w:space="0" w:color="auto"/>
              <w:right w:val="single" w:sz="12" w:space="0" w:color="auto"/>
            </w:tcBorders>
            <w:shd w:val="clear" w:color="auto" w:fill="auto"/>
            <w:vAlign w:val="center"/>
            <w:hideMark/>
          </w:tcPr>
          <w:p w:rsidR="00087E45" w:rsidRPr="00104500" w:rsidRDefault="00087E45" w:rsidP="00482B40">
            <w:pPr>
              <w:rPr>
                <w:rFonts w:asciiTheme="minorHAnsi" w:hAnsiTheme="minorHAnsi"/>
                <w:b/>
                <w:bCs/>
                <w:color w:val="000000"/>
              </w:rPr>
            </w:pPr>
            <w:r w:rsidRPr="00104500">
              <w:rPr>
                <w:rFonts w:asciiTheme="minorHAnsi" w:hAnsiTheme="minorHAnsi"/>
                <w:b/>
                <w:bCs/>
                <w:color w:val="000000"/>
                <w:sz w:val="22"/>
                <w:szCs w:val="22"/>
              </w:rPr>
              <w:t>Celkem</w:t>
            </w:r>
          </w:p>
        </w:tc>
        <w:tc>
          <w:tcPr>
            <w:tcW w:w="638" w:type="pct"/>
            <w:tcBorders>
              <w:left w:val="single" w:sz="12" w:space="0" w:color="auto"/>
            </w:tcBorders>
            <w:shd w:val="clear" w:color="auto" w:fill="auto"/>
            <w:vAlign w:val="center"/>
            <w:hideMark/>
          </w:tcPr>
          <w:p w:rsidR="00087E45" w:rsidRPr="00104500" w:rsidRDefault="00087E45" w:rsidP="00482B40">
            <w:pPr>
              <w:jc w:val="right"/>
              <w:rPr>
                <w:rFonts w:asciiTheme="minorHAnsi" w:hAnsiTheme="minorHAnsi"/>
                <w:b/>
                <w:bCs/>
                <w:color w:val="000000"/>
              </w:rPr>
            </w:pPr>
            <w:r w:rsidRPr="00104500">
              <w:rPr>
                <w:rFonts w:asciiTheme="minorHAnsi" w:hAnsiTheme="minorHAnsi"/>
                <w:b/>
                <w:bCs/>
                <w:color w:val="000000"/>
                <w:sz w:val="22"/>
                <w:szCs w:val="22"/>
              </w:rPr>
              <w:t> </w:t>
            </w:r>
          </w:p>
        </w:tc>
        <w:tc>
          <w:tcPr>
            <w:tcW w:w="638" w:type="pct"/>
            <w:shd w:val="clear" w:color="auto" w:fill="auto"/>
            <w:noWrap/>
            <w:vAlign w:val="center"/>
          </w:tcPr>
          <w:p w:rsidR="00087E45" w:rsidRPr="00133BBB" w:rsidRDefault="00087E45" w:rsidP="00482B40">
            <w:pPr>
              <w:jc w:val="right"/>
              <w:rPr>
                <w:rFonts w:asciiTheme="minorHAnsi" w:hAnsiTheme="minorHAnsi"/>
                <w:b/>
                <w:sz w:val="22"/>
                <w:szCs w:val="22"/>
              </w:rPr>
            </w:pPr>
            <w:r w:rsidRPr="00133BBB">
              <w:rPr>
                <w:rFonts w:asciiTheme="minorHAnsi" w:hAnsiTheme="minorHAnsi"/>
                <w:b/>
                <w:sz w:val="22"/>
                <w:szCs w:val="22"/>
              </w:rPr>
              <w:t>4</w:t>
            </w:r>
            <w:r>
              <w:rPr>
                <w:rFonts w:asciiTheme="minorHAnsi" w:hAnsiTheme="minorHAnsi"/>
                <w:b/>
                <w:sz w:val="22"/>
                <w:szCs w:val="22"/>
              </w:rPr>
              <w:t xml:space="preserve"> </w:t>
            </w:r>
            <w:r w:rsidRPr="00133BBB">
              <w:rPr>
                <w:rFonts w:asciiTheme="minorHAnsi" w:hAnsiTheme="minorHAnsi"/>
                <w:b/>
                <w:sz w:val="22"/>
                <w:szCs w:val="22"/>
              </w:rPr>
              <w:t>322</w:t>
            </w:r>
          </w:p>
        </w:tc>
        <w:tc>
          <w:tcPr>
            <w:tcW w:w="705" w:type="pct"/>
            <w:shd w:val="clear" w:color="auto" w:fill="auto"/>
            <w:vAlign w:val="center"/>
          </w:tcPr>
          <w:p w:rsidR="00087E45" w:rsidRPr="00133BBB" w:rsidRDefault="00087E45" w:rsidP="00482B40">
            <w:pPr>
              <w:jc w:val="right"/>
              <w:rPr>
                <w:rFonts w:asciiTheme="minorHAnsi" w:hAnsiTheme="minorHAnsi"/>
                <w:b/>
                <w:sz w:val="22"/>
                <w:szCs w:val="22"/>
              </w:rPr>
            </w:pPr>
            <w:r w:rsidRPr="00133BBB">
              <w:rPr>
                <w:rFonts w:asciiTheme="minorHAnsi" w:hAnsiTheme="minorHAnsi"/>
                <w:b/>
                <w:sz w:val="22"/>
                <w:szCs w:val="22"/>
              </w:rPr>
              <w:t>100,0</w:t>
            </w:r>
          </w:p>
        </w:tc>
      </w:tr>
    </w:tbl>
    <w:p w:rsidR="00087E45" w:rsidRPr="00082C90" w:rsidRDefault="00087E45" w:rsidP="00087E45">
      <w:pPr>
        <w:rPr>
          <w:rFonts w:ascii="Arial" w:hAnsi="Arial" w:cs="Arial"/>
          <w:sz w:val="20"/>
          <w:szCs w:val="20"/>
        </w:rPr>
      </w:pPr>
      <w:r w:rsidRPr="00082C90">
        <w:rPr>
          <w:rFonts w:ascii="Arial" w:hAnsi="Arial" w:cs="Arial"/>
          <w:b/>
          <w:sz w:val="20"/>
          <w:szCs w:val="20"/>
        </w:rPr>
        <w:t>Pramen</w:t>
      </w:r>
      <w:r>
        <w:rPr>
          <w:rFonts w:ascii="Arial" w:hAnsi="Arial" w:cs="Arial"/>
          <w:sz w:val="20"/>
          <w:szCs w:val="20"/>
        </w:rPr>
        <w:t>: MPSV ČR, 2014</w:t>
      </w:r>
      <w:r w:rsidRPr="00082C90">
        <w:rPr>
          <w:rFonts w:ascii="Arial" w:hAnsi="Arial" w:cs="Arial"/>
          <w:sz w:val="20"/>
          <w:szCs w:val="20"/>
        </w:rPr>
        <w:t>, čtvrtletní statistiky</w:t>
      </w:r>
    </w:p>
    <w:p w:rsidR="00087E45" w:rsidRPr="00104500" w:rsidRDefault="00087E45" w:rsidP="00087E45">
      <w:pPr>
        <w:rPr>
          <w:rFonts w:asciiTheme="minorHAnsi" w:hAnsiTheme="minorHAnsi"/>
        </w:rPr>
      </w:pPr>
    </w:p>
    <w:p w:rsidR="00087E45" w:rsidRDefault="00F91C2E" w:rsidP="007168E0">
      <w:pPr>
        <w:pStyle w:val="Bezmezer"/>
        <w:spacing w:line="276" w:lineRule="auto"/>
      </w:pPr>
      <w:r w:rsidRPr="00F91C2E">
        <w:rPr>
          <w:rFonts w:ascii="Arial" w:hAnsi="Arial" w:cs="Arial"/>
          <w:b/>
          <w:i/>
          <w:sz w:val="20"/>
          <w:szCs w:val="20"/>
        </w:rPr>
        <w:t xml:space="preserve">Obr. </w:t>
      </w:r>
      <w:r w:rsidRPr="00F91C2E">
        <w:rPr>
          <w:rFonts w:ascii="Arial" w:hAnsi="Arial" w:cs="Arial"/>
          <w:b/>
          <w:i/>
          <w:sz w:val="20"/>
          <w:szCs w:val="20"/>
        </w:rPr>
        <w:fldChar w:fldCharType="begin"/>
      </w:r>
      <w:r w:rsidRPr="00F91C2E">
        <w:rPr>
          <w:rFonts w:ascii="Arial" w:hAnsi="Arial" w:cs="Arial"/>
          <w:b/>
          <w:i/>
          <w:sz w:val="20"/>
          <w:szCs w:val="20"/>
        </w:rPr>
        <w:instrText xml:space="preserve"> SEQ Obr. \* ARABIC </w:instrText>
      </w:r>
      <w:r w:rsidRPr="00F91C2E">
        <w:rPr>
          <w:rFonts w:ascii="Arial" w:hAnsi="Arial" w:cs="Arial"/>
          <w:b/>
          <w:i/>
          <w:sz w:val="20"/>
          <w:szCs w:val="20"/>
        </w:rPr>
        <w:fldChar w:fldCharType="separate"/>
      </w:r>
      <w:r w:rsidR="009E38FD">
        <w:rPr>
          <w:rFonts w:ascii="Arial" w:hAnsi="Arial" w:cs="Arial"/>
          <w:b/>
          <w:i/>
          <w:noProof/>
          <w:sz w:val="20"/>
          <w:szCs w:val="20"/>
        </w:rPr>
        <w:t>4</w:t>
      </w:r>
      <w:r w:rsidRPr="00F91C2E">
        <w:rPr>
          <w:rFonts w:ascii="Arial" w:hAnsi="Arial" w:cs="Arial"/>
          <w:b/>
          <w:i/>
          <w:sz w:val="20"/>
          <w:szCs w:val="20"/>
        </w:rPr>
        <w:fldChar w:fldCharType="end"/>
      </w:r>
      <w:r w:rsidR="00087E45" w:rsidRPr="00F91C2E">
        <w:rPr>
          <w:rFonts w:ascii="Arial" w:hAnsi="Arial" w:cs="Arial"/>
          <w:b/>
          <w:i/>
          <w:sz w:val="20"/>
          <w:szCs w:val="20"/>
        </w:rPr>
        <w:t>:  Změna počtu volných míst v Jihomoravském kraji podle hlavních tříd kategorie zaměstnání (CZ-ISCO) v letech 2013 a 2014</w:t>
      </w:r>
      <w:r w:rsidR="00087E45">
        <w:rPr>
          <w:noProof/>
        </w:rPr>
        <w:drawing>
          <wp:inline distT="0" distB="0" distL="0" distR="0" wp14:anchorId="0B8045E6" wp14:editId="530642D9">
            <wp:extent cx="5760000" cy="3600000"/>
            <wp:effectExtent l="0" t="0" r="0" b="635"/>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3600000"/>
                    </a:xfrm>
                    <a:prstGeom prst="rect">
                      <a:avLst/>
                    </a:prstGeom>
                    <a:noFill/>
                  </pic:spPr>
                </pic:pic>
              </a:graphicData>
            </a:graphic>
          </wp:inline>
        </w:drawing>
      </w:r>
    </w:p>
    <w:p w:rsidR="00087E45" w:rsidRPr="00F91C2E" w:rsidRDefault="00087E45" w:rsidP="00F91C2E">
      <w:pPr>
        <w:pStyle w:val="Bezmezer"/>
        <w:rPr>
          <w:rFonts w:ascii="Arial" w:hAnsi="Arial" w:cs="Arial"/>
          <w:sz w:val="20"/>
          <w:szCs w:val="20"/>
        </w:rPr>
      </w:pPr>
      <w:r w:rsidRPr="00F91C2E">
        <w:rPr>
          <w:rFonts w:ascii="Arial" w:hAnsi="Arial" w:cs="Arial"/>
          <w:b/>
          <w:sz w:val="20"/>
          <w:szCs w:val="20"/>
        </w:rPr>
        <w:t>Pramen</w:t>
      </w:r>
      <w:r w:rsidRPr="00F91C2E">
        <w:rPr>
          <w:rFonts w:ascii="Arial" w:hAnsi="Arial" w:cs="Arial"/>
          <w:sz w:val="20"/>
          <w:szCs w:val="20"/>
        </w:rPr>
        <w:t>: MPSV ČR, 2014, čtvrtletní statistiky</w:t>
      </w:r>
    </w:p>
    <w:p w:rsidR="00087E45" w:rsidRDefault="00087E45" w:rsidP="00087E45">
      <w:pPr>
        <w:jc w:val="both"/>
        <w:rPr>
          <w:rFonts w:ascii="Arial" w:hAnsi="Arial" w:cs="Arial"/>
          <w:sz w:val="22"/>
          <w:szCs w:val="22"/>
        </w:rPr>
      </w:pPr>
    </w:p>
    <w:p w:rsidR="00087E45" w:rsidRDefault="00087E45" w:rsidP="00087E45">
      <w:pPr>
        <w:jc w:val="both"/>
        <w:rPr>
          <w:rFonts w:ascii="Arial" w:hAnsi="Arial" w:cs="Arial"/>
          <w:sz w:val="22"/>
          <w:szCs w:val="22"/>
        </w:rPr>
      </w:pPr>
    </w:p>
    <w:p w:rsidR="00713F1B" w:rsidRDefault="00087E45" w:rsidP="00087E45">
      <w:pPr>
        <w:jc w:val="both"/>
        <w:rPr>
          <w:rFonts w:ascii="Arial" w:hAnsi="Arial" w:cs="Arial"/>
          <w:sz w:val="22"/>
          <w:szCs w:val="22"/>
        </w:rPr>
      </w:pPr>
      <w:r w:rsidRPr="0084055C">
        <w:rPr>
          <w:rFonts w:ascii="Arial" w:hAnsi="Arial" w:cs="Arial"/>
          <w:sz w:val="22"/>
          <w:szCs w:val="22"/>
        </w:rPr>
        <w:t>Mezi nejčastěji nabízené profese patřili v uplynulém roce zejména obchodní zástupci, všeobecní administrativní pracovníci</w:t>
      </w:r>
      <w:r w:rsidR="001378C5">
        <w:rPr>
          <w:rFonts w:ascii="Arial" w:hAnsi="Arial" w:cs="Arial"/>
          <w:sz w:val="22"/>
          <w:szCs w:val="22"/>
        </w:rPr>
        <w:t xml:space="preserve"> a dále obory, ve kterých je obecně vysoká fluktuace pracovní síly – jako </w:t>
      </w:r>
      <w:r w:rsidR="001378C5" w:rsidRPr="0084055C">
        <w:rPr>
          <w:rFonts w:ascii="Arial" w:hAnsi="Arial" w:cs="Arial"/>
          <w:sz w:val="22"/>
          <w:szCs w:val="22"/>
        </w:rPr>
        <w:t>kuchaři,</w:t>
      </w:r>
      <w:r w:rsidR="001378C5">
        <w:rPr>
          <w:rFonts w:ascii="Arial" w:hAnsi="Arial" w:cs="Arial"/>
          <w:sz w:val="22"/>
          <w:szCs w:val="22"/>
        </w:rPr>
        <w:t xml:space="preserve"> číšníci,</w:t>
      </w:r>
      <w:r w:rsidR="001378C5" w:rsidRPr="0084055C">
        <w:rPr>
          <w:rFonts w:ascii="Arial" w:hAnsi="Arial" w:cs="Arial"/>
          <w:sz w:val="22"/>
          <w:szCs w:val="22"/>
        </w:rPr>
        <w:t xml:space="preserve"> </w:t>
      </w:r>
      <w:r w:rsidRPr="0084055C">
        <w:rPr>
          <w:rFonts w:ascii="Arial" w:hAnsi="Arial" w:cs="Arial"/>
          <w:sz w:val="22"/>
          <w:szCs w:val="22"/>
        </w:rPr>
        <w:t>pracovníci ostrahy a strážní, uklízeči</w:t>
      </w:r>
      <w:r w:rsidR="001378C5">
        <w:rPr>
          <w:rFonts w:ascii="Arial" w:hAnsi="Arial" w:cs="Arial"/>
          <w:sz w:val="22"/>
          <w:szCs w:val="22"/>
        </w:rPr>
        <w:t xml:space="preserve">, </w:t>
      </w:r>
      <w:r w:rsidR="001378C5" w:rsidRPr="0084055C">
        <w:rPr>
          <w:rFonts w:ascii="Arial" w:hAnsi="Arial" w:cs="Arial"/>
          <w:sz w:val="22"/>
          <w:szCs w:val="22"/>
        </w:rPr>
        <w:t>pracovníci v zákaznických centr</w:t>
      </w:r>
      <w:r w:rsidR="00713F1B">
        <w:rPr>
          <w:rFonts w:ascii="Arial" w:hAnsi="Arial" w:cs="Arial"/>
          <w:sz w:val="22"/>
          <w:szCs w:val="22"/>
        </w:rPr>
        <w:t>ech, zedníci a dělníci ve výstavbě budov.</w:t>
      </w:r>
      <w:r w:rsidR="001378C5">
        <w:rPr>
          <w:rFonts w:ascii="Arial" w:hAnsi="Arial" w:cs="Arial"/>
          <w:sz w:val="22"/>
          <w:szCs w:val="22"/>
        </w:rPr>
        <w:t xml:space="preserve"> </w:t>
      </w:r>
      <w:r w:rsidR="00713F1B">
        <w:rPr>
          <w:rFonts w:ascii="Arial" w:hAnsi="Arial" w:cs="Arial"/>
          <w:sz w:val="22"/>
          <w:szCs w:val="22"/>
        </w:rPr>
        <w:t xml:space="preserve">U těchto profesí jsou však vysoké počty jak na straně poptávky, tak na straně nabídky. </w:t>
      </w:r>
    </w:p>
    <w:p w:rsidR="00AC272E" w:rsidRDefault="001378C5" w:rsidP="00087E45">
      <w:pPr>
        <w:jc w:val="both"/>
        <w:rPr>
          <w:rFonts w:ascii="Arial" w:hAnsi="Arial" w:cs="Arial"/>
          <w:sz w:val="22"/>
          <w:szCs w:val="22"/>
        </w:rPr>
      </w:pPr>
      <w:r>
        <w:rPr>
          <w:rFonts w:ascii="Arial" w:hAnsi="Arial" w:cs="Arial"/>
          <w:sz w:val="22"/>
          <w:szCs w:val="22"/>
        </w:rPr>
        <w:t>Žádáni jsou také</w:t>
      </w:r>
      <w:r w:rsidR="00087E45" w:rsidRPr="0084055C">
        <w:rPr>
          <w:rFonts w:ascii="Arial" w:hAnsi="Arial" w:cs="Arial"/>
          <w:sz w:val="22"/>
          <w:szCs w:val="22"/>
        </w:rPr>
        <w:t xml:space="preserve"> programátoři počítačových aplikací, řidiči nákladních automobilů, skladníci</w:t>
      </w:r>
      <w:r>
        <w:rPr>
          <w:rFonts w:ascii="Arial" w:hAnsi="Arial" w:cs="Arial"/>
          <w:sz w:val="22"/>
          <w:szCs w:val="22"/>
        </w:rPr>
        <w:t xml:space="preserve"> a obsluha manipulačních vozíků</w:t>
      </w:r>
      <w:r w:rsidR="00713F1B">
        <w:rPr>
          <w:rFonts w:ascii="Arial" w:hAnsi="Arial" w:cs="Arial"/>
          <w:sz w:val="22"/>
          <w:szCs w:val="22"/>
        </w:rPr>
        <w:t>, kde se aktuálně projevuje relativní nedostatek kvalifikované pracovní síly.</w:t>
      </w:r>
    </w:p>
    <w:p w:rsidR="00DF5C9D" w:rsidRDefault="001D29D0" w:rsidP="00087E45">
      <w:pPr>
        <w:jc w:val="both"/>
        <w:rPr>
          <w:rFonts w:ascii="Arial" w:hAnsi="Arial" w:cs="Arial"/>
          <w:sz w:val="22"/>
          <w:szCs w:val="22"/>
        </w:rPr>
      </w:pPr>
      <w:r>
        <w:rPr>
          <w:rFonts w:ascii="Arial" w:hAnsi="Arial" w:cs="Arial"/>
          <w:sz w:val="22"/>
          <w:szCs w:val="22"/>
        </w:rPr>
        <w:t>D</w:t>
      </w:r>
      <w:r w:rsidR="00087E45" w:rsidRPr="00082C90">
        <w:rPr>
          <w:rFonts w:ascii="Arial" w:hAnsi="Arial" w:cs="Arial"/>
          <w:sz w:val="22"/>
          <w:szCs w:val="22"/>
        </w:rPr>
        <w:t xml:space="preserve">louhodobě </w:t>
      </w:r>
      <w:r>
        <w:rPr>
          <w:rFonts w:ascii="Arial" w:hAnsi="Arial" w:cs="Arial"/>
          <w:sz w:val="22"/>
          <w:szCs w:val="22"/>
        </w:rPr>
        <w:t>jsou pak na trhu práce poptávány</w:t>
      </w:r>
      <w:r w:rsidR="00713F1B">
        <w:rPr>
          <w:rFonts w:ascii="Arial" w:hAnsi="Arial" w:cs="Arial"/>
          <w:sz w:val="22"/>
          <w:szCs w:val="22"/>
        </w:rPr>
        <w:t xml:space="preserve"> </w:t>
      </w:r>
      <w:r w:rsidR="00087E45" w:rsidRPr="00082C90">
        <w:rPr>
          <w:rFonts w:ascii="Arial" w:hAnsi="Arial" w:cs="Arial"/>
          <w:sz w:val="22"/>
          <w:szCs w:val="22"/>
        </w:rPr>
        <w:t>kvalifikované strojírenské profese, a to jak dělnické (nástrojař, svářeč, obráběč, obsluha CNC strojů), tak technické.</w:t>
      </w:r>
      <w:r w:rsidR="00AC272E">
        <w:rPr>
          <w:rFonts w:ascii="Arial" w:hAnsi="Arial" w:cs="Arial"/>
          <w:sz w:val="22"/>
          <w:szCs w:val="22"/>
        </w:rPr>
        <w:t xml:space="preserve"> Tato místa nejsou </w:t>
      </w:r>
      <w:r>
        <w:rPr>
          <w:rFonts w:ascii="Arial" w:hAnsi="Arial" w:cs="Arial"/>
          <w:sz w:val="22"/>
          <w:szCs w:val="22"/>
        </w:rPr>
        <w:t xml:space="preserve">sice </w:t>
      </w:r>
      <w:r w:rsidR="00AC272E">
        <w:rPr>
          <w:rFonts w:ascii="Arial" w:hAnsi="Arial" w:cs="Arial"/>
          <w:sz w:val="22"/>
          <w:szCs w:val="22"/>
        </w:rPr>
        <w:t>nabízena v tak vysokých počtech jako výše uváděné profese, poptávka je však trvalá</w:t>
      </w:r>
      <w:r w:rsidR="00713F1B">
        <w:rPr>
          <w:rFonts w:ascii="Arial" w:hAnsi="Arial" w:cs="Arial"/>
          <w:sz w:val="22"/>
          <w:szCs w:val="22"/>
        </w:rPr>
        <w:t xml:space="preserve"> a Úřad práce </w:t>
      </w:r>
      <w:r>
        <w:rPr>
          <w:rFonts w:ascii="Arial" w:hAnsi="Arial" w:cs="Arial"/>
          <w:sz w:val="22"/>
          <w:szCs w:val="22"/>
        </w:rPr>
        <w:t>nemá</w:t>
      </w:r>
      <w:r w:rsidR="00713F1B">
        <w:rPr>
          <w:rFonts w:ascii="Arial" w:hAnsi="Arial" w:cs="Arial"/>
          <w:sz w:val="22"/>
          <w:szCs w:val="22"/>
        </w:rPr>
        <w:t xml:space="preserve"> na tyto pozice dostatek vhodných uchazečů.</w:t>
      </w:r>
    </w:p>
    <w:p w:rsidR="00DF5C9D" w:rsidRDefault="00DF5C9D">
      <w:pPr>
        <w:spacing w:after="200"/>
        <w:rPr>
          <w:rFonts w:ascii="Arial" w:hAnsi="Arial" w:cs="Arial"/>
          <w:sz w:val="22"/>
          <w:szCs w:val="22"/>
        </w:rPr>
      </w:pPr>
      <w:r>
        <w:rPr>
          <w:rFonts w:ascii="Arial" w:hAnsi="Arial" w:cs="Arial"/>
          <w:sz w:val="22"/>
          <w:szCs w:val="22"/>
        </w:rPr>
        <w:br w:type="page"/>
      </w:r>
    </w:p>
    <w:p w:rsidR="003C0A41" w:rsidRDefault="003C0A41" w:rsidP="003C0A41">
      <w:pPr>
        <w:pStyle w:val="Nadpis1"/>
      </w:pPr>
      <w:bookmarkStart w:id="14" w:name="_Toc254869761"/>
      <w:bookmarkStart w:id="15" w:name="_Toc320265216"/>
      <w:bookmarkStart w:id="16" w:name="_Toc381372883"/>
      <w:bookmarkStart w:id="17" w:name="_Toc411611470"/>
      <w:r w:rsidRPr="00731147">
        <w:t>2. N</w:t>
      </w:r>
      <w:bookmarkEnd w:id="14"/>
      <w:bookmarkEnd w:id="15"/>
      <w:r>
        <w:t>ezaměstnanost</w:t>
      </w:r>
      <w:bookmarkEnd w:id="16"/>
      <w:bookmarkEnd w:id="17"/>
    </w:p>
    <w:p w:rsidR="003C0A41" w:rsidRDefault="003C0A41" w:rsidP="003C0A41"/>
    <w:p w:rsidR="003C0A41" w:rsidRPr="00E258C3" w:rsidRDefault="003C0A41" w:rsidP="003C0A41">
      <w:pPr>
        <w:pStyle w:val="Zkladntext"/>
        <w:jc w:val="both"/>
        <w:rPr>
          <w:rFonts w:ascii="Arial" w:hAnsi="Arial" w:cs="Arial"/>
          <w:sz w:val="22"/>
          <w:szCs w:val="22"/>
        </w:rPr>
      </w:pPr>
      <w:r w:rsidRPr="003F05EA">
        <w:rPr>
          <w:rFonts w:ascii="Arial" w:hAnsi="Arial" w:cs="Arial"/>
          <w:b w:val="0"/>
          <w:sz w:val="22"/>
          <w:szCs w:val="22"/>
        </w:rPr>
        <w:t>Po stagnaci v roce 2012 a výrazném nárůs</w:t>
      </w:r>
      <w:r>
        <w:rPr>
          <w:rFonts w:ascii="Arial" w:hAnsi="Arial" w:cs="Arial"/>
          <w:b w:val="0"/>
          <w:sz w:val="22"/>
          <w:szCs w:val="22"/>
        </w:rPr>
        <w:t xml:space="preserve">tu nezaměstnanosti v roce 2013 </w:t>
      </w:r>
      <w:r w:rsidRPr="003F05EA">
        <w:rPr>
          <w:rFonts w:ascii="Arial" w:hAnsi="Arial" w:cs="Arial"/>
          <w:b w:val="0"/>
          <w:sz w:val="22"/>
          <w:szCs w:val="22"/>
        </w:rPr>
        <w:t>se v roce 2014 projevilo oživení ekonomiky a nezaměstnanost poprvé od roku 2011 začala klesat. Průměrný počet evidovaných uchazečů byl sice oproti k</w:t>
      </w:r>
      <w:r w:rsidR="00561EAD">
        <w:rPr>
          <w:rFonts w:ascii="Arial" w:hAnsi="Arial" w:cs="Arial"/>
          <w:b w:val="0"/>
          <w:sz w:val="22"/>
          <w:szCs w:val="22"/>
        </w:rPr>
        <w:t xml:space="preserve"> r</w:t>
      </w:r>
      <w:r w:rsidRPr="003F05EA">
        <w:rPr>
          <w:rFonts w:ascii="Arial" w:hAnsi="Arial" w:cs="Arial"/>
          <w:b w:val="0"/>
          <w:sz w:val="22"/>
          <w:szCs w:val="22"/>
        </w:rPr>
        <w:t>oku 2013 ještě o 122 osob vyšší (díky rekordním hodnotám z počátku roku), avšak počet uchaze</w:t>
      </w:r>
      <w:r>
        <w:rPr>
          <w:rFonts w:ascii="Arial" w:hAnsi="Arial" w:cs="Arial"/>
          <w:b w:val="0"/>
          <w:sz w:val="22"/>
          <w:szCs w:val="22"/>
        </w:rPr>
        <w:t>čů na konci roku 2014 byl již o</w:t>
      </w:r>
      <w:r w:rsidRPr="003F05EA">
        <w:rPr>
          <w:rFonts w:ascii="Arial" w:hAnsi="Arial" w:cs="Arial"/>
          <w:b w:val="0"/>
          <w:sz w:val="22"/>
          <w:szCs w:val="22"/>
        </w:rPr>
        <w:t xml:space="preserve"> 5,7 tis. osob nižší než na konci roku 2013.  </w:t>
      </w:r>
      <w:r w:rsidRPr="00E258C3">
        <w:rPr>
          <w:rFonts w:ascii="Arial" w:hAnsi="Arial" w:cs="Arial"/>
          <w:sz w:val="22"/>
          <w:szCs w:val="22"/>
        </w:rPr>
        <w:t xml:space="preserve">Ke 31.12.2014 bylo v Jihomoravském kraji evidováno 66 203 uchazečů o zaměstnání. </w:t>
      </w:r>
    </w:p>
    <w:p w:rsidR="003C0A41" w:rsidRPr="00C36D13" w:rsidRDefault="003C0A41" w:rsidP="003C0A41">
      <w:pPr>
        <w:pStyle w:val="Zkladntext"/>
        <w:jc w:val="both"/>
        <w:rPr>
          <w:rFonts w:ascii="Arial" w:hAnsi="Arial" w:cs="Arial"/>
          <w:b w:val="0"/>
          <w:sz w:val="22"/>
          <w:szCs w:val="22"/>
          <w:highlight w:val="yellow"/>
        </w:rPr>
      </w:pPr>
    </w:p>
    <w:p w:rsidR="003C0A41" w:rsidRPr="00E6427E" w:rsidRDefault="003C0A41" w:rsidP="003C0A41">
      <w:pPr>
        <w:pStyle w:val="Zkladntext"/>
        <w:jc w:val="both"/>
        <w:rPr>
          <w:rFonts w:ascii="Arial" w:hAnsi="Arial" w:cs="Arial"/>
          <w:b w:val="0"/>
          <w:sz w:val="22"/>
          <w:szCs w:val="22"/>
        </w:rPr>
      </w:pPr>
      <w:r>
        <w:rPr>
          <w:rFonts w:ascii="Arial" w:hAnsi="Arial" w:cs="Arial"/>
          <w:b w:val="0"/>
          <w:sz w:val="22"/>
          <w:szCs w:val="22"/>
        </w:rPr>
        <w:t xml:space="preserve">Na počátku 2014 dosáhl počet nezaměstnaných v kraji rekordní hodnoty v historii samostatné České republiky – na konci ledna 2014 bylo v evidenci 75 378 uchazečů o zaměstnání. </w:t>
      </w:r>
      <w:r w:rsidRPr="00E6427E">
        <w:rPr>
          <w:rFonts w:ascii="Arial" w:hAnsi="Arial" w:cs="Arial"/>
          <w:b w:val="0"/>
          <w:sz w:val="22"/>
          <w:szCs w:val="22"/>
        </w:rPr>
        <w:t xml:space="preserve">V  průběhu roku </w:t>
      </w:r>
      <w:r>
        <w:rPr>
          <w:rFonts w:ascii="Arial" w:hAnsi="Arial" w:cs="Arial"/>
          <w:b w:val="0"/>
          <w:sz w:val="22"/>
          <w:szCs w:val="22"/>
        </w:rPr>
        <w:t xml:space="preserve">však jejich počet klesl o 9,1 tis. osob a dostal se tak </w:t>
      </w:r>
      <w:r w:rsidRPr="003F05EA">
        <w:rPr>
          <w:rFonts w:ascii="Arial" w:hAnsi="Arial" w:cs="Arial"/>
          <w:b w:val="0"/>
          <w:sz w:val="22"/>
          <w:szCs w:val="22"/>
        </w:rPr>
        <w:t xml:space="preserve">na úroveň </w:t>
      </w:r>
      <w:r>
        <w:rPr>
          <w:rFonts w:ascii="Arial" w:hAnsi="Arial" w:cs="Arial"/>
          <w:b w:val="0"/>
          <w:sz w:val="22"/>
          <w:szCs w:val="22"/>
        </w:rPr>
        <w:t xml:space="preserve">konce </w:t>
      </w:r>
      <w:r w:rsidRPr="003F05EA">
        <w:rPr>
          <w:rFonts w:ascii="Arial" w:hAnsi="Arial" w:cs="Arial"/>
          <w:b w:val="0"/>
          <w:sz w:val="22"/>
          <w:szCs w:val="22"/>
        </w:rPr>
        <w:t>roku 2012.</w:t>
      </w:r>
      <w:r>
        <w:rPr>
          <w:rFonts w:ascii="Arial" w:hAnsi="Arial" w:cs="Arial"/>
          <w:b w:val="0"/>
          <w:sz w:val="22"/>
          <w:szCs w:val="22"/>
        </w:rPr>
        <w:t xml:space="preserve"> Nezaměstnanost </w:t>
      </w:r>
      <w:r w:rsidR="001D29D0">
        <w:rPr>
          <w:rFonts w:ascii="Arial" w:hAnsi="Arial" w:cs="Arial"/>
          <w:b w:val="0"/>
          <w:sz w:val="22"/>
          <w:szCs w:val="22"/>
        </w:rPr>
        <w:t>– obdobně jako v celé ČR klesala v průběhu téměř celého roku, k obvyklému sezónnímu nárůstu došlo až v jeho samotném závěru a ve srovnání s předchozími dvěma roky byl podstatně nižší.</w:t>
      </w:r>
    </w:p>
    <w:p w:rsidR="003C0A41" w:rsidRPr="00E6427E" w:rsidRDefault="003C0A41" w:rsidP="003C0A41">
      <w:pPr>
        <w:pStyle w:val="Zkladntext"/>
        <w:jc w:val="both"/>
        <w:rPr>
          <w:rFonts w:ascii="Arial" w:hAnsi="Arial" w:cs="Arial"/>
          <w:b w:val="0"/>
          <w:sz w:val="22"/>
          <w:szCs w:val="22"/>
        </w:rPr>
      </w:pPr>
    </w:p>
    <w:p w:rsidR="003C0A41" w:rsidRPr="00E6427E" w:rsidRDefault="003C0A41" w:rsidP="003C0A41">
      <w:pPr>
        <w:pStyle w:val="Zkladntext"/>
        <w:jc w:val="both"/>
        <w:rPr>
          <w:rFonts w:ascii="Arial" w:hAnsi="Arial" w:cs="Arial"/>
          <w:b w:val="0"/>
          <w:sz w:val="22"/>
          <w:szCs w:val="22"/>
        </w:rPr>
      </w:pPr>
      <w:r w:rsidRPr="00E6427E">
        <w:rPr>
          <w:rFonts w:ascii="Arial" w:hAnsi="Arial" w:cs="Arial"/>
          <w:b w:val="0"/>
          <w:sz w:val="22"/>
          <w:szCs w:val="22"/>
        </w:rPr>
        <w:t>Ve srovnání s Českou republikou ovšem situace v kraji není příznivá; podíl nezaměstnaných na obyvatelstvu 15-64 let je zde dlouhodobě oproti celostátnímu průměru o 0,5 až 0,8 procentního bodu vyšší. Ke 31.12.</w:t>
      </w:r>
      <w:r>
        <w:rPr>
          <w:rFonts w:ascii="Arial" w:hAnsi="Arial" w:cs="Arial"/>
          <w:b w:val="0"/>
          <w:sz w:val="22"/>
          <w:szCs w:val="22"/>
        </w:rPr>
        <w:t xml:space="preserve"> </w:t>
      </w:r>
      <w:r w:rsidRPr="00E6427E">
        <w:rPr>
          <w:rFonts w:ascii="Arial" w:hAnsi="Arial" w:cs="Arial"/>
          <w:b w:val="0"/>
          <w:sz w:val="22"/>
          <w:szCs w:val="22"/>
        </w:rPr>
        <w:t>201</w:t>
      </w:r>
      <w:r>
        <w:rPr>
          <w:rFonts w:ascii="Arial" w:hAnsi="Arial" w:cs="Arial"/>
          <w:b w:val="0"/>
          <w:sz w:val="22"/>
          <w:szCs w:val="22"/>
        </w:rPr>
        <w:t>4</w:t>
      </w:r>
      <w:r w:rsidRPr="00E6427E">
        <w:rPr>
          <w:rFonts w:ascii="Arial" w:hAnsi="Arial" w:cs="Arial"/>
          <w:b w:val="0"/>
          <w:sz w:val="22"/>
          <w:szCs w:val="22"/>
        </w:rPr>
        <w:t xml:space="preserve"> dosáhl hodnoty 8,</w:t>
      </w:r>
      <w:r>
        <w:rPr>
          <w:rFonts w:ascii="Arial" w:hAnsi="Arial" w:cs="Arial"/>
          <w:b w:val="0"/>
          <w:sz w:val="22"/>
          <w:szCs w:val="22"/>
        </w:rPr>
        <w:t xml:space="preserve">2 </w:t>
      </w:r>
      <w:r w:rsidRPr="00E6427E">
        <w:rPr>
          <w:rFonts w:ascii="Arial" w:hAnsi="Arial" w:cs="Arial"/>
          <w:b w:val="0"/>
          <w:sz w:val="22"/>
          <w:szCs w:val="22"/>
        </w:rPr>
        <w:t>%</w:t>
      </w:r>
      <w:r>
        <w:rPr>
          <w:rFonts w:ascii="Arial" w:hAnsi="Arial" w:cs="Arial"/>
          <w:b w:val="0"/>
          <w:sz w:val="22"/>
          <w:szCs w:val="22"/>
        </w:rPr>
        <w:t>.</w:t>
      </w:r>
    </w:p>
    <w:p w:rsidR="003C0A41" w:rsidRPr="00FF0818" w:rsidRDefault="003C0A41" w:rsidP="003C0A41">
      <w:pPr>
        <w:pStyle w:val="Zkladntext"/>
        <w:rPr>
          <w:rFonts w:ascii="Arial" w:hAnsi="Arial" w:cs="Arial"/>
          <w:b w:val="0"/>
          <w:sz w:val="20"/>
          <w:szCs w:val="20"/>
        </w:rPr>
      </w:pPr>
    </w:p>
    <w:p w:rsidR="003C0A41" w:rsidRPr="003C0A41" w:rsidRDefault="003C0A41" w:rsidP="003C0A41">
      <w:pPr>
        <w:rPr>
          <w:rFonts w:ascii="Arial" w:hAnsi="Arial" w:cs="Arial"/>
          <w:b/>
          <w:i/>
          <w:noProof/>
          <w:sz w:val="20"/>
          <w:szCs w:val="20"/>
        </w:rPr>
      </w:pPr>
      <w:r w:rsidRPr="003C0A41">
        <w:rPr>
          <w:rFonts w:ascii="Arial" w:hAnsi="Arial" w:cs="Arial"/>
          <w:b/>
          <w:i/>
          <w:sz w:val="20"/>
          <w:szCs w:val="20"/>
        </w:rPr>
        <w:t xml:space="preserve">Obr. </w:t>
      </w:r>
      <w:r w:rsidRPr="003C0A41">
        <w:rPr>
          <w:rFonts w:ascii="Arial" w:hAnsi="Arial" w:cs="Arial"/>
          <w:b/>
          <w:i/>
          <w:sz w:val="20"/>
          <w:szCs w:val="20"/>
        </w:rPr>
        <w:fldChar w:fldCharType="begin"/>
      </w:r>
      <w:r w:rsidRPr="003C0A41">
        <w:rPr>
          <w:rFonts w:ascii="Arial" w:hAnsi="Arial" w:cs="Arial"/>
          <w:b/>
          <w:i/>
          <w:sz w:val="20"/>
          <w:szCs w:val="20"/>
        </w:rPr>
        <w:instrText xml:space="preserve"> SEQ Obr. \* ARABIC </w:instrText>
      </w:r>
      <w:r w:rsidRPr="003C0A41">
        <w:rPr>
          <w:rFonts w:ascii="Arial" w:hAnsi="Arial" w:cs="Arial"/>
          <w:b/>
          <w:i/>
          <w:sz w:val="20"/>
          <w:szCs w:val="20"/>
        </w:rPr>
        <w:fldChar w:fldCharType="separate"/>
      </w:r>
      <w:r w:rsidR="009E38FD">
        <w:rPr>
          <w:rFonts w:ascii="Arial" w:hAnsi="Arial" w:cs="Arial"/>
          <w:b/>
          <w:i/>
          <w:noProof/>
          <w:sz w:val="20"/>
          <w:szCs w:val="20"/>
        </w:rPr>
        <w:t>5</w:t>
      </w:r>
      <w:r w:rsidRPr="003C0A41">
        <w:rPr>
          <w:rFonts w:ascii="Arial" w:hAnsi="Arial" w:cs="Arial"/>
          <w:b/>
          <w:i/>
          <w:sz w:val="20"/>
          <w:szCs w:val="20"/>
        </w:rPr>
        <w:fldChar w:fldCharType="end"/>
      </w:r>
      <w:r w:rsidRPr="003C0A41">
        <w:rPr>
          <w:rFonts w:ascii="Arial" w:hAnsi="Arial" w:cs="Arial"/>
          <w:b/>
          <w:i/>
          <w:sz w:val="20"/>
          <w:szCs w:val="20"/>
        </w:rPr>
        <w:t>: Srovnání vývoje podílu nezaměstnaných v Jihomoravském kraji a v České republice v letech 2012</w:t>
      </w:r>
      <w:bookmarkStart w:id="18" w:name="_Toc142886767"/>
      <w:r w:rsidRPr="003C0A41">
        <w:rPr>
          <w:rFonts w:ascii="Arial" w:hAnsi="Arial" w:cs="Arial"/>
          <w:b/>
          <w:i/>
          <w:sz w:val="20"/>
          <w:szCs w:val="20"/>
        </w:rPr>
        <w:t xml:space="preserve"> - 2014</w:t>
      </w:r>
    </w:p>
    <w:p w:rsidR="003C0A41" w:rsidRDefault="003C0A41" w:rsidP="003C0A41">
      <w:pPr>
        <w:pStyle w:val="Zkladntext"/>
      </w:pPr>
      <w:r>
        <w:rPr>
          <w:noProof/>
        </w:rPr>
        <w:drawing>
          <wp:inline distT="0" distB="0" distL="0" distR="0" wp14:anchorId="323F64D0" wp14:editId="450B3B35">
            <wp:extent cx="5759450" cy="3543300"/>
            <wp:effectExtent l="0" t="0" r="0" b="0"/>
            <wp:docPr id="289" name="Obrázek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543638"/>
                    </a:xfrm>
                    <a:prstGeom prst="rect">
                      <a:avLst/>
                    </a:prstGeom>
                    <a:noFill/>
                  </pic:spPr>
                </pic:pic>
              </a:graphicData>
            </a:graphic>
          </wp:inline>
        </w:drawing>
      </w:r>
    </w:p>
    <w:p w:rsidR="003C0A41" w:rsidRDefault="003C0A41" w:rsidP="003C0A41">
      <w:pPr>
        <w:pStyle w:val="Titulek"/>
      </w:pPr>
    </w:p>
    <w:p w:rsidR="003C0A41" w:rsidRDefault="003C0A41" w:rsidP="003C0A41">
      <w:pPr>
        <w:pStyle w:val="Titulek"/>
      </w:pPr>
    </w:p>
    <w:p w:rsidR="003C0A41" w:rsidRDefault="003C0A41" w:rsidP="003C0A41">
      <w:pPr>
        <w:pStyle w:val="Titulek"/>
      </w:pPr>
    </w:p>
    <w:p w:rsidR="003C0A41" w:rsidRDefault="003C0A41" w:rsidP="003C0A41">
      <w:pPr>
        <w:pStyle w:val="Titulek"/>
      </w:pPr>
      <w:r w:rsidRPr="003C0A41">
        <w:rPr>
          <w:rFonts w:ascii="Arial" w:hAnsi="Arial" w:cs="Arial"/>
          <w:i/>
          <w:color w:val="auto"/>
          <w:sz w:val="20"/>
          <w:szCs w:val="20"/>
        </w:rPr>
        <w:t xml:space="preserve">Obr. </w:t>
      </w:r>
      <w:r w:rsidRPr="003C0A41">
        <w:rPr>
          <w:rFonts w:ascii="Arial" w:hAnsi="Arial" w:cs="Arial"/>
          <w:i/>
          <w:color w:val="auto"/>
          <w:sz w:val="20"/>
          <w:szCs w:val="20"/>
        </w:rPr>
        <w:fldChar w:fldCharType="begin"/>
      </w:r>
      <w:r w:rsidRPr="003C0A41">
        <w:rPr>
          <w:rFonts w:ascii="Arial" w:hAnsi="Arial" w:cs="Arial"/>
          <w:i/>
          <w:color w:val="auto"/>
          <w:sz w:val="20"/>
          <w:szCs w:val="20"/>
        </w:rPr>
        <w:instrText xml:space="preserve"> SEQ Obr. \* ARABIC </w:instrText>
      </w:r>
      <w:r w:rsidRPr="003C0A41">
        <w:rPr>
          <w:rFonts w:ascii="Arial" w:hAnsi="Arial" w:cs="Arial"/>
          <w:i/>
          <w:color w:val="auto"/>
          <w:sz w:val="20"/>
          <w:szCs w:val="20"/>
        </w:rPr>
        <w:fldChar w:fldCharType="separate"/>
      </w:r>
      <w:r w:rsidR="009E38FD">
        <w:rPr>
          <w:rFonts w:ascii="Arial" w:hAnsi="Arial" w:cs="Arial"/>
          <w:i/>
          <w:noProof/>
          <w:color w:val="auto"/>
          <w:sz w:val="20"/>
          <w:szCs w:val="20"/>
        </w:rPr>
        <w:t>6</w:t>
      </w:r>
      <w:r w:rsidRPr="003C0A41">
        <w:rPr>
          <w:rFonts w:ascii="Arial" w:hAnsi="Arial" w:cs="Arial"/>
          <w:i/>
          <w:color w:val="auto"/>
          <w:sz w:val="20"/>
          <w:szCs w:val="20"/>
        </w:rPr>
        <w:fldChar w:fldCharType="end"/>
      </w:r>
      <w:r w:rsidRPr="003C0A41">
        <w:rPr>
          <w:rFonts w:ascii="Arial" w:hAnsi="Arial" w:cs="Arial"/>
          <w:i/>
          <w:color w:val="auto"/>
          <w:sz w:val="20"/>
          <w:szCs w:val="20"/>
        </w:rPr>
        <w:t>: Roční vývoj počtu evidovaných uchazečů o zaměstnání v Jihomoravském kraji v letech  2011 - 2014</w:t>
      </w:r>
      <w:r>
        <w:rPr>
          <w:noProof/>
        </w:rPr>
        <w:drawing>
          <wp:inline distT="0" distB="0" distL="0" distR="0" wp14:anchorId="5AEB2A35" wp14:editId="0ABF17D0">
            <wp:extent cx="5760720" cy="3175462"/>
            <wp:effectExtent l="0" t="0" r="11430" b="25400"/>
            <wp:docPr id="290" name="Graf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0A41" w:rsidRDefault="003C0A41" w:rsidP="003C0A41">
      <w:pPr>
        <w:pStyle w:val="Nadpis2"/>
      </w:pPr>
      <w:bookmarkStart w:id="19" w:name="_Toc320265217"/>
      <w:bookmarkStart w:id="20" w:name="_Toc381372884"/>
    </w:p>
    <w:p w:rsidR="003C0A41" w:rsidRPr="00731147" w:rsidRDefault="003C0A41" w:rsidP="003C0A41">
      <w:pPr>
        <w:pStyle w:val="Nadpis2"/>
      </w:pPr>
      <w:bookmarkStart w:id="21" w:name="_Toc411611471"/>
      <w:r w:rsidRPr="00731147">
        <w:t xml:space="preserve">2.1. </w:t>
      </w:r>
      <w:bookmarkEnd w:id="18"/>
      <w:r w:rsidRPr="00731147">
        <w:t>Vývoj nezaměstnanosti</w:t>
      </w:r>
      <w:bookmarkEnd w:id="19"/>
      <w:bookmarkEnd w:id="20"/>
      <w:bookmarkEnd w:id="21"/>
    </w:p>
    <w:p w:rsidR="003C0A41" w:rsidRPr="00C91E7C" w:rsidRDefault="003C0A41" w:rsidP="003C0A41">
      <w:pPr>
        <w:pStyle w:val="Zkladntext"/>
        <w:rPr>
          <w:rFonts w:ascii="Arial" w:hAnsi="Arial" w:cs="Arial"/>
          <w:color w:val="FF0000"/>
          <w:sz w:val="22"/>
          <w:szCs w:val="22"/>
        </w:rPr>
      </w:pPr>
    </w:p>
    <w:p w:rsidR="003C0A41" w:rsidRDefault="003C0A41" w:rsidP="003C0A41">
      <w:pPr>
        <w:pStyle w:val="Zkladntext"/>
        <w:spacing w:after="120"/>
        <w:jc w:val="both"/>
        <w:rPr>
          <w:rFonts w:ascii="Arial" w:hAnsi="Arial" w:cs="Arial"/>
          <w:b w:val="0"/>
          <w:sz w:val="22"/>
          <w:szCs w:val="22"/>
        </w:rPr>
      </w:pPr>
      <w:r w:rsidRPr="00E6427E">
        <w:rPr>
          <w:rFonts w:ascii="Arial" w:hAnsi="Arial" w:cs="Arial"/>
          <w:b w:val="0"/>
          <w:sz w:val="22"/>
          <w:szCs w:val="22"/>
        </w:rPr>
        <w:t>Počet evidovaných uchazečů o zaměstnání v Jihomoravském kraji na počátku roku 201</w:t>
      </w:r>
      <w:r>
        <w:rPr>
          <w:rFonts w:ascii="Arial" w:hAnsi="Arial" w:cs="Arial"/>
          <w:b w:val="0"/>
          <w:sz w:val="22"/>
          <w:szCs w:val="22"/>
        </w:rPr>
        <w:t xml:space="preserve">4 </w:t>
      </w:r>
      <w:r w:rsidRPr="00E6427E">
        <w:rPr>
          <w:rFonts w:ascii="Arial" w:hAnsi="Arial" w:cs="Arial"/>
          <w:b w:val="0"/>
          <w:sz w:val="22"/>
          <w:szCs w:val="22"/>
        </w:rPr>
        <w:t xml:space="preserve">výrazně rostl. V průběhu ledna vstoupilo do evidence </w:t>
      </w:r>
      <w:r>
        <w:rPr>
          <w:rFonts w:ascii="Arial" w:hAnsi="Arial" w:cs="Arial"/>
          <w:b w:val="0"/>
          <w:sz w:val="22"/>
          <w:szCs w:val="22"/>
        </w:rPr>
        <w:t>8</w:t>
      </w:r>
      <w:r w:rsidRPr="00E6427E">
        <w:rPr>
          <w:rFonts w:ascii="Arial" w:hAnsi="Arial" w:cs="Arial"/>
          <w:b w:val="0"/>
          <w:sz w:val="22"/>
          <w:szCs w:val="22"/>
        </w:rPr>
        <w:t>,</w:t>
      </w:r>
      <w:r>
        <w:rPr>
          <w:rFonts w:ascii="Arial" w:hAnsi="Arial" w:cs="Arial"/>
          <w:b w:val="0"/>
          <w:sz w:val="22"/>
          <w:szCs w:val="22"/>
        </w:rPr>
        <w:t>7</w:t>
      </w:r>
      <w:r w:rsidRPr="00E6427E">
        <w:rPr>
          <w:rFonts w:ascii="Arial" w:hAnsi="Arial" w:cs="Arial"/>
          <w:b w:val="0"/>
          <w:sz w:val="22"/>
          <w:szCs w:val="22"/>
        </w:rPr>
        <w:t xml:space="preserve"> tis. nových uchazečů, což byla hodnota obdobná číslům z krizových let 2009 a 2010. Následný vývoj měl obvyklý sezónní průběh s maximy ukončených evidencí v jarních a letních měsících. Nejvíce uchazečů odešlo z evidence v dubnu, a to </w:t>
      </w:r>
      <w:r>
        <w:rPr>
          <w:rFonts w:ascii="Arial" w:hAnsi="Arial" w:cs="Arial"/>
          <w:b w:val="0"/>
          <w:sz w:val="22"/>
          <w:szCs w:val="22"/>
        </w:rPr>
        <w:t>9</w:t>
      </w:r>
      <w:r w:rsidRPr="00E6427E">
        <w:rPr>
          <w:rFonts w:ascii="Arial" w:hAnsi="Arial" w:cs="Arial"/>
          <w:b w:val="0"/>
          <w:sz w:val="22"/>
          <w:szCs w:val="22"/>
        </w:rPr>
        <w:t>,</w:t>
      </w:r>
      <w:r>
        <w:rPr>
          <w:rFonts w:ascii="Arial" w:hAnsi="Arial" w:cs="Arial"/>
          <w:b w:val="0"/>
          <w:sz w:val="22"/>
          <w:szCs w:val="22"/>
        </w:rPr>
        <w:t>4</w:t>
      </w:r>
      <w:r w:rsidRPr="00E6427E">
        <w:rPr>
          <w:rFonts w:ascii="Arial" w:hAnsi="Arial" w:cs="Arial"/>
          <w:b w:val="0"/>
          <w:sz w:val="22"/>
          <w:szCs w:val="22"/>
        </w:rPr>
        <w:t xml:space="preserve"> tis</w:t>
      </w:r>
      <w:r w:rsidR="001D29D0">
        <w:rPr>
          <w:rFonts w:ascii="Arial" w:hAnsi="Arial" w:cs="Arial"/>
          <w:b w:val="0"/>
          <w:sz w:val="22"/>
          <w:szCs w:val="22"/>
        </w:rPr>
        <w:t>.,</w:t>
      </w:r>
      <w:r w:rsidRPr="00E6427E">
        <w:rPr>
          <w:rFonts w:ascii="Arial" w:hAnsi="Arial" w:cs="Arial"/>
          <w:b w:val="0"/>
          <w:sz w:val="22"/>
          <w:szCs w:val="22"/>
        </w:rPr>
        <w:t xml:space="preserve"> a počet evidovaných uchazečů se tak v tomto měsíci snížil o </w:t>
      </w:r>
      <w:r>
        <w:rPr>
          <w:rFonts w:ascii="Arial" w:hAnsi="Arial" w:cs="Arial"/>
          <w:b w:val="0"/>
          <w:sz w:val="22"/>
          <w:szCs w:val="22"/>
        </w:rPr>
        <w:t>4</w:t>
      </w:r>
      <w:r w:rsidRPr="00E6427E">
        <w:rPr>
          <w:rFonts w:ascii="Arial" w:hAnsi="Arial" w:cs="Arial"/>
          <w:b w:val="0"/>
          <w:sz w:val="22"/>
          <w:szCs w:val="22"/>
        </w:rPr>
        <w:t>,</w:t>
      </w:r>
      <w:r>
        <w:rPr>
          <w:rFonts w:ascii="Arial" w:hAnsi="Arial" w:cs="Arial"/>
          <w:b w:val="0"/>
          <w:sz w:val="22"/>
          <w:szCs w:val="22"/>
        </w:rPr>
        <w:t>3</w:t>
      </w:r>
      <w:r w:rsidRPr="00E6427E">
        <w:rPr>
          <w:rFonts w:ascii="Arial" w:hAnsi="Arial" w:cs="Arial"/>
          <w:b w:val="0"/>
          <w:sz w:val="22"/>
          <w:szCs w:val="22"/>
        </w:rPr>
        <w:t xml:space="preserve"> tis.  Celkově v jarním období (v měsících březnu až červnu) klesl počet evidovaných uchazečů o </w:t>
      </w:r>
      <w:r>
        <w:rPr>
          <w:rFonts w:ascii="Arial" w:hAnsi="Arial" w:cs="Arial"/>
          <w:b w:val="0"/>
          <w:sz w:val="22"/>
          <w:szCs w:val="22"/>
        </w:rPr>
        <w:t>10</w:t>
      </w:r>
      <w:r w:rsidRPr="00E6427E">
        <w:rPr>
          <w:rFonts w:ascii="Arial" w:hAnsi="Arial" w:cs="Arial"/>
          <w:b w:val="0"/>
          <w:sz w:val="22"/>
          <w:szCs w:val="22"/>
        </w:rPr>
        <w:t>,</w:t>
      </w:r>
      <w:r>
        <w:rPr>
          <w:rFonts w:ascii="Arial" w:hAnsi="Arial" w:cs="Arial"/>
          <w:b w:val="0"/>
          <w:sz w:val="22"/>
          <w:szCs w:val="22"/>
        </w:rPr>
        <w:t>5 tis.</w:t>
      </w:r>
      <w:r w:rsidRPr="00E6427E">
        <w:rPr>
          <w:rFonts w:ascii="Arial" w:hAnsi="Arial" w:cs="Arial"/>
          <w:b w:val="0"/>
          <w:sz w:val="22"/>
          <w:szCs w:val="22"/>
        </w:rPr>
        <w:t xml:space="preserve"> Ve stejném období předchozího roku </w:t>
      </w:r>
      <w:r>
        <w:rPr>
          <w:rFonts w:ascii="Arial" w:hAnsi="Arial" w:cs="Arial"/>
          <w:b w:val="0"/>
          <w:sz w:val="22"/>
          <w:szCs w:val="22"/>
        </w:rPr>
        <w:t>to bylo</w:t>
      </w:r>
      <w:r w:rsidRPr="00E6427E">
        <w:rPr>
          <w:rFonts w:ascii="Arial" w:hAnsi="Arial" w:cs="Arial"/>
          <w:b w:val="0"/>
          <w:sz w:val="22"/>
          <w:szCs w:val="22"/>
        </w:rPr>
        <w:t xml:space="preserve"> </w:t>
      </w:r>
      <w:r w:rsidR="001D29D0">
        <w:rPr>
          <w:rFonts w:ascii="Arial" w:hAnsi="Arial" w:cs="Arial"/>
          <w:b w:val="0"/>
          <w:sz w:val="22"/>
          <w:szCs w:val="22"/>
        </w:rPr>
        <w:t xml:space="preserve">o </w:t>
      </w:r>
      <w:r>
        <w:rPr>
          <w:rFonts w:ascii="Arial" w:hAnsi="Arial" w:cs="Arial"/>
          <w:b w:val="0"/>
          <w:sz w:val="22"/>
          <w:szCs w:val="22"/>
        </w:rPr>
        <w:t>7</w:t>
      </w:r>
      <w:r w:rsidRPr="00E6427E">
        <w:rPr>
          <w:rFonts w:ascii="Arial" w:hAnsi="Arial" w:cs="Arial"/>
          <w:b w:val="0"/>
          <w:sz w:val="22"/>
          <w:szCs w:val="22"/>
        </w:rPr>
        <w:t>,</w:t>
      </w:r>
      <w:r>
        <w:rPr>
          <w:rFonts w:ascii="Arial" w:hAnsi="Arial" w:cs="Arial"/>
          <w:b w:val="0"/>
          <w:sz w:val="22"/>
          <w:szCs w:val="22"/>
        </w:rPr>
        <w:t>8 tis. uchazečů.</w:t>
      </w:r>
    </w:p>
    <w:p w:rsidR="003C0A41" w:rsidRPr="00936E23" w:rsidRDefault="003C0A41" w:rsidP="003C0A41">
      <w:pPr>
        <w:pStyle w:val="Zkladntext"/>
        <w:spacing w:after="120"/>
        <w:jc w:val="both"/>
        <w:rPr>
          <w:rFonts w:ascii="Arial" w:hAnsi="Arial" w:cs="Arial"/>
          <w:b w:val="0"/>
          <w:sz w:val="22"/>
          <w:szCs w:val="22"/>
        </w:rPr>
      </w:pPr>
      <w:r w:rsidRPr="00E6427E">
        <w:rPr>
          <w:rFonts w:ascii="Arial" w:hAnsi="Arial" w:cs="Arial"/>
          <w:b w:val="0"/>
          <w:sz w:val="22"/>
          <w:szCs w:val="22"/>
        </w:rPr>
        <w:t>V </w:t>
      </w:r>
      <w:r>
        <w:rPr>
          <w:rFonts w:ascii="Arial" w:hAnsi="Arial" w:cs="Arial"/>
          <w:b w:val="0"/>
          <w:sz w:val="22"/>
          <w:szCs w:val="22"/>
        </w:rPr>
        <w:t>červ</w:t>
      </w:r>
      <w:r w:rsidR="007E2A20">
        <w:rPr>
          <w:rFonts w:ascii="Arial" w:hAnsi="Arial" w:cs="Arial"/>
          <w:b w:val="0"/>
          <w:sz w:val="22"/>
          <w:szCs w:val="22"/>
        </w:rPr>
        <w:t>enci</w:t>
      </w:r>
      <w:r w:rsidRPr="00936E23">
        <w:rPr>
          <w:rFonts w:ascii="Arial" w:hAnsi="Arial" w:cs="Arial"/>
          <w:b w:val="0"/>
          <w:sz w:val="22"/>
          <w:szCs w:val="22"/>
        </w:rPr>
        <w:t xml:space="preserve"> došlo k obvyklému nárůstu počtu uchazečů, který je spojen částečně se vstupem absolventů na trh práce, částečně s ukončováním pracovních poměrů na dobu určitou ve školství, ale také s</w:t>
      </w:r>
      <w:r w:rsidR="007E2A20">
        <w:rPr>
          <w:rFonts w:ascii="Arial" w:hAnsi="Arial" w:cs="Arial"/>
          <w:b w:val="0"/>
          <w:sz w:val="22"/>
          <w:szCs w:val="22"/>
        </w:rPr>
        <w:t> jistým útlumem aktivit a „odklá</w:t>
      </w:r>
      <w:r w:rsidRPr="00936E23">
        <w:rPr>
          <w:rFonts w:ascii="Arial" w:hAnsi="Arial" w:cs="Arial"/>
          <w:b w:val="0"/>
          <w:sz w:val="22"/>
          <w:szCs w:val="22"/>
        </w:rPr>
        <w:t>dáním“ hledání pracovního místa po dobu prázdnin a dovolených na straně uchazečů i zaměstnavatelů.</w:t>
      </w:r>
      <w:r>
        <w:rPr>
          <w:rFonts w:ascii="Arial" w:hAnsi="Arial" w:cs="Arial"/>
          <w:b w:val="0"/>
          <w:sz w:val="22"/>
          <w:szCs w:val="22"/>
        </w:rPr>
        <w:t xml:space="preserve"> Oproti loňskému roku byl však tento nárůst jen poloviční a již v srpnu začalo uchazečů opět ubývat.</w:t>
      </w:r>
    </w:p>
    <w:p w:rsidR="003C0A41" w:rsidRPr="00C71BCC" w:rsidRDefault="003C0A41" w:rsidP="003C0A41">
      <w:pPr>
        <w:pStyle w:val="Zkladntext"/>
        <w:spacing w:after="120"/>
        <w:jc w:val="both"/>
        <w:rPr>
          <w:b w:val="0"/>
          <w:sz w:val="22"/>
          <w:szCs w:val="22"/>
        </w:rPr>
      </w:pPr>
      <w:r w:rsidRPr="00936E23">
        <w:rPr>
          <w:rFonts w:ascii="Arial" w:hAnsi="Arial" w:cs="Arial"/>
          <w:b w:val="0"/>
          <w:sz w:val="22"/>
          <w:szCs w:val="22"/>
        </w:rPr>
        <w:t xml:space="preserve">V září </w:t>
      </w:r>
      <w:r>
        <w:rPr>
          <w:rFonts w:ascii="Arial" w:hAnsi="Arial" w:cs="Arial"/>
          <w:b w:val="0"/>
          <w:sz w:val="22"/>
          <w:szCs w:val="22"/>
        </w:rPr>
        <w:t>se jako obvykle zvýšil tok</w:t>
      </w:r>
      <w:r w:rsidRPr="00936E23">
        <w:rPr>
          <w:rFonts w:ascii="Arial" w:hAnsi="Arial" w:cs="Arial"/>
          <w:b w:val="0"/>
          <w:sz w:val="22"/>
          <w:szCs w:val="22"/>
        </w:rPr>
        <w:t xml:space="preserve"> uchazečů spojený se vstupem absolventů na trh práce</w:t>
      </w:r>
      <w:r>
        <w:rPr>
          <w:rFonts w:ascii="Arial" w:hAnsi="Arial" w:cs="Arial"/>
          <w:b w:val="0"/>
          <w:sz w:val="22"/>
          <w:szCs w:val="22"/>
        </w:rPr>
        <w:t xml:space="preserve"> a oživením pracovního trhu po období prázdnin</w:t>
      </w:r>
      <w:r w:rsidRPr="00936E23">
        <w:rPr>
          <w:rFonts w:ascii="Arial" w:hAnsi="Arial" w:cs="Arial"/>
          <w:b w:val="0"/>
          <w:sz w:val="22"/>
          <w:szCs w:val="22"/>
        </w:rPr>
        <w:t>. Do evidence ÚP vstoupilo téměř 8 tis. nových uchazečů, ale zároveň uchazeči poměrně rychle evidenci opouštěli</w:t>
      </w:r>
      <w:r w:rsidR="007E2A20">
        <w:rPr>
          <w:rFonts w:ascii="Arial" w:hAnsi="Arial" w:cs="Arial"/>
          <w:b w:val="0"/>
          <w:sz w:val="22"/>
          <w:szCs w:val="22"/>
        </w:rPr>
        <w:t>.</w:t>
      </w:r>
      <w:r>
        <w:rPr>
          <w:rFonts w:ascii="Arial" w:hAnsi="Arial" w:cs="Arial"/>
          <w:b w:val="0"/>
          <w:sz w:val="22"/>
          <w:szCs w:val="22"/>
        </w:rPr>
        <w:t xml:space="preserve"> </w:t>
      </w:r>
      <w:r w:rsidR="007E2A20">
        <w:rPr>
          <w:rFonts w:ascii="Arial" w:hAnsi="Arial" w:cs="Arial"/>
          <w:b w:val="0"/>
          <w:sz w:val="22"/>
          <w:szCs w:val="22"/>
        </w:rPr>
        <w:t xml:space="preserve">Na rozdíl od předchozích dvou let tak nezaměstnanost i v podzimních měsících dále klesala. </w:t>
      </w:r>
      <w:r w:rsidRPr="00936E23">
        <w:rPr>
          <w:rFonts w:ascii="Arial" w:hAnsi="Arial" w:cs="Arial"/>
          <w:b w:val="0"/>
          <w:sz w:val="22"/>
          <w:szCs w:val="22"/>
        </w:rPr>
        <w:t>Ročního minima 62 547 evidovaných uchazečů bylo dosaženo v říjnu (k 31</w:t>
      </w:r>
      <w:r>
        <w:rPr>
          <w:rFonts w:ascii="Arial" w:hAnsi="Arial" w:cs="Arial"/>
          <w:b w:val="0"/>
          <w:sz w:val="22"/>
          <w:szCs w:val="22"/>
        </w:rPr>
        <w:t>.</w:t>
      </w:r>
      <w:r w:rsidRPr="00936E23">
        <w:rPr>
          <w:rFonts w:ascii="Arial" w:hAnsi="Arial" w:cs="Arial"/>
          <w:b w:val="0"/>
          <w:sz w:val="22"/>
          <w:szCs w:val="22"/>
        </w:rPr>
        <w:t>10.2014). V</w:t>
      </w:r>
      <w:r w:rsidR="007E2A20">
        <w:rPr>
          <w:rFonts w:ascii="Arial" w:hAnsi="Arial" w:cs="Arial"/>
          <w:b w:val="0"/>
          <w:sz w:val="22"/>
          <w:szCs w:val="22"/>
        </w:rPr>
        <w:t xml:space="preserve"> samotném </w:t>
      </w:r>
      <w:r>
        <w:rPr>
          <w:rFonts w:ascii="Arial" w:hAnsi="Arial" w:cs="Arial"/>
          <w:b w:val="0"/>
          <w:sz w:val="22"/>
          <w:szCs w:val="22"/>
        </w:rPr>
        <w:t xml:space="preserve">závěru </w:t>
      </w:r>
      <w:r w:rsidRPr="00936E23">
        <w:rPr>
          <w:rFonts w:ascii="Arial" w:hAnsi="Arial" w:cs="Arial"/>
          <w:b w:val="0"/>
          <w:sz w:val="22"/>
          <w:szCs w:val="22"/>
        </w:rPr>
        <w:t>roku 2014 ji</w:t>
      </w:r>
      <w:r>
        <w:rPr>
          <w:rFonts w:ascii="Arial" w:hAnsi="Arial" w:cs="Arial"/>
          <w:b w:val="0"/>
          <w:sz w:val="22"/>
          <w:szCs w:val="22"/>
        </w:rPr>
        <w:t xml:space="preserve">ž nezaměstnanost v kraji </w:t>
      </w:r>
      <w:r w:rsidR="007E2A20">
        <w:rPr>
          <w:rFonts w:ascii="Arial" w:hAnsi="Arial" w:cs="Arial"/>
          <w:b w:val="0"/>
          <w:sz w:val="22"/>
          <w:szCs w:val="22"/>
        </w:rPr>
        <w:t>vz</w:t>
      </w:r>
      <w:r>
        <w:rPr>
          <w:rFonts w:ascii="Arial" w:hAnsi="Arial" w:cs="Arial"/>
          <w:b w:val="0"/>
          <w:sz w:val="22"/>
          <w:szCs w:val="22"/>
        </w:rPr>
        <w:t xml:space="preserve">rostla, avšak nejméně od roku 2007.  Z velké části byl tento vývoj dán velmi příznivým počasím v listopadu a prosinci, které umožnilo pokračování řady sezonních prací, avšak nesporně je také důsledkem celkového oživení ekonomiky. </w:t>
      </w:r>
      <w:r w:rsidRPr="00936E23">
        <w:rPr>
          <w:rFonts w:ascii="Arial" w:hAnsi="Arial" w:cs="Arial"/>
          <w:b w:val="0"/>
          <w:sz w:val="22"/>
          <w:szCs w:val="22"/>
        </w:rPr>
        <w:t xml:space="preserve"> V průběhu roku 2014 se na úřadech práce Jihomoravského kraje nově zaregistrovalo </w:t>
      </w:r>
      <w:r>
        <w:rPr>
          <w:rFonts w:ascii="Arial" w:hAnsi="Arial" w:cs="Arial"/>
          <w:b w:val="0"/>
          <w:sz w:val="22"/>
          <w:szCs w:val="22"/>
        </w:rPr>
        <w:t>72,6</w:t>
      </w:r>
      <w:r w:rsidRPr="00936E23">
        <w:rPr>
          <w:rFonts w:ascii="Arial" w:hAnsi="Arial" w:cs="Arial"/>
          <w:b w:val="0"/>
          <w:sz w:val="22"/>
          <w:szCs w:val="22"/>
        </w:rPr>
        <w:t xml:space="preserve"> tis. uchazečů, naopak vyřazeno z evidence bylo 78,4 tis. osob</w:t>
      </w:r>
      <w:r w:rsidRPr="00C71BCC">
        <w:rPr>
          <w:b w:val="0"/>
          <w:sz w:val="22"/>
          <w:szCs w:val="22"/>
        </w:rPr>
        <w:t>.</w:t>
      </w:r>
    </w:p>
    <w:p w:rsidR="007E2A20" w:rsidRDefault="007E2A20" w:rsidP="003C0A41">
      <w:pPr>
        <w:rPr>
          <w:rFonts w:ascii="Arial" w:hAnsi="Arial" w:cs="Arial"/>
          <w:b/>
          <w:i/>
          <w:sz w:val="20"/>
          <w:szCs w:val="20"/>
        </w:rPr>
      </w:pPr>
    </w:p>
    <w:p w:rsidR="003C0A41" w:rsidRPr="003C0A41" w:rsidRDefault="003C0A41" w:rsidP="003C0A41">
      <w:pPr>
        <w:rPr>
          <w:rFonts w:ascii="Arial" w:hAnsi="Arial" w:cs="Arial"/>
          <w:b/>
          <w:i/>
          <w:sz w:val="20"/>
          <w:szCs w:val="20"/>
        </w:rPr>
      </w:pPr>
      <w:r w:rsidRPr="003C0A41">
        <w:rPr>
          <w:rFonts w:ascii="Arial" w:hAnsi="Arial" w:cs="Arial"/>
          <w:b/>
          <w:i/>
          <w:sz w:val="20"/>
          <w:szCs w:val="20"/>
        </w:rPr>
        <w:t xml:space="preserve">Obr. </w:t>
      </w:r>
      <w:r w:rsidRPr="003C0A41">
        <w:rPr>
          <w:rFonts w:ascii="Arial" w:hAnsi="Arial" w:cs="Arial"/>
          <w:b/>
          <w:i/>
          <w:sz w:val="20"/>
          <w:szCs w:val="20"/>
        </w:rPr>
        <w:fldChar w:fldCharType="begin"/>
      </w:r>
      <w:r w:rsidRPr="003C0A41">
        <w:rPr>
          <w:rFonts w:ascii="Arial" w:hAnsi="Arial" w:cs="Arial"/>
          <w:b/>
          <w:i/>
          <w:sz w:val="20"/>
          <w:szCs w:val="20"/>
        </w:rPr>
        <w:instrText xml:space="preserve"> SEQ Obr. \* ARABIC </w:instrText>
      </w:r>
      <w:r w:rsidRPr="003C0A41">
        <w:rPr>
          <w:rFonts w:ascii="Arial" w:hAnsi="Arial" w:cs="Arial"/>
          <w:b/>
          <w:i/>
          <w:sz w:val="20"/>
          <w:szCs w:val="20"/>
        </w:rPr>
        <w:fldChar w:fldCharType="separate"/>
      </w:r>
      <w:r w:rsidR="009E38FD">
        <w:rPr>
          <w:rFonts w:ascii="Arial" w:hAnsi="Arial" w:cs="Arial"/>
          <w:b/>
          <w:i/>
          <w:noProof/>
          <w:sz w:val="20"/>
          <w:szCs w:val="20"/>
        </w:rPr>
        <w:t>7</w:t>
      </w:r>
      <w:r w:rsidRPr="003C0A41">
        <w:rPr>
          <w:rFonts w:ascii="Arial" w:hAnsi="Arial" w:cs="Arial"/>
          <w:b/>
          <w:i/>
          <w:sz w:val="20"/>
          <w:szCs w:val="20"/>
        </w:rPr>
        <w:fldChar w:fldCharType="end"/>
      </w:r>
      <w:r w:rsidRPr="003C0A41">
        <w:rPr>
          <w:rFonts w:ascii="Arial" w:hAnsi="Arial" w:cs="Arial"/>
          <w:b/>
          <w:i/>
          <w:sz w:val="20"/>
          <w:szCs w:val="20"/>
        </w:rPr>
        <w:t>: Vývoj počtu nově hlášených a vyřazených uchazečů o zaměstnání v Jihomoravském kraji v průběhu roku 2014</w:t>
      </w:r>
    </w:p>
    <w:p w:rsidR="003C0A41" w:rsidRDefault="003C0A41" w:rsidP="003C0A41">
      <w:pPr>
        <w:pStyle w:val="Zkladntext"/>
        <w:spacing w:after="120"/>
        <w:rPr>
          <w:rFonts w:ascii="Arial" w:hAnsi="Arial" w:cs="Arial"/>
          <w:sz w:val="22"/>
          <w:szCs w:val="22"/>
        </w:rPr>
      </w:pPr>
      <w:r>
        <w:rPr>
          <w:rFonts w:ascii="Arial" w:hAnsi="Arial" w:cs="Arial"/>
          <w:noProof/>
          <w:sz w:val="22"/>
          <w:szCs w:val="22"/>
        </w:rPr>
        <w:drawing>
          <wp:inline distT="0" distB="0" distL="0" distR="0" wp14:anchorId="600130E5" wp14:editId="28BDB316">
            <wp:extent cx="5760000" cy="3060000"/>
            <wp:effectExtent l="0" t="0" r="0" b="7620"/>
            <wp:docPr id="291" name="Obrázek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060000"/>
                    </a:xfrm>
                    <a:prstGeom prst="rect">
                      <a:avLst/>
                    </a:prstGeom>
                    <a:noFill/>
                  </pic:spPr>
                </pic:pic>
              </a:graphicData>
            </a:graphic>
          </wp:inline>
        </w:drawing>
      </w:r>
    </w:p>
    <w:p w:rsidR="003C0A41" w:rsidRPr="003C0A41" w:rsidRDefault="003C0A41" w:rsidP="003C0A41">
      <w:pPr>
        <w:rPr>
          <w:rFonts w:ascii="Arial" w:hAnsi="Arial" w:cs="Arial"/>
          <w:b/>
          <w:sz w:val="20"/>
          <w:szCs w:val="20"/>
        </w:rPr>
      </w:pPr>
    </w:p>
    <w:p w:rsidR="003C0A41" w:rsidRPr="003C0A41" w:rsidRDefault="003C0A41" w:rsidP="003C0A41">
      <w:pPr>
        <w:rPr>
          <w:rFonts w:ascii="Arial" w:hAnsi="Arial" w:cs="Arial"/>
          <w:b/>
          <w:sz w:val="20"/>
          <w:szCs w:val="20"/>
        </w:rPr>
      </w:pPr>
      <w:r w:rsidRPr="003C0A41">
        <w:rPr>
          <w:rFonts w:ascii="Arial" w:hAnsi="Arial" w:cs="Arial"/>
          <w:b/>
          <w:sz w:val="20"/>
          <w:szCs w:val="20"/>
        </w:rPr>
        <w:t xml:space="preserve">Obr. </w:t>
      </w:r>
      <w:r w:rsidRPr="003C0A41">
        <w:rPr>
          <w:rFonts w:ascii="Arial" w:hAnsi="Arial" w:cs="Arial"/>
          <w:b/>
          <w:sz w:val="20"/>
          <w:szCs w:val="20"/>
        </w:rPr>
        <w:fldChar w:fldCharType="begin"/>
      </w:r>
      <w:r w:rsidRPr="003C0A41">
        <w:rPr>
          <w:rFonts w:ascii="Arial" w:hAnsi="Arial" w:cs="Arial"/>
          <w:b/>
          <w:sz w:val="20"/>
          <w:szCs w:val="20"/>
        </w:rPr>
        <w:instrText xml:space="preserve"> SEQ Obr. \* ARABIC </w:instrText>
      </w:r>
      <w:r w:rsidRPr="003C0A41">
        <w:rPr>
          <w:rFonts w:ascii="Arial" w:hAnsi="Arial" w:cs="Arial"/>
          <w:b/>
          <w:sz w:val="20"/>
          <w:szCs w:val="20"/>
        </w:rPr>
        <w:fldChar w:fldCharType="separate"/>
      </w:r>
      <w:r w:rsidR="009E38FD">
        <w:rPr>
          <w:rFonts w:ascii="Arial" w:hAnsi="Arial" w:cs="Arial"/>
          <w:b/>
          <w:noProof/>
          <w:sz w:val="20"/>
          <w:szCs w:val="20"/>
        </w:rPr>
        <w:t>8</w:t>
      </w:r>
      <w:r w:rsidRPr="003C0A41">
        <w:rPr>
          <w:rFonts w:ascii="Arial" w:hAnsi="Arial" w:cs="Arial"/>
          <w:b/>
          <w:sz w:val="20"/>
          <w:szCs w:val="20"/>
        </w:rPr>
        <w:fldChar w:fldCharType="end"/>
      </w:r>
      <w:r w:rsidRPr="003C0A41">
        <w:rPr>
          <w:rFonts w:ascii="Arial" w:hAnsi="Arial" w:cs="Arial"/>
          <w:b/>
          <w:sz w:val="20"/>
          <w:szCs w:val="20"/>
        </w:rPr>
        <w:t>:Tok nezaměstnanosti v Jihomoravském kraji v letech 2000 - 2014</w:t>
      </w:r>
    </w:p>
    <w:p w:rsidR="003C0A41" w:rsidRPr="00C91E7C" w:rsidRDefault="003C0A41" w:rsidP="003C0A41">
      <w:pPr>
        <w:rPr>
          <w:rFonts w:ascii="Arial" w:hAnsi="Arial" w:cs="Arial"/>
          <w:sz w:val="22"/>
          <w:szCs w:val="22"/>
        </w:rPr>
      </w:pPr>
      <w:r>
        <w:rPr>
          <w:rFonts w:ascii="Arial" w:hAnsi="Arial" w:cs="Arial"/>
          <w:noProof/>
          <w:sz w:val="22"/>
          <w:szCs w:val="22"/>
        </w:rPr>
        <w:drawing>
          <wp:inline distT="0" distB="0" distL="0" distR="0" wp14:anchorId="108C0A11" wp14:editId="676AF50E">
            <wp:extent cx="5760000" cy="3060000"/>
            <wp:effectExtent l="0" t="0" r="0" b="7620"/>
            <wp:docPr id="292" name="Obrázek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060000"/>
                    </a:xfrm>
                    <a:prstGeom prst="rect">
                      <a:avLst/>
                    </a:prstGeom>
                    <a:noFill/>
                  </pic:spPr>
                </pic:pic>
              </a:graphicData>
            </a:graphic>
          </wp:inline>
        </w:drawing>
      </w:r>
    </w:p>
    <w:p w:rsidR="003C0A41" w:rsidRDefault="003C0A41" w:rsidP="003C0A41">
      <w:pPr>
        <w:rPr>
          <w:rFonts w:ascii="Arial" w:hAnsi="Arial" w:cs="Arial"/>
          <w:color w:val="FF0000"/>
          <w:sz w:val="22"/>
          <w:szCs w:val="22"/>
        </w:rPr>
      </w:pPr>
    </w:p>
    <w:p w:rsidR="003C0A41" w:rsidRPr="00C91E7C" w:rsidRDefault="003C0A41" w:rsidP="003C0A41">
      <w:pPr>
        <w:jc w:val="both"/>
        <w:rPr>
          <w:rFonts w:ascii="Arial" w:hAnsi="Arial" w:cs="Arial"/>
          <w:sz w:val="22"/>
          <w:szCs w:val="22"/>
        </w:rPr>
      </w:pPr>
      <w:r w:rsidRPr="00C91E7C">
        <w:rPr>
          <w:rFonts w:ascii="Arial" w:hAnsi="Arial" w:cs="Arial"/>
          <w:sz w:val="22"/>
          <w:szCs w:val="22"/>
        </w:rPr>
        <w:t>V souvislosti s</w:t>
      </w:r>
      <w:r>
        <w:rPr>
          <w:rFonts w:ascii="Arial" w:hAnsi="Arial" w:cs="Arial"/>
          <w:sz w:val="22"/>
          <w:szCs w:val="22"/>
        </w:rPr>
        <w:t> poklesem počtu evidovaných</w:t>
      </w:r>
      <w:r w:rsidRPr="00C91E7C">
        <w:rPr>
          <w:rFonts w:ascii="Arial" w:hAnsi="Arial" w:cs="Arial"/>
          <w:sz w:val="22"/>
          <w:szCs w:val="22"/>
        </w:rPr>
        <w:t xml:space="preserve"> uchazečů </w:t>
      </w:r>
      <w:r>
        <w:rPr>
          <w:rFonts w:ascii="Arial" w:hAnsi="Arial" w:cs="Arial"/>
          <w:sz w:val="22"/>
          <w:szCs w:val="22"/>
        </w:rPr>
        <w:t>poklesl</w:t>
      </w:r>
      <w:r w:rsidRPr="00C91E7C">
        <w:rPr>
          <w:rFonts w:ascii="Arial" w:hAnsi="Arial" w:cs="Arial"/>
          <w:sz w:val="22"/>
          <w:szCs w:val="22"/>
        </w:rPr>
        <w:t xml:space="preserve"> v kraji i </w:t>
      </w:r>
      <w:r>
        <w:rPr>
          <w:rFonts w:ascii="Arial" w:hAnsi="Arial" w:cs="Arial"/>
          <w:b/>
          <w:sz w:val="22"/>
          <w:szCs w:val="22"/>
        </w:rPr>
        <w:t>podíl nezaměstnaných na obyvatelstvu ve věku 15-64 let</w:t>
      </w:r>
      <w:r>
        <w:rPr>
          <w:rFonts w:ascii="Arial" w:hAnsi="Arial" w:cs="Arial"/>
          <w:sz w:val="22"/>
          <w:szCs w:val="22"/>
        </w:rPr>
        <w:t>, který</w:t>
      </w:r>
      <w:r w:rsidRPr="00C91E7C">
        <w:rPr>
          <w:rFonts w:ascii="Arial" w:hAnsi="Arial" w:cs="Arial"/>
          <w:sz w:val="22"/>
          <w:szCs w:val="22"/>
        </w:rPr>
        <w:t xml:space="preserve"> se z</w:t>
      </w:r>
      <w:r>
        <w:rPr>
          <w:rFonts w:ascii="Arial" w:hAnsi="Arial" w:cs="Arial"/>
          <w:sz w:val="22"/>
          <w:szCs w:val="22"/>
        </w:rPr>
        <w:t> 8,9</w:t>
      </w:r>
      <w:r w:rsidRPr="00C91E7C">
        <w:rPr>
          <w:rFonts w:ascii="Arial" w:hAnsi="Arial" w:cs="Arial"/>
          <w:sz w:val="22"/>
          <w:szCs w:val="22"/>
        </w:rPr>
        <w:t xml:space="preserve"> % na konci roku 201</w:t>
      </w:r>
      <w:r>
        <w:rPr>
          <w:rFonts w:ascii="Arial" w:hAnsi="Arial" w:cs="Arial"/>
          <w:sz w:val="22"/>
          <w:szCs w:val="22"/>
        </w:rPr>
        <w:t>3</w:t>
      </w:r>
      <w:r w:rsidRPr="00C91E7C">
        <w:rPr>
          <w:rFonts w:ascii="Arial" w:hAnsi="Arial" w:cs="Arial"/>
          <w:sz w:val="22"/>
          <w:szCs w:val="22"/>
        </w:rPr>
        <w:t xml:space="preserve"> </w:t>
      </w:r>
      <w:r>
        <w:rPr>
          <w:rFonts w:ascii="Arial" w:hAnsi="Arial" w:cs="Arial"/>
          <w:sz w:val="22"/>
          <w:szCs w:val="22"/>
        </w:rPr>
        <w:t>snížil</w:t>
      </w:r>
      <w:r w:rsidRPr="00C91E7C">
        <w:rPr>
          <w:rFonts w:ascii="Arial" w:hAnsi="Arial" w:cs="Arial"/>
          <w:sz w:val="22"/>
          <w:szCs w:val="22"/>
        </w:rPr>
        <w:t xml:space="preserve"> na </w:t>
      </w:r>
      <w:r>
        <w:rPr>
          <w:rFonts w:ascii="Arial" w:hAnsi="Arial" w:cs="Arial"/>
          <w:b/>
          <w:sz w:val="22"/>
          <w:szCs w:val="22"/>
        </w:rPr>
        <w:t>8,2</w:t>
      </w:r>
      <w:r w:rsidRPr="00C91E7C">
        <w:rPr>
          <w:rFonts w:ascii="Arial" w:hAnsi="Arial" w:cs="Arial"/>
          <w:b/>
          <w:sz w:val="22"/>
          <w:szCs w:val="22"/>
        </w:rPr>
        <w:t xml:space="preserve"> % v prosinci 201</w:t>
      </w:r>
      <w:r>
        <w:rPr>
          <w:rFonts w:ascii="Arial" w:hAnsi="Arial" w:cs="Arial"/>
          <w:b/>
          <w:sz w:val="22"/>
          <w:szCs w:val="22"/>
        </w:rPr>
        <w:t>4</w:t>
      </w:r>
      <w:r w:rsidRPr="00C91E7C">
        <w:rPr>
          <w:rFonts w:ascii="Arial" w:hAnsi="Arial" w:cs="Arial"/>
          <w:b/>
          <w:sz w:val="22"/>
          <w:szCs w:val="22"/>
        </w:rPr>
        <w:t>;</w:t>
      </w:r>
      <w:r w:rsidRPr="00C91E7C">
        <w:rPr>
          <w:rFonts w:ascii="Arial" w:hAnsi="Arial" w:cs="Arial"/>
          <w:sz w:val="22"/>
          <w:szCs w:val="22"/>
        </w:rPr>
        <w:t xml:space="preserve"> meziročně tak </w:t>
      </w:r>
      <w:r>
        <w:rPr>
          <w:rFonts w:ascii="Arial" w:hAnsi="Arial" w:cs="Arial"/>
          <w:sz w:val="22"/>
          <w:szCs w:val="22"/>
        </w:rPr>
        <w:t>klesl</w:t>
      </w:r>
      <w:r w:rsidRPr="00C91E7C">
        <w:rPr>
          <w:rFonts w:ascii="Arial" w:hAnsi="Arial" w:cs="Arial"/>
          <w:sz w:val="22"/>
          <w:szCs w:val="22"/>
        </w:rPr>
        <w:t xml:space="preserve"> </w:t>
      </w:r>
      <w:r>
        <w:rPr>
          <w:rFonts w:ascii="Arial" w:hAnsi="Arial" w:cs="Arial"/>
          <w:sz w:val="22"/>
          <w:szCs w:val="22"/>
        </w:rPr>
        <w:t xml:space="preserve">- stejně jako v průměru v celé ČR </w:t>
      </w:r>
      <w:r w:rsidRPr="00C91E7C">
        <w:rPr>
          <w:rFonts w:ascii="Arial" w:hAnsi="Arial" w:cs="Arial"/>
          <w:sz w:val="22"/>
          <w:szCs w:val="22"/>
        </w:rPr>
        <w:t xml:space="preserve">o </w:t>
      </w:r>
      <w:r>
        <w:rPr>
          <w:rFonts w:ascii="Arial" w:hAnsi="Arial" w:cs="Arial"/>
          <w:sz w:val="22"/>
          <w:szCs w:val="22"/>
        </w:rPr>
        <w:t>0,7</w:t>
      </w:r>
      <w:r w:rsidRPr="00C91E7C">
        <w:rPr>
          <w:rFonts w:ascii="Arial" w:hAnsi="Arial" w:cs="Arial"/>
          <w:sz w:val="22"/>
          <w:szCs w:val="22"/>
        </w:rPr>
        <w:t xml:space="preserve"> p.b. </w:t>
      </w:r>
    </w:p>
    <w:p w:rsidR="003C0A41" w:rsidRPr="00C91E7C" w:rsidRDefault="003C0A41" w:rsidP="003C0A41">
      <w:pPr>
        <w:pStyle w:val="Zkladntext"/>
        <w:rPr>
          <w:rFonts w:ascii="Arial" w:hAnsi="Arial" w:cs="Arial"/>
          <w:color w:val="FF0000"/>
          <w:sz w:val="22"/>
          <w:szCs w:val="22"/>
        </w:rPr>
      </w:pPr>
    </w:p>
    <w:p w:rsidR="003C0A41" w:rsidRPr="003C0A41" w:rsidRDefault="003C0A41" w:rsidP="003C0A41">
      <w:pPr>
        <w:rPr>
          <w:rFonts w:ascii="Arial" w:hAnsi="Arial" w:cs="Arial"/>
          <w:b/>
          <w:i/>
          <w:sz w:val="20"/>
          <w:szCs w:val="20"/>
        </w:rPr>
      </w:pPr>
      <w:r w:rsidRPr="003C0A41">
        <w:rPr>
          <w:rFonts w:ascii="Arial" w:hAnsi="Arial" w:cs="Arial"/>
          <w:b/>
          <w:i/>
          <w:sz w:val="20"/>
          <w:szCs w:val="20"/>
        </w:rPr>
        <w:t xml:space="preserve">Obr. </w:t>
      </w:r>
      <w:r w:rsidRPr="003C0A41">
        <w:rPr>
          <w:rFonts w:ascii="Arial" w:hAnsi="Arial" w:cs="Arial"/>
          <w:b/>
          <w:i/>
          <w:sz w:val="20"/>
          <w:szCs w:val="20"/>
        </w:rPr>
        <w:fldChar w:fldCharType="begin"/>
      </w:r>
      <w:r w:rsidRPr="003C0A41">
        <w:rPr>
          <w:rFonts w:ascii="Arial" w:hAnsi="Arial" w:cs="Arial"/>
          <w:b/>
          <w:i/>
          <w:sz w:val="20"/>
          <w:szCs w:val="20"/>
        </w:rPr>
        <w:instrText xml:space="preserve"> SEQ Obr. \* ARABIC </w:instrText>
      </w:r>
      <w:r w:rsidRPr="003C0A41">
        <w:rPr>
          <w:rFonts w:ascii="Arial" w:hAnsi="Arial" w:cs="Arial"/>
          <w:b/>
          <w:i/>
          <w:sz w:val="20"/>
          <w:szCs w:val="20"/>
        </w:rPr>
        <w:fldChar w:fldCharType="separate"/>
      </w:r>
      <w:r w:rsidR="009E38FD">
        <w:rPr>
          <w:rFonts w:ascii="Arial" w:hAnsi="Arial" w:cs="Arial"/>
          <w:b/>
          <w:i/>
          <w:noProof/>
          <w:sz w:val="20"/>
          <w:szCs w:val="20"/>
        </w:rPr>
        <w:t>9</w:t>
      </w:r>
      <w:r w:rsidRPr="003C0A41">
        <w:rPr>
          <w:rFonts w:ascii="Arial" w:hAnsi="Arial" w:cs="Arial"/>
          <w:b/>
          <w:i/>
          <w:sz w:val="20"/>
          <w:szCs w:val="20"/>
        </w:rPr>
        <w:fldChar w:fldCharType="end"/>
      </w:r>
      <w:r w:rsidRPr="003C0A41">
        <w:rPr>
          <w:rFonts w:ascii="Arial" w:hAnsi="Arial" w:cs="Arial"/>
          <w:b/>
          <w:i/>
          <w:sz w:val="20"/>
          <w:szCs w:val="20"/>
        </w:rPr>
        <w:t>: Vývoj počtu uchazečů o zaměstnání evidovaných v Jihomoravském kraji podle pohlaví v letech 2000 - 2014</w:t>
      </w:r>
    </w:p>
    <w:p w:rsidR="003C0A41" w:rsidRPr="00C91E7C" w:rsidRDefault="003C0A41" w:rsidP="003C0A41">
      <w:pPr>
        <w:jc w:val="both"/>
        <w:rPr>
          <w:rFonts w:ascii="Arial" w:hAnsi="Arial" w:cs="Arial"/>
          <w:b/>
          <w:sz w:val="22"/>
          <w:szCs w:val="22"/>
        </w:rPr>
      </w:pPr>
      <w:r>
        <w:rPr>
          <w:rFonts w:ascii="Arial" w:hAnsi="Arial" w:cs="Arial"/>
          <w:b/>
          <w:noProof/>
          <w:sz w:val="22"/>
          <w:szCs w:val="22"/>
        </w:rPr>
        <w:drawing>
          <wp:inline distT="0" distB="0" distL="0" distR="0" wp14:anchorId="0D4813D9" wp14:editId="212E25AE">
            <wp:extent cx="5760720" cy="2951019"/>
            <wp:effectExtent l="0" t="0" r="0" b="1905"/>
            <wp:docPr id="293" name="Obrázek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950650"/>
                    </a:xfrm>
                    <a:prstGeom prst="rect">
                      <a:avLst/>
                    </a:prstGeom>
                    <a:noFill/>
                  </pic:spPr>
                </pic:pic>
              </a:graphicData>
            </a:graphic>
          </wp:inline>
        </w:drawing>
      </w:r>
    </w:p>
    <w:p w:rsidR="003C0A41" w:rsidRDefault="003C0A41" w:rsidP="003C0A41">
      <w:pPr>
        <w:spacing w:after="120"/>
        <w:jc w:val="both"/>
        <w:rPr>
          <w:rFonts w:ascii="Arial" w:hAnsi="Arial" w:cs="Arial"/>
          <w:sz w:val="22"/>
          <w:szCs w:val="22"/>
        </w:rPr>
      </w:pPr>
    </w:p>
    <w:p w:rsidR="003C0A41" w:rsidRPr="00D04766" w:rsidRDefault="003C0A41" w:rsidP="003C0A41">
      <w:pPr>
        <w:jc w:val="both"/>
        <w:rPr>
          <w:rFonts w:ascii="Arial" w:hAnsi="Arial" w:cs="Arial"/>
          <w:sz w:val="22"/>
          <w:szCs w:val="22"/>
        </w:rPr>
      </w:pPr>
      <w:r>
        <w:rPr>
          <w:rFonts w:ascii="Arial" w:hAnsi="Arial" w:cs="Arial"/>
          <w:sz w:val="22"/>
          <w:szCs w:val="22"/>
        </w:rPr>
        <w:t xml:space="preserve">Z hlediska </w:t>
      </w:r>
      <w:r w:rsidRPr="0015144C">
        <w:rPr>
          <w:rFonts w:ascii="Arial" w:hAnsi="Arial" w:cs="Arial"/>
          <w:b/>
          <w:sz w:val="22"/>
          <w:szCs w:val="22"/>
        </w:rPr>
        <w:t>kvalifikační struktury</w:t>
      </w:r>
      <w:r>
        <w:rPr>
          <w:rFonts w:ascii="Arial" w:hAnsi="Arial" w:cs="Arial"/>
          <w:sz w:val="22"/>
          <w:szCs w:val="22"/>
        </w:rPr>
        <w:t xml:space="preserve"> jsou </w:t>
      </w:r>
      <w:r w:rsidRPr="00D04766">
        <w:rPr>
          <w:rFonts w:ascii="Arial" w:hAnsi="Arial" w:cs="Arial"/>
          <w:sz w:val="22"/>
          <w:szCs w:val="22"/>
        </w:rPr>
        <w:t>v Jihomoravském kraji</w:t>
      </w:r>
      <w:r>
        <w:rPr>
          <w:rFonts w:ascii="Arial" w:hAnsi="Arial" w:cs="Arial"/>
          <w:sz w:val="22"/>
          <w:szCs w:val="22"/>
        </w:rPr>
        <w:t xml:space="preserve"> nejpočetnější</w:t>
      </w:r>
      <w:r w:rsidRPr="00D04766">
        <w:rPr>
          <w:rFonts w:ascii="Arial" w:hAnsi="Arial" w:cs="Arial"/>
          <w:sz w:val="22"/>
          <w:szCs w:val="22"/>
        </w:rPr>
        <w:t xml:space="preserve"> skupinou uchazečů o zaměstnání </w:t>
      </w:r>
      <w:r>
        <w:rPr>
          <w:rFonts w:ascii="Arial" w:hAnsi="Arial" w:cs="Arial"/>
          <w:sz w:val="22"/>
          <w:szCs w:val="22"/>
        </w:rPr>
        <w:t xml:space="preserve">osoby </w:t>
      </w:r>
      <w:r w:rsidR="007E2A20">
        <w:rPr>
          <w:rFonts w:ascii="Arial" w:hAnsi="Arial" w:cs="Arial"/>
          <w:sz w:val="22"/>
          <w:szCs w:val="22"/>
        </w:rPr>
        <w:t>se středoškolským vzděláním bez maturity</w:t>
      </w:r>
      <w:r w:rsidRPr="00D04766">
        <w:rPr>
          <w:rFonts w:ascii="Arial" w:hAnsi="Arial" w:cs="Arial"/>
          <w:sz w:val="22"/>
          <w:szCs w:val="22"/>
        </w:rPr>
        <w:t xml:space="preserve"> (celkem </w:t>
      </w:r>
      <w:r>
        <w:rPr>
          <w:rFonts w:ascii="Arial" w:hAnsi="Arial" w:cs="Arial"/>
          <w:sz w:val="22"/>
          <w:szCs w:val="22"/>
        </w:rPr>
        <w:t>41</w:t>
      </w:r>
      <w:r w:rsidRPr="00D04766">
        <w:rPr>
          <w:rFonts w:ascii="Arial" w:hAnsi="Arial" w:cs="Arial"/>
          <w:sz w:val="22"/>
          <w:szCs w:val="22"/>
        </w:rPr>
        <w:t>,0 %), následují je uchazeči se základním vzděláním (</w:t>
      </w:r>
      <w:r>
        <w:rPr>
          <w:rFonts w:ascii="Arial" w:hAnsi="Arial" w:cs="Arial"/>
          <w:sz w:val="22"/>
          <w:szCs w:val="22"/>
        </w:rPr>
        <w:t>24</w:t>
      </w:r>
      <w:r w:rsidRPr="00D04766">
        <w:rPr>
          <w:rFonts w:ascii="Arial" w:hAnsi="Arial" w:cs="Arial"/>
          <w:sz w:val="22"/>
          <w:szCs w:val="22"/>
        </w:rPr>
        <w:t xml:space="preserve"> %) a osoby s</w:t>
      </w:r>
      <w:r>
        <w:rPr>
          <w:rFonts w:ascii="Arial" w:hAnsi="Arial" w:cs="Arial"/>
          <w:sz w:val="22"/>
          <w:szCs w:val="22"/>
        </w:rPr>
        <w:t>e</w:t>
      </w:r>
      <w:r w:rsidRPr="00D04766">
        <w:rPr>
          <w:rFonts w:ascii="Arial" w:hAnsi="Arial" w:cs="Arial"/>
          <w:sz w:val="22"/>
          <w:szCs w:val="22"/>
        </w:rPr>
        <w:t xml:space="preserve"> středním </w:t>
      </w:r>
      <w:r>
        <w:rPr>
          <w:rFonts w:ascii="Arial" w:hAnsi="Arial" w:cs="Arial"/>
          <w:sz w:val="22"/>
          <w:szCs w:val="22"/>
        </w:rPr>
        <w:t xml:space="preserve">odborným </w:t>
      </w:r>
      <w:r w:rsidRPr="00D04766">
        <w:rPr>
          <w:rFonts w:ascii="Arial" w:hAnsi="Arial" w:cs="Arial"/>
          <w:sz w:val="22"/>
          <w:szCs w:val="22"/>
        </w:rPr>
        <w:t xml:space="preserve">vzděláním s maturitou (17,8 %). </w:t>
      </w:r>
    </w:p>
    <w:p w:rsidR="003C0A41" w:rsidRPr="003C0A41" w:rsidRDefault="003C0A41" w:rsidP="003C0A41">
      <w:pPr>
        <w:rPr>
          <w:rFonts w:ascii="Arial" w:hAnsi="Arial" w:cs="Arial"/>
          <w:b/>
          <w:i/>
          <w:sz w:val="20"/>
          <w:szCs w:val="20"/>
        </w:rPr>
      </w:pPr>
    </w:p>
    <w:p w:rsidR="003C0A41" w:rsidRPr="003C0A41" w:rsidRDefault="003C0A41" w:rsidP="003C0A41">
      <w:pPr>
        <w:rPr>
          <w:rFonts w:ascii="Arial" w:hAnsi="Arial" w:cs="Arial"/>
          <w:b/>
          <w:i/>
          <w:sz w:val="20"/>
          <w:szCs w:val="20"/>
        </w:rPr>
      </w:pPr>
      <w:r w:rsidRPr="003C0A41">
        <w:rPr>
          <w:rFonts w:ascii="Arial" w:hAnsi="Arial" w:cs="Arial"/>
          <w:b/>
          <w:i/>
          <w:sz w:val="20"/>
          <w:szCs w:val="20"/>
        </w:rPr>
        <w:t xml:space="preserve">Obr. </w:t>
      </w:r>
      <w:r w:rsidRPr="003C0A41">
        <w:rPr>
          <w:rFonts w:ascii="Arial" w:hAnsi="Arial" w:cs="Arial"/>
          <w:b/>
          <w:i/>
          <w:sz w:val="20"/>
          <w:szCs w:val="20"/>
        </w:rPr>
        <w:fldChar w:fldCharType="begin"/>
      </w:r>
      <w:r w:rsidRPr="003C0A41">
        <w:rPr>
          <w:rFonts w:ascii="Arial" w:hAnsi="Arial" w:cs="Arial"/>
          <w:b/>
          <w:i/>
          <w:sz w:val="20"/>
          <w:szCs w:val="20"/>
        </w:rPr>
        <w:instrText xml:space="preserve"> SEQ Obr. \* ARABIC </w:instrText>
      </w:r>
      <w:r w:rsidRPr="003C0A41">
        <w:rPr>
          <w:rFonts w:ascii="Arial" w:hAnsi="Arial" w:cs="Arial"/>
          <w:b/>
          <w:i/>
          <w:sz w:val="20"/>
          <w:szCs w:val="20"/>
        </w:rPr>
        <w:fldChar w:fldCharType="separate"/>
      </w:r>
      <w:r w:rsidR="009E38FD">
        <w:rPr>
          <w:rFonts w:ascii="Arial" w:hAnsi="Arial" w:cs="Arial"/>
          <w:b/>
          <w:i/>
          <w:noProof/>
          <w:sz w:val="20"/>
          <w:szCs w:val="20"/>
        </w:rPr>
        <w:t>10</w:t>
      </w:r>
      <w:r w:rsidRPr="003C0A41">
        <w:rPr>
          <w:rFonts w:ascii="Arial" w:hAnsi="Arial" w:cs="Arial"/>
          <w:b/>
          <w:i/>
          <w:sz w:val="20"/>
          <w:szCs w:val="20"/>
        </w:rPr>
        <w:fldChar w:fldCharType="end"/>
      </w:r>
      <w:r w:rsidRPr="003C0A41">
        <w:rPr>
          <w:rFonts w:ascii="Arial" w:hAnsi="Arial" w:cs="Arial"/>
          <w:b/>
          <w:i/>
          <w:sz w:val="20"/>
          <w:szCs w:val="20"/>
        </w:rPr>
        <w:t xml:space="preserve">: Vzdělanostní struktura uchazečů o zaměstnání evidovaných v Jihomoravském kraji k 31. 12. 2014 </w:t>
      </w:r>
    </w:p>
    <w:p w:rsidR="003C0A41" w:rsidRPr="0014338C" w:rsidRDefault="003C0A41" w:rsidP="003C0A41">
      <w:pPr>
        <w:pStyle w:val="Zkladntext"/>
        <w:spacing w:after="120"/>
        <w:jc w:val="both"/>
      </w:pPr>
      <w:r>
        <w:rPr>
          <w:noProof/>
        </w:rPr>
        <w:drawing>
          <wp:inline distT="0" distB="0" distL="0" distR="0" wp14:anchorId="02684062" wp14:editId="747A9D9B">
            <wp:extent cx="5760720" cy="3640974"/>
            <wp:effectExtent l="0" t="0" r="11430" b="17145"/>
            <wp:docPr id="294" name="Graf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0A41" w:rsidRDefault="003C0A41" w:rsidP="003C0A41">
      <w:pPr>
        <w:pStyle w:val="Zkladntext"/>
        <w:spacing w:after="120"/>
        <w:jc w:val="both"/>
        <w:rPr>
          <w:rFonts w:ascii="Arial" w:hAnsi="Arial" w:cs="Arial"/>
          <w:sz w:val="22"/>
          <w:szCs w:val="22"/>
        </w:rPr>
      </w:pPr>
    </w:p>
    <w:p w:rsidR="003C0A41" w:rsidRDefault="003C0A41" w:rsidP="003C0A41">
      <w:pPr>
        <w:spacing w:after="120"/>
        <w:jc w:val="both"/>
        <w:rPr>
          <w:rFonts w:ascii="Arial" w:hAnsi="Arial" w:cs="Arial"/>
          <w:sz w:val="22"/>
          <w:szCs w:val="22"/>
        </w:rPr>
      </w:pPr>
      <w:r w:rsidRPr="00C36D13">
        <w:rPr>
          <w:rFonts w:ascii="Arial" w:hAnsi="Arial" w:cs="Arial"/>
          <w:sz w:val="22"/>
          <w:szCs w:val="22"/>
        </w:rPr>
        <w:t xml:space="preserve">Meziročně v kraji poklesl počet evidovaných uchazečů o zaměstnání ve všech sledovaných vzdělanostních kategoriích, s výjimkou úplného středního všeobecného vzdělání a vyučených s maturitou.  K absolutně </w:t>
      </w:r>
      <w:r w:rsidRPr="00C36D13">
        <w:rPr>
          <w:rFonts w:ascii="Arial" w:hAnsi="Arial" w:cs="Arial"/>
          <w:b/>
          <w:sz w:val="22"/>
          <w:szCs w:val="22"/>
        </w:rPr>
        <w:t xml:space="preserve">nejvyššímu poklesu </w:t>
      </w:r>
      <w:r w:rsidRPr="00C36D13">
        <w:rPr>
          <w:rFonts w:ascii="Arial" w:hAnsi="Arial" w:cs="Arial"/>
          <w:sz w:val="22"/>
          <w:szCs w:val="22"/>
        </w:rPr>
        <w:t xml:space="preserve">došlo </w:t>
      </w:r>
      <w:r w:rsidRPr="00C36D13">
        <w:rPr>
          <w:rFonts w:ascii="Arial" w:hAnsi="Arial" w:cs="Arial"/>
          <w:b/>
          <w:sz w:val="22"/>
          <w:szCs w:val="22"/>
        </w:rPr>
        <w:t>v nejpočetněji zastoupené kategorii „vyučen“</w:t>
      </w:r>
      <w:r w:rsidRPr="00C36D13">
        <w:rPr>
          <w:rFonts w:ascii="Arial" w:hAnsi="Arial" w:cs="Arial"/>
          <w:sz w:val="22"/>
          <w:szCs w:val="22"/>
        </w:rPr>
        <w:t xml:space="preserve">, v níž se počet uchazečů snížil z 31 120 osob na konci roku 2013 na 27 955 osob k 31.12.2014 (jedná se tedy o pokles o 3 165 osob, což představuje snížení o 10,2 % původního stavu). Počty </w:t>
      </w:r>
      <w:r>
        <w:rPr>
          <w:rFonts w:ascii="Arial" w:hAnsi="Arial" w:cs="Arial"/>
          <w:sz w:val="22"/>
          <w:szCs w:val="22"/>
        </w:rPr>
        <w:t>uchazečů s</w:t>
      </w:r>
      <w:r w:rsidRPr="00C36D13">
        <w:rPr>
          <w:rFonts w:ascii="Arial" w:hAnsi="Arial" w:cs="Arial"/>
          <w:sz w:val="22"/>
          <w:szCs w:val="22"/>
        </w:rPr>
        <w:t xml:space="preserve"> úplný</w:t>
      </w:r>
      <w:r>
        <w:rPr>
          <w:rFonts w:ascii="Arial" w:hAnsi="Arial" w:cs="Arial"/>
          <w:sz w:val="22"/>
          <w:szCs w:val="22"/>
        </w:rPr>
        <w:t>m</w:t>
      </w:r>
      <w:r w:rsidRPr="00C36D13">
        <w:rPr>
          <w:rFonts w:ascii="Arial" w:hAnsi="Arial" w:cs="Arial"/>
          <w:sz w:val="22"/>
          <w:szCs w:val="22"/>
        </w:rPr>
        <w:t xml:space="preserve"> střední</w:t>
      </w:r>
      <w:r>
        <w:rPr>
          <w:rFonts w:ascii="Arial" w:hAnsi="Arial" w:cs="Arial"/>
          <w:sz w:val="22"/>
          <w:szCs w:val="22"/>
        </w:rPr>
        <w:t xml:space="preserve">m </w:t>
      </w:r>
      <w:r w:rsidRPr="00C36D13">
        <w:rPr>
          <w:rFonts w:ascii="Arial" w:hAnsi="Arial" w:cs="Arial"/>
          <w:sz w:val="22"/>
          <w:szCs w:val="22"/>
        </w:rPr>
        <w:t>odborný</w:t>
      </w:r>
      <w:r>
        <w:rPr>
          <w:rFonts w:ascii="Arial" w:hAnsi="Arial" w:cs="Arial"/>
          <w:sz w:val="22"/>
          <w:szCs w:val="22"/>
        </w:rPr>
        <w:t>m</w:t>
      </w:r>
      <w:r w:rsidRPr="00C36D13">
        <w:rPr>
          <w:rFonts w:ascii="Arial" w:hAnsi="Arial" w:cs="Arial"/>
          <w:sz w:val="22"/>
          <w:szCs w:val="22"/>
        </w:rPr>
        <w:t xml:space="preserve"> </w:t>
      </w:r>
      <w:r>
        <w:rPr>
          <w:rFonts w:ascii="Arial" w:hAnsi="Arial" w:cs="Arial"/>
          <w:sz w:val="22"/>
          <w:szCs w:val="22"/>
        </w:rPr>
        <w:t>vzděláním</w:t>
      </w:r>
      <w:r w:rsidRPr="00C36D13">
        <w:rPr>
          <w:rFonts w:ascii="Arial" w:hAnsi="Arial" w:cs="Arial"/>
          <w:sz w:val="22"/>
          <w:szCs w:val="22"/>
        </w:rPr>
        <w:t xml:space="preserve"> (s maturitou) se snížily o 14,6 %, počty </w:t>
      </w:r>
      <w:r>
        <w:rPr>
          <w:rFonts w:ascii="Arial" w:hAnsi="Arial" w:cs="Arial"/>
          <w:sz w:val="22"/>
          <w:szCs w:val="22"/>
        </w:rPr>
        <w:t>uchazečů s</w:t>
      </w:r>
      <w:r w:rsidRPr="00C36D13">
        <w:rPr>
          <w:rFonts w:ascii="Arial" w:hAnsi="Arial" w:cs="Arial"/>
          <w:sz w:val="22"/>
          <w:szCs w:val="22"/>
        </w:rPr>
        <w:t xml:space="preserve"> vyšší</w:t>
      </w:r>
      <w:r>
        <w:rPr>
          <w:rFonts w:ascii="Arial" w:hAnsi="Arial" w:cs="Arial"/>
          <w:sz w:val="22"/>
          <w:szCs w:val="22"/>
        </w:rPr>
        <w:t>m</w:t>
      </w:r>
      <w:r w:rsidRPr="00C36D13">
        <w:rPr>
          <w:rFonts w:ascii="Arial" w:hAnsi="Arial" w:cs="Arial"/>
          <w:sz w:val="22"/>
          <w:szCs w:val="22"/>
        </w:rPr>
        <w:t xml:space="preserve"> odborný</w:t>
      </w:r>
      <w:r>
        <w:rPr>
          <w:rFonts w:ascii="Arial" w:hAnsi="Arial" w:cs="Arial"/>
          <w:sz w:val="22"/>
          <w:szCs w:val="22"/>
        </w:rPr>
        <w:t>m</w:t>
      </w:r>
      <w:r w:rsidRPr="00C36D13">
        <w:rPr>
          <w:rFonts w:ascii="Arial" w:hAnsi="Arial" w:cs="Arial"/>
          <w:sz w:val="22"/>
          <w:szCs w:val="22"/>
        </w:rPr>
        <w:t xml:space="preserve"> </w:t>
      </w:r>
      <w:r>
        <w:rPr>
          <w:rFonts w:ascii="Arial" w:hAnsi="Arial" w:cs="Arial"/>
          <w:sz w:val="22"/>
          <w:szCs w:val="22"/>
        </w:rPr>
        <w:t xml:space="preserve">vzděláním </w:t>
      </w:r>
      <w:r w:rsidRPr="00C36D13">
        <w:rPr>
          <w:rFonts w:ascii="Arial" w:hAnsi="Arial" w:cs="Arial"/>
          <w:sz w:val="22"/>
          <w:szCs w:val="22"/>
        </w:rPr>
        <w:t>se meziročně snížily o 8,2 % a počty osob se základním vzděláním poklesly o 8,0 %. Poměrně málo se meziročně snížily počty vysokoškoláků (o 4,8 %)</w:t>
      </w:r>
      <w:r>
        <w:rPr>
          <w:rFonts w:ascii="Arial" w:hAnsi="Arial" w:cs="Arial"/>
          <w:sz w:val="22"/>
          <w:szCs w:val="22"/>
        </w:rPr>
        <w:t>.</w:t>
      </w:r>
      <w:r w:rsidRPr="00C36D13">
        <w:rPr>
          <w:rFonts w:ascii="Arial" w:hAnsi="Arial" w:cs="Arial"/>
          <w:sz w:val="22"/>
          <w:szCs w:val="22"/>
        </w:rPr>
        <w:t xml:space="preserve"> V  kraji meziročně vzrostly pouze počty nezaměstnaných </w:t>
      </w:r>
      <w:r>
        <w:rPr>
          <w:rFonts w:ascii="Arial" w:hAnsi="Arial" w:cs="Arial"/>
          <w:sz w:val="22"/>
          <w:szCs w:val="22"/>
        </w:rPr>
        <w:t xml:space="preserve">s </w:t>
      </w:r>
      <w:r w:rsidRPr="00C36D13">
        <w:rPr>
          <w:rFonts w:ascii="Arial" w:hAnsi="Arial" w:cs="Arial"/>
          <w:sz w:val="22"/>
          <w:szCs w:val="22"/>
        </w:rPr>
        <w:t>úpln</w:t>
      </w:r>
      <w:r>
        <w:rPr>
          <w:rFonts w:ascii="Arial" w:hAnsi="Arial" w:cs="Arial"/>
          <w:sz w:val="22"/>
          <w:szCs w:val="22"/>
        </w:rPr>
        <w:t>ým</w:t>
      </w:r>
      <w:r w:rsidRPr="00C36D13">
        <w:rPr>
          <w:rFonts w:ascii="Arial" w:hAnsi="Arial" w:cs="Arial"/>
          <w:sz w:val="22"/>
          <w:szCs w:val="22"/>
        </w:rPr>
        <w:t xml:space="preserve"> střední</w:t>
      </w:r>
      <w:r>
        <w:rPr>
          <w:rFonts w:ascii="Arial" w:hAnsi="Arial" w:cs="Arial"/>
          <w:sz w:val="22"/>
          <w:szCs w:val="22"/>
        </w:rPr>
        <w:t>m</w:t>
      </w:r>
      <w:r w:rsidRPr="00C36D13">
        <w:rPr>
          <w:rFonts w:ascii="Arial" w:hAnsi="Arial" w:cs="Arial"/>
          <w:sz w:val="22"/>
          <w:szCs w:val="22"/>
        </w:rPr>
        <w:t xml:space="preserve"> vzdělání</w:t>
      </w:r>
      <w:r>
        <w:rPr>
          <w:rFonts w:ascii="Arial" w:hAnsi="Arial" w:cs="Arial"/>
          <w:sz w:val="22"/>
          <w:szCs w:val="22"/>
        </w:rPr>
        <w:t>m</w:t>
      </w:r>
      <w:r w:rsidRPr="00C36D13">
        <w:rPr>
          <w:rFonts w:ascii="Arial" w:hAnsi="Arial" w:cs="Arial"/>
          <w:sz w:val="22"/>
          <w:szCs w:val="22"/>
        </w:rPr>
        <w:t xml:space="preserve"> o 14,0 % a vyučených s maturitou o 28,3 %.</w:t>
      </w:r>
    </w:p>
    <w:p w:rsidR="003C0A41" w:rsidRPr="0015144C" w:rsidRDefault="003C0A41" w:rsidP="003C0A41">
      <w:pPr>
        <w:pStyle w:val="Zkladntext"/>
        <w:spacing w:after="120"/>
        <w:jc w:val="both"/>
        <w:rPr>
          <w:rFonts w:ascii="Arial" w:hAnsi="Arial" w:cs="Arial"/>
          <w:b w:val="0"/>
          <w:sz w:val="22"/>
          <w:szCs w:val="22"/>
        </w:rPr>
      </w:pPr>
      <w:r w:rsidRPr="0015144C">
        <w:rPr>
          <w:rFonts w:ascii="Arial" w:hAnsi="Arial" w:cs="Arial"/>
          <w:b w:val="0"/>
          <w:sz w:val="22"/>
          <w:szCs w:val="22"/>
        </w:rPr>
        <w:t>Z</w:t>
      </w:r>
      <w:r>
        <w:rPr>
          <w:rFonts w:ascii="Arial" w:hAnsi="Arial" w:cs="Arial"/>
          <w:b w:val="0"/>
          <w:sz w:val="22"/>
          <w:szCs w:val="22"/>
        </w:rPr>
        <w:t xml:space="preserve"> hlediska </w:t>
      </w:r>
      <w:r w:rsidRPr="0015144C">
        <w:rPr>
          <w:rFonts w:ascii="Arial" w:hAnsi="Arial" w:cs="Arial"/>
          <w:sz w:val="22"/>
          <w:szCs w:val="22"/>
        </w:rPr>
        <w:t>věkové struktury</w:t>
      </w:r>
      <w:r>
        <w:rPr>
          <w:rFonts w:ascii="Arial" w:hAnsi="Arial" w:cs="Arial"/>
          <w:b w:val="0"/>
          <w:sz w:val="22"/>
          <w:szCs w:val="22"/>
        </w:rPr>
        <w:t xml:space="preserve"> jsou nejpočetnější kategorií osoby ve věku nad 50 let,  tito uchazeči představují přes </w:t>
      </w:r>
      <w:r w:rsidR="007E2A20">
        <w:rPr>
          <w:rFonts w:ascii="Arial" w:hAnsi="Arial" w:cs="Arial"/>
          <w:b w:val="0"/>
          <w:sz w:val="22"/>
          <w:szCs w:val="22"/>
        </w:rPr>
        <w:t xml:space="preserve">nyní </w:t>
      </w:r>
      <w:r>
        <w:rPr>
          <w:rFonts w:ascii="Arial" w:hAnsi="Arial" w:cs="Arial"/>
          <w:b w:val="0"/>
          <w:sz w:val="22"/>
          <w:szCs w:val="22"/>
        </w:rPr>
        <w:t>28</w:t>
      </w:r>
      <w:r w:rsidR="002C244D">
        <w:rPr>
          <w:rFonts w:ascii="Arial" w:hAnsi="Arial" w:cs="Arial"/>
          <w:b w:val="0"/>
          <w:sz w:val="22"/>
          <w:szCs w:val="22"/>
        </w:rPr>
        <w:t xml:space="preserve"> </w:t>
      </w:r>
      <w:r>
        <w:rPr>
          <w:rFonts w:ascii="Arial" w:hAnsi="Arial" w:cs="Arial"/>
          <w:b w:val="0"/>
          <w:sz w:val="22"/>
          <w:szCs w:val="22"/>
        </w:rPr>
        <w:t>% uchazečů o zaměstnání.</w:t>
      </w:r>
      <w:r w:rsidR="00C101B8">
        <w:rPr>
          <w:rFonts w:ascii="Arial" w:hAnsi="Arial" w:cs="Arial"/>
          <w:b w:val="0"/>
          <w:sz w:val="22"/>
          <w:szCs w:val="22"/>
        </w:rPr>
        <w:t xml:space="preserve"> Věková struktura uchazečů se ovšem poněkud liší u jednotlivých pohlaví. Zatímco ve věku do 30-ti let převažují mezi nezaměstnanými muži, v kategoriích nad 30 let jsou to žen, nejvýrazněji pak mezi 35 – 45 lety, což souvisí </w:t>
      </w:r>
      <w:r w:rsidR="00BD75BF">
        <w:rPr>
          <w:rFonts w:ascii="Arial" w:hAnsi="Arial" w:cs="Arial"/>
          <w:b w:val="0"/>
          <w:sz w:val="22"/>
          <w:szCs w:val="22"/>
        </w:rPr>
        <w:t>s obtížným skloubením požadavků pracovního trhu a péče o děti. Tento poměr se láme až v kategoriích nad 55 let, kdy vyšší počet mužů v evidenci souvisí se stále ještě rozdílným odchodem věku do důchodu u mužů a u žen.</w:t>
      </w:r>
    </w:p>
    <w:p w:rsidR="007B7A8C" w:rsidRDefault="003C0A41" w:rsidP="003C0A41">
      <w:pPr>
        <w:rPr>
          <w:rFonts w:ascii="Arial" w:hAnsi="Arial" w:cs="Arial"/>
          <w:b/>
          <w:i/>
          <w:sz w:val="20"/>
          <w:szCs w:val="20"/>
        </w:rPr>
      </w:pPr>
      <w:r w:rsidRPr="003C0A41">
        <w:rPr>
          <w:rFonts w:ascii="Arial" w:hAnsi="Arial" w:cs="Arial"/>
          <w:b/>
          <w:i/>
          <w:sz w:val="20"/>
          <w:szCs w:val="20"/>
        </w:rPr>
        <w:t xml:space="preserve">Obr. </w:t>
      </w:r>
      <w:r w:rsidRPr="003C0A41">
        <w:rPr>
          <w:rFonts w:ascii="Arial" w:hAnsi="Arial" w:cs="Arial"/>
          <w:b/>
          <w:i/>
          <w:sz w:val="20"/>
          <w:szCs w:val="20"/>
        </w:rPr>
        <w:fldChar w:fldCharType="begin"/>
      </w:r>
      <w:r w:rsidRPr="003C0A41">
        <w:rPr>
          <w:rFonts w:ascii="Arial" w:hAnsi="Arial" w:cs="Arial"/>
          <w:b/>
          <w:i/>
          <w:sz w:val="20"/>
          <w:szCs w:val="20"/>
        </w:rPr>
        <w:instrText xml:space="preserve"> SEQ Obr. \* ARABIC </w:instrText>
      </w:r>
      <w:r w:rsidRPr="003C0A41">
        <w:rPr>
          <w:rFonts w:ascii="Arial" w:hAnsi="Arial" w:cs="Arial"/>
          <w:b/>
          <w:i/>
          <w:sz w:val="20"/>
          <w:szCs w:val="20"/>
        </w:rPr>
        <w:fldChar w:fldCharType="separate"/>
      </w:r>
      <w:r w:rsidR="009E38FD">
        <w:rPr>
          <w:rFonts w:ascii="Arial" w:hAnsi="Arial" w:cs="Arial"/>
          <w:b/>
          <w:i/>
          <w:noProof/>
          <w:sz w:val="20"/>
          <w:szCs w:val="20"/>
        </w:rPr>
        <w:t>11</w:t>
      </w:r>
      <w:r w:rsidRPr="003C0A41">
        <w:rPr>
          <w:rFonts w:ascii="Arial" w:hAnsi="Arial" w:cs="Arial"/>
          <w:b/>
          <w:i/>
          <w:sz w:val="20"/>
          <w:szCs w:val="20"/>
        </w:rPr>
        <w:fldChar w:fldCharType="end"/>
      </w:r>
      <w:r w:rsidRPr="003C0A41">
        <w:rPr>
          <w:rFonts w:ascii="Arial" w:hAnsi="Arial" w:cs="Arial"/>
          <w:b/>
          <w:i/>
          <w:sz w:val="20"/>
          <w:szCs w:val="20"/>
        </w:rPr>
        <w:t>: Věková struktura uchazečů o zaměstnání evidovaných v Jihomoravském kraji stav</w:t>
      </w:r>
    </w:p>
    <w:p w:rsidR="003C0A41" w:rsidRDefault="007B7A8C" w:rsidP="003C0A41">
      <w:pPr>
        <w:rPr>
          <w:rFonts w:ascii="Arial" w:hAnsi="Arial" w:cs="Arial"/>
          <w:b/>
          <w:i/>
          <w:sz w:val="20"/>
          <w:szCs w:val="20"/>
        </w:rPr>
      </w:pPr>
      <w:r>
        <w:rPr>
          <w:rFonts w:ascii="Arial" w:hAnsi="Arial" w:cs="Arial"/>
          <w:b/>
          <w:i/>
          <w:sz w:val="20"/>
          <w:szCs w:val="20"/>
        </w:rPr>
        <w:t xml:space="preserve">              </w:t>
      </w:r>
      <w:r w:rsidR="003C0A41" w:rsidRPr="003C0A41">
        <w:rPr>
          <w:rFonts w:ascii="Arial" w:hAnsi="Arial" w:cs="Arial"/>
          <w:b/>
          <w:i/>
          <w:sz w:val="20"/>
          <w:szCs w:val="20"/>
        </w:rPr>
        <w:t xml:space="preserve"> k 31. 12. </w:t>
      </w:r>
      <w:r>
        <w:rPr>
          <w:rFonts w:ascii="Arial" w:hAnsi="Arial" w:cs="Arial"/>
          <w:b/>
          <w:i/>
          <w:sz w:val="20"/>
          <w:szCs w:val="20"/>
        </w:rPr>
        <w:t>2014</w:t>
      </w:r>
    </w:p>
    <w:p w:rsidR="007B7A8C" w:rsidRPr="003C0A41" w:rsidRDefault="007B7A8C" w:rsidP="003C0A41">
      <w:pPr>
        <w:rPr>
          <w:rFonts w:ascii="Arial" w:hAnsi="Arial" w:cs="Arial"/>
          <w:b/>
          <w:i/>
          <w:sz w:val="20"/>
          <w:szCs w:val="20"/>
        </w:rPr>
      </w:pPr>
      <w:r>
        <w:rPr>
          <w:noProof/>
        </w:rPr>
        <w:drawing>
          <wp:inline distT="0" distB="0" distL="0" distR="0" wp14:anchorId="360C0406" wp14:editId="07E0112D">
            <wp:extent cx="5784850" cy="3168650"/>
            <wp:effectExtent l="0" t="0" r="25400" b="1270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C0A41" w:rsidRPr="00C91E7C" w:rsidRDefault="003C0A41" w:rsidP="003C0A41">
      <w:pPr>
        <w:rPr>
          <w:rFonts w:ascii="Arial" w:hAnsi="Arial" w:cs="Arial"/>
          <w:sz w:val="22"/>
          <w:szCs w:val="22"/>
        </w:rPr>
      </w:pPr>
    </w:p>
    <w:p w:rsidR="003C0A41" w:rsidRDefault="003C0A41" w:rsidP="003C0A41">
      <w:pPr>
        <w:pStyle w:val="Zkladntext"/>
        <w:spacing w:after="120"/>
        <w:jc w:val="both"/>
        <w:rPr>
          <w:rFonts w:ascii="Arial" w:hAnsi="Arial" w:cs="Arial"/>
          <w:b w:val="0"/>
          <w:sz w:val="22"/>
          <w:szCs w:val="22"/>
        </w:rPr>
      </w:pPr>
      <w:r w:rsidRPr="00E508CE">
        <w:rPr>
          <w:rFonts w:ascii="Arial" w:hAnsi="Arial" w:cs="Arial"/>
          <w:b w:val="0"/>
          <w:sz w:val="22"/>
          <w:szCs w:val="22"/>
        </w:rPr>
        <w:t>Meziročně se v kraji snížil počet nezaměstnaných ve všech věkových kategoriích</w:t>
      </w:r>
      <w:r w:rsidR="007B7A8C">
        <w:rPr>
          <w:rFonts w:ascii="Arial" w:hAnsi="Arial" w:cs="Arial"/>
          <w:b w:val="0"/>
          <w:sz w:val="22"/>
          <w:szCs w:val="22"/>
        </w:rPr>
        <w:t>, tento pokles však nebyl rovnoměrný.</w:t>
      </w:r>
      <w:r w:rsidRPr="00E508CE">
        <w:rPr>
          <w:rFonts w:ascii="Arial" w:hAnsi="Arial" w:cs="Arial"/>
          <w:b w:val="0"/>
          <w:sz w:val="22"/>
          <w:szCs w:val="22"/>
        </w:rPr>
        <w:t xml:space="preserve"> </w:t>
      </w:r>
      <w:r w:rsidR="007B7A8C">
        <w:rPr>
          <w:rFonts w:ascii="Arial" w:hAnsi="Arial" w:cs="Arial"/>
          <w:b w:val="0"/>
          <w:sz w:val="22"/>
          <w:szCs w:val="22"/>
        </w:rPr>
        <w:t xml:space="preserve"> Jako obvykle při klesající nezaměstnanosti roste v evidenci relativní podíl skupin obtížně umístitelných</w:t>
      </w:r>
      <w:r w:rsidR="00C101B8">
        <w:rPr>
          <w:rFonts w:ascii="Arial" w:hAnsi="Arial" w:cs="Arial"/>
          <w:b w:val="0"/>
          <w:sz w:val="22"/>
          <w:szCs w:val="22"/>
        </w:rPr>
        <w:t xml:space="preserve"> uchazečů</w:t>
      </w:r>
      <w:r w:rsidR="007B7A8C">
        <w:rPr>
          <w:rFonts w:ascii="Arial" w:hAnsi="Arial" w:cs="Arial"/>
          <w:b w:val="0"/>
          <w:sz w:val="22"/>
          <w:szCs w:val="22"/>
        </w:rPr>
        <w:t xml:space="preserve">, jako jsou osoby dlouhodobě nezaměstnané, osoby </w:t>
      </w:r>
      <w:r w:rsidR="00C101B8">
        <w:rPr>
          <w:rFonts w:ascii="Arial" w:hAnsi="Arial" w:cs="Arial"/>
          <w:b w:val="0"/>
          <w:sz w:val="22"/>
          <w:szCs w:val="22"/>
        </w:rPr>
        <w:t>starší</w:t>
      </w:r>
      <w:r w:rsidR="007B7A8C">
        <w:rPr>
          <w:rFonts w:ascii="Arial" w:hAnsi="Arial" w:cs="Arial"/>
          <w:b w:val="0"/>
          <w:sz w:val="22"/>
          <w:szCs w:val="22"/>
        </w:rPr>
        <w:t xml:space="preserve">, OZP a podobně. </w:t>
      </w:r>
      <w:r w:rsidR="00C101B8">
        <w:rPr>
          <w:rFonts w:ascii="Arial" w:hAnsi="Arial" w:cs="Arial"/>
          <w:b w:val="0"/>
          <w:sz w:val="22"/>
          <w:szCs w:val="22"/>
        </w:rPr>
        <w:t>Navzdory absolutnímu poklesu tedy  relativní podíl uchazečů nad 50 let vzrostl a</w:t>
      </w:r>
      <w:r w:rsidRPr="00E508CE">
        <w:rPr>
          <w:rFonts w:ascii="Arial" w:hAnsi="Arial" w:cs="Arial"/>
          <w:b w:val="0"/>
          <w:sz w:val="22"/>
          <w:szCs w:val="22"/>
        </w:rPr>
        <w:t xml:space="preserve"> k 31.12.2014 činil 28,2 %</w:t>
      </w:r>
      <w:r w:rsidR="00C101B8">
        <w:rPr>
          <w:rFonts w:ascii="Arial" w:hAnsi="Arial" w:cs="Arial"/>
          <w:b w:val="0"/>
          <w:sz w:val="22"/>
          <w:szCs w:val="22"/>
        </w:rPr>
        <w:t xml:space="preserve"> a </w:t>
      </w:r>
      <w:r w:rsidRPr="00E508CE">
        <w:rPr>
          <w:rFonts w:ascii="Arial" w:hAnsi="Arial" w:cs="Arial"/>
          <w:b w:val="0"/>
          <w:sz w:val="22"/>
          <w:szCs w:val="22"/>
        </w:rPr>
        <w:t xml:space="preserve"> průměrný věk nezaměstnaných v Jihomoravském kraji zvýšil o více než rok; k datu 31.12.2014 dosáhl hodnoty 40,3 let.</w:t>
      </w:r>
    </w:p>
    <w:p w:rsidR="003C0A41" w:rsidRDefault="00C101B8" w:rsidP="003C0A41">
      <w:pPr>
        <w:pStyle w:val="Zkladntext"/>
        <w:spacing w:after="120"/>
        <w:jc w:val="both"/>
        <w:rPr>
          <w:rFonts w:ascii="Arial" w:hAnsi="Arial" w:cs="Arial"/>
          <w:b w:val="0"/>
          <w:sz w:val="22"/>
          <w:szCs w:val="22"/>
        </w:rPr>
      </w:pPr>
      <w:r>
        <w:rPr>
          <w:rFonts w:ascii="Arial" w:hAnsi="Arial" w:cs="Arial"/>
          <w:b w:val="0"/>
          <w:sz w:val="22"/>
          <w:szCs w:val="22"/>
        </w:rPr>
        <w:t>Obdobně</w:t>
      </w:r>
      <w:r w:rsidR="003C0A41" w:rsidRPr="00E508CE">
        <w:rPr>
          <w:rFonts w:ascii="Arial" w:hAnsi="Arial" w:cs="Arial"/>
          <w:b w:val="0"/>
          <w:sz w:val="22"/>
          <w:szCs w:val="22"/>
        </w:rPr>
        <w:t xml:space="preserve"> došlo nárůstu počtu uchazečů evidovaných déle než 24 měsíců, a to o </w:t>
      </w:r>
      <w:r w:rsidR="003C0A41">
        <w:rPr>
          <w:rFonts w:ascii="Arial" w:hAnsi="Arial" w:cs="Arial"/>
          <w:b w:val="0"/>
          <w:sz w:val="22"/>
          <w:szCs w:val="22"/>
        </w:rPr>
        <w:t>1</w:t>
      </w:r>
      <w:r w:rsidR="003C0A41" w:rsidRPr="00E508CE">
        <w:rPr>
          <w:rFonts w:ascii="Arial" w:hAnsi="Arial" w:cs="Arial"/>
          <w:b w:val="0"/>
          <w:sz w:val="22"/>
          <w:szCs w:val="22"/>
        </w:rPr>
        <w:t xml:space="preserve"> </w:t>
      </w:r>
      <w:r w:rsidR="003C0A41">
        <w:rPr>
          <w:rFonts w:ascii="Arial" w:hAnsi="Arial" w:cs="Arial"/>
          <w:b w:val="0"/>
          <w:sz w:val="22"/>
          <w:szCs w:val="22"/>
        </w:rPr>
        <w:t>849</w:t>
      </w:r>
      <w:r w:rsidR="003C0A41" w:rsidRPr="00E508CE">
        <w:rPr>
          <w:rFonts w:ascii="Arial" w:hAnsi="Arial" w:cs="Arial"/>
          <w:b w:val="0"/>
          <w:sz w:val="22"/>
          <w:szCs w:val="22"/>
        </w:rPr>
        <w:t xml:space="preserve"> osob (tedy o </w:t>
      </w:r>
      <w:r w:rsidR="003C0A41">
        <w:rPr>
          <w:rFonts w:ascii="Arial" w:hAnsi="Arial" w:cs="Arial"/>
          <w:b w:val="0"/>
          <w:sz w:val="22"/>
          <w:szCs w:val="22"/>
        </w:rPr>
        <w:t>11</w:t>
      </w:r>
      <w:r w:rsidR="003C0A41" w:rsidRPr="00E508CE">
        <w:rPr>
          <w:rFonts w:ascii="Arial" w:hAnsi="Arial" w:cs="Arial"/>
          <w:b w:val="0"/>
          <w:sz w:val="22"/>
          <w:szCs w:val="22"/>
        </w:rPr>
        <w:t>,</w:t>
      </w:r>
      <w:r w:rsidR="003C0A41">
        <w:rPr>
          <w:rFonts w:ascii="Arial" w:hAnsi="Arial" w:cs="Arial"/>
          <w:b w:val="0"/>
          <w:sz w:val="22"/>
          <w:szCs w:val="22"/>
        </w:rPr>
        <w:t>4</w:t>
      </w:r>
      <w:r w:rsidR="00BD75BF">
        <w:rPr>
          <w:rFonts w:ascii="Arial" w:hAnsi="Arial" w:cs="Arial"/>
          <w:b w:val="0"/>
          <w:sz w:val="22"/>
          <w:szCs w:val="22"/>
        </w:rPr>
        <w:t xml:space="preserve"> % původní hodnoty). </w:t>
      </w:r>
      <w:r w:rsidR="003C0A41" w:rsidRPr="00E508CE">
        <w:rPr>
          <w:rFonts w:ascii="Arial" w:hAnsi="Arial" w:cs="Arial"/>
          <w:b w:val="0"/>
          <w:sz w:val="22"/>
          <w:szCs w:val="22"/>
        </w:rPr>
        <w:t xml:space="preserve">Tento nárůst se promítl také v celokrajském ukazateli průměrné délky evidence, který meziročně vzrostl o </w:t>
      </w:r>
      <w:r w:rsidR="003C0A41">
        <w:rPr>
          <w:rFonts w:ascii="Arial" w:hAnsi="Arial" w:cs="Arial"/>
          <w:b w:val="0"/>
          <w:sz w:val="22"/>
          <w:szCs w:val="22"/>
        </w:rPr>
        <w:t>76</w:t>
      </w:r>
      <w:r w:rsidR="003C0A41" w:rsidRPr="00E508CE">
        <w:rPr>
          <w:rFonts w:ascii="Arial" w:hAnsi="Arial" w:cs="Arial"/>
          <w:b w:val="0"/>
          <w:sz w:val="22"/>
          <w:szCs w:val="22"/>
        </w:rPr>
        <w:t xml:space="preserve"> dní (tedy rostl podstatně rychleji než letech předchozích) na současnou </w:t>
      </w:r>
      <w:r w:rsidR="003C0A41">
        <w:rPr>
          <w:rFonts w:ascii="Arial" w:hAnsi="Arial" w:cs="Arial"/>
          <w:b w:val="0"/>
          <w:sz w:val="22"/>
          <w:szCs w:val="22"/>
        </w:rPr>
        <w:t>hodnotu 637</w:t>
      </w:r>
      <w:r w:rsidR="003C0A41" w:rsidRPr="00E508CE">
        <w:rPr>
          <w:rFonts w:ascii="Arial" w:hAnsi="Arial" w:cs="Arial"/>
          <w:b w:val="0"/>
          <w:sz w:val="22"/>
          <w:szCs w:val="22"/>
        </w:rPr>
        <w:t xml:space="preserve"> dní. Podíl uchazečů evidovaných déle než 12 měsíců na celkovém počtu uchazečů v kraji na konci roku 201</w:t>
      </w:r>
      <w:r w:rsidR="003C0A41">
        <w:rPr>
          <w:rFonts w:ascii="Arial" w:hAnsi="Arial" w:cs="Arial"/>
          <w:b w:val="0"/>
          <w:sz w:val="22"/>
          <w:szCs w:val="22"/>
        </w:rPr>
        <w:t>4</w:t>
      </w:r>
      <w:r w:rsidR="003C0A41" w:rsidRPr="00E508CE">
        <w:rPr>
          <w:rFonts w:ascii="Arial" w:hAnsi="Arial" w:cs="Arial"/>
          <w:b w:val="0"/>
          <w:sz w:val="22"/>
          <w:szCs w:val="22"/>
        </w:rPr>
        <w:t xml:space="preserve"> dosahoval </w:t>
      </w:r>
      <w:r w:rsidR="003C0A41">
        <w:rPr>
          <w:rFonts w:ascii="Arial" w:hAnsi="Arial" w:cs="Arial"/>
          <w:b w:val="0"/>
          <w:sz w:val="22"/>
          <w:szCs w:val="22"/>
        </w:rPr>
        <w:t>44</w:t>
      </w:r>
      <w:r w:rsidR="003C0A41" w:rsidRPr="00E508CE">
        <w:rPr>
          <w:rFonts w:ascii="Arial" w:hAnsi="Arial" w:cs="Arial"/>
          <w:b w:val="0"/>
          <w:sz w:val="22"/>
          <w:szCs w:val="22"/>
        </w:rPr>
        <w:t>,</w:t>
      </w:r>
      <w:r w:rsidR="003C0A41">
        <w:rPr>
          <w:rFonts w:ascii="Arial" w:hAnsi="Arial" w:cs="Arial"/>
          <w:b w:val="0"/>
          <w:sz w:val="22"/>
          <w:szCs w:val="22"/>
        </w:rPr>
        <w:t>3</w:t>
      </w:r>
      <w:r w:rsidR="003C0A41" w:rsidRPr="00E508CE">
        <w:rPr>
          <w:rFonts w:ascii="Arial" w:hAnsi="Arial" w:cs="Arial"/>
          <w:b w:val="0"/>
          <w:sz w:val="22"/>
          <w:szCs w:val="22"/>
        </w:rPr>
        <w:t xml:space="preserve"> %, což je </w:t>
      </w:r>
      <w:r>
        <w:rPr>
          <w:rFonts w:ascii="Arial" w:hAnsi="Arial" w:cs="Arial"/>
          <w:b w:val="0"/>
          <w:sz w:val="22"/>
          <w:szCs w:val="22"/>
        </w:rPr>
        <w:t>výrazně</w:t>
      </w:r>
      <w:r w:rsidR="003C0A41" w:rsidRPr="00E508CE">
        <w:rPr>
          <w:rFonts w:ascii="Arial" w:hAnsi="Arial" w:cs="Arial"/>
          <w:b w:val="0"/>
          <w:sz w:val="22"/>
          <w:szCs w:val="22"/>
        </w:rPr>
        <w:t xml:space="preserve"> více, než v roce předchozím (</w:t>
      </w:r>
      <w:r w:rsidR="003C0A41">
        <w:rPr>
          <w:rFonts w:ascii="Arial" w:hAnsi="Arial" w:cs="Arial"/>
          <w:b w:val="0"/>
          <w:sz w:val="22"/>
          <w:szCs w:val="22"/>
        </w:rPr>
        <w:t>40</w:t>
      </w:r>
      <w:r w:rsidR="003C0A41" w:rsidRPr="00E508CE">
        <w:rPr>
          <w:rFonts w:ascii="Arial" w:hAnsi="Arial" w:cs="Arial"/>
          <w:b w:val="0"/>
          <w:sz w:val="22"/>
          <w:szCs w:val="22"/>
        </w:rPr>
        <w:t>,</w:t>
      </w:r>
      <w:r w:rsidR="003C0A41">
        <w:rPr>
          <w:rFonts w:ascii="Arial" w:hAnsi="Arial" w:cs="Arial"/>
          <w:b w:val="0"/>
          <w:sz w:val="22"/>
          <w:szCs w:val="22"/>
        </w:rPr>
        <w:t>4</w:t>
      </w:r>
      <w:r w:rsidR="003C0A41" w:rsidRPr="00E508CE">
        <w:rPr>
          <w:rFonts w:ascii="Arial" w:hAnsi="Arial" w:cs="Arial"/>
          <w:b w:val="0"/>
          <w:sz w:val="22"/>
          <w:szCs w:val="22"/>
        </w:rPr>
        <w:t xml:space="preserve"> %). </w:t>
      </w:r>
      <w:r w:rsidR="00BD75BF">
        <w:rPr>
          <w:rFonts w:ascii="Arial" w:hAnsi="Arial" w:cs="Arial"/>
          <w:b w:val="0"/>
          <w:sz w:val="22"/>
          <w:szCs w:val="22"/>
        </w:rPr>
        <w:t>Dlouhodobě evidovaní uchazeči jsou na volném trhu práce prakticky neuplatnitelní i v obdobích hospodářského růstu, prakticky jedinou možností jak je do pracovního procesu opět zapojit je umisťování na dotovaná pracovní místa v rámci aktivní politiky zaměstnanosti.</w:t>
      </w:r>
    </w:p>
    <w:p w:rsidR="003C0A41" w:rsidRPr="00E508CE" w:rsidRDefault="003C0A41" w:rsidP="003C0A41">
      <w:pPr>
        <w:pStyle w:val="Zkladntext"/>
        <w:spacing w:after="120"/>
        <w:jc w:val="both"/>
        <w:rPr>
          <w:rFonts w:ascii="Arial" w:hAnsi="Arial" w:cs="Arial"/>
          <w:b w:val="0"/>
          <w:sz w:val="22"/>
          <w:szCs w:val="22"/>
        </w:rPr>
      </w:pPr>
    </w:p>
    <w:p w:rsidR="003C0A41" w:rsidRPr="003C0A41" w:rsidRDefault="003C0A41" w:rsidP="003C0A41">
      <w:pPr>
        <w:rPr>
          <w:rFonts w:ascii="Arial" w:hAnsi="Arial" w:cs="Arial"/>
          <w:b/>
          <w:i/>
          <w:sz w:val="20"/>
          <w:szCs w:val="20"/>
        </w:rPr>
      </w:pPr>
      <w:r w:rsidRPr="003C0A41">
        <w:rPr>
          <w:rFonts w:ascii="Arial" w:hAnsi="Arial" w:cs="Arial"/>
          <w:b/>
          <w:i/>
          <w:sz w:val="20"/>
          <w:szCs w:val="20"/>
        </w:rPr>
        <w:t xml:space="preserve">Obr. </w:t>
      </w:r>
      <w:r w:rsidRPr="003C0A41">
        <w:rPr>
          <w:rFonts w:ascii="Arial" w:hAnsi="Arial" w:cs="Arial"/>
          <w:b/>
          <w:i/>
          <w:sz w:val="20"/>
          <w:szCs w:val="20"/>
        </w:rPr>
        <w:fldChar w:fldCharType="begin"/>
      </w:r>
      <w:r w:rsidRPr="003C0A41">
        <w:rPr>
          <w:rFonts w:ascii="Arial" w:hAnsi="Arial" w:cs="Arial"/>
          <w:b/>
          <w:i/>
          <w:sz w:val="20"/>
          <w:szCs w:val="20"/>
        </w:rPr>
        <w:instrText xml:space="preserve"> SEQ Obr. \* ARABIC </w:instrText>
      </w:r>
      <w:r w:rsidRPr="003C0A41">
        <w:rPr>
          <w:rFonts w:ascii="Arial" w:hAnsi="Arial" w:cs="Arial"/>
          <w:b/>
          <w:i/>
          <w:sz w:val="20"/>
          <w:szCs w:val="20"/>
        </w:rPr>
        <w:fldChar w:fldCharType="separate"/>
      </w:r>
      <w:r w:rsidR="009E38FD">
        <w:rPr>
          <w:rFonts w:ascii="Arial" w:hAnsi="Arial" w:cs="Arial"/>
          <w:b/>
          <w:i/>
          <w:noProof/>
          <w:sz w:val="20"/>
          <w:szCs w:val="20"/>
        </w:rPr>
        <w:t>12</w:t>
      </w:r>
      <w:r w:rsidRPr="003C0A41">
        <w:rPr>
          <w:rFonts w:ascii="Arial" w:hAnsi="Arial" w:cs="Arial"/>
          <w:b/>
          <w:i/>
          <w:sz w:val="20"/>
          <w:szCs w:val="20"/>
        </w:rPr>
        <w:fldChar w:fldCharType="end"/>
      </w:r>
      <w:r w:rsidRPr="003C0A41">
        <w:rPr>
          <w:rFonts w:ascii="Arial" w:hAnsi="Arial" w:cs="Arial"/>
          <w:b/>
          <w:i/>
          <w:sz w:val="20"/>
          <w:szCs w:val="20"/>
        </w:rPr>
        <w:t xml:space="preserve">: Struktura uchazečů </w:t>
      </w:r>
      <w:r w:rsidR="00BD75BF">
        <w:rPr>
          <w:rFonts w:ascii="Arial" w:hAnsi="Arial" w:cs="Arial"/>
          <w:b/>
          <w:i/>
          <w:sz w:val="20"/>
          <w:szCs w:val="20"/>
        </w:rPr>
        <w:t xml:space="preserve">podle délky evidence, </w:t>
      </w:r>
      <w:r w:rsidRPr="003C0A41">
        <w:rPr>
          <w:rFonts w:ascii="Arial" w:hAnsi="Arial" w:cs="Arial"/>
          <w:b/>
          <w:i/>
          <w:sz w:val="20"/>
          <w:szCs w:val="20"/>
        </w:rPr>
        <w:t xml:space="preserve">stav k 31. 12. </w:t>
      </w:r>
      <w:r w:rsidR="00BD75BF">
        <w:rPr>
          <w:rFonts w:ascii="Arial" w:hAnsi="Arial" w:cs="Arial"/>
          <w:b/>
          <w:i/>
          <w:sz w:val="20"/>
          <w:szCs w:val="20"/>
        </w:rPr>
        <w:t>2014</w:t>
      </w:r>
    </w:p>
    <w:p w:rsidR="001B027C" w:rsidRDefault="00BD75BF" w:rsidP="003C0A41">
      <w:pPr>
        <w:spacing w:after="200"/>
        <w:rPr>
          <w:noProof/>
        </w:rPr>
      </w:pPr>
      <w:r>
        <w:rPr>
          <w:noProof/>
        </w:rPr>
        <w:drawing>
          <wp:inline distT="0" distB="0" distL="0" distR="0" wp14:anchorId="1A3EB04C" wp14:editId="7EFCA33F">
            <wp:extent cx="5972810" cy="3420110"/>
            <wp:effectExtent l="0" t="0" r="27940" b="2794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t xml:space="preserve"> </w:t>
      </w:r>
    </w:p>
    <w:p w:rsidR="00487813" w:rsidRDefault="00487813" w:rsidP="003C0A41">
      <w:pPr>
        <w:spacing w:after="200"/>
        <w:rPr>
          <w:rFonts w:ascii="Arial" w:hAnsi="Arial" w:cs="Arial"/>
          <w:sz w:val="22"/>
          <w:szCs w:val="22"/>
        </w:rPr>
      </w:pPr>
      <w:r>
        <w:rPr>
          <w:rFonts w:ascii="Arial" w:hAnsi="Arial" w:cs="Arial"/>
          <w:sz w:val="22"/>
          <w:szCs w:val="22"/>
        </w:rPr>
        <w:br w:type="page"/>
      </w:r>
    </w:p>
    <w:p w:rsidR="00060EFF" w:rsidRPr="00BA162D" w:rsidRDefault="00060EFF" w:rsidP="00060EFF">
      <w:pPr>
        <w:pStyle w:val="Nadpis2"/>
      </w:pPr>
      <w:bookmarkStart w:id="22" w:name="_Toc381372885"/>
      <w:bookmarkStart w:id="23" w:name="_Toc411611472"/>
      <w:r w:rsidRPr="00BA162D">
        <w:t>2.2 Územní rozložení registrované nezaměstnanosti</w:t>
      </w:r>
      <w:bookmarkEnd w:id="22"/>
      <w:bookmarkEnd w:id="23"/>
    </w:p>
    <w:p w:rsidR="00060EFF" w:rsidRDefault="00060EFF" w:rsidP="00125EE0">
      <w:pPr>
        <w:pStyle w:val="Warda"/>
      </w:pPr>
    </w:p>
    <w:p w:rsidR="00060EFF" w:rsidRPr="00125EE0" w:rsidRDefault="00060EFF" w:rsidP="00125EE0">
      <w:pPr>
        <w:pStyle w:val="Warda"/>
      </w:pPr>
      <w:r w:rsidRPr="00125EE0">
        <w:t xml:space="preserve">Dle administrativního členění se území Jihomoravského kraje člení na 7 okresů, 21 správních obvodů obcí s rozšířenou působností a 35 obvodů obcí s pověřeným obecním úřadem. Celkem se v kraji nachází 673 obcí, z nichž 49 má statut města. Jediné z nich -  krajské město Brno - je statutárním městem. Z hlediska vnitřní struktury ÚP zahrnuje krajská pobočka v Brně celkem 20 tzv. kontaktních pracovišť. </w:t>
      </w:r>
    </w:p>
    <w:p w:rsidR="00060EFF" w:rsidRDefault="00060EFF" w:rsidP="00060EFF">
      <w:pPr>
        <w:pStyle w:val="Bezmezer"/>
        <w:rPr>
          <w:rFonts w:ascii="Arial" w:hAnsi="Arial" w:cs="Arial"/>
          <w:b/>
          <w:sz w:val="22"/>
          <w:szCs w:val="22"/>
        </w:rPr>
      </w:pPr>
    </w:p>
    <w:p w:rsidR="00060EFF" w:rsidRPr="00060EFF" w:rsidRDefault="00060EFF" w:rsidP="007168E0">
      <w:pPr>
        <w:pStyle w:val="Bezmezer"/>
        <w:spacing w:line="276" w:lineRule="auto"/>
        <w:rPr>
          <w:rFonts w:ascii="Arial" w:hAnsi="Arial" w:cs="Arial"/>
          <w:b/>
          <w:i/>
          <w:sz w:val="20"/>
          <w:szCs w:val="20"/>
        </w:rPr>
      </w:pPr>
      <w:r w:rsidRPr="00060EFF">
        <w:rPr>
          <w:rFonts w:ascii="Arial" w:hAnsi="Arial" w:cs="Arial"/>
          <w:b/>
          <w:i/>
          <w:sz w:val="20"/>
          <w:szCs w:val="20"/>
        </w:rPr>
        <w:t xml:space="preserve">Tab. </w:t>
      </w:r>
      <w:r w:rsidRPr="00060EFF">
        <w:rPr>
          <w:rFonts w:ascii="Arial" w:hAnsi="Arial" w:cs="Arial"/>
          <w:b/>
          <w:i/>
          <w:sz w:val="20"/>
          <w:szCs w:val="20"/>
        </w:rPr>
        <w:fldChar w:fldCharType="begin"/>
      </w:r>
      <w:r w:rsidRPr="00060EFF">
        <w:rPr>
          <w:rFonts w:ascii="Arial" w:hAnsi="Arial" w:cs="Arial"/>
          <w:b/>
          <w:i/>
          <w:sz w:val="20"/>
          <w:szCs w:val="20"/>
        </w:rPr>
        <w:instrText xml:space="preserve"> SEQ Tab. \* ARABIC </w:instrText>
      </w:r>
      <w:r w:rsidRPr="00060EFF">
        <w:rPr>
          <w:rFonts w:ascii="Arial" w:hAnsi="Arial" w:cs="Arial"/>
          <w:b/>
          <w:i/>
          <w:sz w:val="20"/>
          <w:szCs w:val="20"/>
        </w:rPr>
        <w:fldChar w:fldCharType="separate"/>
      </w:r>
      <w:r w:rsidR="004378F3">
        <w:rPr>
          <w:rFonts w:ascii="Arial" w:hAnsi="Arial" w:cs="Arial"/>
          <w:b/>
          <w:i/>
          <w:noProof/>
          <w:sz w:val="20"/>
          <w:szCs w:val="20"/>
        </w:rPr>
        <w:t>6</w:t>
      </w:r>
      <w:r w:rsidRPr="00060EFF">
        <w:rPr>
          <w:rFonts w:ascii="Arial" w:hAnsi="Arial" w:cs="Arial"/>
          <w:b/>
          <w:i/>
          <w:sz w:val="20"/>
          <w:szCs w:val="20"/>
        </w:rPr>
        <w:fldChar w:fldCharType="end"/>
      </w:r>
      <w:r w:rsidRPr="00060EFF">
        <w:rPr>
          <w:rFonts w:ascii="Arial" w:hAnsi="Arial" w:cs="Arial"/>
          <w:b/>
          <w:i/>
          <w:sz w:val="20"/>
          <w:szCs w:val="20"/>
        </w:rPr>
        <w:t>: Charakteristika okresů Jihomoravského kraje k 31. 12. 2014</w:t>
      </w:r>
    </w:p>
    <w:tbl>
      <w:tblPr>
        <w:tblW w:w="5000" w:type="pct"/>
        <w:tblCellMar>
          <w:left w:w="70" w:type="dxa"/>
          <w:right w:w="70" w:type="dxa"/>
        </w:tblCellMar>
        <w:tblLook w:val="04A0" w:firstRow="1" w:lastRow="0" w:firstColumn="1" w:lastColumn="0" w:noHBand="0" w:noVBand="1"/>
      </w:tblPr>
      <w:tblGrid>
        <w:gridCol w:w="1814"/>
        <w:gridCol w:w="1131"/>
        <w:gridCol w:w="972"/>
        <w:gridCol w:w="951"/>
        <w:gridCol w:w="1115"/>
        <w:gridCol w:w="1041"/>
        <w:gridCol w:w="1110"/>
        <w:gridCol w:w="1078"/>
      </w:tblGrid>
      <w:tr w:rsidR="00060EFF" w:rsidRPr="00EE4B4C" w:rsidTr="00060EFF">
        <w:trPr>
          <w:trHeight w:val="279"/>
        </w:trPr>
        <w:tc>
          <w:tcPr>
            <w:tcW w:w="988" w:type="pct"/>
            <w:vMerge w:val="restart"/>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hideMark/>
          </w:tcPr>
          <w:p w:rsidR="00060EFF" w:rsidRPr="009C2D7D" w:rsidRDefault="00060EFF" w:rsidP="00060EFF">
            <w:pPr>
              <w:spacing w:line="240" w:lineRule="auto"/>
              <w:jc w:val="center"/>
              <w:rPr>
                <w:rFonts w:asciiTheme="minorHAnsi" w:hAnsiTheme="minorHAnsi"/>
                <w:b/>
                <w:bCs/>
              </w:rPr>
            </w:pPr>
            <w:r w:rsidRPr="009C2D7D">
              <w:rPr>
                <w:rFonts w:asciiTheme="minorHAnsi" w:hAnsiTheme="minorHAnsi"/>
                <w:b/>
                <w:bCs/>
                <w:sz w:val="22"/>
                <w:szCs w:val="22"/>
              </w:rPr>
              <w:t>Území</w:t>
            </w:r>
          </w:p>
        </w:tc>
        <w:tc>
          <w:tcPr>
            <w:tcW w:w="1667" w:type="pct"/>
            <w:gridSpan w:val="3"/>
            <w:tcBorders>
              <w:top w:val="single" w:sz="12" w:space="0" w:color="000000"/>
              <w:left w:val="single" w:sz="12" w:space="0" w:color="auto"/>
              <w:bottom w:val="single" w:sz="8" w:space="0" w:color="auto"/>
              <w:right w:val="single" w:sz="4" w:space="0" w:color="auto"/>
            </w:tcBorders>
            <w:shd w:val="clear" w:color="auto" w:fill="D9D9D9" w:themeFill="background1" w:themeFillShade="D9"/>
            <w:vAlign w:val="center"/>
            <w:hideMark/>
          </w:tcPr>
          <w:p w:rsidR="00060EFF" w:rsidRPr="009C2D7D" w:rsidRDefault="00060EFF" w:rsidP="00060EFF">
            <w:pPr>
              <w:spacing w:line="240" w:lineRule="auto"/>
              <w:jc w:val="center"/>
              <w:rPr>
                <w:rFonts w:asciiTheme="minorHAnsi" w:hAnsiTheme="minorHAnsi"/>
                <w:b/>
                <w:bCs/>
              </w:rPr>
            </w:pPr>
            <w:r w:rsidRPr="009C2D7D">
              <w:rPr>
                <w:rFonts w:asciiTheme="minorHAnsi" w:hAnsiTheme="minorHAnsi"/>
                <w:b/>
                <w:bCs/>
                <w:sz w:val="22"/>
                <w:szCs w:val="22"/>
              </w:rPr>
              <w:t>Počet nezaměstnaných</w:t>
            </w:r>
          </w:p>
        </w:tc>
        <w:tc>
          <w:tcPr>
            <w:tcW w:w="605" w:type="pct"/>
            <w:vMerge w:val="restart"/>
            <w:tcBorders>
              <w:top w:val="single" w:sz="12" w:space="0" w:color="000000"/>
              <w:left w:val="single" w:sz="4" w:space="0" w:color="auto"/>
              <w:bottom w:val="single" w:sz="12" w:space="0" w:color="auto"/>
              <w:right w:val="single" w:sz="4" w:space="0" w:color="auto"/>
            </w:tcBorders>
            <w:shd w:val="clear" w:color="auto" w:fill="D9D9D9" w:themeFill="background1" w:themeFillShade="D9"/>
            <w:vAlign w:val="center"/>
            <w:hideMark/>
          </w:tcPr>
          <w:p w:rsidR="00060EFF" w:rsidRPr="009C2D7D" w:rsidRDefault="00060EFF" w:rsidP="00060EFF">
            <w:pPr>
              <w:spacing w:line="240" w:lineRule="auto"/>
              <w:jc w:val="center"/>
              <w:rPr>
                <w:rFonts w:asciiTheme="minorHAnsi" w:hAnsiTheme="minorHAnsi"/>
                <w:b/>
                <w:bCs/>
              </w:rPr>
            </w:pPr>
            <w:r w:rsidRPr="009C2D7D">
              <w:rPr>
                <w:rFonts w:asciiTheme="minorHAnsi" w:hAnsiTheme="minorHAnsi"/>
                <w:b/>
                <w:bCs/>
                <w:sz w:val="22"/>
                <w:szCs w:val="22"/>
              </w:rPr>
              <w:t>Absolventi škol a mladiství</w:t>
            </w:r>
          </w:p>
        </w:tc>
        <w:tc>
          <w:tcPr>
            <w:tcW w:w="568" w:type="pct"/>
            <w:vMerge w:val="restart"/>
            <w:tcBorders>
              <w:top w:val="single" w:sz="12" w:space="0" w:color="000000"/>
              <w:left w:val="single" w:sz="4" w:space="0" w:color="auto"/>
              <w:bottom w:val="single" w:sz="12" w:space="0" w:color="auto"/>
              <w:right w:val="single" w:sz="4" w:space="0" w:color="auto"/>
            </w:tcBorders>
            <w:shd w:val="clear" w:color="auto" w:fill="D9D9D9" w:themeFill="background1" w:themeFillShade="D9"/>
            <w:vAlign w:val="center"/>
            <w:hideMark/>
          </w:tcPr>
          <w:p w:rsidR="00060EFF" w:rsidRPr="009C2D7D" w:rsidRDefault="00060EFF" w:rsidP="00060EFF">
            <w:pPr>
              <w:spacing w:line="240" w:lineRule="auto"/>
              <w:jc w:val="center"/>
              <w:rPr>
                <w:rFonts w:asciiTheme="minorHAnsi" w:hAnsiTheme="minorHAnsi"/>
                <w:b/>
                <w:bCs/>
              </w:rPr>
            </w:pPr>
            <w:r w:rsidRPr="009C2D7D">
              <w:rPr>
                <w:rFonts w:asciiTheme="minorHAnsi" w:hAnsiTheme="minorHAnsi"/>
                <w:b/>
                <w:bCs/>
                <w:sz w:val="22"/>
                <w:szCs w:val="22"/>
              </w:rPr>
              <w:t>Volná pracovní místa</w:t>
            </w:r>
          </w:p>
        </w:tc>
        <w:tc>
          <w:tcPr>
            <w:tcW w:w="605" w:type="pct"/>
            <w:vMerge w:val="restart"/>
            <w:tcBorders>
              <w:top w:val="single" w:sz="12" w:space="0" w:color="000000"/>
              <w:left w:val="single" w:sz="4" w:space="0" w:color="auto"/>
              <w:bottom w:val="single" w:sz="12" w:space="0" w:color="auto"/>
              <w:right w:val="single" w:sz="4" w:space="0" w:color="auto"/>
            </w:tcBorders>
            <w:shd w:val="clear" w:color="auto" w:fill="D9D9D9" w:themeFill="background1" w:themeFillShade="D9"/>
            <w:vAlign w:val="center"/>
            <w:hideMark/>
          </w:tcPr>
          <w:p w:rsidR="00060EFF" w:rsidRPr="009C2D7D" w:rsidRDefault="00060EFF" w:rsidP="00060EFF">
            <w:pPr>
              <w:spacing w:line="240" w:lineRule="auto"/>
              <w:jc w:val="center"/>
              <w:rPr>
                <w:rFonts w:asciiTheme="minorHAnsi" w:hAnsiTheme="minorHAnsi"/>
                <w:b/>
                <w:bCs/>
              </w:rPr>
            </w:pPr>
            <w:r w:rsidRPr="009C2D7D">
              <w:rPr>
                <w:rFonts w:asciiTheme="minorHAnsi" w:hAnsiTheme="minorHAnsi"/>
                <w:b/>
                <w:bCs/>
                <w:sz w:val="22"/>
                <w:szCs w:val="22"/>
              </w:rPr>
              <w:t>Počet uchazečů na 1 volné místo</w:t>
            </w:r>
          </w:p>
        </w:tc>
        <w:tc>
          <w:tcPr>
            <w:tcW w:w="568" w:type="pct"/>
            <w:vMerge w:val="restart"/>
            <w:tcBorders>
              <w:top w:val="single" w:sz="12" w:space="0" w:color="000000"/>
              <w:left w:val="single" w:sz="4" w:space="0" w:color="auto"/>
              <w:bottom w:val="single" w:sz="12" w:space="0" w:color="auto"/>
              <w:right w:val="single" w:sz="12" w:space="0" w:color="auto"/>
            </w:tcBorders>
            <w:shd w:val="clear" w:color="auto" w:fill="D9D9D9" w:themeFill="background1" w:themeFillShade="D9"/>
            <w:vAlign w:val="center"/>
            <w:hideMark/>
          </w:tcPr>
          <w:p w:rsidR="00060EFF" w:rsidRPr="009C2D7D" w:rsidRDefault="00060EFF" w:rsidP="00060EFF">
            <w:pPr>
              <w:spacing w:line="240" w:lineRule="auto"/>
              <w:jc w:val="center"/>
              <w:rPr>
                <w:rFonts w:asciiTheme="minorHAnsi" w:hAnsiTheme="minorHAnsi"/>
                <w:b/>
                <w:bCs/>
              </w:rPr>
            </w:pPr>
            <w:r w:rsidRPr="009C2D7D">
              <w:rPr>
                <w:rFonts w:asciiTheme="minorHAnsi" w:hAnsiTheme="minorHAnsi"/>
                <w:b/>
                <w:bCs/>
                <w:sz w:val="22"/>
                <w:szCs w:val="22"/>
              </w:rPr>
              <w:t>Podíl nezaměst. [%]</w:t>
            </w:r>
          </w:p>
        </w:tc>
      </w:tr>
      <w:tr w:rsidR="00060EFF" w:rsidRPr="00EE4B4C" w:rsidTr="00060EFF">
        <w:trPr>
          <w:trHeight w:val="288"/>
        </w:trPr>
        <w:tc>
          <w:tcPr>
            <w:tcW w:w="988" w:type="pct"/>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rsidR="00060EFF" w:rsidRPr="009C2D7D" w:rsidRDefault="00060EFF" w:rsidP="00060EFF">
            <w:pPr>
              <w:spacing w:line="240" w:lineRule="auto"/>
              <w:rPr>
                <w:rFonts w:asciiTheme="minorHAnsi" w:hAnsiTheme="minorHAnsi"/>
                <w:b/>
                <w:bCs/>
              </w:rPr>
            </w:pPr>
          </w:p>
        </w:tc>
        <w:tc>
          <w:tcPr>
            <w:tcW w:w="617" w:type="pct"/>
            <w:vMerge w:val="restart"/>
            <w:tcBorders>
              <w:top w:val="single" w:sz="8" w:space="0" w:color="auto"/>
              <w:left w:val="single" w:sz="12" w:space="0" w:color="auto"/>
              <w:bottom w:val="single" w:sz="8" w:space="0" w:color="000000"/>
              <w:right w:val="single" w:sz="4" w:space="0" w:color="auto"/>
            </w:tcBorders>
            <w:shd w:val="clear" w:color="auto" w:fill="D9D9D9" w:themeFill="background1" w:themeFillShade="D9"/>
            <w:vAlign w:val="center"/>
            <w:hideMark/>
          </w:tcPr>
          <w:p w:rsidR="00060EFF" w:rsidRPr="009C2D7D" w:rsidRDefault="00060EFF" w:rsidP="00060EFF">
            <w:pPr>
              <w:spacing w:line="240" w:lineRule="auto"/>
              <w:jc w:val="center"/>
              <w:rPr>
                <w:rFonts w:asciiTheme="minorHAnsi" w:hAnsiTheme="minorHAnsi"/>
                <w:b/>
                <w:bCs/>
              </w:rPr>
            </w:pPr>
            <w:r w:rsidRPr="009C2D7D">
              <w:rPr>
                <w:rFonts w:asciiTheme="minorHAnsi" w:hAnsiTheme="minorHAnsi"/>
                <w:b/>
                <w:bCs/>
                <w:sz w:val="22"/>
                <w:szCs w:val="22"/>
              </w:rPr>
              <w:t>celkem</w:t>
            </w:r>
          </w:p>
        </w:tc>
        <w:tc>
          <w:tcPr>
            <w:tcW w:w="1049" w:type="pct"/>
            <w:gridSpan w:val="2"/>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060EFF" w:rsidRPr="009C2D7D" w:rsidRDefault="00060EFF" w:rsidP="00060EFF">
            <w:pPr>
              <w:spacing w:line="240" w:lineRule="auto"/>
              <w:jc w:val="center"/>
              <w:rPr>
                <w:rFonts w:asciiTheme="minorHAnsi" w:hAnsiTheme="minorHAnsi"/>
                <w:b/>
                <w:bCs/>
              </w:rPr>
            </w:pPr>
            <w:r w:rsidRPr="009C2D7D">
              <w:rPr>
                <w:rFonts w:asciiTheme="minorHAnsi" w:hAnsiTheme="minorHAnsi"/>
                <w:b/>
                <w:bCs/>
                <w:sz w:val="22"/>
                <w:szCs w:val="22"/>
              </w:rPr>
              <w:t>v tom</w:t>
            </w:r>
          </w:p>
        </w:tc>
        <w:tc>
          <w:tcPr>
            <w:tcW w:w="605" w:type="pct"/>
            <w:vMerge/>
            <w:tcBorders>
              <w:top w:val="single" w:sz="12" w:space="0" w:color="auto"/>
              <w:left w:val="single" w:sz="4" w:space="0" w:color="auto"/>
              <w:bottom w:val="single" w:sz="12" w:space="0" w:color="auto"/>
              <w:right w:val="single" w:sz="4" w:space="0" w:color="auto"/>
            </w:tcBorders>
            <w:vAlign w:val="center"/>
            <w:hideMark/>
          </w:tcPr>
          <w:p w:rsidR="00060EFF" w:rsidRPr="009C2D7D" w:rsidRDefault="00060EFF" w:rsidP="00060EFF">
            <w:pPr>
              <w:spacing w:line="240" w:lineRule="auto"/>
              <w:rPr>
                <w:rFonts w:asciiTheme="minorHAnsi" w:hAnsiTheme="minorHAnsi"/>
                <w:b/>
                <w:bCs/>
              </w:rPr>
            </w:pPr>
          </w:p>
        </w:tc>
        <w:tc>
          <w:tcPr>
            <w:tcW w:w="568" w:type="pct"/>
            <w:vMerge/>
            <w:tcBorders>
              <w:top w:val="single" w:sz="12" w:space="0" w:color="auto"/>
              <w:left w:val="single" w:sz="4" w:space="0" w:color="auto"/>
              <w:bottom w:val="single" w:sz="12" w:space="0" w:color="auto"/>
              <w:right w:val="single" w:sz="4" w:space="0" w:color="auto"/>
            </w:tcBorders>
            <w:vAlign w:val="center"/>
            <w:hideMark/>
          </w:tcPr>
          <w:p w:rsidR="00060EFF" w:rsidRPr="009C2D7D" w:rsidRDefault="00060EFF" w:rsidP="00060EFF">
            <w:pPr>
              <w:spacing w:line="240" w:lineRule="auto"/>
              <w:rPr>
                <w:rFonts w:asciiTheme="minorHAnsi" w:hAnsiTheme="minorHAnsi"/>
                <w:b/>
                <w:bCs/>
              </w:rPr>
            </w:pPr>
          </w:p>
        </w:tc>
        <w:tc>
          <w:tcPr>
            <w:tcW w:w="605" w:type="pct"/>
            <w:vMerge/>
            <w:tcBorders>
              <w:top w:val="single" w:sz="12" w:space="0" w:color="auto"/>
              <w:left w:val="single" w:sz="4" w:space="0" w:color="auto"/>
              <w:bottom w:val="single" w:sz="12" w:space="0" w:color="auto"/>
              <w:right w:val="single" w:sz="4" w:space="0" w:color="auto"/>
            </w:tcBorders>
            <w:vAlign w:val="center"/>
            <w:hideMark/>
          </w:tcPr>
          <w:p w:rsidR="00060EFF" w:rsidRPr="009C2D7D" w:rsidRDefault="00060EFF" w:rsidP="00060EFF">
            <w:pPr>
              <w:spacing w:line="240" w:lineRule="auto"/>
              <w:rPr>
                <w:rFonts w:asciiTheme="minorHAnsi" w:hAnsiTheme="minorHAnsi"/>
                <w:b/>
                <w:bCs/>
              </w:rPr>
            </w:pPr>
          </w:p>
        </w:tc>
        <w:tc>
          <w:tcPr>
            <w:tcW w:w="568" w:type="pct"/>
            <w:vMerge/>
            <w:tcBorders>
              <w:top w:val="single" w:sz="12" w:space="0" w:color="auto"/>
              <w:left w:val="single" w:sz="4" w:space="0" w:color="auto"/>
              <w:bottom w:val="single" w:sz="12" w:space="0" w:color="auto"/>
              <w:right w:val="single" w:sz="12" w:space="0" w:color="auto"/>
            </w:tcBorders>
            <w:vAlign w:val="center"/>
            <w:hideMark/>
          </w:tcPr>
          <w:p w:rsidR="00060EFF" w:rsidRPr="009C2D7D" w:rsidRDefault="00060EFF" w:rsidP="00060EFF">
            <w:pPr>
              <w:spacing w:line="240" w:lineRule="auto"/>
              <w:rPr>
                <w:rFonts w:asciiTheme="minorHAnsi" w:hAnsiTheme="minorHAnsi"/>
                <w:b/>
                <w:bCs/>
              </w:rPr>
            </w:pPr>
          </w:p>
        </w:tc>
      </w:tr>
      <w:tr w:rsidR="00060EFF" w:rsidRPr="00EE4B4C" w:rsidTr="00060EFF">
        <w:trPr>
          <w:trHeight w:val="436"/>
        </w:trPr>
        <w:tc>
          <w:tcPr>
            <w:tcW w:w="988" w:type="pct"/>
            <w:vMerge/>
            <w:tcBorders>
              <w:top w:val="single" w:sz="8" w:space="0" w:color="000000"/>
              <w:left w:val="single" w:sz="12" w:space="0" w:color="auto"/>
              <w:bottom w:val="single" w:sz="12" w:space="0" w:color="000000"/>
              <w:right w:val="single" w:sz="12" w:space="0" w:color="auto"/>
            </w:tcBorders>
            <w:shd w:val="clear" w:color="auto" w:fill="F2F2F2" w:themeFill="background1" w:themeFillShade="F2"/>
            <w:vAlign w:val="center"/>
            <w:hideMark/>
          </w:tcPr>
          <w:p w:rsidR="00060EFF" w:rsidRPr="009C2D7D" w:rsidRDefault="00060EFF" w:rsidP="00060EFF">
            <w:pPr>
              <w:spacing w:line="240" w:lineRule="auto"/>
              <w:rPr>
                <w:rFonts w:asciiTheme="minorHAnsi" w:hAnsiTheme="minorHAnsi"/>
                <w:b/>
                <w:bCs/>
              </w:rPr>
            </w:pPr>
          </w:p>
        </w:tc>
        <w:tc>
          <w:tcPr>
            <w:tcW w:w="617" w:type="pct"/>
            <w:vMerge/>
            <w:tcBorders>
              <w:top w:val="nil"/>
              <w:left w:val="single" w:sz="12" w:space="0" w:color="auto"/>
              <w:bottom w:val="single" w:sz="12" w:space="0" w:color="auto"/>
              <w:right w:val="single" w:sz="4" w:space="0" w:color="auto"/>
            </w:tcBorders>
            <w:shd w:val="clear" w:color="auto" w:fill="D9D9D9" w:themeFill="background1" w:themeFillShade="D9"/>
            <w:vAlign w:val="center"/>
            <w:hideMark/>
          </w:tcPr>
          <w:p w:rsidR="00060EFF" w:rsidRPr="009C2D7D" w:rsidRDefault="00060EFF" w:rsidP="00060EFF">
            <w:pPr>
              <w:spacing w:line="240" w:lineRule="auto"/>
              <w:rPr>
                <w:rFonts w:asciiTheme="minorHAnsi" w:hAnsiTheme="minorHAnsi"/>
                <w:b/>
                <w:bCs/>
              </w:rPr>
            </w:pPr>
          </w:p>
        </w:tc>
        <w:tc>
          <w:tcPr>
            <w:tcW w:w="531" w:type="pct"/>
            <w:tcBorders>
              <w:top w:val="nil"/>
              <w:left w:val="nil"/>
              <w:bottom w:val="single" w:sz="12" w:space="0" w:color="auto"/>
              <w:right w:val="single" w:sz="4" w:space="0" w:color="auto"/>
            </w:tcBorders>
            <w:shd w:val="clear" w:color="auto" w:fill="D9D9D9" w:themeFill="background1" w:themeFillShade="D9"/>
            <w:vAlign w:val="center"/>
            <w:hideMark/>
          </w:tcPr>
          <w:p w:rsidR="00060EFF" w:rsidRPr="009C2D7D" w:rsidRDefault="00060EFF" w:rsidP="00060EFF">
            <w:pPr>
              <w:spacing w:line="240" w:lineRule="auto"/>
              <w:jc w:val="center"/>
              <w:rPr>
                <w:rFonts w:asciiTheme="minorHAnsi" w:hAnsiTheme="minorHAnsi"/>
                <w:b/>
                <w:bCs/>
              </w:rPr>
            </w:pPr>
            <w:r w:rsidRPr="009C2D7D">
              <w:rPr>
                <w:rFonts w:asciiTheme="minorHAnsi" w:hAnsiTheme="minorHAnsi"/>
                <w:b/>
                <w:bCs/>
                <w:sz w:val="22"/>
                <w:szCs w:val="22"/>
              </w:rPr>
              <w:t>muži</w:t>
            </w:r>
          </w:p>
        </w:tc>
        <w:tc>
          <w:tcPr>
            <w:tcW w:w="519" w:type="pct"/>
            <w:tcBorders>
              <w:top w:val="nil"/>
              <w:left w:val="nil"/>
              <w:bottom w:val="single" w:sz="12" w:space="0" w:color="auto"/>
              <w:right w:val="single" w:sz="4" w:space="0" w:color="auto"/>
            </w:tcBorders>
            <w:shd w:val="clear" w:color="auto" w:fill="D9D9D9" w:themeFill="background1" w:themeFillShade="D9"/>
            <w:vAlign w:val="center"/>
            <w:hideMark/>
          </w:tcPr>
          <w:p w:rsidR="00060EFF" w:rsidRPr="009C2D7D" w:rsidRDefault="00060EFF" w:rsidP="00060EFF">
            <w:pPr>
              <w:spacing w:line="240" w:lineRule="auto"/>
              <w:jc w:val="center"/>
              <w:rPr>
                <w:rFonts w:asciiTheme="minorHAnsi" w:hAnsiTheme="minorHAnsi"/>
                <w:b/>
                <w:bCs/>
              </w:rPr>
            </w:pPr>
            <w:r w:rsidRPr="009C2D7D">
              <w:rPr>
                <w:rFonts w:asciiTheme="minorHAnsi" w:hAnsiTheme="minorHAnsi"/>
                <w:b/>
                <w:bCs/>
                <w:sz w:val="22"/>
                <w:szCs w:val="22"/>
              </w:rPr>
              <w:t>ženy</w:t>
            </w:r>
          </w:p>
        </w:tc>
        <w:tc>
          <w:tcPr>
            <w:tcW w:w="605" w:type="pct"/>
            <w:vMerge/>
            <w:tcBorders>
              <w:top w:val="single" w:sz="4" w:space="0" w:color="auto"/>
              <w:left w:val="single" w:sz="4" w:space="0" w:color="auto"/>
              <w:bottom w:val="single" w:sz="12" w:space="0" w:color="auto"/>
              <w:right w:val="single" w:sz="4" w:space="0" w:color="auto"/>
            </w:tcBorders>
            <w:vAlign w:val="center"/>
            <w:hideMark/>
          </w:tcPr>
          <w:p w:rsidR="00060EFF" w:rsidRPr="009C2D7D" w:rsidRDefault="00060EFF" w:rsidP="00060EFF">
            <w:pPr>
              <w:spacing w:line="240" w:lineRule="auto"/>
              <w:rPr>
                <w:rFonts w:asciiTheme="minorHAnsi" w:hAnsiTheme="minorHAnsi"/>
                <w:b/>
                <w:bCs/>
              </w:rPr>
            </w:pPr>
          </w:p>
        </w:tc>
        <w:tc>
          <w:tcPr>
            <w:tcW w:w="568" w:type="pct"/>
            <w:vMerge/>
            <w:tcBorders>
              <w:top w:val="single" w:sz="4" w:space="0" w:color="auto"/>
              <w:left w:val="single" w:sz="4" w:space="0" w:color="auto"/>
              <w:bottom w:val="single" w:sz="12" w:space="0" w:color="auto"/>
              <w:right w:val="single" w:sz="4" w:space="0" w:color="auto"/>
            </w:tcBorders>
            <w:vAlign w:val="center"/>
            <w:hideMark/>
          </w:tcPr>
          <w:p w:rsidR="00060EFF" w:rsidRPr="009C2D7D" w:rsidRDefault="00060EFF" w:rsidP="00060EFF">
            <w:pPr>
              <w:spacing w:line="240" w:lineRule="auto"/>
              <w:rPr>
                <w:rFonts w:asciiTheme="minorHAnsi" w:hAnsiTheme="minorHAnsi"/>
                <w:b/>
                <w:bCs/>
              </w:rPr>
            </w:pPr>
          </w:p>
        </w:tc>
        <w:tc>
          <w:tcPr>
            <w:tcW w:w="605" w:type="pct"/>
            <w:vMerge/>
            <w:tcBorders>
              <w:top w:val="single" w:sz="4" w:space="0" w:color="auto"/>
              <w:left w:val="single" w:sz="4" w:space="0" w:color="auto"/>
              <w:bottom w:val="single" w:sz="12" w:space="0" w:color="auto"/>
              <w:right w:val="single" w:sz="4" w:space="0" w:color="auto"/>
            </w:tcBorders>
            <w:vAlign w:val="center"/>
            <w:hideMark/>
          </w:tcPr>
          <w:p w:rsidR="00060EFF" w:rsidRPr="009C2D7D" w:rsidRDefault="00060EFF" w:rsidP="00060EFF">
            <w:pPr>
              <w:spacing w:line="240" w:lineRule="auto"/>
              <w:rPr>
                <w:rFonts w:asciiTheme="minorHAnsi" w:hAnsiTheme="minorHAnsi"/>
                <w:b/>
                <w:bCs/>
              </w:rPr>
            </w:pPr>
          </w:p>
        </w:tc>
        <w:tc>
          <w:tcPr>
            <w:tcW w:w="568" w:type="pct"/>
            <w:vMerge/>
            <w:tcBorders>
              <w:top w:val="single" w:sz="4" w:space="0" w:color="auto"/>
              <w:left w:val="single" w:sz="4" w:space="0" w:color="auto"/>
              <w:bottom w:val="single" w:sz="12" w:space="0" w:color="auto"/>
              <w:right w:val="single" w:sz="12" w:space="0" w:color="auto"/>
            </w:tcBorders>
            <w:vAlign w:val="center"/>
            <w:hideMark/>
          </w:tcPr>
          <w:p w:rsidR="00060EFF" w:rsidRPr="009C2D7D" w:rsidRDefault="00060EFF" w:rsidP="00060EFF">
            <w:pPr>
              <w:spacing w:line="240" w:lineRule="auto"/>
              <w:rPr>
                <w:rFonts w:asciiTheme="minorHAnsi" w:hAnsiTheme="minorHAnsi"/>
                <w:b/>
                <w:bCs/>
              </w:rPr>
            </w:pPr>
          </w:p>
        </w:tc>
      </w:tr>
      <w:tr w:rsidR="00060EFF" w:rsidRPr="00EE4B4C" w:rsidTr="00060EFF">
        <w:trPr>
          <w:trHeight w:val="262"/>
        </w:trPr>
        <w:tc>
          <w:tcPr>
            <w:tcW w:w="988" w:type="pct"/>
            <w:tcBorders>
              <w:top w:val="single" w:sz="12" w:space="0" w:color="000000"/>
              <w:left w:val="single" w:sz="12" w:space="0" w:color="auto"/>
              <w:bottom w:val="single" w:sz="4" w:space="0" w:color="auto"/>
              <w:right w:val="single" w:sz="12" w:space="0" w:color="auto"/>
            </w:tcBorders>
            <w:shd w:val="clear" w:color="auto" w:fill="D9D9D9" w:themeFill="background1" w:themeFillShade="D9"/>
            <w:noWrap/>
            <w:vAlign w:val="center"/>
            <w:hideMark/>
          </w:tcPr>
          <w:p w:rsidR="00060EFF" w:rsidRPr="009C2D7D" w:rsidRDefault="00060EFF" w:rsidP="00060EFF">
            <w:pPr>
              <w:spacing w:line="240" w:lineRule="auto"/>
              <w:rPr>
                <w:rFonts w:asciiTheme="minorHAnsi" w:hAnsiTheme="minorHAnsi"/>
              </w:rPr>
            </w:pPr>
            <w:r w:rsidRPr="009C2D7D">
              <w:rPr>
                <w:rFonts w:asciiTheme="minorHAnsi" w:hAnsiTheme="minorHAnsi"/>
                <w:sz w:val="22"/>
                <w:szCs w:val="22"/>
              </w:rPr>
              <w:t>Blansko</w:t>
            </w:r>
          </w:p>
        </w:tc>
        <w:tc>
          <w:tcPr>
            <w:tcW w:w="617" w:type="pct"/>
            <w:tcBorders>
              <w:top w:val="single" w:sz="12" w:space="0" w:color="auto"/>
              <w:left w:val="single" w:sz="12" w:space="0" w:color="auto"/>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4 930</w:t>
            </w:r>
          </w:p>
        </w:tc>
        <w:tc>
          <w:tcPr>
            <w:tcW w:w="531" w:type="pct"/>
            <w:tcBorders>
              <w:top w:val="single" w:sz="12" w:space="0" w:color="auto"/>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2 393</w:t>
            </w:r>
          </w:p>
        </w:tc>
        <w:tc>
          <w:tcPr>
            <w:tcW w:w="519" w:type="pct"/>
            <w:tcBorders>
              <w:top w:val="single" w:sz="12" w:space="0" w:color="auto"/>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2 537</w:t>
            </w:r>
          </w:p>
        </w:tc>
        <w:tc>
          <w:tcPr>
            <w:tcW w:w="605" w:type="pct"/>
            <w:tcBorders>
              <w:top w:val="single" w:sz="12" w:space="0" w:color="auto"/>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331</w:t>
            </w:r>
          </w:p>
        </w:tc>
        <w:tc>
          <w:tcPr>
            <w:tcW w:w="568" w:type="pct"/>
            <w:tcBorders>
              <w:top w:val="single" w:sz="12" w:space="0" w:color="auto"/>
              <w:left w:val="nil"/>
              <w:bottom w:val="single" w:sz="4" w:space="0" w:color="auto"/>
              <w:right w:val="single" w:sz="4" w:space="0" w:color="auto"/>
            </w:tcBorders>
            <w:shd w:val="clear" w:color="C0C0C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432</w:t>
            </w:r>
          </w:p>
        </w:tc>
        <w:tc>
          <w:tcPr>
            <w:tcW w:w="605" w:type="pct"/>
            <w:tcBorders>
              <w:top w:val="single" w:sz="12" w:space="0" w:color="auto"/>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11,4</w:t>
            </w:r>
          </w:p>
        </w:tc>
        <w:tc>
          <w:tcPr>
            <w:tcW w:w="568" w:type="pct"/>
            <w:tcBorders>
              <w:top w:val="single" w:sz="12" w:space="0" w:color="auto"/>
              <w:left w:val="nil"/>
              <w:bottom w:val="single" w:sz="4" w:space="0" w:color="auto"/>
              <w:right w:val="single" w:sz="12"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6,7</w:t>
            </w:r>
          </w:p>
        </w:tc>
      </w:tr>
      <w:tr w:rsidR="00060EFF" w:rsidRPr="00EE4B4C" w:rsidTr="00060EFF">
        <w:trPr>
          <w:trHeight w:val="262"/>
        </w:trPr>
        <w:tc>
          <w:tcPr>
            <w:tcW w:w="988" w:type="pct"/>
            <w:tcBorders>
              <w:top w:val="nil"/>
              <w:left w:val="single" w:sz="12" w:space="0" w:color="auto"/>
              <w:bottom w:val="single" w:sz="4" w:space="0" w:color="auto"/>
              <w:right w:val="single" w:sz="12" w:space="0" w:color="auto"/>
            </w:tcBorders>
            <w:shd w:val="clear" w:color="auto" w:fill="D9D9D9" w:themeFill="background1" w:themeFillShade="D9"/>
            <w:noWrap/>
            <w:vAlign w:val="center"/>
            <w:hideMark/>
          </w:tcPr>
          <w:p w:rsidR="00060EFF" w:rsidRPr="009C2D7D" w:rsidRDefault="00060EFF" w:rsidP="00060EFF">
            <w:pPr>
              <w:spacing w:line="240" w:lineRule="auto"/>
              <w:rPr>
                <w:rFonts w:asciiTheme="minorHAnsi" w:hAnsiTheme="minorHAnsi"/>
              </w:rPr>
            </w:pPr>
            <w:r w:rsidRPr="009C2D7D">
              <w:rPr>
                <w:rFonts w:asciiTheme="minorHAnsi" w:hAnsiTheme="minorHAnsi"/>
                <w:sz w:val="22"/>
                <w:szCs w:val="22"/>
              </w:rPr>
              <w:t>Brno-město</w:t>
            </w:r>
          </w:p>
        </w:tc>
        <w:tc>
          <w:tcPr>
            <w:tcW w:w="617" w:type="pct"/>
            <w:tcBorders>
              <w:top w:val="nil"/>
              <w:left w:val="single" w:sz="12" w:space="0" w:color="auto"/>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22 501</w:t>
            </w:r>
          </w:p>
        </w:tc>
        <w:tc>
          <w:tcPr>
            <w:tcW w:w="531"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10 962</w:t>
            </w:r>
          </w:p>
        </w:tc>
        <w:tc>
          <w:tcPr>
            <w:tcW w:w="519"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11 539</w:t>
            </w:r>
          </w:p>
        </w:tc>
        <w:tc>
          <w:tcPr>
            <w:tcW w:w="605"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1 057</w:t>
            </w:r>
          </w:p>
        </w:tc>
        <w:tc>
          <w:tcPr>
            <w:tcW w:w="568" w:type="pct"/>
            <w:tcBorders>
              <w:top w:val="nil"/>
              <w:left w:val="nil"/>
              <w:bottom w:val="single" w:sz="4" w:space="0" w:color="auto"/>
              <w:right w:val="single" w:sz="4" w:space="0" w:color="auto"/>
            </w:tcBorders>
            <w:shd w:val="clear" w:color="C0C0C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1524</w:t>
            </w:r>
          </w:p>
        </w:tc>
        <w:tc>
          <w:tcPr>
            <w:tcW w:w="605"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14,8</w:t>
            </w:r>
          </w:p>
        </w:tc>
        <w:tc>
          <w:tcPr>
            <w:tcW w:w="568" w:type="pct"/>
            <w:tcBorders>
              <w:top w:val="nil"/>
              <w:left w:val="nil"/>
              <w:bottom w:val="single" w:sz="4" w:space="0" w:color="auto"/>
              <w:right w:val="single" w:sz="12"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8,8</w:t>
            </w:r>
          </w:p>
        </w:tc>
      </w:tr>
      <w:tr w:rsidR="00060EFF" w:rsidRPr="00EE4B4C" w:rsidTr="00060EFF">
        <w:trPr>
          <w:trHeight w:val="262"/>
        </w:trPr>
        <w:tc>
          <w:tcPr>
            <w:tcW w:w="988" w:type="pct"/>
            <w:tcBorders>
              <w:top w:val="nil"/>
              <w:left w:val="single" w:sz="12" w:space="0" w:color="auto"/>
              <w:bottom w:val="single" w:sz="4" w:space="0" w:color="auto"/>
              <w:right w:val="single" w:sz="12" w:space="0" w:color="auto"/>
            </w:tcBorders>
            <w:shd w:val="clear" w:color="auto" w:fill="D9D9D9" w:themeFill="background1" w:themeFillShade="D9"/>
            <w:noWrap/>
            <w:vAlign w:val="center"/>
            <w:hideMark/>
          </w:tcPr>
          <w:p w:rsidR="00060EFF" w:rsidRPr="009C2D7D" w:rsidRDefault="00060EFF" w:rsidP="00060EFF">
            <w:pPr>
              <w:spacing w:line="240" w:lineRule="auto"/>
              <w:rPr>
                <w:rFonts w:asciiTheme="minorHAnsi" w:hAnsiTheme="minorHAnsi"/>
              </w:rPr>
            </w:pPr>
            <w:r w:rsidRPr="009C2D7D">
              <w:rPr>
                <w:rFonts w:asciiTheme="minorHAnsi" w:hAnsiTheme="minorHAnsi"/>
                <w:sz w:val="22"/>
                <w:szCs w:val="22"/>
              </w:rPr>
              <w:t>Brno-venkov</w:t>
            </w:r>
          </w:p>
        </w:tc>
        <w:tc>
          <w:tcPr>
            <w:tcW w:w="617" w:type="pct"/>
            <w:tcBorders>
              <w:top w:val="nil"/>
              <w:left w:val="single" w:sz="12" w:space="0" w:color="auto"/>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9 023</w:t>
            </w:r>
          </w:p>
        </w:tc>
        <w:tc>
          <w:tcPr>
            <w:tcW w:w="531"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4 417</w:t>
            </w:r>
          </w:p>
        </w:tc>
        <w:tc>
          <w:tcPr>
            <w:tcW w:w="519"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4606</w:t>
            </w:r>
          </w:p>
        </w:tc>
        <w:tc>
          <w:tcPr>
            <w:tcW w:w="605"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599</w:t>
            </w:r>
          </w:p>
        </w:tc>
        <w:tc>
          <w:tcPr>
            <w:tcW w:w="568" w:type="pct"/>
            <w:tcBorders>
              <w:top w:val="nil"/>
              <w:left w:val="nil"/>
              <w:bottom w:val="single" w:sz="4" w:space="0" w:color="auto"/>
              <w:right w:val="single" w:sz="4" w:space="0" w:color="auto"/>
            </w:tcBorders>
            <w:shd w:val="clear" w:color="C0C0C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777</w:t>
            </w:r>
          </w:p>
        </w:tc>
        <w:tc>
          <w:tcPr>
            <w:tcW w:w="605"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11,6</w:t>
            </w:r>
          </w:p>
        </w:tc>
        <w:tc>
          <w:tcPr>
            <w:tcW w:w="568" w:type="pct"/>
            <w:tcBorders>
              <w:top w:val="nil"/>
              <w:left w:val="nil"/>
              <w:bottom w:val="single" w:sz="4" w:space="0" w:color="auto"/>
              <w:right w:val="single" w:sz="12"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6,4</w:t>
            </w:r>
          </w:p>
        </w:tc>
      </w:tr>
      <w:tr w:rsidR="00060EFF" w:rsidRPr="00EE4B4C" w:rsidTr="00060EFF">
        <w:trPr>
          <w:trHeight w:val="262"/>
        </w:trPr>
        <w:tc>
          <w:tcPr>
            <w:tcW w:w="988" w:type="pct"/>
            <w:tcBorders>
              <w:top w:val="nil"/>
              <w:left w:val="single" w:sz="12" w:space="0" w:color="auto"/>
              <w:bottom w:val="single" w:sz="4" w:space="0" w:color="auto"/>
              <w:right w:val="single" w:sz="12" w:space="0" w:color="auto"/>
            </w:tcBorders>
            <w:shd w:val="clear" w:color="auto" w:fill="D9D9D9" w:themeFill="background1" w:themeFillShade="D9"/>
            <w:noWrap/>
            <w:vAlign w:val="center"/>
            <w:hideMark/>
          </w:tcPr>
          <w:p w:rsidR="00060EFF" w:rsidRPr="009C2D7D" w:rsidRDefault="00060EFF" w:rsidP="00060EFF">
            <w:pPr>
              <w:spacing w:line="240" w:lineRule="auto"/>
              <w:rPr>
                <w:rFonts w:asciiTheme="minorHAnsi" w:hAnsiTheme="minorHAnsi"/>
              </w:rPr>
            </w:pPr>
            <w:r w:rsidRPr="009C2D7D">
              <w:rPr>
                <w:rFonts w:asciiTheme="minorHAnsi" w:hAnsiTheme="minorHAnsi"/>
                <w:sz w:val="22"/>
                <w:szCs w:val="22"/>
              </w:rPr>
              <w:t>Břeclav</w:t>
            </w:r>
          </w:p>
        </w:tc>
        <w:tc>
          <w:tcPr>
            <w:tcW w:w="617" w:type="pct"/>
            <w:tcBorders>
              <w:top w:val="nil"/>
              <w:left w:val="single" w:sz="12" w:space="0" w:color="auto"/>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6 152</w:t>
            </w:r>
          </w:p>
        </w:tc>
        <w:tc>
          <w:tcPr>
            <w:tcW w:w="531"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3 187</w:t>
            </w:r>
          </w:p>
        </w:tc>
        <w:tc>
          <w:tcPr>
            <w:tcW w:w="519"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2 965</w:t>
            </w:r>
          </w:p>
        </w:tc>
        <w:tc>
          <w:tcPr>
            <w:tcW w:w="605"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425</w:t>
            </w:r>
          </w:p>
        </w:tc>
        <w:tc>
          <w:tcPr>
            <w:tcW w:w="568" w:type="pct"/>
            <w:tcBorders>
              <w:top w:val="nil"/>
              <w:left w:val="nil"/>
              <w:bottom w:val="single" w:sz="4" w:space="0" w:color="auto"/>
              <w:right w:val="single" w:sz="4" w:space="0" w:color="auto"/>
            </w:tcBorders>
            <w:shd w:val="clear" w:color="C0C0C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526</w:t>
            </w:r>
          </w:p>
        </w:tc>
        <w:tc>
          <w:tcPr>
            <w:tcW w:w="605"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11,7</w:t>
            </w:r>
          </w:p>
        </w:tc>
        <w:tc>
          <w:tcPr>
            <w:tcW w:w="568" w:type="pct"/>
            <w:tcBorders>
              <w:top w:val="nil"/>
              <w:left w:val="nil"/>
              <w:bottom w:val="single" w:sz="4" w:space="0" w:color="auto"/>
              <w:right w:val="single" w:sz="12"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7,7</w:t>
            </w:r>
          </w:p>
        </w:tc>
      </w:tr>
      <w:tr w:rsidR="00060EFF" w:rsidRPr="00EE4B4C" w:rsidTr="00060EFF">
        <w:trPr>
          <w:trHeight w:val="262"/>
        </w:trPr>
        <w:tc>
          <w:tcPr>
            <w:tcW w:w="988" w:type="pct"/>
            <w:tcBorders>
              <w:top w:val="nil"/>
              <w:left w:val="single" w:sz="12" w:space="0" w:color="auto"/>
              <w:bottom w:val="single" w:sz="4" w:space="0" w:color="auto"/>
              <w:right w:val="single" w:sz="12" w:space="0" w:color="auto"/>
            </w:tcBorders>
            <w:shd w:val="clear" w:color="auto" w:fill="D9D9D9" w:themeFill="background1" w:themeFillShade="D9"/>
            <w:noWrap/>
            <w:vAlign w:val="center"/>
            <w:hideMark/>
          </w:tcPr>
          <w:p w:rsidR="00060EFF" w:rsidRPr="009C2D7D" w:rsidRDefault="00060EFF" w:rsidP="00060EFF">
            <w:pPr>
              <w:spacing w:line="240" w:lineRule="auto"/>
              <w:rPr>
                <w:rFonts w:asciiTheme="minorHAnsi" w:hAnsiTheme="minorHAnsi"/>
              </w:rPr>
            </w:pPr>
            <w:r w:rsidRPr="009C2D7D">
              <w:rPr>
                <w:rFonts w:asciiTheme="minorHAnsi" w:hAnsiTheme="minorHAnsi"/>
                <w:sz w:val="22"/>
                <w:szCs w:val="22"/>
              </w:rPr>
              <w:t>Hodonín</w:t>
            </w:r>
          </w:p>
        </w:tc>
        <w:tc>
          <w:tcPr>
            <w:tcW w:w="617" w:type="pct"/>
            <w:tcBorders>
              <w:top w:val="nil"/>
              <w:left w:val="single" w:sz="12" w:space="0" w:color="auto"/>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11 397</w:t>
            </w:r>
          </w:p>
        </w:tc>
        <w:tc>
          <w:tcPr>
            <w:tcW w:w="531"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6 234</w:t>
            </w:r>
          </w:p>
        </w:tc>
        <w:tc>
          <w:tcPr>
            <w:tcW w:w="519"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5 163</w:t>
            </w:r>
          </w:p>
        </w:tc>
        <w:tc>
          <w:tcPr>
            <w:tcW w:w="605"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604</w:t>
            </w:r>
          </w:p>
        </w:tc>
        <w:tc>
          <w:tcPr>
            <w:tcW w:w="568" w:type="pct"/>
            <w:tcBorders>
              <w:top w:val="nil"/>
              <w:left w:val="nil"/>
              <w:bottom w:val="single" w:sz="4" w:space="0" w:color="auto"/>
              <w:right w:val="single" w:sz="4" w:space="0" w:color="auto"/>
            </w:tcBorders>
            <w:shd w:val="clear" w:color="C0C0C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512</w:t>
            </w:r>
          </w:p>
        </w:tc>
        <w:tc>
          <w:tcPr>
            <w:tcW w:w="605"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22,3</w:t>
            </w:r>
          </w:p>
        </w:tc>
        <w:tc>
          <w:tcPr>
            <w:tcW w:w="568" w:type="pct"/>
            <w:tcBorders>
              <w:top w:val="nil"/>
              <w:left w:val="nil"/>
              <w:bottom w:val="single" w:sz="4" w:space="0" w:color="auto"/>
              <w:right w:val="single" w:sz="12"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10,4</w:t>
            </w:r>
          </w:p>
        </w:tc>
      </w:tr>
      <w:tr w:rsidR="00060EFF" w:rsidRPr="00EE4B4C" w:rsidTr="00060EFF">
        <w:trPr>
          <w:trHeight w:val="262"/>
        </w:trPr>
        <w:tc>
          <w:tcPr>
            <w:tcW w:w="988" w:type="pct"/>
            <w:tcBorders>
              <w:top w:val="nil"/>
              <w:left w:val="single" w:sz="12" w:space="0" w:color="auto"/>
              <w:bottom w:val="single" w:sz="4" w:space="0" w:color="auto"/>
              <w:right w:val="single" w:sz="12" w:space="0" w:color="auto"/>
            </w:tcBorders>
            <w:shd w:val="clear" w:color="auto" w:fill="D9D9D9" w:themeFill="background1" w:themeFillShade="D9"/>
            <w:noWrap/>
            <w:vAlign w:val="center"/>
            <w:hideMark/>
          </w:tcPr>
          <w:p w:rsidR="00060EFF" w:rsidRPr="009C2D7D" w:rsidRDefault="00060EFF" w:rsidP="00060EFF">
            <w:pPr>
              <w:spacing w:line="240" w:lineRule="auto"/>
              <w:rPr>
                <w:rFonts w:asciiTheme="minorHAnsi" w:hAnsiTheme="minorHAnsi"/>
              </w:rPr>
            </w:pPr>
            <w:r w:rsidRPr="009C2D7D">
              <w:rPr>
                <w:rFonts w:asciiTheme="minorHAnsi" w:hAnsiTheme="minorHAnsi"/>
                <w:sz w:val="22"/>
                <w:szCs w:val="22"/>
              </w:rPr>
              <w:t>Vyškov</w:t>
            </w:r>
          </w:p>
        </w:tc>
        <w:tc>
          <w:tcPr>
            <w:tcW w:w="617" w:type="pct"/>
            <w:tcBorders>
              <w:top w:val="nil"/>
              <w:left w:val="single" w:sz="12" w:space="0" w:color="auto"/>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3 816</w:t>
            </w:r>
          </w:p>
        </w:tc>
        <w:tc>
          <w:tcPr>
            <w:tcW w:w="531"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1 936</w:t>
            </w:r>
          </w:p>
        </w:tc>
        <w:tc>
          <w:tcPr>
            <w:tcW w:w="519"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1 880</w:t>
            </w:r>
          </w:p>
        </w:tc>
        <w:tc>
          <w:tcPr>
            <w:tcW w:w="605"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258</w:t>
            </w:r>
          </w:p>
        </w:tc>
        <w:tc>
          <w:tcPr>
            <w:tcW w:w="568" w:type="pct"/>
            <w:tcBorders>
              <w:top w:val="nil"/>
              <w:left w:val="nil"/>
              <w:bottom w:val="single" w:sz="4" w:space="0" w:color="auto"/>
              <w:right w:val="single" w:sz="4" w:space="0" w:color="auto"/>
            </w:tcBorders>
            <w:shd w:val="clear" w:color="C0C0C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296</w:t>
            </w:r>
          </w:p>
        </w:tc>
        <w:tc>
          <w:tcPr>
            <w:tcW w:w="605" w:type="pct"/>
            <w:tcBorders>
              <w:top w:val="nil"/>
              <w:left w:val="nil"/>
              <w:bottom w:val="single" w:sz="4"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12,9</w:t>
            </w:r>
          </w:p>
        </w:tc>
        <w:tc>
          <w:tcPr>
            <w:tcW w:w="568" w:type="pct"/>
            <w:tcBorders>
              <w:top w:val="nil"/>
              <w:left w:val="nil"/>
              <w:bottom w:val="single" w:sz="4" w:space="0" w:color="auto"/>
              <w:right w:val="single" w:sz="12"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6,0</w:t>
            </w:r>
          </w:p>
        </w:tc>
      </w:tr>
      <w:tr w:rsidR="00060EFF" w:rsidRPr="00EE4B4C" w:rsidTr="00060EFF">
        <w:trPr>
          <w:trHeight w:val="275"/>
        </w:trPr>
        <w:tc>
          <w:tcPr>
            <w:tcW w:w="988" w:type="pct"/>
            <w:tcBorders>
              <w:top w:val="nil"/>
              <w:left w:val="single" w:sz="12" w:space="0" w:color="auto"/>
              <w:bottom w:val="nil"/>
              <w:right w:val="single" w:sz="12" w:space="0" w:color="auto"/>
            </w:tcBorders>
            <w:shd w:val="clear" w:color="auto" w:fill="D9D9D9" w:themeFill="background1" w:themeFillShade="D9"/>
            <w:noWrap/>
            <w:vAlign w:val="center"/>
            <w:hideMark/>
          </w:tcPr>
          <w:p w:rsidR="00060EFF" w:rsidRPr="009C2D7D" w:rsidRDefault="00060EFF" w:rsidP="00060EFF">
            <w:pPr>
              <w:spacing w:line="240" w:lineRule="auto"/>
              <w:rPr>
                <w:rFonts w:asciiTheme="minorHAnsi" w:hAnsiTheme="minorHAnsi"/>
              </w:rPr>
            </w:pPr>
            <w:r w:rsidRPr="009C2D7D">
              <w:rPr>
                <w:rFonts w:asciiTheme="minorHAnsi" w:hAnsiTheme="minorHAnsi"/>
                <w:sz w:val="22"/>
                <w:szCs w:val="22"/>
              </w:rPr>
              <w:t>Znojmo</w:t>
            </w:r>
          </w:p>
        </w:tc>
        <w:tc>
          <w:tcPr>
            <w:tcW w:w="617" w:type="pct"/>
            <w:tcBorders>
              <w:top w:val="nil"/>
              <w:left w:val="single" w:sz="12" w:space="0" w:color="auto"/>
              <w:bottom w:val="single" w:sz="8"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8384</w:t>
            </w:r>
          </w:p>
        </w:tc>
        <w:tc>
          <w:tcPr>
            <w:tcW w:w="531" w:type="pct"/>
            <w:tcBorders>
              <w:top w:val="nil"/>
              <w:left w:val="nil"/>
              <w:bottom w:val="single" w:sz="8"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4 158</w:t>
            </w:r>
          </w:p>
        </w:tc>
        <w:tc>
          <w:tcPr>
            <w:tcW w:w="519" w:type="pct"/>
            <w:tcBorders>
              <w:top w:val="nil"/>
              <w:left w:val="nil"/>
              <w:bottom w:val="single" w:sz="8"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4 226</w:t>
            </w:r>
          </w:p>
        </w:tc>
        <w:tc>
          <w:tcPr>
            <w:tcW w:w="605" w:type="pct"/>
            <w:tcBorders>
              <w:top w:val="nil"/>
              <w:left w:val="nil"/>
              <w:bottom w:val="single" w:sz="8"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490</w:t>
            </w:r>
          </w:p>
        </w:tc>
        <w:tc>
          <w:tcPr>
            <w:tcW w:w="568" w:type="pct"/>
            <w:tcBorders>
              <w:top w:val="nil"/>
              <w:left w:val="nil"/>
              <w:bottom w:val="single" w:sz="8" w:space="0" w:color="auto"/>
              <w:right w:val="single" w:sz="4" w:space="0" w:color="auto"/>
            </w:tcBorders>
            <w:shd w:val="clear" w:color="C0C0C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456</w:t>
            </w:r>
          </w:p>
        </w:tc>
        <w:tc>
          <w:tcPr>
            <w:tcW w:w="605" w:type="pct"/>
            <w:tcBorders>
              <w:top w:val="nil"/>
              <w:left w:val="nil"/>
              <w:bottom w:val="single" w:sz="8"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18,4</w:t>
            </w:r>
          </w:p>
        </w:tc>
        <w:tc>
          <w:tcPr>
            <w:tcW w:w="568" w:type="pct"/>
            <w:tcBorders>
              <w:top w:val="nil"/>
              <w:left w:val="nil"/>
              <w:bottom w:val="single" w:sz="8" w:space="0" w:color="auto"/>
              <w:right w:val="single" w:sz="12"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10,9</w:t>
            </w:r>
          </w:p>
        </w:tc>
      </w:tr>
      <w:tr w:rsidR="00060EFF" w:rsidRPr="00EE4B4C" w:rsidTr="00060EFF">
        <w:trPr>
          <w:trHeight w:val="275"/>
        </w:trPr>
        <w:tc>
          <w:tcPr>
            <w:tcW w:w="988" w:type="pct"/>
            <w:tcBorders>
              <w:top w:val="single" w:sz="8" w:space="0" w:color="auto"/>
              <w:left w:val="single" w:sz="12" w:space="0" w:color="auto"/>
              <w:bottom w:val="single" w:sz="8" w:space="0" w:color="auto"/>
              <w:right w:val="single" w:sz="12" w:space="0" w:color="auto"/>
            </w:tcBorders>
            <w:shd w:val="clear" w:color="auto" w:fill="D9D9D9" w:themeFill="background1" w:themeFillShade="D9"/>
            <w:noWrap/>
            <w:vAlign w:val="center"/>
            <w:hideMark/>
          </w:tcPr>
          <w:p w:rsidR="00060EFF" w:rsidRPr="009C2D7D" w:rsidRDefault="00060EFF" w:rsidP="00060EFF">
            <w:pPr>
              <w:spacing w:line="240" w:lineRule="auto"/>
              <w:rPr>
                <w:rFonts w:asciiTheme="minorHAnsi" w:hAnsiTheme="minorHAnsi"/>
                <w:b/>
                <w:bCs/>
              </w:rPr>
            </w:pPr>
            <w:r w:rsidRPr="009C2D7D">
              <w:rPr>
                <w:rFonts w:asciiTheme="minorHAnsi" w:hAnsiTheme="minorHAnsi"/>
                <w:b/>
                <w:bCs/>
                <w:sz w:val="22"/>
                <w:szCs w:val="22"/>
              </w:rPr>
              <w:t>Jihomoravský kraj</w:t>
            </w:r>
          </w:p>
        </w:tc>
        <w:tc>
          <w:tcPr>
            <w:tcW w:w="617" w:type="pct"/>
            <w:tcBorders>
              <w:top w:val="nil"/>
              <w:left w:val="single" w:sz="12" w:space="0" w:color="auto"/>
              <w:bottom w:val="single" w:sz="8"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b/>
                <w:bCs/>
              </w:rPr>
            </w:pPr>
            <w:r w:rsidRPr="009C2D7D">
              <w:rPr>
                <w:rFonts w:asciiTheme="minorHAnsi" w:hAnsiTheme="minorHAnsi"/>
                <w:b/>
                <w:bCs/>
                <w:sz w:val="22"/>
                <w:szCs w:val="22"/>
              </w:rPr>
              <w:t>66 203</w:t>
            </w:r>
          </w:p>
        </w:tc>
        <w:tc>
          <w:tcPr>
            <w:tcW w:w="531" w:type="pct"/>
            <w:tcBorders>
              <w:top w:val="nil"/>
              <w:left w:val="nil"/>
              <w:bottom w:val="single" w:sz="8"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b/>
                <w:bCs/>
              </w:rPr>
            </w:pPr>
            <w:r w:rsidRPr="009C2D7D">
              <w:rPr>
                <w:rFonts w:asciiTheme="minorHAnsi" w:hAnsiTheme="minorHAnsi"/>
                <w:b/>
                <w:bCs/>
                <w:sz w:val="22"/>
                <w:szCs w:val="22"/>
              </w:rPr>
              <w:t>33 287</w:t>
            </w:r>
          </w:p>
        </w:tc>
        <w:tc>
          <w:tcPr>
            <w:tcW w:w="519" w:type="pct"/>
            <w:tcBorders>
              <w:top w:val="nil"/>
              <w:left w:val="nil"/>
              <w:bottom w:val="single" w:sz="8"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b/>
                <w:bCs/>
              </w:rPr>
            </w:pPr>
            <w:r w:rsidRPr="009C2D7D">
              <w:rPr>
                <w:rFonts w:asciiTheme="minorHAnsi" w:hAnsiTheme="minorHAnsi"/>
                <w:b/>
                <w:bCs/>
                <w:sz w:val="22"/>
                <w:szCs w:val="22"/>
              </w:rPr>
              <w:t>32 916</w:t>
            </w:r>
          </w:p>
        </w:tc>
        <w:tc>
          <w:tcPr>
            <w:tcW w:w="605" w:type="pct"/>
            <w:tcBorders>
              <w:top w:val="nil"/>
              <w:left w:val="nil"/>
              <w:bottom w:val="single" w:sz="8"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b/>
                <w:bCs/>
              </w:rPr>
            </w:pPr>
            <w:r w:rsidRPr="009C2D7D">
              <w:rPr>
                <w:rFonts w:asciiTheme="minorHAnsi" w:hAnsiTheme="minorHAnsi"/>
                <w:b/>
                <w:bCs/>
                <w:sz w:val="22"/>
                <w:szCs w:val="22"/>
              </w:rPr>
              <w:t>3 764</w:t>
            </w:r>
          </w:p>
        </w:tc>
        <w:tc>
          <w:tcPr>
            <w:tcW w:w="568" w:type="pct"/>
            <w:tcBorders>
              <w:top w:val="nil"/>
              <w:left w:val="nil"/>
              <w:bottom w:val="single" w:sz="8" w:space="0" w:color="auto"/>
              <w:right w:val="single" w:sz="4" w:space="0" w:color="auto"/>
            </w:tcBorders>
            <w:shd w:val="clear" w:color="C0C0C0" w:fill="FFFFFF"/>
            <w:noWrap/>
            <w:vAlign w:val="center"/>
            <w:hideMark/>
          </w:tcPr>
          <w:p w:rsidR="00060EFF" w:rsidRPr="009C2D7D" w:rsidRDefault="00060EFF" w:rsidP="00060EFF">
            <w:pPr>
              <w:spacing w:line="240" w:lineRule="auto"/>
              <w:jc w:val="right"/>
              <w:rPr>
                <w:rFonts w:asciiTheme="minorHAnsi" w:hAnsiTheme="minorHAnsi"/>
                <w:b/>
                <w:bCs/>
              </w:rPr>
            </w:pPr>
            <w:r w:rsidRPr="009C2D7D">
              <w:rPr>
                <w:rFonts w:asciiTheme="minorHAnsi" w:hAnsiTheme="minorHAnsi"/>
                <w:b/>
                <w:bCs/>
                <w:sz w:val="22"/>
                <w:szCs w:val="22"/>
              </w:rPr>
              <w:t>4 523</w:t>
            </w:r>
          </w:p>
        </w:tc>
        <w:tc>
          <w:tcPr>
            <w:tcW w:w="605" w:type="pct"/>
            <w:tcBorders>
              <w:top w:val="nil"/>
              <w:left w:val="nil"/>
              <w:bottom w:val="single" w:sz="8" w:space="0" w:color="auto"/>
              <w:right w:val="single" w:sz="8"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b/>
                <w:bCs/>
              </w:rPr>
            </w:pPr>
            <w:r w:rsidRPr="009C2D7D">
              <w:rPr>
                <w:rFonts w:asciiTheme="minorHAnsi" w:hAnsiTheme="minorHAnsi"/>
                <w:b/>
                <w:bCs/>
                <w:sz w:val="22"/>
                <w:szCs w:val="22"/>
              </w:rPr>
              <w:t>14,6</w:t>
            </w:r>
          </w:p>
        </w:tc>
        <w:tc>
          <w:tcPr>
            <w:tcW w:w="568" w:type="pct"/>
            <w:tcBorders>
              <w:top w:val="nil"/>
              <w:left w:val="single" w:sz="4" w:space="0" w:color="auto"/>
              <w:bottom w:val="single" w:sz="8" w:space="0" w:color="auto"/>
              <w:right w:val="single" w:sz="12"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b/>
                <w:bCs/>
              </w:rPr>
            </w:pPr>
            <w:r w:rsidRPr="009C2D7D">
              <w:rPr>
                <w:rFonts w:asciiTheme="minorHAnsi" w:hAnsiTheme="minorHAnsi"/>
                <w:b/>
                <w:bCs/>
                <w:sz w:val="22"/>
                <w:szCs w:val="22"/>
              </w:rPr>
              <w:t>8,2</w:t>
            </w:r>
          </w:p>
        </w:tc>
      </w:tr>
      <w:tr w:rsidR="00060EFF" w:rsidRPr="00EE4B4C" w:rsidTr="00060EFF">
        <w:trPr>
          <w:trHeight w:val="275"/>
        </w:trPr>
        <w:tc>
          <w:tcPr>
            <w:tcW w:w="988" w:type="pct"/>
            <w:tcBorders>
              <w:top w:val="nil"/>
              <w:left w:val="single" w:sz="12" w:space="0" w:color="auto"/>
              <w:bottom w:val="single" w:sz="12" w:space="0" w:color="auto"/>
              <w:right w:val="single" w:sz="12" w:space="0" w:color="auto"/>
            </w:tcBorders>
            <w:shd w:val="clear" w:color="auto" w:fill="D9D9D9" w:themeFill="background1" w:themeFillShade="D9"/>
            <w:noWrap/>
            <w:vAlign w:val="center"/>
            <w:hideMark/>
          </w:tcPr>
          <w:p w:rsidR="00060EFF" w:rsidRPr="009C2D7D" w:rsidRDefault="00060EFF" w:rsidP="00060EFF">
            <w:pPr>
              <w:spacing w:line="240" w:lineRule="auto"/>
              <w:rPr>
                <w:rFonts w:asciiTheme="minorHAnsi" w:hAnsiTheme="minorHAnsi"/>
              </w:rPr>
            </w:pPr>
            <w:r w:rsidRPr="009C2D7D">
              <w:rPr>
                <w:rFonts w:asciiTheme="minorHAnsi" w:hAnsiTheme="minorHAnsi"/>
                <w:sz w:val="22"/>
                <w:szCs w:val="22"/>
              </w:rPr>
              <w:t>Česká republika</w:t>
            </w:r>
          </w:p>
        </w:tc>
        <w:tc>
          <w:tcPr>
            <w:tcW w:w="617" w:type="pct"/>
            <w:tcBorders>
              <w:top w:val="nil"/>
              <w:left w:val="single" w:sz="12" w:space="0" w:color="auto"/>
              <w:bottom w:val="single" w:sz="12"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541 914</w:t>
            </w:r>
          </w:p>
        </w:tc>
        <w:tc>
          <w:tcPr>
            <w:tcW w:w="531" w:type="pct"/>
            <w:tcBorders>
              <w:top w:val="nil"/>
              <w:left w:val="nil"/>
              <w:bottom w:val="single" w:sz="12"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272 972</w:t>
            </w:r>
          </w:p>
        </w:tc>
        <w:tc>
          <w:tcPr>
            <w:tcW w:w="519" w:type="pct"/>
            <w:tcBorders>
              <w:top w:val="nil"/>
              <w:left w:val="nil"/>
              <w:bottom w:val="single" w:sz="12"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268 942</w:t>
            </w:r>
          </w:p>
        </w:tc>
        <w:tc>
          <w:tcPr>
            <w:tcW w:w="605" w:type="pct"/>
            <w:tcBorders>
              <w:top w:val="nil"/>
              <w:left w:val="nil"/>
              <w:bottom w:val="single" w:sz="12"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27 504</w:t>
            </w:r>
          </w:p>
        </w:tc>
        <w:tc>
          <w:tcPr>
            <w:tcW w:w="568" w:type="pct"/>
            <w:tcBorders>
              <w:top w:val="nil"/>
              <w:left w:val="nil"/>
              <w:bottom w:val="single" w:sz="12" w:space="0" w:color="auto"/>
              <w:right w:val="single" w:sz="4" w:space="0" w:color="auto"/>
            </w:tcBorders>
            <w:shd w:val="clear" w:color="C0C0C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58 739</w:t>
            </w:r>
          </w:p>
        </w:tc>
        <w:tc>
          <w:tcPr>
            <w:tcW w:w="605" w:type="pct"/>
            <w:tcBorders>
              <w:top w:val="nil"/>
              <w:left w:val="nil"/>
              <w:bottom w:val="single" w:sz="12" w:space="0" w:color="auto"/>
              <w:right w:val="single" w:sz="4"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9,2</w:t>
            </w:r>
          </w:p>
        </w:tc>
        <w:tc>
          <w:tcPr>
            <w:tcW w:w="568" w:type="pct"/>
            <w:tcBorders>
              <w:top w:val="nil"/>
              <w:left w:val="nil"/>
              <w:bottom w:val="single" w:sz="12" w:space="0" w:color="auto"/>
              <w:right w:val="single" w:sz="12" w:space="0" w:color="auto"/>
            </w:tcBorders>
            <w:shd w:val="clear" w:color="000000" w:fill="FFFFFF"/>
            <w:noWrap/>
            <w:vAlign w:val="center"/>
            <w:hideMark/>
          </w:tcPr>
          <w:p w:rsidR="00060EFF" w:rsidRPr="009C2D7D" w:rsidRDefault="00060EFF" w:rsidP="00060EFF">
            <w:pPr>
              <w:spacing w:line="240" w:lineRule="auto"/>
              <w:jc w:val="right"/>
              <w:rPr>
                <w:rFonts w:asciiTheme="minorHAnsi" w:hAnsiTheme="minorHAnsi"/>
              </w:rPr>
            </w:pPr>
            <w:r w:rsidRPr="009C2D7D">
              <w:rPr>
                <w:rFonts w:asciiTheme="minorHAnsi" w:hAnsiTheme="minorHAnsi"/>
                <w:sz w:val="22"/>
                <w:szCs w:val="22"/>
              </w:rPr>
              <w:t>7,5</w:t>
            </w:r>
          </w:p>
        </w:tc>
      </w:tr>
    </w:tbl>
    <w:p w:rsidR="00060EFF" w:rsidRPr="00EE4B4C" w:rsidRDefault="00060EFF" w:rsidP="00060EFF">
      <w:pPr>
        <w:jc w:val="both"/>
        <w:rPr>
          <w:rFonts w:ascii="Arial" w:hAnsi="Arial" w:cs="Arial"/>
          <w:sz w:val="20"/>
          <w:szCs w:val="20"/>
        </w:rPr>
      </w:pPr>
      <w:r w:rsidRPr="00EE4B4C">
        <w:rPr>
          <w:rFonts w:ascii="Arial" w:hAnsi="Arial" w:cs="Arial"/>
          <w:b/>
          <w:sz w:val="20"/>
          <w:szCs w:val="20"/>
        </w:rPr>
        <w:t>Pramen</w:t>
      </w:r>
      <w:r w:rsidRPr="00EE4B4C">
        <w:rPr>
          <w:rFonts w:ascii="Arial" w:hAnsi="Arial" w:cs="Arial"/>
          <w:sz w:val="20"/>
          <w:szCs w:val="20"/>
        </w:rPr>
        <w:t>: MPSV ČR, 2014 měsíční statistiky</w:t>
      </w:r>
    </w:p>
    <w:p w:rsidR="00060EFF" w:rsidRPr="00D81425" w:rsidRDefault="00060EFF" w:rsidP="00060EFF">
      <w:pPr>
        <w:jc w:val="both"/>
        <w:rPr>
          <w:rFonts w:ascii="Arial" w:hAnsi="Arial" w:cs="Arial"/>
          <w:sz w:val="20"/>
          <w:szCs w:val="20"/>
        </w:rPr>
      </w:pPr>
      <w:r>
        <w:rPr>
          <w:rFonts w:ascii="Arial" w:hAnsi="Arial" w:cs="Arial"/>
          <w:sz w:val="20"/>
          <w:szCs w:val="20"/>
        </w:rPr>
        <w:t xml:space="preserve">         </w:t>
      </w:r>
    </w:p>
    <w:p w:rsidR="00060EFF" w:rsidRPr="0014673A" w:rsidRDefault="0014673A" w:rsidP="0014673A">
      <w:pPr>
        <w:pStyle w:val="Bezmezer"/>
        <w:rPr>
          <w:rFonts w:ascii="Arial" w:hAnsi="Arial" w:cs="Arial"/>
          <w:b/>
          <w:i/>
          <w:sz w:val="20"/>
          <w:szCs w:val="20"/>
        </w:rPr>
      </w:pPr>
      <w:r w:rsidRPr="0014673A">
        <w:rPr>
          <w:rFonts w:ascii="Arial" w:hAnsi="Arial" w:cs="Arial"/>
          <w:b/>
          <w:i/>
          <w:sz w:val="20"/>
          <w:szCs w:val="20"/>
        </w:rPr>
        <w:t xml:space="preserve">Obr. </w:t>
      </w:r>
      <w:r w:rsidRPr="0014673A">
        <w:rPr>
          <w:rFonts w:ascii="Arial" w:hAnsi="Arial" w:cs="Arial"/>
          <w:b/>
          <w:i/>
          <w:sz w:val="20"/>
          <w:szCs w:val="20"/>
        </w:rPr>
        <w:fldChar w:fldCharType="begin"/>
      </w:r>
      <w:r w:rsidRPr="0014673A">
        <w:rPr>
          <w:rFonts w:ascii="Arial" w:hAnsi="Arial" w:cs="Arial"/>
          <w:b/>
          <w:i/>
          <w:sz w:val="20"/>
          <w:szCs w:val="20"/>
        </w:rPr>
        <w:instrText xml:space="preserve"> SEQ Obr. \* ARABIC </w:instrText>
      </w:r>
      <w:r w:rsidRPr="0014673A">
        <w:rPr>
          <w:rFonts w:ascii="Arial" w:hAnsi="Arial" w:cs="Arial"/>
          <w:b/>
          <w:i/>
          <w:sz w:val="20"/>
          <w:szCs w:val="20"/>
        </w:rPr>
        <w:fldChar w:fldCharType="separate"/>
      </w:r>
      <w:r w:rsidR="009E38FD">
        <w:rPr>
          <w:rFonts w:ascii="Arial" w:hAnsi="Arial" w:cs="Arial"/>
          <w:b/>
          <w:i/>
          <w:noProof/>
          <w:sz w:val="20"/>
          <w:szCs w:val="20"/>
        </w:rPr>
        <w:t>13</w:t>
      </w:r>
      <w:r w:rsidRPr="0014673A">
        <w:rPr>
          <w:rFonts w:ascii="Arial" w:hAnsi="Arial" w:cs="Arial"/>
          <w:b/>
          <w:i/>
          <w:sz w:val="20"/>
          <w:szCs w:val="20"/>
        </w:rPr>
        <w:fldChar w:fldCharType="end"/>
      </w:r>
      <w:r w:rsidRPr="0014673A">
        <w:rPr>
          <w:rFonts w:ascii="Arial" w:hAnsi="Arial" w:cs="Arial"/>
          <w:b/>
          <w:i/>
          <w:sz w:val="20"/>
          <w:szCs w:val="20"/>
        </w:rPr>
        <w:t>:</w:t>
      </w:r>
      <w:r w:rsidR="00060EFF" w:rsidRPr="0014673A">
        <w:rPr>
          <w:rFonts w:ascii="Arial" w:hAnsi="Arial" w:cs="Arial"/>
          <w:b/>
          <w:i/>
          <w:sz w:val="20"/>
          <w:szCs w:val="20"/>
        </w:rPr>
        <w:t xml:space="preserve"> Podíl nezaměstnaných osob na obyvatelstvu ve věku 15-64 v obcích s pověřeným obecním úřadem Jihomoravského kraje k 31. 12. 2014</w:t>
      </w:r>
    </w:p>
    <w:p w:rsidR="00060EFF" w:rsidRPr="00260B50" w:rsidRDefault="00B90DF7" w:rsidP="00060EFF">
      <w:pPr>
        <w:pStyle w:val="Bezmezer"/>
      </w:pPr>
      <w:r>
        <w:rPr>
          <w:noProof/>
        </w:rPr>
        <w:drawing>
          <wp:inline distT="0" distB="0" distL="0" distR="0" wp14:anchorId="4108A215" wp14:editId="033ECD1C">
            <wp:extent cx="5760720" cy="4070350"/>
            <wp:effectExtent l="0" t="0" r="0"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_JMK.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070350"/>
                    </a:xfrm>
                    <a:prstGeom prst="rect">
                      <a:avLst/>
                    </a:prstGeom>
                  </pic:spPr>
                </pic:pic>
              </a:graphicData>
            </a:graphic>
          </wp:inline>
        </w:drawing>
      </w:r>
    </w:p>
    <w:p w:rsidR="00060EFF" w:rsidRDefault="00060EFF" w:rsidP="00060EFF">
      <w:pPr>
        <w:jc w:val="both"/>
        <w:rPr>
          <w:rFonts w:ascii="Arial" w:hAnsi="Arial" w:cs="Arial"/>
          <w:sz w:val="22"/>
          <w:szCs w:val="22"/>
        </w:rPr>
      </w:pPr>
      <w:r>
        <w:rPr>
          <w:rFonts w:ascii="Arial" w:hAnsi="Arial" w:cs="Arial"/>
          <w:sz w:val="22"/>
          <w:szCs w:val="22"/>
        </w:rPr>
        <w:t xml:space="preserve">Úroveň nezaměstnanosti </w:t>
      </w:r>
      <w:r w:rsidR="001B027C">
        <w:rPr>
          <w:rFonts w:ascii="Arial" w:hAnsi="Arial" w:cs="Arial"/>
          <w:sz w:val="22"/>
          <w:szCs w:val="22"/>
        </w:rPr>
        <w:t xml:space="preserve">má v kraji jako celku </w:t>
      </w:r>
      <w:r w:rsidR="00F01884">
        <w:rPr>
          <w:rFonts w:ascii="Arial" w:hAnsi="Arial" w:cs="Arial"/>
          <w:sz w:val="22"/>
          <w:szCs w:val="22"/>
        </w:rPr>
        <w:t xml:space="preserve">a </w:t>
      </w:r>
      <w:r w:rsidR="001B027C">
        <w:rPr>
          <w:rFonts w:ascii="Arial" w:hAnsi="Arial" w:cs="Arial"/>
          <w:sz w:val="22"/>
          <w:szCs w:val="22"/>
        </w:rPr>
        <w:t xml:space="preserve">ve venkovských regionech </w:t>
      </w:r>
      <w:r w:rsidR="00F01884">
        <w:rPr>
          <w:rFonts w:ascii="Arial" w:hAnsi="Arial" w:cs="Arial"/>
          <w:sz w:val="22"/>
          <w:szCs w:val="22"/>
        </w:rPr>
        <w:t xml:space="preserve">kraje </w:t>
      </w:r>
      <w:r w:rsidR="001B027C">
        <w:rPr>
          <w:rFonts w:ascii="Arial" w:hAnsi="Arial" w:cs="Arial"/>
          <w:sz w:val="22"/>
          <w:szCs w:val="22"/>
        </w:rPr>
        <w:t>sezónní průběh</w:t>
      </w:r>
      <w:r>
        <w:rPr>
          <w:rFonts w:ascii="Arial" w:hAnsi="Arial" w:cs="Arial"/>
          <w:sz w:val="22"/>
          <w:szCs w:val="22"/>
        </w:rPr>
        <w:t>. Nejvyšší nezaměstnanost je zaznamenávána v zimních</w:t>
      </w:r>
      <w:r w:rsidR="00F01884">
        <w:rPr>
          <w:rFonts w:ascii="Arial" w:hAnsi="Arial" w:cs="Arial"/>
          <w:sz w:val="22"/>
          <w:szCs w:val="22"/>
        </w:rPr>
        <w:t xml:space="preserve"> měsících, </w:t>
      </w:r>
      <w:r>
        <w:rPr>
          <w:rFonts w:ascii="Arial" w:hAnsi="Arial" w:cs="Arial"/>
          <w:sz w:val="22"/>
          <w:szCs w:val="22"/>
        </w:rPr>
        <w:t xml:space="preserve">nejnižší </w:t>
      </w:r>
      <w:r w:rsidR="00F01884">
        <w:rPr>
          <w:rFonts w:ascii="Arial" w:hAnsi="Arial" w:cs="Arial"/>
          <w:sz w:val="22"/>
          <w:szCs w:val="22"/>
        </w:rPr>
        <w:t xml:space="preserve">většinou v jarních a letních měsících. </w:t>
      </w:r>
      <w:r w:rsidR="001B027C">
        <w:rPr>
          <w:rFonts w:ascii="Arial" w:hAnsi="Arial" w:cs="Arial"/>
          <w:sz w:val="22"/>
          <w:szCs w:val="22"/>
        </w:rPr>
        <w:t xml:space="preserve">Výjimku představuje krajské město, kde se sezonní vlivy téměř neprojevují. Naopak </w:t>
      </w:r>
      <w:r w:rsidR="00F01884">
        <w:rPr>
          <w:rFonts w:ascii="Arial" w:hAnsi="Arial" w:cs="Arial"/>
          <w:sz w:val="22"/>
          <w:szCs w:val="22"/>
        </w:rPr>
        <w:t xml:space="preserve">nejvýraznější jsou sezonní výkyvy nezaměstnanosti </w:t>
      </w:r>
      <w:r w:rsidR="001B027C">
        <w:rPr>
          <w:rFonts w:ascii="Arial" w:hAnsi="Arial" w:cs="Arial"/>
          <w:sz w:val="22"/>
          <w:szCs w:val="22"/>
        </w:rPr>
        <w:t>v jižních okresech kraje s vysokým podílem zemědělské výroby</w:t>
      </w:r>
      <w:r w:rsidR="00F01884">
        <w:rPr>
          <w:rFonts w:ascii="Arial" w:hAnsi="Arial" w:cs="Arial"/>
          <w:sz w:val="22"/>
          <w:szCs w:val="22"/>
        </w:rPr>
        <w:t>. V okrese</w:t>
      </w:r>
      <w:r w:rsidR="001B027C">
        <w:rPr>
          <w:rFonts w:ascii="Arial" w:hAnsi="Arial" w:cs="Arial"/>
          <w:sz w:val="22"/>
          <w:szCs w:val="22"/>
        </w:rPr>
        <w:t xml:space="preserve"> Znojmo</w:t>
      </w:r>
      <w:r w:rsidR="00F01884">
        <w:rPr>
          <w:rFonts w:ascii="Arial" w:hAnsi="Arial" w:cs="Arial"/>
          <w:sz w:val="22"/>
          <w:szCs w:val="22"/>
        </w:rPr>
        <w:t xml:space="preserve"> jako celku</w:t>
      </w:r>
      <w:r w:rsidR="001B027C">
        <w:rPr>
          <w:rFonts w:ascii="Arial" w:hAnsi="Arial" w:cs="Arial"/>
          <w:sz w:val="22"/>
          <w:szCs w:val="22"/>
        </w:rPr>
        <w:t xml:space="preserve"> nezaměstnanost v průběhu roku kolísá až o</w:t>
      </w:r>
      <w:r w:rsidR="00F01884">
        <w:rPr>
          <w:rFonts w:ascii="Arial" w:hAnsi="Arial" w:cs="Arial"/>
          <w:sz w:val="22"/>
          <w:szCs w:val="22"/>
        </w:rPr>
        <w:t xml:space="preserve"> 4 p.b, v některých obcích a mikroregionech ještě výrazněji. Hodnotit vývoj nezaměstnanosti do úrovně obcí je však vzhledem ke konstrukci současného ukazatele nezaměstnanosti (podíl nezaměstnaných na obyvatelstvu 15-64 let) poněkud problematické.</w:t>
      </w:r>
    </w:p>
    <w:p w:rsidR="001B027C" w:rsidRDefault="001B027C" w:rsidP="00060EFF">
      <w:pPr>
        <w:rPr>
          <w:rFonts w:ascii="Arial" w:hAnsi="Arial" w:cs="Arial"/>
          <w:b/>
          <w:sz w:val="22"/>
          <w:szCs w:val="22"/>
        </w:rPr>
      </w:pPr>
    </w:p>
    <w:p w:rsidR="00060EFF" w:rsidRDefault="00060EFF" w:rsidP="00060EFF">
      <w:pPr>
        <w:jc w:val="both"/>
        <w:rPr>
          <w:rFonts w:ascii="Arial" w:hAnsi="Arial" w:cs="Arial"/>
          <w:sz w:val="22"/>
          <w:szCs w:val="22"/>
        </w:rPr>
      </w:pPr>
      <w:r>
        <w:rPr>
          <w:rFonts w:ascii="Arial" w:hAnsi="Arial" w:cs="Arial"/>
          <w:sz w:val="22"/>
          <w:szCs w:val="22"/>
        </w:rPr>
        <w:t>Nejvyšší podíl nezaměstnaných osob k 31. 12. 2014 byl zaznamenán v obci Stálky na Vranovsku (26,7 %), Prokopov (25,0 %) ležící na Znojemsku a v obci Louka (24,7 %) nacházející se na Boskovicku. Naopak nejnižší podíl nezaměstnaných osob byl zaznamenán ve vojenském újezdu Březina na Vyškovsku (0,0 %), v obci Ochoz u Tišnova na Tišnovsku (2,4 %) a v obci Krásensko na Vyškovsku (2,5 %).</w:t>
      </w:r>
    </w:p>
    <w:p w:rsidR="00060EFF" w:rsidRDefault="00060EFF" w:rsidP="00060EFF">
      <w:pPr>
        <w:jc w:val="both"/>
        <w:rPr>
          <w:rFonts w:ascii="Arial" w:hAnsi="Arial" w:cs="Arial"/>
          <w:sz w:val="22"/>
          <w:szCs w:val="22"/>
        </w:rPr>
      </w:pPr>
    </w:p>
    <w:p w:rsidR="00060EFF" w:rsidRDefault="0014673A" w:rsidP="0014673A">
      <w:pPr>
        <w:pStyle w:val="Bezmezer"/>
      </w:pPr>
      <w:r w:rsidRPr="0014673A">
        <w:rPr>
          <w:rFonts w:ascii="Arial" w:hAnsi="Arial" w:cs="Arial"/>
          <w:b/>
          <w:i/>
          <w:sz w:val="20"/>
          <w:szCs w:val="20"/>
        </w:rPr>
        <w:t xml:space="preserve">Obr. </w:t>
      </w:r>
      <w:r w:rsidRPr="0014673A">
        <w:rPr>
          <w:rFonts w:ascii="Arial" w:hAnsi="Arial" w:cs="Arial"/>
          <w:b/>
          <w:i/>
          <w:sz w:val="20"/>
          <w:szCs w:val="20"/>
        </w:rPr>
        <w:fldChar w:fldCharType="begin"/>
      </w:r>
      <w:r w:rsidRPr="0014673A">
        <w:rPr>
          <w:rFonts w:ascii="Arial" w:hAnsi="Arial" w:cs="Arial"/>
          <w:b/>
          <w:i/>
          <w:sz w:val="20"/>
          <w:szCs w:val="20"/>
        </w:rPr>
        <w:instrText xml:space="preserve"> SEQ Obr. \* ARABIC </w:instrText>
      </w:r>
      <w:r w:rsidRPr="0014673A">
        <w:rPr>
          <w:rFonts w:ascii="Arial" w:hAnsi="Arial" w:cs="Arial"/>
          <w:b/>
          <w:i/>
          <w:sz w:val="20"/>
          <w:szCs w:val="20"/>
        </w:rPr>
        <w:fldChar w:fldCharType="separate"/>
      </w:r>
      <w:r w:rsidR="009E38FD">
        <w:rPr>
          <w:rFonts w:ascii="Arial" w:hAnsi="Arial" w:cs="Arial"/>
          <w:b/>
          <w:i/>
          <w:noProof/>
          <w:sz w:val="20"/>
          <w:szCs w:val="20"/>
        </w:rPr>
        <w:t>14</w:t>
      </w:r>
      <w:r w:rsidRPr="0014673A">
        <w:rPr>
          <w:rFonts w:ascii="Arial" w:hAnsi="Arial" w:cs="Arial"/>
          <w:b/>
          <w:i/>
          <w:sz w:val="20"/>
          <w:szCs w:val="20"/>
        </w:rPr>
        <w:fldChar w:fldCharType="end"/>
      </w:r>
      <w:r w:rsidR="00060EFF" w:rsidRPr="0014673A">
        <w:rPr>
          <w:rFonts w:ascii="Arial" w:hAnsi="Arial" w:cs="Arial"/>
          <w:b/>
          <w:i/>
          <w:sz w:val="20"/>
          <w:szCs w:val="20"/>
        </w:rPr>
        <w:t>: Podíl nezaměstnaných osob na obyvatelstvu ve věku 15-64 v obcích Jihomoravského kraje k 31. 12. 2014</w:t>
      </w:r>
      <w:r w:rsidR="00060EFF">
        <w:rPr>
          <w:noProof/>
        </w:rPr>
        <w:drawing>
          <wp:inline distT="0" distB="0" distL="0" distR="0" wp14:anchorId="1B4F579B" wp14:editId="4DE0A423">
            <wp:extent cx="5760000" cy="3780000"/>
            <wp:effectExtent l="0" t="0" r="0" b="0"/>
            <wp:docPr id="13"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zamestnanost Kraj.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00" cy="3780000"/>
                    </a:xfrm>
                    <a:prstGeom prst="rect">
                      <a:avLst/>
                    </a:prstGeom>
                  </pic:spPr>
                </pic:pic>
              </a:graphicData>
            </a:graphic>
          </wp:inline>
        </w:drawing>
      </w:r>
    </w:p>
    <w:p w:rsidR="00060EFF" w:rsidRDefault="00060EFF" w:rsidP="00125EE0">
      <w:pPr>
        <w:pStyle w:val="Warda"/>
      </w:pPr>
    </w:p>
    <w:p w:rsidR="00060EFF" w:rsidRDefault="00060EFF" w:rsidP="00125EE0">
      <w:pPr>
        <w:pStyle w:val="Warda"/>
      </w:pPr>
      <w:r w:rsidRPr="00C1297B">
        <w:t>Vzhledem k velikosti sídel, geografické poloze, dopravní obslužnosti a s tím spojené odlišně atraktivitě pro zaměstnavatele (rozložení průmyslu a zemědělství) vykazují okresy rozdílnou nezaměstnanost.</w:t>
      </w:r>
    </w:p>
    <w:p w:rsidR="00060EFF" w:rsidRPr="008E4454" w:rsidRDefault="00060EFF" w:rsidP="00060EFF">
      <w:pPr>
        <w:jc w:val="both"/>
        <w:rPr>
          <w:rFonts w:ascii="Arial" w:hAnsi="Arial" w:cs="Arial"/>
          <w:b/>
          <w:sz w:val="22"/>
          <w:szCs w:val="22"/>
        </w:rPr>
      </w:pPr>
    </w:p>
    <w:p w:rsidR="0060115A" w:rsidRDefault="0060115A" w:rsidP="00060EFF">
      <w:pPr>
        <w:jc w:val="both"/>
        <w:rPr>
          <w:rFonts w:ascii="Arial" w:hAnsi="Arial" w:cs="Arial"/>
          <w:b/>
          <w:sz w:val="22"/>
          <w:szCs w:val="22"/>
        </w:rPr>
      </w:pPr>
    </w:p>
    <w:p w:rsidR="0060115A" w:rsidRDefault="0060115A" w:rsidP="00060EFF">
      <w:pPr>
        <w:jc w:val="both"/>
        <w:rPr>
          <w:rFonts w:ascii="Arial" w:hAnsi="Arial" w:cs="Arial"/>
          <w:b/>
          <w:sz w:val="22"/>
          <w:szCs w:val="22"/>
        </w:rPr>
      </w:pPr>
    </w:p>
    <w:p w:rsidR="0060115A" w:rsidRDefault="0060115A" w:rsidP="00060EFF">
      <w:pPr>
        <w:jc w:val="both"/>
        <w:rPr>
          <w:rFonts w:ascii="Arial" w:hAnsi="Arial" w:cs="Arial"/>
          <w:b/>
          <w:sz w:val="22"/>
          <w:szCs w:val="22"/>
        </w:rPr>
      </w:pPr>
    </w:p>
    <w:p w:rsidR="0060115A" w:rsidRDefault="0060115A" w:rsidP="00060EFF">
      <w:pPr>
        <w:jc w:val="both"/>
        <w:rPr>
          <w:rFonts w:ascii="Arial" w:hAnsi="Arial" w:cs="Arial"/>
          <w:b/>
          <w:sz w:val="22"/>
          <w:szCs w:val="22"/>
        </w:rPr>
      </w:pPr>
    </w:p>
    <w:p w:rsidR="00060EFF" w:rsidRDefault="00060EFF" w:rsidP="00060EFF">
      <w:pPr>
        <w:jc w:val="both"/>
        <w:rPr>
          <w:rFonts w:ascii="Arial" w:hAnsi="Arial" w:cs="Arial"/>
          <w:b/>
          <w:sz w:val="22"/>
          <w:szCs w:val="22"/>
        </w:rPr>
      </w:pPr>
      <w:r w:rsidRPr="008E4454">
        <w:rPr>
          <w:rFonts w:ascii="Arial" w:hAnsi="Arial" w:cs="Arial"/>
          <w:b/>
          <w:sz w:val="22"/>
          <w:szCs w:val="22"/>
        </w:rPr>
        <w:t>Všechny údaje</w:t>
      </w:r>
      <w:r>
        <w:rPr>
          <w:rFonts w:ascii="Arial" w:hAnsi="Arial" w:cs="Arial"/>
          <w:b/>
          <w:sz w:val="22"/>
          <w:szCs w:val="22"/>
        </w:rPr>
        <w:t xml:space="preserve"> jednotlivých ukazatelů úrovně nezaměstnanosti </w:t>
      </w:r>
      <w:r w:rsidRPr="008E4454">
        <w:rPr>
          <w:rFonts w:ascii="Arial" w:hAnsi="Arial" w:cs="Arial"/>
          <w:b/>
          <w:sz w:val="22"/>
          <w:szCs w:val="22"/>
        </w:rPr>
        <w:t xml:space="preserve">jsou </w:t>
      </w:r>
      <w:r>
        <w:rPr>
          <w:rFonts w:ascii="Arial" w:hAnsi="Arial" w:cs="Arial"/>
          <w:b/>
          <w:sz w:val="22"/>
          <w:szCs w:val="22"/>
        </w:rPr>
        <w:t>k 31. 12. 2014.</w:t>
      </w:r>
    </w:p>
    <w:p w:rsidR="00060EFF" w:rsidRDefault="00060EFF" w:rsidP="00060EFF">
      <w:pPr>
        <w:jc w:val="both"/>
        <w:rPr>
          <w:rFonts w:ascii="Arial" w:hAnsi="Arial" w:cs="Arial"/>
          <w:b/>
        </w:rPr>
      </w:pPr>
    </w:p>
    <w:p w:rsidR="00060EFF" w:rsidRPr="00296A41" w:rsidRDefault="00060EFF" w:rsidP="00060EFF">
      <w:pPr>
        <w:pStyle w:val="Zkladntext"/>
        <w:spacing w:line="240" w:lineRule="auto"/>
        <w:rPr>
          <w:rFonts w:ascii="Arial" w:hAnsi="Arial" w:cs="Arial"/>
        </w:rPr>
      </w:pPr>
      <w:r w:rsidRPr="00296A41">
        <w:rPr>
          <w:rFonts w:ascii="Arial" w:hAnsi="Arial" w:cs="Arial"/>
        </w:rPr>
        <w:t>Okres Blansko</w:t>
      </w:r>
    </w:p>
    <w:p w:rsidR="00060EFF" w:rsidRDefault="00060EFF" w:rsidP="00060EFF">
      <w:pPr>
        <w:pStyle w:val="Zkladntext"/>
        <w:spacing w:line="240" w:lineRule="auto"/>
        <w:rPr>
          <w:rFonts w:ascii="Arial" w:hAnsi="Arial" w:cs="Arial"/>
          <w:b w:val="0"/>
          <w:sz w:val="22"/>
          <w:szCs w:val="22"/>
        </w:rPr>
      </w:pPr>
    </w:p>
    <w:p w:rsidR="00060EFF" w:rsidRDefault="00060EFF" w:rsidP="00060EFF">
      <w:pPr>
        <w:jc w:val="both"/>
        <w:rPr>
          <w:rFonts w:ascii="Arial" w:hAnsi="Arial" w:cs="Arial"/>
          <w:sz w:val="22"/>
          <w:szCs w:val="22"/>
        </w:rPr>
      </w:pPr>
      <w:r w:rsidRPr="002B21A4">
        <w:rPr>
          <w:rFonts w:ascii="Arial" w:hAnsi="Arial" w:cs="Arial"/>
          <w:sz w:val="22"/>
          <w:szCs w:val="22"/>
        </w:rPr>
        <w:t>Okres Blansko je okresem s </w:t>
      </w:r>
      <w:r>
        <w:rPr>
          <w:rFonts w:ascii="Arial" w:hAnsi="Arial" w:cs="Arial"/>
          <w:sz w:val="22"/>
          <w:szCs w:val="22"/>
        </w:rPr>
        <w:t>třetí</w:t>
      </w:r>
      <w:r w:rsidRPr="002B21A4">
        <w:rPr>
          <w:rFonts w:ascii="Arial" w:hAnsi="Arial" w:cs="Arial"/>
          <w:sz w:val="22"/>
          <w:szCs w:val="22"/>
        </w:rPr>
        <w:t xml:space="preserve"> nejnižší hodnotou podílu nezaměstnaných osob v Jihomoravském kraji </w:t>
      </w:r>
      <w:r w:rsidR="00A41D99">
        <w:rPr>
          <w:rFonts w:ascii="Arial" w:hAnsi="Arial" w:cs="Arial"/>
          <w:sz w:val="22"/>
          <w:szCs w:val="22"/>
        </w:rPr>
        <w:t>(</w:t>
      </w:r>
      <w:r>
        <w:rPr>
          <w:rFonts w:ascii="Arial" w:hAnsi="Arial" w:cs="Arial"/>
          <w:sz w:val="22"/>
          <w:szCs w:val="22"/>
        </w:rPr>
        <w:t>6</w:t>
      </w:r>
      <w:r w:rsidRPr="002B21A4">
        <w:rPr>
          <w:rFonts w:ascii="Arial" w:hAnsi="Arial" w:cs="Arial"/>
          <w:sz w:val="22"/>
          <w:szCs w:val="22"/>
        </w:rPr>
        <w:t>,</w:t>
      </w:r>
      <w:r>
        <w:rPr>
          <w:rFonts w:ascii="Arial" w:hAnsi="Arial" w:cs="Arial"/>
          <w:sz w:val="22"/>
          <w:szCs w:val="22"/>
        </w:rPr>
        <w:t>7</w:t>
      </w:r>
      <w:r w:rsidR="0060115A">
        <w:rPr>
          <w:rFonts w:ascii="Arial" w:hAnsi="Arial" w:cs="Arial"/>
          <w:sz w:val="22"/>
          <w:szCs w:val="22"/>
        </w:rPr>
        <w:t xml:space="preserve"> %) a </w:t>
      </w:r>
      <w:r w:rsidR="0033301A">
        <w:rPr>
          <w:rFonts w:ascii="Arial" w:hAnsi="Arial" w:cs="Arial"/>
          <w:sz w:val="22"/>
          <w:szCs w:val="22"/>
        </w:rPr>
        <w:t>druhý</w:t>
      </w:r>
      <w:r w:rsidR="0060115A">
        <w:rPr>
          <w:rFonts w:ascii="Arial" w:hAnsi="Arial" w:cs="Arial"/>
          <w:sz w:val="22"/>
          <w:szCs w:val="22"/>
        </w:rPr>
        <w:t>m</w:t>
      </w:r>
      <w:r w:rsidR="0033301A">
        <w:rPr>
          <w:rFonts w:ascii="Arial" w:hAnsi="Arial" w:cs="Arial"/>
          <w:sz w:val="22"/>
          <w:szCs w:val="22"/>
        </w:rPr>
        <w:t xml:space="preserve"> nejnižší</w:t>
      </w:r>
      <w:r w:rsidR="0060115A">
        <w:rPr>
          <w:rFonts w:ascii="Arial" w:hAnsi="Arial" w:cs="Arial"/>
          <w:sz w:val="22"/>
          <w:szCs w:val="22"/>
        </w:rPr>
        <w:t>m počtem uchazečů připadajícím na jedno volné pracovní místo (</w:t>
      </w:r>
      <w:r>
        <w:rPr>
          <w:rFonts w:ascii="Arial" w:hAnsi="Arial" w:cs="Arial"/>
          <w:sz w:val="22"/>
          <w:szCs w:val="22"/>
        </w:rPr>
        <w:t xml:space="preserve">na konci roku 2014 </w:t>
      </w:r>
      <w:r w:rsidRPr="002B21A4">
        <w:rPr>
          <w:rFonts w:ascii="Arial" w:hAnsi="Arial" w:cs="Arial"/>
          <w:sz w:val="22"/>
          <w:szCs w:val="22"/>
        </w:rPr>
        <w:t>tento pomě</w:t>
      </w:r>
      <w:r>
        <w:rPr>
          <w:rFonts w:ascii="Arial" w:hAnsi="Arial" w:cs="Arial"/>
          <w:sz w:val="22"/>
          <w:szCs w:val="22"/>
        </w:rPr>
        <w:t>r</w:t>
      </w:r>
      <w:r w:rsidRPr="002B21A4">
        <w:rPr>
          <w:rFonts w:ascii="Arial" w:hAnsi="Arial" w:cs="Arial"/>
          <w:sz w:val="22"/>
          <w:szCs w:val="22"/>
        </w:rPr>
        <w:t xml:space="preserve"> činil </w:t>
      </w:r>
      <w:r>
        <w:rPr>
          <w:rFonts w:ascii="Arial" w:hAnsi="Arial" w:cs="Arial"/>
          <w:sz w:val="22"/>
          <w:szCs w:val="22"/>
        </w:rPr>
        <w:t>11</w:t>
      </w:r>
      <w:r w:rsidRPr="002B21A4">
        <w:rPr>
          <w:rFonts w:ascii="Arial" w:hAnsi="Arial" w:cs="Arial"/>
          <w:sz w:val="22"/>
          <w:szCs w:val="22"/>
        </w:rPr>
        <w:t>,</w:t>
      </w:r>
      <w:r>
        <w:rPr>
          <w:rFonts w:ascii="Arial" w:hAnsi="Arial" w:cs="Arial"/>
          <w:sz w:val="22"/>
          <w:szCs w:val="22"/>
        </w:rPr>
        <w:t>4</w:t>
      </w:r>
      <w:r w:rsidR="0060115A">
        <w:rPr>
          <w:rFonts w:ascii="Arial" w:hAnsi="Arial" w:cs="Arial"/>
          <w:sz w:val="22"/>
          <w:szCs w:val="22"/>
        </w:rPr>
        <w:t>)</w:t>
      </w:r>
      <w:r w:rsidRPr="002B21A4">
        <w:rPr>
          <w:rFonts w:ascii="Arial" w:hAnsi="Arial" w:cs="Arial"/>
          <w:sz w:val="22"/>
          <w:szCs w:val="22"/>
        </w:rPr>
        <w:t>. Krajská pobočka úřadu práce je v tomto okrese zastoupena dvěm</w:t>
      </w:r>
      <w:r>
        <w:rPr>
          <w:rFonts w:ascii="Arial" w:hAnsi="Arial" w:cs="Arial"/>
          <w:sz w:val="22"/>
          <w:szCs w:val="22"/>
        </w:rPr>
        <w:t xml:space="preserve">a </w:t>
      </w:r>
      <w:r w:rsidRPr="002B21A4">
        <w:rPr>
          <w:rFonts w:ascii="Arial" w:hAnsi="Arial" w:cs="Arial"/>
          <w:sz w:val="22"/>
          <w:szCs w:val="22"/>
        </w:rPr>
        <w:t>kontaktní</w:t>
      </w:r>
      <w:r>
        <w:rPr>
          <w:rFonts w:ascii="Arial" w:hAnsi="Arial" w:cs="Arial"/>
          <w:sz w:val="22"/>
          <w:szCs w:val="22"/>
        </w:rPr>
        <w:t>mi pracovišti:</w:t>
      </w:r>
      <w:r w:rsidRPr="002B21A4">
        <w:rPr>
          <w:rFonts w:ascii="Arial" w:hAnsi="Arial" w:cs="Arial"/>
          <w:sz w:val="22"/>
          <w:szCs w:val="22"/>
        </w:rPr>
        <w:t xml:space="preserve"> v Blansku a Boskovicích.</w:t>
      </w:r>
    </w:p>
    <w:p w:rsidR="00060EFF" w:rsidRDefault="00060EFF" w:rsidP="00060EFF">
      <w:pPr>
        <w:jc w:val="both"/>
        <w:rPr>
          <w:rFonts w:ascii="Arial" w:hAnsi="Arial" w:cs="Arial"/>
          <w:sz w:val="22"/>
          <w:szCs w:val="22"/>
        </w:rPr>
      </w:pPr>
    </w:p>
    <w:p w:rsidR="00060EFF" w:rsidRPr="0014673A" w:rsidRDefault="0014673A" w:rsidP="007168E0">
      <w:pPr>
        <w:pStyle w:val="Bezmezer"/>
        <w:spacing w:line="276" w:lineRule="auto"/>
        <w:rPr>
          <w:rFonts w:ascii="Arial" w:hAnsi="Arial" w:cs="Arial"/>
          <w:b/>
          <w:i/>
          <w:sz w:val="20"/>
          <w:szCs w:val="20"/>
        </w:rPr>
      </w:pPr>
      <w:r w:rsidRPr="0014673A">
        <w:rPr>
          <w:rFonts w:ascii="Arial" w:hAnsi="Arial" w:cs="Arial"/>
          <w:b/>
          <w:i/>
          <w:sz w:val="20"/>
          <w:szCs w:val="20"/>
        </w:rPr>
        <w:t xml:space="preserve">Tab. </w:t>
      </w:r>
      <w:r w:rsidRPr="0014673A">
        <w:rPr>
          <w:rFonts w:ascii="Arial" w:hAnsi="Arial" w:cs="Arial"/>
          <w:b/>
          <w:i/>
          <w:sz w:val="20"/>
          <w:szCs w:val="20"/>
        </w:rPr>
        <w:fldChar w:fldCharType="begin"/>
      </w:r>
      <w:r w:rsidRPr="0014673A">
        <w:rPr>
          <w:rFonts w:ascii="Arial" w:hAnsi="Arial" w:cs="Arial"/>
          <w:b/>
          <w:i/>
          <w:sz w:val="20"/>
          <w:szCs w:val="20"/>
        </w:rPr>
        <w:instrText xml:space="preserve"> SEQ Tab. \* ARABIC </w:instrText>
      </w:r>
      <w:r w:rsidRPr="0014673A">
        <w:rPr>
          <w:rFonts w:ascii="Arial" w:hAnsi="Arial" w:cs="Arial"/>
          <w:b/>
          <w:i/>
          <w:sz w:val="20"/>
          <w:szCs w:val="20"/>
        </w:rPr>
        <w:fldChar w:fldCharType="separate"/>
      </w:r>
      <w:r w:rsidR="004378F3">
        <w:rPr>
          <w:rFonts w:ascii="Arial" w:hAnsi="Arial" w:cs="Arial"/>
          <w:b/>
          <w:i/>
          <w:noProof/>
          <w:sz w:val="20"/>
          <w:szCs w:val="20"/>
        </w:rPr>
        <w:t>7</w:t>
      </w:r>
      <w:r w:rsidRPr="0014673A">
        <w:rPr>
          <w:rFonts w:ascii="Arial" w:hAnsi="Arial" w:cs="Arial"/>
          <w:b/>
          <w:i/>
          <w:sz w:val="20"/>
          <w:szCs w:val="20"/>
        </w:rPr>
        <w:fldChar w:fldCharType="end"/>
      </w:r>
      <w:r w:rsidR="00060EFF" w:rsidRPr="0014673A">
        <w:rPr>
          <w:rFonts w:ascii="Arial" w:hAnsi="Arial" w:cs="Arial"/>
          <w:b/>
          <w:i/>
          <w:sz w:val="20"/>
          <w:szCs w:val="20"/>
        </w:rPr>
        <w:t>: Charakteristika okresu Blansko k 31. 12. 2014</w:t>
      </w:r>
    </w:p>
    <w:tbl>
      <w:tblPr>
        <w:tblW w:w="9423"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80"/>
        <w:gridCol w:w="1040"/>
        <w:gridCol w:w="1040"/>
        <w:gridCol w:w="1040"/>
        <w:gridCol w:w="1085"/>
        <w:gridCol w:w="1040"/>
        <w:gridCol w:w="1040"/>
        <w:gridCol w:w="1058"/>
      </w:tblGrid>
      <w:tr w:rsidR="00060EFF" w:rsidRPr="000D0280" w:rsidTr="00060EFF">
        <w:trPr>
          <w:trHeight w:val="301"/>
        </w:trPr>
        <w:tc>
          <w:tcPr>
            <w:tcW w:w="2080" w:type="dxa"/>
            <w:vMerge w:val="restart"/>
            <w:tcBorders>
              <w:top w:val="single" w:sz="12" w:space="0" w:color="auto"/>
              <w:bottom w:val="single" w:sz="12" w:space="0" w:color="auto"/>
              <w:right w:val="single" w:sz="8" w:space="0" w:color="auto"/>
            </w:tcBorders>
            <w:shd w:val="clear" w:color="000000" w:fill="D9D9D9" w:themeFill="background1" w:themeFillShade="D9"/>
            <w:vAlign w:val="center"/>
            <w:hideMark/>
          </w:tcPr>
          <w:p w:rsidR="00060EFF" w:rsidRPr="000D0280" w:rsidRDefault="00060EFF" w:rsidP="00060EFF">
            <w:pPr>
              <w:spacing w:line="240" w:lineRule="auto"/>
              <w:jc w:val="center"/>
              <w:rPr>
                <w:rFonts w:asciiTheme="minorHAnsi" w:hAnsiTheme="minorHAnsi"/>
              </w:rPr>
            </w:pPr>
            <w:r w:rsidRPr="000D0280">
              <w:rPr>
                <w:rFonts w:asciiTheme="minorHAnsi" w:hAnsiTheme="minorHAnsi"/>
                <w:sz w:val="22"/>
                <w:szCs w:val="22"/>
              </w:rPr>
              <w:t>Území</w:t>
            </w:r>
          </w:p>
        </w:tc>
        <w:tc>
          <w:tcPr>
            <w:tcW w:w="3120" w:type="dxa"/>
            <w:gridSpan w:val="3"/>
            <w:tcBorders>
              <w:top w:val="single" w:sz="12" w:space="0" w:color="auto"/>
              <w:left w:val="single" w:sz="8" w:space="0" w:color="auto"/>
              <w:bottom w:val="single" w:sz="12" w:space="0" w:color="auto"/>
              <w:right w:val="single" w:sz="8" w:space="0" w:color="auto"/>
            </w:tcBorders>
            <w:shd w:val="clear" w:color="000000" w:fill="D9D9D9" w:themeFill="background1" w:themeFillShade="D9"/>
            <w:vAlign w:val="center"/>
            <w:hideMark/>
          </w:tcPr>
          <w:p w:rsidR="00060EFF" w:rsidRPr="000D0280" w:rsidRDefault="00060EFF" w:rsidP="00060EFF">
            <w:pPr>
              <w:spacing w:line="240" w:lineRule="auto"/>
              <w:jc w:val="center"/>
              <w:rPr>
                <w:rFonts w:asciiTheme="minorHAnsi" w:hAnsiTheme="minorHAnsi"/>
              </w:rPr>
            </w:pPr>
            <w:r w:rsidRPr="000D0280">
              <w:rPr>
                <w:rFonts w:asciiTheme="minorHAnsi" w:hAnsiTheme="minorHAnsi"/>
                <w:sz w:val="22"/>
                <w:szCs w:val="22"/>
              </w:rPr>
              <w:t>Počet nezaměstnaných</w:t>
            </w:r>
          </w:p>
        </w:tc>
        <w:tc>
          <w:tcPr>
            <w:tcW w:w="1085" w:type="dxa"/>
            <w:vMerge w:val="restart"/>
            <w:tcBorders>
              <w:top w:val="single" w:sz="12" w:space="0" w:color="auto"/>
              <w:left w:val="single" w:sz="8" w:space="0" w:color="auto"/>
              <w:bottom w:val="single" w:sz="12" w:space="0" w:color="auto"/>
              <w:right w:val="single" w:sz="8" w:space="0" w:color="auto"/>
            </w:tcBorders>
            <w:shd w:val="clear" w:color="000000" w:fill="D9D9D9" w:themeFill="background1" w:themeFillShade="D9"/>
            <w:vAlign w:val="center"/>
            <w:hideMark/>
          </w:tcPr>
          <w:p w:rsidR="00060EFF" w:rsidRPr="000D0280" w:rsidRDefault="00060EFF" w:rsidP="00060EFF">
            <w:pPr>
              <w:spacing w:line="240" w:lineRule="auto"/>
              <w:jc w:val="center"/>
              <w:rPr>
                <w:rFonts w:asciiTheme="minorHAnsi" w:hAnsiTheme="minorHAnsi"/>
                <w:color w:val="000000"/>
              </w:rPr>
            </w:pPr>
            <w:r w:rsidRPr="000D0280">
              <w:rPr>
                <w:rFonts w:asciiTheme="minorHAnsi" w:hAnsiTheme="minorHAnsi"/>
                <w:color w:val="000000"/>
                <w:sz w:val="22"/>
                <w:szCs w:val="22"/>
              </w:rPr>
              <w:t>Absolventi škol a mladiství</w:t>
            </w:r>
          </w:p>
        </w:tc>
        <w:tc>
          <w:tcPr>
            <w:tcW w:w="1040" w:type="dxa"/>
            <w:vMerge w:val="restart"/>
            <w:tcBorders>
              <w:top w:val="single" w:sz="12" w:space="0" w:color="auto"/>
              <w:left w:val="single" w:sz="8" w:space="0" w:color="auto"/>
              <w:bottom w:val="single" w:sz="12" w:space="0" w:color="auto"/>
              <w:right w:val="single" w:sz="8" w:space="0" w:color="auto"/>
            </w:tcBorders>
            <w:shd w:val="clear" w:color="000000" w:fill="D9D9D9" w:themeFill="background1" w:themeFillShade="D9"/>
            <w:vAlign w:val="center"/>
            <w:hideMark/>
          </w:tcPr>
          <w:p w:rsidR="00060EFF" w:rsidRPr="000D0280" w:rsidRDefault="00060EFF" w:rsidP="00060EFF">
            <w:pPr>
              <w:spacing w:line="240" w:lineRule="auto"/>
              <w:jc w:val="center"/>
              <w:rPr>
                <w:rFonts w:asciiTheme="minorHAnsi" w:hAnsiTheme="minorHAnsi"/>
                <w:color w:val="000000"/>
              </w:rPr>
            </w:pPr>
            <w:r w:rsidRPr="000D0280">
              <w:rPr>
                <w:rFonts w:asciiTheme="minorHAnsi" w:hAnsiTheme="minorHAnsi"/>
                <w:color w:val="000000"/>
                <w:sz w:val="22"/>
                <w:szCs w:val="22"/>
              </w:rPr>
              <w:t>Osoby se ZP</w:t>
            </w:r>
          </w:p>
        </w:tc>
        <w:tc>
          <w:tcPr>
            <w:tcW w:w="1040" w:type="dxa"/>
            <w:vMerge w:val="restart"/>
            <w:tcBorders>
              <w:top w:val="single" w:sz="12" w:space="0" w:color="auto"/>
              <w:left w:val="single" w:sz="8" w:space="0" w:color="auto"/>
              <w:bottom w:val="single" w:sz="12" w:space="0" w:color="auto"/>
              <w:right w:val="single" w:sz="8" w:space="0" w:color="auto"/>
            </w:tcBorders>
            <w:shd w:val="clear" w:color="000000" w:fill="D9D9D9" w:themeFill="background1" w:themeFillShade="D9"/>
            <w:vAlign w:val="center"/>
            <w:hideMark/>
          </w:tcPr>
          <w:p w:rsidR="00060EFF" w:rsidRPr="000D0280" w:rsidRDefault="00060EFF" w:rsidP="00060EFF">
            <w:pPr>
              <w:spacing w:line="240" w:lineRule="auto"/>
              <w:jc w:val="center"/>
              <w:rPr>
                <w:rFonts w:asciiTheme="minorHAnsi" w:hAnsiTheme="minorHAnsi"/>
              </w:rPr>
            </w:pPr>
            <w:r w:rsidRPr="000D0280">
              <w:rPr>
                <w:rFonts w:asciiTheme="minorHAnsi" w:hAnsiTheme="minorHAnsi"/>
                <w:sz w:val="22"/>
                <w:szCs w:val="22"/>
              </w:rPr>
              <w:t>Volná pracovní místa</w:t>
            </w:r>
          </w:p>
        </w:tc>
        <w:tc>
          <w:tcPr>
            <w:tcW w:w="1058" w:type="dxa"/>
            <w:vMerge w:val="restart"/>
            <w:tcBorders>
              <w:top w:val="single" w:sz="12" w:space="0" w:color="auto"/>
              <w:left w:val="single" w:sz="8" w:space="0" w:color="auto"/>
              <w:bottom w:val="single" w:sz="12" w:space="0" w:color="auto"/>
            </w:tcBorders>
            <w:shd w:val="clear" w:color="000000" w:fill="D9D9D9" w:themeFill="background1" w:themeFillShade="D9"/>
            <w:vAlign w:val="center"/>
            <w:hideMark/>
          </w:tcPr>
          <w:p w:rsidR="00060EFF" w:rsidRPr="000D0280" w:rsidRDefault="00060EFF" w:rsidP="00060EFF">
            <w:pPr>
              <w:spacing w:line="240" w:lineRule="auto"/>
              <w:jc w:val="center"/>
              <w:rPr>
                <w:rFonts w:asciiTheme="minorHAnsi" w:hAnsiTheme="minorHAnsi"/>
              </w:rPr>
            </w:pPr>
            <w:r w:rsidRPr="000D0280">
              <w:rPr>
                <w:rFonts w:asciiTheme="minorHAnsi" w:hAnsiTheme="minorHAnsi"/>
                <w:sz w:val="22"/>
                <w:szCs w:val="22"/>
              </w:rPr>
              <w:t>Podíl nezaměst. [%]</w:t>
            </w:r>
          </w:p>
        </w:tc>
      </w:tr>
      <w:tr w:rsidR="00060EFF" w:rsidRPr="000D0280" w:rsidTr="00060EFF">
        <w:trPr>
          <w:trHeight w:val="301"/>
        </w:trPr>
        <w:tc>
          <w:tcPr>
            <w:tcW w:w="2080" w:type="dxa"/>
            <w:vMerge/>
            <w:tcBorders>
              <w:top w:val="single" w:sz="8" w:space="0" w:color="auto"/>
              <w:bottom w:val="single" w:sz="12" w:space="0" w:color="auto"/>
              <w:right w:val="single" w:sz="12" w:space="0" w:color="auto"/>
            </w:tcBorders>
            <w:vAlign w:val="center"/>
            <w:hideMark/>
          </w:tcPr>
          <w:p w:rsidR="00060EFF" w:rsidRPr="000D0280" w:rsidRDefault="00060EFF" w:rsidP="00060EFF">
            <w:pPr>
              <w:spacing w:line="240" w:lineRule="auto"/>
              <w:rPr>
                <w:rFonts w:asciiTheme="minorHAnsi" w:hAnsiTheme="minorHAnsi"/>
              </w:rPr>
            </w:pPr>
          </w:p>
        </w:tc>
        <w:tc>
          <w:tcPr>
            <w:tcW w:w="1040" w:type="dxa"/>
            <w:vMerge w:val="restart"/>
            <w:tcBorders>
              <w:top w:val="single" w:sz="12" w:space="0" w:color="auto"/>
              <w:left w:val="single" w:sz="12" w:space="0" w:color="auto"/>
              <w:bottom w:val="single" w:sz="8" w:space="0" w:color="auto"/>
            </w:tcBorders>
            <w:shd w:val="clear" w:color="000000" w:fill="D9D9D9" w:themeFill="background1" w:themeFillShade="D9"/>
            <w:vAlign w:val="center"/>
            <w:hideMark/>
          </w:tcPr>
          <w:p w:rsidR="00060EFF" w:rsidRPr="000D0280" w:rsidRDefault="00060EFF" w:rsidP="00060EFF">
            <w:pPr>
              <w:spacing w:line="240" w:lineRule="auto"/>
              <w:jc w:val="center"/>
              <w:rPr>
                <w:rFonts w:asciiTheme="minorHAnsi" w:hAnsiTheme="minorHAnsi"/>
              </w:rPr>
            </w:pPr>
            <w:r w:rsidRPr="000D0280">
              <w:rPr>
                <w:rFonts w:asciiTheme="minorHAnsi" w:hAnsiTheme="minorHAnsi"/>
                <w:sz w:val="22"/>
                <w:szCs w:val="22"/>
              </w:rPr>
              <w:t>celkem</w:t>
            </w:r>
          </w:p>
        </w:tc>
        <w:tc>
          <w:tcPr>
            <w:tcW w:w="2080" w:type="dxa"/>
            <w:gridSpan w:val="2"/>
            <w:tcBorders>
              <w:top w:val="single" w:sz="12" w:space="0" w:color="auto"/>
              <w:bottom w:val="single" w:sz="8" w:space="0" w:color="auto"/>
              <w:right w:val="single" w:sz="8" w:space="0" w:color="auto"/>
            </w:tcBorders>
            <w:shd w:val="clear" w:color="000000" w:fill="D9D9D9" w:themeFill="background1" w:themeFillShade="D9"/>
            <w:vAlign w:val="center"/>
            <w:hideMark/>
          </w:tcPr>
          <w:p w:rsidR="00060EFF" w:rsidRPr="000D0280" w:rsidRDefault="00060EFF" w:rsidP="00060EFF">
            <w:pPr>
              <w:spacing w:line="240" w:lineRule="auto"/>
              <w:jc w:val="center"/>
              <w:rPr>
                <w:rFonts w:asciiTheme="minorHAnsi" w:hAnsiTheme="minorHAnsi"/>
              </w:rPr>
            </w:pPr>
            <w:r w:rsidRPr="000D0280">
              <w:rPr>
                <w:rFonts w:asciiTheme="minorHAnsi" w:hAnsiTheme="minorHAnsi"/>
                <w:sz w:val="22"/>
                <w:szCs w:val="22"/>
              </w:rPr>
              <w:t>v tom</w:t>
            </w:r>
          </w:p>
        </w:tc>
        <w:tc>
          <w:tcPr>
            <w:tcW w:w="1085" w:type="dxa"/>
            <w:vMerge/>
            <w:tcBorders>
              <w:top w:val="single" w:sz="8" w:space="0" w:color="auto"/>
              <w:left w:val="single" w:sz="8" w:space="0" w:color="auto"/>
              <w:bottom w:val="single" w:sz="12" w:space="0" w:color="auto"/>
            </w:tcBorders>
            <w:vAlign w:val="center"/>
            <w:hideMark/>
          </w:tcPr>
          <w:p w:rsidR="00060EFF" w:rsidRPr="000D0280" w:rsidRDefault="00060EFF" w:rsidP="00060EFF">
            <w:pPr>
              <w:spacing w:line="240" w:lineRule="auto"/>
              <w:rPr>
                <w:rFonts w:asciiTheme="minorHAnsi" w:hAnsiTheme="minorHAnsi"/>
                <w:color w:val="000000"/>
              </w:rPr>
            </w:pPr>
          </w:p>
        </w:tc>
        <w:tc>
          <w:tcPr>
            <w:tcW w:w="1040" w:type="dxa"/>
            <w:vMerge/>
            <w:tcBorders>
              <w:top w:val="single" w:sz="8" w:space="0" w:color="auto"/>
              <w:bottom w:val="single" w:sz="12" w:space="0" w:color="auto"/>
            </w:tcBorders>
            <w:vAlign w:val="center"/>
            <w:hideMark/>
          </w:tcPr>
          <w:p w:rsidR="00060EFF" w:rsidRPr="000D0280" w:rsidRDefault="00060EFF" w:rsidP="00060EFF">
            <w:pPr>
              <w:spacing w:line="240" w:lineRule="auto"/>
              <w:rPr>
                <w:rFonts w:asciiTheme="minorHAnsi" w:hAnsiTheme="minorHAnsi"/>
                <w:color w:val="000000"/>
              </w:rPr>
            </w:pPr>
          </w:p>
        </w:tc>
        <w:tc>
          <w:tcPr>
            <w:tcW w:w="1040" w:type="dxa"/>
            <w:vMerge/>
            <w:tcBorders>
              <w:top w:val="single" w:sz="8" w:space="0" w:color="auto"/>
              <w:bottom w:val="single" w:sz="12" w:space="0" w:color="auto"/>
            </w:tcBorders>
            <w:vAlign w:val="center"/>
            <w:hideMark/>
          </w:tcPr>
          <w:p w:rsidR="00060EFF" w:rsidRPr="000D0280" w:rsidRDefault="00060EFF" w:rsidP="00060EFF">
            <w:pPr>
              <w:spacing w:line="240" w:lineRule="auto"/>
              <w:rPr>
                <w:rFonts w:asciiTheme="minorHAnsi" w:hAnsiTheme="minorHAnsi"/>
              </w:rPr>
            </w:pPr>
          </w:p>
        </w:tc>
        <w:tc>
          <w:tcPr>
            <w:tcW w:w="1058" w:type="dxa"/>
            <w:vMerge/>
            <w:tcBorders>
              <w:top w:val="single" w:sz="8" w:space="0" w:color="auto"/>
              <w:bottom w:val="single" w:sz="12" w:space="0" w:color="auto"/>
            </w:tcBorders>
            <w:vAlign w:val="center"/>
            <w:hideMark/>
          </w:tcPr>
          <w:p w:rsidR="00060EFF" w:rsidRPr="000D0280" w:rsidRDefault="00060EFF" w:rsidP="00060EFF">
            <w:pPr>
              <w:spacing w:line="240" w:lineRule="auto"/>
              <w:rPr>
                <w:rFonts w:asciiTheme="minorHAnsi" w:hAnsiTheme="minorHAnsi"/>
              </w:rPr>
            </w:pPr>
          </w:p>
        </w:tc>
      </w:tr>
      <w:tr w:rsidR="00060EFF" w:rsidRPr="000D0280" w:rsidTr="00060EFF">
        <w:trPr>
          <w:trHeight w:val="315"/>
        </w:trPr>
        <w:tc>
          <w:tcPr>
            <w:tcW w:w="2080" w:type="dxa"/>
            <w:vMerge/>
            <w:tcBorders>
              <w:top w:val="single" w:sz="8" w:space="0" w:color="auto"/>
              <w:bottom w:val="single" w:sz="12" w:space="0" w:color="auto"/>
              <w:right w:val="single" w:sz="12" w:space="0" w:color="auto"/>
            </w:tcBorders>
            <w:vAlign w:val="center"/>
            <w:hideMark/>
          </w:tcPr>
          <w:p w:rsidR="00060EFF" w:rsidRPr="000D0280" w:rsidRDefault="00060EFF" w:rsidP="00060EFF">
            <w:pPr>
              <w:spacing w:line="240" w:lineRule="auto"/>
              <w:rPr>
                <w:rFonts w:asciiTheme="minorHAnsi" w:hAnsiTheme="minorHAnsi"/>
              </w:rPr>
            </w:pPr>
          </w:p>
        </w:tc>
        <w:tc>
          <w:tcPr>
            <w:tcW w:w="1040" w:type="dxa"/>
            <w:vMerge/>
            <w:tcBorders>
              <w:top w:val="single" w:sz="8" w:space="0" w:color="auto"/>
              <w:left w:val="single" w:sz="12" w:space="0" w:color="auto"/>
              <w:bottom w:val="single" w:sz="12" w:space="0" w:color="auto"/>
            </w:tcBorders>
            <w:shd w:val="clear" w:color="000000" w:fill="D9D9D9" w:themeFill="background1" w:themeFillShade="D9"/>
            <w:vAlign w:val="center"/>
            <w:hideMark/>
          </w:tcPr>
          <w:p w:rsidR="00060EFF" w:rsidRPr="000D0280" w:rsidRDefault="00060EFF" w:rsidP="00060EFF">
            <w:pPr>
              <w:spacing w:line="240" w:lineRule="auto"/>
              <w:rPr>
                <w:rFonts w:asciiTheme="minorHAnsi" w:hAnsiTheme="minorHAnsi"/>
              </w:rPr>
            </w:pPr>
          </w:p>
        </w:tc>
        <w:tc>
          <w:tcPr>
            <w:tcW w:w="1040" w:type="dxa"/>
            <w:tcBorders>
              <w:top w:val="single" w:sz="8" w:space="0" w:color="auto"/>
              <w:bottom w:val="single" w:sz="12" w:space="0" w:color="auto"/>
            </w:tcBorders>
            <w:shd w:val="clear" w:color="000000" w:fill="D9D9D9" w:themeFill="background1" w:themeFillShade="D9"/>
            <w:vAlign w:val="center"/>
            <w:hideMark/>
          </w:tcPr>
          <w:p w:rsidR="00060EFF" w:rsidRPr="000D0280" w:rsidRDefault="00060EFF" w:rsidP="00060EFF">
            <w:pPr>
              <w:spacing w:line="240" w:lineRule="auto"/>
              <w:jc w:val="center"/>
              <w:rPr>
                <w:rFonts w:asciiTheme="minorHAnsi" w:hAnsiTheme="minorHAnsi"/>
              </w:rPr>
            </w:pPr>
            <w:r w:rsidRPr="000D0280">
              <w:rPr>
                <w:rFonts w:asciiTheme="minorHAnsi" w:hAnsiTheme="minorHAnsi"/>
                <w:sz w:val="22"/>
                <w:szCs w:val="22"/>
              </w:rPr>
              <w:t>muži</w:t>
            </w:r>
          </w:p>
        </w:tc>
        <w:tc>
          <w:tcPr>
            <w:tcW w:w="1040" w:type="dxa"/>
            <w:tcBorders>
              <w:top w:val="single" w:sz="8" w:space="0" w:color="auto"/>
              <w:bottom w:val="single" w:sz="12" w:space="0" w:color="auto"/>
              <w:right w:val="single" w:sz="8" w:space="0" w:color="auto"/>
            </w:tcBorders>
            <w:shd w:val="clear" w:color="000000" w:fill="D9D9D9" w:themeFill="background1" w:themeFillShade="D9"/>
            <w:vAlign w:val="center"/>
            <w:hideMark/>
          </w:tcPr>
          <w:p w:rsidR="00060EFF" w:rsidRPr="000D0280" w:rsidRDefault="00060EFF" w:rsidP="00060EFF">
            <w:pPr>
              <w:spacing w:line="240" w:lineRule="auto"/>
              <w:jc w:val="center"/>
              <w:rPr>
                <w:rFonts w:asciiTheme="minorHAnsi" w:hAnsiTheme="minorHAnsi"/>
              </w:rPr>
            </w:pPr>
            <w:r w:rsidRPr="000D0280">
              <w:rPr>
                <w:rFonts w:asciiTheme="minorHAnsi" w:hAnsiTheme="minorHAnsi"/>
                <w:sz w:val="22"/>
                <w:szCs w:val="22"/>
              </w:rPr>
              <w:t>ženy</w:t>
            </w:r>
          </w:p>
        </w:tc>
        <w:tc>
          <w:tcPr>
            <w:tcW w:w="1085" w:type="dxa"/>
            <w:vMerge/>
            <w:tcBorders>
              <w:top w:val="single" w:sz="8" w:space="0" w:color="auto"/>
              <w:left w:val="single" w:sz="8" w:space="0" w:color="auto"/>
              <w:bottom w:val="single" w:sz="12" w:space="0" w:color="auto"/>
            </w:tcBorders>
            <w:vAlign w:val="center"/>
            <w:hideMark/>
          </w:tcPr>
          <w:p w:rsidR="00060EFF" w:rsidRPr="000D0280" w:rsidRDefault="00060EFF" w:rsidP="00060EFF">
            <w:pPr>
              <w:spacing w:line="240" w:lineRule="auto"/>
              <w:rPr>
                <w:rFonts w:asciiTheme="minorHAnsi" w:hAnsiTheme="minorHAnsi"/>
                <w:color w:val="000000"/>
              </w:rPr>
            </w:pPr>
          </w:p>
        </w:tc>
        <w:tc>
          <w:tcPr>
            <w:tcW w:w="1040" w:type="dxa"/>
            <w:vMerge/>
            <w:tcBorders>
              <w:top w:val="single" w:sz="8" w:space="0" w:color="auto"/>
              <w:bottom w:val="single" w:sz="12" w:space="0" w:color="auto"/>
            </w:tcBorders>
            <w:vAlign w:val="center"/>
            <w:hideMark/>
          </w:tcPr>
          <w:p w:rsidR="00060EFF" w:rsidRPr="000D0280" w:rsidRDefault="00060EFF" w:rsidP="00060EFF">
            <w:pPr>
              <w:spacing w:line="240" w:lineRule="auto"/>
              <w:rPr>
                <w:rFonts w:asciiTheme="minorHAnsi" w:hAnsiTheme="minorHAnsi"/>
                <w:color w:val="000000"/>
              </w:rPr>
            </w:pPr>
          </w:p>
        </w:tc>
        <w:tc>
          <w:tcPr>
            <w:tcW w:w="1040" w:type="dxa"/>
            <w:vMerge/>
            <w:tcBorders>
              <w:top w:val="single" w:sz="8" w:space="0" w:color="auto"/>
              <w:bottom w:val="single" w:sz="12" w:space="0" w:color="auto"/>
            </w:tcBorders>
            <w:vAlign w:val="center"/>
            <w:hideMark/>
          </w:tcPr>
          <w:p w:rsidR="00060EFF" w:rsidRPr="000D0280" w:rsidRDefault="00060EFF" w:rsidP="00060EFF">
            <w:pPr>
              <w:spacing w:line="240" w:lineRule="auto"/>
              <w:rPr>
                <w:rFonts w:asciiTheme="minorHAnsi" w:hAnsiTheme="minorHAnsi"/>
              </w:rPr>
            </w:pPr>
          </w:p>
        </w:tc>
        <w:tc>
          <w:tcPr>
            <w:tcW w:w="1058" w:type="dxa"/>
            <w:vMerge/>
            <w:tcBorders>
              <w:top w:val="single" w:sz="8" w:space="0" w:color="auto"/>
              <w:bottom w:val="single" w:sz="12" w:space="0" w:color="auto"/>
            </w:tcBorders>
            <w:vAlign w:val="center"/>
            <w:hideMark/>
          </w:tcPr>
          <w:p w:rsidR="00060EFF" w:rsidRPr="000D0280" w:rsidRDefault="00060EFF" w:rsidP="00060EFF">
            <w:pPr>
              <w:spacing w:line="240" w:lineRule="auto"/>
              <w:rPr>
                <w:rFonts w:asciiTheme="minorHAnsi" w:hAnsiTheme="minorHAnsi"/>
              </w:rPr>
            </w:pPr>
          </w:p>
        </w:tc>
      </w:tr>
      <w:tr w:rsidR="00060EFF" w:rsidRPr="000D0280" w:rsidTr="00060EFF">
        <w:trPr>
          <w:trHeight w:val="301"/>
        </w:trPr>
        <w:tc>
          <w:tcPr>
            <w:tcW w:w="2080" w:type="dxa"/>
            <w:tcBorders>
              <w:top w:val="single" w:sz="12" w:space="0" w:color="auto"/>
              <w:bottom w:val="single" w:sz="8" w:space="0" w:color="auto"/>
              <w:right w:val="single" w:sz="12" w:space="0" w:color="auto"/>
            </w:tcBorders>
            <w:shd w:val="clear" w:color="000000" w:fill="D9D9D9" w:themeFill="background1" w:themeFillShade="D9"/>
            <w:noWrap/>
            <w:vAlign w:val="center"/>
            <w:hideMark/>
          </w:tcPr>
          <w:p w:rsidR="00060EFF" w:rsidRPr="000D0280" w:rsidRDefault="00060EFF" w:rsidP="00060EFF">
            <w:pPr>
              <w:spacing w:line="240" w:lineRule="auto"/>
              <w:rPr>
                <w:rFonts w:asciiTheme="minorHAnsi" w:hAnsiTheme="minorHAnsi"/>
              </w:rPr>
            </w:pPr>
            <w:r w:rsidRPr="000D0280">
              <w:rPr>
                <w:rFonts w:asciiTheme="minorHAnsi" w:hAnsiTheme="minorHAnsi"/>
                <w:sz w:val="22"/>
                <w:szCs w:val="22"/>
              </w:rPr>
              <w:t>Adamov</w:t>
            </w:r>
          </w:p>
        </w:tc>
        <w:tc>
          <w:tcPr>
            <w:tcW w:w="1040" w:type="dxa"/>
            <w:tcBorders>
              <w:top w:val="single" w:sz="12" w:space="0" w:color="auto"/>
              <w:left w:val="single" w:sz="12" w:space="0" w:color="auto"/>
            </w:tcBorders>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235</w:t>
            </w:r>
          </w:p>
        </w:tc>
        <w:tc>
          <w:tcPr>
            <w:tcW w:w="1040" w:type="dxa"/>
            <w:tcBorders>
              <w:top w:val="single" w:sz="12" w:space="0" w:color="auto"/>
            </w:tcBorders>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110</w:t>
            </w:r>
          </w:p>
        </w:tc>
        <w:tc>
          <w:tcPr>
            <w:tcW w:w="1040" w:type="dxa"/>
            <w:tcBorders>
              <w:top w:val="single" w:sz="12" w:space="0" w:color="auto"/>
            </w:tcBorders>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125</w:t>
            </w:r>
          </w:p>
        </w:tc>
        <w:tc>
          <w:tcPr>
            <w:tcW w:w="1085" w:type="dxa"/>
            <w:tcBorders>
              <w:top w:val="single" w:sz="12" w:space="0" w:color="auto"/>
            </w:tcBorders>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11</w:t>
            </w:r>
          </w:p>
        </w:tc>
        <w:tc>
          <w:tcPr>
            <w:tcW w:w="1040" w:type="dxa"/>
            <w:tcBorders>
              <w:top w:val="single" w:sz="12" w:space="0" w:color="auto"/>
            </w:tcBorders>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48</w:t>
            </w:r>
          </w:p>
        </w:tc>
        <w:tc>
          <w:tcPr>
            <w:tcW w:w="1040" w:type="dxa"/>
            <w:tcBorders>
              <w:top w:val="single" w:sz="12" w:space="0" w:color="auto"/>
            </w:tcBorders>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14</w:t>
            </w:r>
          </w:p>
        </w:tc>
        <w:tc>
          <w:tcPr>
            <w:tcW w:w="1058" w:type="dxa"/>
            <w:tcBorders>
              <w:top w:val="single" w:sz="12" w:space="0" w:color="auto"/>
            </w:tcBorders>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7,0</w:t>
            </w:r>
          </w:p>
        </w:tc>
      </w:tr>
      <w:tr w:rsidR="00060EFF" w:rsidRPr="000D0280" w:rsidTr="00060EFF">
        <w:trPr>
          <w:trHeight w:val="301"/>
        </w:trPr>
        <w:tc>
          <w:tcPr>
            <w:tcW w:w="2080" w:type="dxa"/>
            <w:tcBorders>
              <w:top w:val="single" w:sz="8" w:space="0" w:color="auto"/>
              <w:bottom w:val="single" w:sz="8" w:space="0" w:color="auto"/>
              <w:right w:val="single" w:sz="12" w:space="0" w:color="auto"/>
            </w:tcBorders>
            <w:shd w:val="clear" w:color="000000" w:fill="D9D9D9" w:themeFill="background1" w:themeFillShade="D9"/>
            <w:noWrap/>
            <w:vAlign w:val="center"/>
            <w:hideMark/>
          </w:tcPr>
          <w:p w:rsidR="00060EFF" w:rsidRPr="000D0280" w:rsidRDefault="00060EFF" w:rsidP="00060EFF">
            <w:pPr>
              <w:spacing w:line="240" w:lineRule="auto"/>
              <w:rPr>
                <w:rFonts w:asciiTheme="minorHAnsi" w:hAnsiTheme="minorHAnsi"/>
              </w:rPr>
            </w:pPr>
            <w:r w:rsidRPr="000D0280">
              <w:rPr>
                <w:rFonts w:asciiTheme="minorHAnsi" w:hAnsiTheme="minorHAnsi"/>
                <w:sz w:val="22"/>
                <w:szCs w:val="22"/>
              </w:rPr>
              <w:t>Blansko</w:t>
            </w:r>
          </w:p>
        </w:tc>
        <w:tc>
          <w:tcPr>
            <w:tcW w:w="1040" w:type="dxa"/>
            <w:tcBorders>
              <w:left w:val="single" w:sz="12" w:space="0" w:color="auto"/>
            </w:tcBorders>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2 020</w:t>
            </w:r>
          </w:p>
        </w:tc>
        <w:tc>
          <w:tcPr>
            <w:tcW w:w="1040" w:type="dxa"/>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954</w:t>
            </w:r>
          </w:p>
        </w:tc>
        <w:tc>
          <w:tcPr>
            <w:tcW w:w="1040" w:type="dxa"/>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1 066</w:t>
            </w:r>
          </w:p>
        </w:tc>
        <w:tc>
          <w:tcPr>
            <w:tcW w:w="1085"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124</w:t>
            </w:r>
          </w:p>
        </w:tc>
        <w:tc>
          <w:tcPr>
            <w:tcW w:w="1040"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320</w:t>
            </w:r>
          </w:p>
        </w:tc>
        <w:tc>
          <w:tcPr>
            <w:tcW w:w="1040"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260</w:t>
            </w:r>
          </w:p>
        </w:tc>
        <w:tc>
          <w:tcPr>
            <w:tcW w:w="1058"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5,5</w:t>
            </w:r>
          </w:p>
        </w:tc>
      </w:tr>
      <w:tr w:rsidR="00060EFF" w:rsidRPr="000D0280" w:rsidTr="00060EFF">
        <w:trPr>
          <w:trHeight w:val="301"/>
        </w:trPr>
        <w:tc>
          <w:tcPr>
            <w:tcW w:w="2080" w:type="dxa"/>
            <w:tcBorders>
              <w:top w:val="single" w:sz="8" w:space="0" w:color="auto"/>
              <w:bottom w:val="single" w:sz="8" w:space="0" w:color="auto"/>
              <w:right w:val="single" w:sz="12" w:space="0" w:color="auto"/>
            </w:tcBorders>
            <w:shd w:val="clear" w:color="000000" w:fill="D9D9D9" w:themeFill="background1" w:themeFillShade="D9"/>
            <w:noWrap/>
            <w:vAlign w:val="center"/>
            <w:hideMark/>
          </w:tcPr>
          <w:p w:rsidR="00060EFF" w:rsidRPr="000D0280" w:rsidRDefault="00060EFF" w:rsidP="00060EFF">
            <w:pPr>
              <w:spacing w:line="240" w:lineRule="auto"/>
              <w:rPr>
                <w:rFonts w:asciiTheme="minorHAnsi" w:hAnsiTheme="minorHAnsi"/>
              </w:rPr>
            </w:pPr>
            <w:r w:rsidRPr="000D0280">
              <w:rPr>
                <w:rFonts w:asciiTheme="minorHAnsi" w:hAnsiTheme="minorHAnsi"/>
                <w:sz w:val="22"/>
                <w:szCs w:val="22"/>
              </w:rPr>
              <w:t>Boskovice</w:t>
            </w:r>
          </w:p>
        </w:tc>
        <w:tc>
          <w:tcPr>
            <w:tcW w:w="1040" w:type="dxa"/>
            <w:tcBorders>
              <w:left w:val="single" w:sz="12" w:space="0" w:color="auto"/>
            </w:tcBorders>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1 823</w:t>
            </w:r>
          </w:p>
        </w:tc>
        <w:tc>
          <w:tcPr>
            <w:tcW w:w="1040" w:type="dxa"/>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889</w:t>
            </w:r>
          </w:p>
        </w:tc>
        <w:tc>
          <w:tcPr>
            <w:tcW w:w="1040" w:type="dxa"/>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934</w:t>
            </w:r>
          </w:p>
        </w:tc>
        <w:tc>
          <w:tcPr>
            <w:tcW w:w="1085"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127</w:t>
            </w:r>
          </w:p>
        </w:tc>
        <w:tc>
          <w:tcPr>
            <w:tcW w:w="1040"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292</w:t>
            </w:r>
          </w:p>
        </w:tc>
        <w:tc>
          <w:tcPr>
            <w:tcW w:w="1040"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118</w:t>
            </w:r>
          </w:p>
        </w:tc>
        <w:tc>
          <w:tcPr>
            <w:tcW w:w="1058"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7,6</w:t>
            </w:r>
          </w:p>
        </w:tc>
      </w:tr>
      <w:tr w:rsidR="00060EFF" w:rsidRPr="000D0280" w:rsidTr="00060EFF">
        <w:trPr>
          <w:trHeight w:val="301"/>
        </w:trPr>
        <w:tc>
          <w:tcPr>
            <w:tcW w:w="2080" w:type="dxa"/>
            <w:tcBorders>
              <w:top w:val="single" w:sz="8" w:space="0" w:color="auto"/>
              <w:bottom w:val="single" w:sz="8" w:space="0" w:color="auto"/>
              <w:right w:val="single" w:sz="12" w:space="0" w:color="auto"/>
            </w:tcBorders>
            <w:shd w:val="clear" w:color="000000" w:fill="D9D9D9" w:themeFill="background1" w:themeFillShade="D9"/>
            <w:noWrap/>
            <w:vAlign w:val="center"/>
            <w:hideMark/>
          </w:tcPr>
          <w:p w:rsidR="00060EFF" w:rsidRPr="000D0280" w:rsidRDefault="00060EFF" w:rsidP="00060EFF">
            <w:pPr>
              <w:spacing w:line="240" w:lineRule="auto"/>
              <w:rPr>
                <w:rFonts w:asciiTheme="minorHAnsi" w:hAnsiTheme="minorHAnsi"/>
              </w:rPr>
            </w:pPr>
            <w:r w:rsidRPr="000D0280">
              <w:rPr>
                <w:rFonts w:asciiTheme="minorHAnsi" w:hAnsiTheme="minorHAnsi"/>
                <w:sz w:val="22"/>
                <w:szCs w:val="22"/>
              </w:rPr>
              <w:t>Letovice</w:t>
            </w:r>
          </w:p>
        </w:tc>
        <w:tc>
          <w:tcPr>
            <w:tcW w:w="1040" w:type="dxa"/>
            <w:tcBorders>
              <w:left w:val="single" w:sz="12" w:space="0" w:color="auto"/>
            </w:tcBorders>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515</w:t>
            </w:r>
          </w:p>
        </w:tc>
        <w:tc>
          <w:tcPr>
            <w:tcW w:w="1040" w:type="dxa"/>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263</w:t>
            </w:r>
          </w:p>
        </w:tc>
        <w:tc>
          <w:tcPr>
            <w:tcW w:w="1040" w:type="dxa"/>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252</w:t>
            </w:r>
          </w:p>
        </w:tc>
        <w:tc>
          <w:tcPr>
            <w:tcW w:w="1085"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47</w:t>
            </w:r>
          </w:p>
        </w:tc>
        <w:tc>
          <w:tcPr>
            <w:tcW w:w="1040"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93</w:t>
            </w:r>
          </w:p>
        </w:tc>
        <w:tc>
          <w:tcPr>
            <w:tcW w:w="1040"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32</w:t>
            </w:r>
          </w:p>
        </w:tc>
        <w:tc>
          <w:tcPr>
            <w:tcW w:w="1058"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7,5</w:t>
            </w:r>
          </w:p>
        </w:tc>
      </w:tr>
      <w:tr w:rsidR="00060EFF" w:rsidRPr="000D0280" w:rsidTr="00060EFF">
        <w:trPr>
          <w:trHeight w:val="301"/>
        </w:trPr>
        <w:tc>
          <w:tcPr>
            <w:tcW w:w="2080" w:type="dxa"/>
            <w:tcBorders>
              <w:top w:val="single" w:sz="8" w:space="0" w:color="auto"/>
              <w:bottom w:val="single" w:sz="8" w:space="0" w:color="auto"/>
              <w:right w:val="single" w:sz="12" w:space="0" w:color="auto"/>
            </w:tcBorders>
            <w:shd w:val="clear" w:color="000000" w:fill="D9D9D9" w:themeFill="background1" w:themeFillShade="D9"/>
            <w:noWrap/>
            <w:vAlign w:val="center"/>
            <w:hideMark/>
          </w:tcPr>
          <w:p w:rsidR="00060EFF" w:rsidRPr="000D0280" w:rsidRDefault="00060EFF" w:rsidP="00060EFF">
            <w:pPr>
              <w:spacing w:line="240" w:lineRule="auto"/>
              <w:rPr>
                <w:rFonts w:asciiTheme="minorHAnsi" w:hAnsiTheme="minorHAnsi"/>
              </w:rPr>
            </w:pPr>
            <w:r w:rsidRPr="000D0280">
              <w:rPr>
                <w:rFonts w:asciiTheme="minorHAnsi" w:hAnsiTheme="minorHAnsi"/>
                <w:sz w:val="22"/>
                <w:szCs w:val="22"/>
              </w:rPr>
              <w:t>Velké Opatovice</w:t>
            </w:r>
          </w:p>
        </w:tc>
        <w:tc>
          <w:tcPr>
            <w:tcW w:w="1040" w:type="dxa"/>
            <w:tcBorders>
              <w:left w:val="single" w:sz="12" w:space="0" w:color="auto"/>
            </w:tcBorders>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323</w:t>
            </w:r>
          </w:p>
        </w:tc>
        <w:tc>
          <w:tcPr>
            <w:tcW w:w="1040" w:type="dxa"/>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162</w:t>
            </w:r>
          </w:p>
        </w:tc>
        <w:tc>
          <w:tcPr>
            <w:tcW w:w="1040" w:type="dxa"/>
            <w:shd w:val="clear" w:color="000000" w:fill="FFFFFF"/>
            <w:noWrap/>
            <w:vAlign w:val="center"/>
            <w:hideMark/>
          </w:tcPr>
          <w:p w:rsidR="00060EFF" w:rsidRPr="000D0280" w:rsidRDefault="00060EFF" w:rsidP="00060EFF">
            <w:pPr>
              <w:spacing w:line="240" w:lineRule="auto"/>
              <w:jc w:val="right"/>
              <w:rPr>
                <w:rFonts w:asciiTheme="minorHAnsi" w:hAnsiTheme="minorHAnsi"/>
              </w:rPr>
            </w:pPr>
            <w:r w:rsidRPr="000D0280">
              <w:rPr>
                <w:rFonts w:asciiTheme="minorHAnsi" w:hAnsiTheme="minorHAnsi"/>
                <w:sz w:val="22"/>
                <w:szCs w:val="22"/>
              </w:rPr>
              <w:t>161</w:t>
            </w:r>
          </w:p>
        </w:tc>
        <w:tc>
          <w:tcPr>
            <w:tcW w:w="1085"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22</w:t>
            </w:r>
          </w:p>
        </w:tc>
        <w:tc>
          <w:tcPr>
            <w:tcW w:w="1040"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55</w:t>
            </w:r>
          </w:p>
        </w:tc>
        <w:tc>
          <w:tcPr>
            <w:tcW w:w="1040"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8</w:t>
            </w:r>
          </w:p>
        </w:tc>
        <w:tc>
          <w:tcPr>
            <w:tcW w:w="1058" w:type="dxa"/>
            <w:shd w:val="clear" w:color="auto" w:fill="auto"/>
            <w:noWrap/>
            <w:vAlign w:val="center"/>
            <w:hideMark/>
          </w:tcPr>
          <w:p w:rsidR="00060EFF" w:rsidRPr="000D0280" w:rsidRDefault="00060EFF" w:rsidP="00060EFF">
            <w:pPr>
              <w:spacing w:line="240" w:lineRule="auto"/>
              <w:jc w:val="right"/>
              <w:rPr>
                <w:rFonts w:asciiTheme="minorHAnsi" w:hAnsiTheme="minorHAnsi"/>
                <w:color w:val="000000"/>
              </w:rPr>
            </w:pPr>
            <w:r w:rsidRPr="000D0280">
              <w:rPr>
                <w:rFonts w:asciiTheme="minorHAnsi" w:hAnsiTheme="minorHAnsi"/>
                <w:color w:val="000000"/>
                <w:sz w:val="22"/>
                <w:szCs w:val="22"/>
              </w:rPr>
              <w:t>8,2</w:t>
            </w:r>
          </w:p>
        </w:tc>
      </w:tr>
      <w:tr w:rsidR="00060EFF" w:rsidRPr="000D0280" w:rsidTr="00060EFF">
        <w:trPr>
          <w:trHeight w:val="315"/>
        </w:trPr>
        <w:tc>
          <w:tcPr>
            <w:tcW w:w="2080" w:type="dxa"/>
            <w:tcBorders>
              <w:top w:val="single" w:sz="8" w:space="0" w:color="auto"/>
              <w:bottom w:val="single" w:sz="12" w:space="0" w:color="auto"/>
              <w:right w:val="single" w:sz="12" w:space="0" w:color="auto"/>
            </w:tcBorders>
            <w:shd w:val="clear" w:color="000000" w:fill="D9D9D9" w:themeFill="background1" w:themeFillShade="D9"/>
            <w:noWrap/>
            <w:vAlign w:val="center"/>
            <w:hideMark/>
          </w:tcPr>
          <w:p w:rsidR="00060EFF" w:rsidRPr="000D0280" w:rsidRDefault="00060EFF" w:rsidP="00060EFF">
            <w:pPr>
              <w:spacing w:line="240" w:lineRule="auto"/>
              <w:rPr>
                <w:rFonts w:asciiTheme="minorHAnsi" w:hAnsiTheme="minorHAnsi"/>
                <w:b/>
              </w:rPr>
            </w:pPr>
            <w:r w:rsidRPr="000D0280">
              <w:rPr>
                <w:rFonts w:asciiTheme="minorHAnsi" w:hAnsiTheme="minorHAnsi"/>
                <w:b/>
                <w:sz w:val="22"/>
                <w:szCs w:val="22"/>
              </w:rPr>
              <w:t>Okres Blansko</w:t>
            </w:r>
          </w:p>
        </w:tc>
        <w:tc>
          <w:tcPr>
            <w:tcW w:w="1040" w:type="dxa"/>
            <w:tcBorders>
              <w:left w:val="single" w:sz="12" w:space="0" w:color="auto"/>
            </w:tcBorders>
            <w:shd w:val="clear" w:color="000000" w:fill="FFFFFF"/>
            <w:noWrap/>
            <w:vAlign w:val="center"/>
            <w:hideMark/>
          </w:tcPr>
          <w:p w:rsidR="00060EFF" w:rsidRPr="000D0280" w:rsidRDefault="00060EFF" w:rsidP="00060EFF">
            <w:pPr>
              <w:spacing w:line="240" w:lineRule="auto"/>
              <w:jc w:val="right"/>
              <w:rPr>
                <w:rFonts w:asciiTheme="minorHAnsi" w:hAnsiTheme="minorHAnsi"/>
                <w:b/>
              </w:rPr>
            </w:pPr>
            <w:r w:rsidRPr="000D0280">
              <w:rPr>
                <w:rFonts w:asciiTheme="minorHAnsi" w:hAnsiTheme="minorHAnsi"/>
                <w:b/>
                <w:sz w:val="22"/>
                <w:szCs w:val="22"/>
              </w:rPr>
              <w:t>4 930</w:t>
            </w:r>
          </w:p>
        </w:tc>
        <w:tc>
          <w:tcPr>
            <w:tcW w:w="1040" w:type="dxa"/>
            <w:shd w:val="clear" w:color="000000" w:fill="FFFFFF"/>
            <w:noWrap/>
            <w:vAlign w:val="center"/>
            <w:hideMark/>
          </w:tcPr>
          <w:p w:rsidR="00060EFF" w:rsidRPr="000D0280" w:rsidRDefault="00060EFF" w:rsidP="00060EFF">
            <w:pPr>
              <w:spacing w:line="240" w:lineRule="auto"/>
              <w:jc w:val="right"/>
              <w:rPr>
                <w:rFonts w:asciiTheme="minorHAnsi" w:hAnsiTheme="minorHAnsi"/>
                <w:b/>
              </w:rPr>
            </w:pPr>
            <w:r w:rsidRPr="000D0280">
              <w:rPr>
                <w:rFonts w:asciiTheme="minorHAnsi" w:hAnsiTheme="minorHAnsi"/>
                <w:b/>
                <w:sz w:val="22"/>
                <w:szCs w:val="22"/>
              </w:rPr>
              <w:t>2 393</w:t>
            </w:r>
          </w:p>
        </w:tc>
        <w:tc>
          <w:tcPr>
            <w:tcW w:w="1040" w:type="dxa"/>
            <w:shd w:val="clear" w:color="000000" w:fill="FFFFFF"/>
            <w:noWrap/>
            <w:vAlign w:val="center"/>
            <w:hideMark/>
          </w:tcPr>
          <w:p w:rsidR="00060EFF" w:rsidRPr="000D0280" w:rsidRDefault="00060EFF" w:rsidP="00060EFF">
            <w:pPr>
              <w:spacing w:line="240" w:lineRule="auto"/>
              <w:jc w:val="right"/>
              <w:rPr>
                <w:rFonts w:asciiTheme="minorHAnsi" w:hAnsiTheme="minorHAnsi"/>
                <w:b/>
              </w:rPr>
            </w:pPr>
            <w:r w:rsidRPr="000D0280">
              <w:rPr>
                <w:rFonts w:asciiTheme="minorHAnsi" w:hAnsiTheme="minorHAnsi"/>
                <w:b/>
                <w:sz w:val="22"/>
                <w:szCs w:val="22"/>
              </w:rPr>
              <w:t>2 537</w:t>
            </w:r>
          </w:p>
        </w:tc>
        <w:tc>
          <w:tcPr>
            <w:tcW w:w="1085" w:type="dxa"/>
            <w:shd w:val="clear" w:color="auto" w:fill="auto"/>
            <w:noWrap/>
            <w:vAlign w:val="center"/>
            <w:hideMark/>
          </w:tcPr>
          <w:p w:rsidR="00060EFF" w:rsidRPr="000D0280" w:rsidRDefault="00060EFF" w:rsidP="00060EFF">
            <w:pPr>
              <w:spacing w:line="240" w:lineRule="auto"/>
              <w:jc w:val="right"/>
              <w:rPr>
                <w:rFonts w:asciiTheme="minorHAnsi" w:hAnsiTheme="minorHAnsi"/>
                <w:b/>
                <w:color w:val="000000"/>
              </w:rPr>
            </w:pPr>
            <w:r w:rsidRPr="000D0280">
              <w:rPr>
                <w:rFonts w:asciiTheme="minorHAnsi" w:hAnsiTheme="minorHAnsi"/>
                <w:b/>
                <w:color w:val="000000"/>
                <w:sz w:val="22"/>
                <w:szCs w:val="22"/>
              </w:rPr>
              <w:t>331</w:t>
            </w:r>
          </w:p>
        </w:tc>
        <w:tc>
          <w:tcPr>
            <w:tcW w:w="1040" w:type="dxa"/>
            <w:shd w:val="clear" w:color="auto" w:fill="auto"/>
            <w:noWrap/>
            <w:vAlign w:val="center"/>
            <w:hideMark/>
          </w:tcPr>
          <w:p w:rsidR="00060EFF" w:rsidRPr="000D0280" w:rsidRDefault="00060EFF" w:rsidP="00060EFF">
            <w:pPr>
              <w:spacing w:line="240" w:lineRule="auto"/>
              <w:jc w:val="right"/>
              <w:rPr>
                <w:rFonts w:asciiTheme="minorHAnsi" w:hAnsiTheme="minorHAnsi"/>
                <w:b/>
                <w:color w:val="000000"/>
              </w:rPr>
            </w:pPr>
            <w:r w:rsidRPr="000D0280">
              <w:rPr>
                <w:rFonts w:asciiTheme="minorHAnsi" w:hAnsiTheme="minorHAnsi"/>
                <w:b/>
                <w:color w:val="000000"/>
                <w:sz w:val="22"/>
                <w:szCs w:val="22"/>
              </w:rPr>
              <w:t>808</w:t>
            </w:r>
          </w:p>
        </w:tc>
        <w:tc>
          <w:tcPr>
            <w:tcW w:w="1040" w:type="dxa"/>
            <w:shd w:val="clear" w:color="C0C0C0" w:fill="FFFFFF"/>
            <w:noWrap/>
            <w:vAlign w:val="center"/>
            <w:hideMark/>
          </w:tcPr>
          <w:p w:rsidR="00060EFF" w:rsidRPr="000D0280" w:rsidRDefault="00060EFF" w:rsidP="00060EFF">
            <w:pPr>
              <w:spacing w:line="240" w:lineRule="auto"/>
              <w:jc w:val="right"/>
              <w:rPr>
                <w:rFonts w:asciiTheme="minorHAnsi" w:hAnsiTheme="minorHAnsi"/>
                <w:b/>
              </w:rPr>
            </w:pPr>
            <w:r w:rsidRPr="000D0280">
              <w:rPr>
                <w:rFonts w:asciiTheme="minorHAnsi" w:hAnsiTheme="minorHAnsi"/>
                <w:b/>
                <w:sz w:val="22"/>
                <w:szCs w:val="22"/>
              </w:rPr>
              <w:t>432</w:t>
            </w:r>
          </w:p>
        </w:tc>
        <w:tc>
          <w:tcPr>
            <w:tcW w:w="1058" w:type="dxa"/>
            <w:shd w:val="clear" w:color="000000" w:fill="FFFFFF"/>
            <w:noWrap/>
            <w:vAlign w:val="center"/>
            <w:hideMark/>
          </w:tcPr>
          <w:p w:rsidR="00060EFF" w:rsidRPr="000D0280" w:rsidRDefault="00060EFF" w:rsidP="00060EFF">
            <w:pPr>
              <w:spacing w:line="240" w:lineRule="auto"/>
              <w:jc w:val="right"/>
              <w:rPr>
                <w:rFonts w:asciiTheme="minorHAnsi" w:hAnsiTheme="minorHAnsi"/>
                <w:b/>
              </w:rPr>
            </w:pPr>
            <w:r w:rsidRPr="000D0280">
              <w:rPr>
                <w:rFonts w:asciiTheme="minorHAnsi" w:hAnsiTheme="minorHAnsi"/>
                <w:b/>
                <w:sz w:val="22"/>
                <w:szCs w:val="22"/>
              </w:rPr>
              <w:t>6,7</w:t>
            </w:r>
          </w:p>
        </w:tc>
      </w:tr>
    </w:tbl>
    <w:p w:rsidR="00060EFF" w:rsidRPr="000D0280" w:rsidRDefault="00060EFF" w:rsidP="00060EFF">
      <w:pPr>
        <w:pStyle w:val="Normlnweb"/>
        <w:spacing w:line="276" w:lineRule="auto"/>
        <w:jc w:val="both"/>
        <w:rPr>
          <w:rFonts w:ascii="Arial" w:hAnsi="Arial" w:cs="Arial"/>
          <w:noProof/>
          <w:sz w:val="20"/>
          <w:szCs w:val="20"/>
        </w:rPr>
      </w:pPr>
      <w:r w:rsidRPr="000D0280">
        <w:rPr>
          <w:rFonts w:ascii="Arial" w:hAnsi="Arial" w:cs="Arial"/>
          <w:b/>
          <w:noProof/>
          <w:sz w:val="20"/>
          <w:szCs w:val="20"/>
        </w:rPr>
        <w:t>Pramen</w:t>
      </w:r>
      <w:r w:rsidRPr="000D0280">
        <w:rPr>
          <w:rFonts w:ascii="Arial" w:hAnsi="Arial" w:cs="Arial"/>
          <w:noProof/>
          <w:sz w:val="20"/>
          <w:szCs w:val="20"/>
        </w:rPr>
        <w:t>: MPSV,ČR, GIS Prostorová analýza, 2014</w:t>
      </w:r>
    </w:p>
    <w:p w:rsidR="00060EFF" w:rsidRDefault="0014673A" w:rsidP="0014673A">
      <w:pPr>
        <w:pStyle w:val="Bezmezer"/>
        <w:rPr>
          <w:rFonts w:ascii="Arial" w:hAnsi="Arial" w:cs="Arial"/>
          <w:b/>
          <w:i/>
          <w:noProof/>
          <w:sz w:val="20"/>
          <w:szCs w:val="20"/>
        </w:rPr>
      </w:pPr>
      <w:r w:rsidRPr="0014673A">
        <w:rPr>
          <w:rFonts w:ascii="Arial" w:hAnsi="Arial" w:cs="Arial"/>
          <w:b/>
          <w:i/>
          <w:sz w:val="20"/>
          <w:szCs w:val="20"/>
        </w:rPr>
        <w:t xml:space="preserve">Obr. </w:t>
      </w:r>
      <w:r w:rsidRPr="0014673A">
        <w:rPr>
          <w:rFonts w:ascii="Arial" w:hAnsi="Arial" w:cs="Arial"/>
          <w:b/>
          <w:i/>
          <w:sz w:val="20"/>
          <w:szCs w:val="20"/>
        </w:rPr>
        <w:fldChar w:fldCharType="begin"/>
      </w:r>
      <w:r w:rsidRPr="0014673A">
        <w:rPr>
          <w:rFonts w:ascii="Arial" w:hAnsi="Arial" w:cs="Arial"/>
          <w:b/>
          <w:i/>
          <w:sz w:val="20"/>
          <w:szCs w:val="20"/>
        </w:rPr>
        <w:instrText xml:space="preserve"> SEQ Obr. \* ARABIC </w:instrText>
      </w:r>
      <w:r w:rsidRPr="0014673A">
        <w:rPr>
          <w:rFonts w:ascii="Arial" w:hAnsi="Arial" w:cs="Arial"/>
          <w:b/>
          <w:i/>
          <w:sz w:val="20"/>
          <w:szCs w:val="20"/>
        </w:rPr>
        <w:fldChar w:fldCharType="separate"/>
      </w:r>
      <w:r w:rsidR="009E38FD">
        <w:rPr>
          <w:rFonts w:ascii="Arial" w:hAnsi="Arial" w:cs="Arial"/>
          <w:b/>
          <w:i/>
          <w:noProof/>
          <w:sz w:val="20"/>
          <w:szCs w:val="20"/>
        </w:rPr>
        <w:t>15</w:t>
      </w:r>
      <w:r w:rsidRPr="0014673A">
        <w:rPr>
          <w:rFonts w:ascii="Arial" w:hAnsi="Arial" w:cs="Arial"/>
          <w:b/>
          <w:i/>
          <w:sz w:val="20"/>
          <w:szCs w:val="20"/>
        </w:rPr>
        <w:fldChar w:fldCharType="end"/>
      </w:r>
      <w:r w:rsidR="00060EFF" w:rsidRPr="0014673A">
        <w:rPr>
          <w:rFonts w:ascii="Arial" w:hAnsi="Arial" w:cs="Arial"/>
          <w:b/>
          <w:i/>
          <w:noProof/>
          <w:sz w:val="20"/>
          <w:szCs w:val="20"/>
        </w:rPr>
        <w:t>: Podíl nezaměst</w:t>
      </w:r>
      <w:r w:rsidR="0033301A">
        <w:rPr>
          <w:rFonts w:ascii="Arial" w:hAnsi="Arial" w:cs="Arial"/>
          <w:b/>
          <w:i/>
          <w:noProof/>
          <w:sz w:val="20"/>
          <w:szCs w:val="20"/>
        </w:rPr>
        <w:t>naných osob na obyvatelstvu</w:t>
      </w:r>
      <w:r w:rsidR="00060EFF" w:rsidRPr="0014673A">
        <w:rPr>
          <w:rFonts w:ascii="Arial" w:hAnsi="Arial" w:cs="Arial"/>
          <w:b/>
          <w:i/>
          <w:noProof/>
          <w:sz w:val="20"/>
          <w:szCs w:val="20"/>
        </w:rPr>
        <w:t xml:space="preserve"> 15-64 v okrese Blansko k 31.12.2014</w:t>
      </w:r>
    </w:p>
    <w:p w:rsidR="00891D08" w:rsidRPr="0014673A" w:rsidRDefault="00891D08" w:rsidP="00891D08">
      <w:pPr>
        <w:pStyle w:val="Bezmezer"/>
        <w:jc w:val="center"/>
        <w:rPr>
          <w:rFonts w:ascii="Arial" w:hAnsi="Arial" w:cs="Arial"/>
          <w:b/>
          <w:i/>
          <w:sz w:val="20"/>
          <w:szCs w:val="20"/>
        </w:rPr>
      </w:pPr>
      <w:r>
        <w:rPr>
          <w:rFonts w:ascii="Arial" w:hAnsi="Arial" w:cs="Arial"/>
          <w:b/>
          <w:i/>
          <w:noProof/>
          <w:sz w:val="20"/>
          <w:szCs w:val="20"/>
        </w:rPr>
        <w:drawing>
          <wp:inline distT="0" distB="0" distL="0" distR="0">
            <wp:extent cx="4325566" cy="4606226"/>
            <wp:effectExtent l="0" t="0" r="0" b="4445"/>
            <wp:docPr id="28" name="Obrázek 28" descr="C:\Users\eva.touskova\AppData\Local\Microsoft\Windows\Temporary Internet Files\Content.Outlook\6RMWRZWV\Blansk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touskova\AppData\Local\Microsoft\Windows\Temporary Internet Files\Content.Outlook\6RMWRZWV\Blansko (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9335" b="6126"/>
                    <a:stretch/>
                  </pic:blipFill>
                  <pic:spPr bwMode="auto">
                    <a:xfrm>
                      <a:off x="0" y="0"/>
                      <a:ext cx="4329852" cy="4610790"/>
                    </a:xfrm>
                    <a:prstGeom prst="rect">
                      <a:avLst/>
                    </a:prstGeom>
                    <a:noFill/>
                    <a:ln>
                      <a:noFill/>
                    </a:ln>
                    <a:extLst>
                      <a:ext uri="{53640926-AAD7-44D8-BBD7-CCE9431645EC}">
                        <a14:shadowObscured xmlns:a14="http://schemas.microsoft.com/office/drawing/2010/main"/>
                      </a:ext>
                    </a:extLst>
                  </pic:spPr>
                </pic:pic>
              </a:graphicData>
            </a:graphic>
          </wp:inline>
        </w:drawing>
      </w:r>
    </w:p>
    <w:p w:rsidR="00060EFF" w:rsidRDefault="00060EFF" w:rsidP="00060EFF">
      <w:pPr>
        <w:jc w:val="center"/>
        <w:rPr>
          <w:rFonts w:ascii="Arial" w:hAnsi="Arial" w:cs="Arial"/>
          <w:sz w:val="22"/>
          <w:szCs w:val="22"/>
        </w:rPr>
      </w:pPr>
    </w:p>
    <w:p w:rsidR="00060EFF" w:rsidRDefault="00060EFF" w:rsidP="00060EFF">
      <w:pPr>
        <w:jc w:val="both"/>
        <w:rPr>
          <w:rFonts w:ascii="Arial" w:hAnsi="Arial" w:cs="Arial"/>
          <w:b/>
          <w:sz w:val="22"/>
          <w:szCs w:val="22"/>
        </w:rPr>
      </w:pPr>
      <w:r>
        <w:rPr>
          <w:rFonts w:ascii="Arial" w:hAnsi="Arial" w:cs="Arial"/>
          <w:b/>
          <w:sz w:val="22"/>
          <w:szCs w:val="22"/>
        </w:rPr>
        <w:t>Adamovsko</w:t>
      </w:r>
    </w:p>
    <w:p w:rsidR="00060EFF" w:rsidRDefault="00060EFF" w:rsidP="00060EFF">
      <w:pPr>
        <w:jc w:val="both"/>
        <w:rPr>
          <w:rFonts w:ascii="Arial" w:hAnsi="Arial" w:cs="Arial"/>
          <w:sz w:val="22"/>
          <w:szCs w:val="22"/>
        </w:rPr>
      </w:pPr>
    </w:p>
    <w:p w:rsidR="00060EFF" w:rsidRPr="00E81EBB" w:rsidRDefault="00060EFF" w:rsidP="00060EFF">
      <w:pPr>
        <w:jc w:val="both"/>
        <w:rPr>
          <w:rFonts w:ascii="Arial" w:hAnsi="Arial" w:cs="Arial"/>
          <w:sz w:val="22"/>
          <w:szCs w:val="22"/>
        </w:rPr>
      </w:pPr>
      <w:r>
        <w:rPr>
          <w:rFonts w:ascii="Arial" w:hAnsi="Arial" w:cs="Arial"/>
          <w:sz w:val="22"/>
          <w:szCs w:val="22"/>
        </w:rPr>
        <w:t xml:space="preserve">Kdysi průmyslové centrum Jihomoravského kraje. </w:t>
      </w:r>
      <w:r w:rsidR="0060115A">
        <w:rPr>
          <w:rFonts w:ascii="Arial" w:hAnsi="Arial" w:cs="Arial"/>
          <w:sz w:val="22"/>
          <w:szCs w:val="22"/>
        </w:rPr>
        <w:t>Adamovské strojírny (</w:t>
      </w:r>
      <w:r w:rsidR="00DA4161">
        <w:rPr>
          <w:rFonts w:ascii="Arial" w:hAnsi="Arial" w:cs="Arial"/>
          <w:sz w:val="22"/>
          <w:szCs w:val="22"/>
        </w:rPr>
        <w:t>ADAST</w:t>
      </w:r>
      <w:r w:rsidR="0060115A">
        <w:rPr>
          <w:rFonts w:ascii="Arial" w:hAnsi="Arial" w:cs="Arial"/>
          <w:sz w:val="22"/>
          <w:szCs w:val="22"/>
        </w:rPr>
        <w:t>)</w:t>
      </w:r>
      <w:r w:rsidR="0014673A">
        <w:rPr>
          <w:rFonts w:ascii="Arial" w:hAnsi="Arial" w:cs="Arial"/>
          <w:sz w:val="22"/>
          <w:szCs w:val="22"/>
        </w:rPr>
        <w:t xml:space="preserve"> zaměstnával</w:t>
      </w:r>
      <w:r w:rsidR="0060115A">
        <w:rPr>
          <w:rFonts w:ascii="Arial" w:hAnsi="Arial" w:cs="Arial"/>
          <w:sz w:val="22"/>
          <w:szCs w:val="22"/>
        </w:rPr>
        <w:t>y</w:t>
      </w:r>
      <w:r w:rsidR="00DA4161">
        <w:rPr>
          <w:rFonts w:ascii="Arial" w:hAnsi="Arial" w:cs="Arial"/>
          <w:sz w:val="22"/>
          <w:szCs w:val="22"/>
        </w:rPr>
        <w:t xml:space="preserve"> přes </w:t>
      </w:r>
      <w:r w:rsidR="0014673A">
        <w:rPr>
          <w:rFonts w:ascii="Arial" w:hAnsi="Arial" w:cs="Arial"/>
          <w:sz w:val="22"/>
          <w:szCs w:val="22"/>
        </w:rPr>
        <w:t xml:space="preserve">5 </w:t>
      </w:r>
      <w:r w:rsidR="0060115A">
        <w:rPr>
          <w:rFonts w:ascii="Arial" w:hAnsi="Arial" w:cs="Arial"/>
          <w:sz w:val="22"/>
          <w:szCs w:val="22"/>
        </w:rPr>
        <w:t>tisíc zaměstnanců a vyvážely</w:t>
      </w:r>
      <w:r w:rsidRPr="00A476AC">
        <w:rPr>
          <w:rFonts w:ascii="Verdana" w:hAnsi="Verdana"/>
          <w:sz w:val="18"/>
          <w:szCs w:val="18"/>
        </w:rPr>
        <w:t xml:space="preserve"> </w:t>
      </w:r>
      <w:r w:rsidR="0060115A">
        <w:rPr>
          <w:rFonts w:ascii="Arial" w:hAnsi="Arial" w:cs="Arial"/>
          <w:sz w:val="22"/>
          <w:szCs w:val="22"/>
        </w:rPr>
        <w:t>t</w:t>
      </w:r>
      <w:r>
        <w:rPr>
          <w:rFonts w:ascii="Arial" w:hAnsi="Arial" w:cs="Arial"/>
          <w:sz w:val="22"/>
          <w:szCs w:val="22"/>
        </w:rPr>
        <w:t xml:space="preserve">iskařské stroje </w:t>
      </w:r>
      <w:r w:rsidRPr="00A476AC">
        <w:rPr>
          <w:rFonts w:ascii="Arial" w:hAnsi="Arial" w:cs="Arial"/>
          <w:sz w:val="22"/>
          <w:szCs w:val="22"/>
        </w:rPr>
        <w:t xml:space="preserve">do 30 zemí. Po pádu komunismu nebyly schopny kvalitou konkurovat nejmodernějším polygrafickým strojům, což znamenalo konec výroby. Stejně dopadla i rozsáhlá přísně utajovaná vojenská výroba protitankových střel Tandem. </w:t>
      </w:r>
      <w:r w:rsidRPr="00E81EBB">
        <w:rPr>
          <w:rFonts w:ascii="Arial" w:hAnsi="Arial" w:cs="Arial"/>
          <w:sz w:val="22"/>
          <w:szCs w:val="22"/>
        </w:rPr>
        <w:t xml:space="preserve">K 31. 12. 2014 bylo v celém mikroregionu evidováno </w:t>
      </w:r>
      <w:r>
        <w:rPr>
          <w:rFonts w:ascii="Arial" w:hAnsi="Arial" w:cs="Arial"/>
          <w:sz w:val="22"/>
          <w:szCs w:val="22"/>
        </w:rPr>
        <w:t>235</w:t>
      </w:r>
      <w:r w:rsidRPr="00E81EBB">
        <w:rPr>
          <w:rFonts w:ascii="Arial" w:hAnsi="Arial" w:cs="Arial"/>
          <w:sz w:val="22"/>
          <w:szCs w:val="22"/>
        </w:rPr>
        <w:t xml:space="preserve"> uchazečů o zaměstnání a podíl nezaměstnaných osob činil 7,</w:t>
      </w:r>
      <w:r>
        <w:rPr>
          <w:rFonts w:ascii="Arial" w:hAnsi="Arial" w:cs="Arial"/>
          <w:sz w:val="22"/>
          <w:szCs w:val="22"/>
        </w:rPr>
        <w:t>0</w:t>
      </w:r>
      <w:r w:rsidRPr="00E81EBB">
        <w:rPr>
          <w:rFonts w:ascii="Arial" w:hAnsi="Arial" w:cs="Arial"/>
          <w:sz w:val="22"/>
          <w:szCs w:val="22"/>
        </w:rPr>
        <w:t xml:space="preserve"> %.</w:t>
      </w:r>
      <w:r>
        <w:rPr>
          <w:rFonts w:ascii="Arial" w:hAnsi="Arial" w:cs="Arial"/>
          <w:sz w:val="22"/>
          <w:szCs w:val="22"/>
        </w:rPr>
        <w:t xml:space="preserve"> Nejvýznamnější zaměstnavatel je společnost Adast Systems, a.s. </w:t>
      </w:r>
    </w:p>
    <w:p w:rsidR="00060EFF" w:rsidRDefault="00060EFF" w:rsidP="00060EFF">
      <w:pPr>
        <w:jc w:val="both"/>
        <w:rPr>
          <w:rFonts w:ascii="Arial" w:hAnsi="Arial" w:cs="Arial"/>
          <w:b/>
          <w:sz w:val="22"/>
          <w:szCs w:val="22"/>
        </w:rPr>
      </w:pPr>
    </w:p>
    <w:p w:rsidR="00060EFF" w:rsidRPr="00A160CA" w:rsidRDefault="00060EFF" w:rsidP="00060EFF">
      <w:pPr>
        <w:jc w:val="both"/>
        <w:rPr>
          <w:rFonts w:ascii="Arial" w:hAnsi="Arial" w:cs="Arial"/>
          <w:b/>
          <w:sz w:val="22"/>
          <w:szCs w:val="22"/>
        </w:rPr>
      </w:pPr>
      <w:r w:rsidRPr="00A160CA">
        <w:rPr>
          <w:rFonts w:ascii="Arial" w:hAnsi="Arial" w:cs="Arial"/>
          <w:b/>
          <w:sz w:val="22"/>
          <w:szCs w:val="22"/>
        </w:rPr>
        <w:t>Blanensko</w:t>
      </w:r>
    </w:p>
    <w:p w:rsidR="00060EFF" w:rsidRDefault="00060EFF" w:rsidP="00060EFF">
      <w:pPr>
        <w:jc w:val="both"/>
        <w:rPr>
          <w:rFonts w:ascii="Arial" w:hAnsi="Arial" w:cs="Arial"/>
          <w:sz w:val="22"/>
          <w:szCs w:val="22"/>
        </w:rPr>
      </w:pPr>
    </w:p>
    <w:p w:rsidR="00060EFF" w:rsidRPr="00646E9A" w:rsidRDefault="00060EFF" w:rsidP="00060EFF">
      <w:pPr>
        <w:jc w:val="both"/>
        <w:rPr>
          <w:rFonts w:ascii="Arial" w:hAnsi="Arial" w:cs="Arial"/>
          <w:sz w:val="22"/>
          <w:szCs w:val="22"/>
        </w:rPr>
      </w:pPr>
      <w:r>
        <w:rPr>
          <w:rFonts w:ascii="Arial" w:hAnsi="Arial" w:cs="Arial"/>
          <w:sz w:val="22"/>
          <w:szCs w:val="22"/>
        </w:rPr>
        <w:t>Mikroregion</w:t>
      </w:r>
      <w:r w:rsidRPr="00C04613">
        <w:rPr>
          <w:rFonts w:ascii="Arial" w:hAnsi="Arial" w:cs="Arial"/>
          <w:sz w:val="22"/>
          <w:szCs w:val="22"/>
        </w:rPr>
        <w:t xml:space="preserve"> Blansko má </w:t>
      </w:r>
      <w:r w:rsidR="00DA4161">
        <w:rPr>
          <w:rFonts w:ascii="Arial" w:hAnsi="Arial" w:cs="Arial"/>
          <w:sz w:val="22"/>
          <w:szCs w:val="22"/>
        </w:rPr>
        <w:t>průmyslový charakter.</w:t>
      </w:r>
      <w:r w:rsidRPr="00C04613">
        <w:rPr>
          <w:rFonts w:ascii="Arial" w:hAnsi="Arial" w:cs="Arial"/>
          <w:sz w:val="22"/>
          <w:szCs w:val="22"/>
        </w:rPr>
        <w:t xml:space="preserve"> Svou polohou je součástí brněnské průmyslové aglomerace. Převažujícím odvětvím se staletou tradicí je strojírenství, následováno textilní výrobou, elektrotechnickým, potravinářským a dřevozpracujícím průmyslem. Nejvýznamnější průmyslové podniky regionu jsou rozmístěny převážně ve význačných sídlech, v těsné blízkosti železniční tratě Brno - Česká Třebová. V Blansku </w:t>
      </w:r>
      <w:r>
        <w:rPr>
          <w:rFonts w:ascii="Arial" w:hAnsi="Arial" w:cs="Arial"/>
          <w:sz w:val="22"/>
          <w:szCs w:val="22"/>
        </w:rPr>
        <w:t>jsou to například</w:t>
      </w:r>
      <w:r w:rsidRPr="00C04613">
        <w:rPr>
          <w:rFonts w:ascii="Arial" w:hAnsi="Arial" w:cs="Arial"/>
          <w:sz w:val="22"/>
          <w:szCs w:val="22"/>
        </w:rPr>
        <w:t xml:space="preserve"> firmy </w:t>
      </w:r>
      <w:r>
        <w:rPr>
          <w:rFonts w:ascii="Arial" w:hAnsi="Arial" w:cs="Arial"/>
          <w:sz w:val="22"/>
          <w:szCs w:val="22"/>
        </w:rPr>
        <w:t>ČKD</w:t>
      </w:r>
      <w:r w:rsidRPr="00C04613">
        <w:rPr>
          <w:rFonts w:ascii="Arial" w:hAnsi="Arial" w:cs="Arial"/>
          <w:sz w:val="22"/>
          <w:szCs w:val="22"/>
        </w:rPr>
        <w:t xml:space="preserve"> Blansko </w:t>
      </w:r>
      <w:r w:rsidRPr="00531922">
        <w:rPr>
          <w:rFonts w:ascii="Arial" w:hAnsi="Arial" w:cs="Arial"/>
          <w:sz w:val="22"/>
          <w:szCs w:val="22"/>
        </w:rPr>
        <w:t>Holding,</w:t>
      </w:r>
      <w:r w:rsidR="00531922" w:rsidRPr="00531922">
        <w:rPr>
          <w:rFonts w:ascii="Arial" w:hAnsi="Arial" w:cs="Arial"/>
          <w:sz w:val="22"/>
          <w:szCs w:val="22"/>
        </w:rPr>
        <w:t xml:space="preserve"> </w:t>
      </w:r>
      <w:r w:rsidRPr="00531922">
        <w:rPr>
          <w:rFonts w:ascii="Arial" w:hAnsi="Arial" w:cs="Arial"/>
          <w:sz w:val="22"/>
          <w:szCs w:val="22"/>
        </w:rPr>
        <w:t xml:space="preserve">a.s., </w:t>
      </w:r>
      <w:r w:rsidRPr="00C04613">
        <w:rPr>
          <w:rFonts w:ascii="Arial" w:hAnsi="Arial" w:cs="Arial"/>
          <w:sz w:val="22"/>
          <w:szCs w:val="22"/>
        </w:rPr>
        <w:t>DSB EURO s.r.o., M</w:t>
      </w:r>
      <w:r>
        <w:rPr>
          <w:rFonts w:ascii="Arial" w:hAnsi="Arial" w:cs="Arial"/>
          <w:sz w:val="22"/>
          <w:szCs w:val="22"/>
        </w:rPr>
        <w:t>etra</w:t>
      </w:r>
      <w:r w:rsidRPr="00C04613">
        <w:rPr>
          <w:rFonts w:ascii="Arial" w:hAnsi="Arial" w:cs="Arial"/>
          <w:sz w:val="22"/>
          <w:szCs w:val="22"/>
        </w:rPr>
        <w:t xml:space="preserve"> </w:t>
      </w:r>
      <w:r>
        <w:rPr>
          <w:rFonts w:ascii="Arial" w:hAnsi="Arial" w:cs="Arial"/>
          <w:sz w:val="22"/>
          <w:szCs w:val="22"/>
        </w:rPr>
        <w:t>Blansko a.s., APOS – AUTO a.s.</w:t>
      </w:r>
      <w:r w:rsidRPr="00646E9A">
        <w:rPr>
          <w:rFonts w:ascii="Arial" w:hAnsi="Arial" w:cs="Arial"/>
          <w:b/>
          <w:sz w:val="22"/>
          <w:szCs w:val="22"/>
        </w:rPr>
        <w:t xml:space="preserve"> </w:t>
      </w:r>
      <w:r w:rsidRPr="00646E9A">
        <w:rPr>
          <w:rFonts w:ascii="Arial" w:hAnsi="Arial" w:cs="Arial"/>
          <w:sz w:val="22"/>
          <w:szCs w:val="22"/>
        </w:rPr>
        <w:t xml:space="preserve">K 31. 12. 2014 bylo v celém mikroregionu evidováno </w:t>
      </w:r>
      <w:r>
        <w:rPr>
          <w:rFonts w:ascii="Arial" w:hAnsi="Arial" w:cs="Arial"/>
          <w:sz w:val="22"/>
          <w:szCs w:val="22"/>
        </w:rPr>
        <w:t>2</w:t>
      </w:r>
      <w:r w:rsidRPr="00646E9A">
        <w:rPr>
          <w:rFonts w:ascii="Arial" w:hAnsi="Arial" w:cs="Arial"/>
          <w:sz w:val="22"/>
          <w:szCs w:val="22"/>
        </w:rPr>
        <w:t xml:space="preserve"> </w:t>
      </w:r>
      <w:r>
        <w:rPr>
          <w:rFonts w:ascii="Arial" w:hAnsi="Arial" w:cs="Arial"/>
          <w:sz w:val="22"/>
          <w:szCs w:val="22"/>
        </w:rPr>
        <w:t>020</w:t>
      </w:r>
      <w:r w:rsidRPr="00646E9A">
        <w:rPr>
          <w:rFonts w:ascii="Arial" w:hAnsi="Arial" w:cs="Arial"/>
          <w:sz w:val="22"/>
          <w:szCs w:val="22"/>
        </w:rPr>
        <w:t xml:space="preserve"> uchazečů o zaměstnání a podíl nezaměstnaných osob činil </w:t>
      </w:r>
      <w:r>
        <w:rPr>
          <w:rFonts w:ascii="Arial" w:hAnsi="Arial" w:cs="Arial"/>
          <w:sz w:val="22"/>
          <w:szCs w:val="22"/>
        </w:rPr>
        <w:t>5</w:t>
      </w:r>
      <w:r w:rsidRPr="00646E9A">
        <w:rPr>
          <w:rFonts w:ascii="Arial" w:hAnsi="Arial" w:cs="Arial"/>
          <w:sz w:val="22"/>
          <w:szCs w:val="22"/>
        </w:rPr>
        <w:t>,</w:t>
      </w:r>
      <w:r>
        <w:rPr>
          <w:rFonts w:ascii="Arial" w:hAnsi="Arial" w:cs="Arial"/>
          <w:sz w:val="22"/>
          <w:szCs w:val="22"/>
        </w:rPr>
        <w:t>5 %, což je v rámci kraje jedna z nejnižších hodnot.</w:t>
      </w:r>
    </w:p>
    <w:p w:rsidR="00060EFF" w:rsidRDefault="00060EFF" w:rsidP="00060EFF">
      <w:pPr>
        <w:jc w:val="both"/>
        <w:rPr>
          <w:rFonts w:ascii="Arial" w:hAnsi="Arial" w:cs="Arial"/>
          <w:sz w:val="22"/>
          <w:szCs w:val="22"/>
        </w:rPr>
      </w:pPr>
    </w:p>
    <w:p w:rsidR="00060EFF" w:rsidRPr="00045975" w:rsidRDefault="00060EFF" w:rsidP="00060EFF">
      <w:pPr>
        <w:pStyle w:val="Zkladntext"/>
        <w:jc w:val="both"/>
        <w:rPr>
          <w:rFonts w:ascii="Arial" w:hAnsi="Arial" w:cs="Arial"/>
          <w:i/>
          <w:sz w:val="22"/>
          <w:szCs w:val="22"/>
        </w:rPr>
      </w:pPr>
      <w:r w:rsidRPr="00045975">
        <w:rPr>
          <w:rFonts w:ascii="Arial" w:hAnsi="Arial" w:cs="Arial"/>
          <w:sz w:val="22"/>
          <w:szCs w:val="22"/>
        </w:rPr>
        <w:t>Boskovicko</w:t>
      </w:r>
    </w:p>
    <w:p w:rsidR="00060EFF" w:rsidRPr="00A160CA" w:rsidRDefault="00060EFF" w:rsidP="00060EFF">
      <w:pPr>
        <w:pStyle w:val="Zkladntext"/>
        <w:jc w:val="both"/>
        <w:rPr>
          <w:b w:val="0"/>
          <w:sz w:val="22"/>
          <w:szCs w:val="22"/>
        </w:rPr>
      </w:pPr>
    </w:p>
    <w:p w:rsidR="00060EFF" w:rsidRPr="00E81EBB" w:rsidRDefault="00060EFF" w:rsidP="00060EFF">
      <w:pPr>
        <w:jc w:val="both"/>
        <w:rPr>
          <w:rFonts w:ascii="Arial" w:hAnsi="Arial" w:cs="Arial"/>
          <w:sz w:val="22"/>
          <w:szCs w:val="22"/>
        </w:rPr>
      </w:pPr>
      <w:r w:rsidRPr="00045975">
        <w:rPr>
          <w:rFonts w:ascii="Arial" w:hAnsi="Arial" w:cs="Arial"/>
          <w:sz w:val="22"/>
          <w:szCs w:val="22"/>
        </w:rPr>
        <w:t>Jedná se o mikroregion, v němž se vzájemně výrazně ovlivňuje průmyslové centrum regionu (Boskovice) a jeho venkovské zázemí, a v jehož zaměstnanecké struktuře je výrazně zastoupeno zemědělství. V mikroregionu je mnohem více rozvinuto živnostenské podnikání než v jiných částech okresu. Specifickou částí mikroregionu je oblast Olešnicka</w:t>
      </w:r>
      <w:r>
        <w:rPr>
          <w:rFonts w:ascii="Arial" w:hAnsi="Arial" w:cs="Arial"/>
          <w:sz w:val="22"/>
          <w:szCs w:val="22"/>
        </w:rPr>
        <w:t>.</w:t>
      </w:r>
      <w:r w:rsidRPr="00045975">
        <w:rPr>
          <w:rFonts w:ascii="Arial" w:hAnsi="Arial" w:cs="Arial"/>
          <w:sz w:val="22"/>
          <w:szCs w:val="22"/>
        </w:rPr>
        <w:t xml:space="preserve"> Hlavním důvodem je omezené množství pracovních </w:t>
      </w:r>
      <w:r>
        <w:rPr>
          <w:rFonts w:ascii="Arial" w:hAnsi="Arial" w:cs="Arial"/>
          <w:sz w:val="22"/>
          <w:szCs w:val="22"/>
        </w:rPr>
        <w:t>příležitostí</w:t>
      </w:r>
      <w:r w:rsidRPr="00045975">
        <w:rPr>
          <w:rFonts w:ascii="Arial" w:hAnsi="Arial" w:cs="Arial"/>
          <w:sz w:val="22"/>
          <w:szCs w:val="22"/>
        </w:rPr>
        <w:t xml:space="preserve"> (práce zejména v zemědělství), chybějící</w:t>
      </w:r>
      <w:r>
        <w:rPr>
          <w:rFonts w:ascii="Arial" w:hAnsi="Arial" w:cs="Arial"/>
          <w:sz w:val="22"/>
          <w:szCs w:val="22"/>
        </w:rPr>
        <w:t xml:space="preserve"> infrastruktura </w:t>
      </w:r>
      <w:r w:rsidRPr="00045975">
        <w:rPr>
          <w:rFonts w:ascii="Arial" w:hAnsi="Arial" w:cs="Arial"/>
          <w:sz w:val="22"/>
          <w:szCs w:val="22"/>
        </w:rPr>
        <w:t xml:space="preserve">a velké vzdálenosti </w:t>
      </w:r>
      <w:r w:rsidR="00DA4161">
        <w:rPr>
          <w:rFonts w:ascii="Arial" w:hAnsi="Arial" w:cs="Arial"/>
          <w:sz w:val="22"/>
          <w:szCs w:val="22"/>
        </w:rPr>
        <w:t>(</w:t>
      </w:r>
      <w:r w:rsidRPr="00045975">
        <w:rPr>
          <w:rFonts w:ascii="Arial" w:hAnsi="Arial" w:cs="Arial"/>
          <w:sz w:val="22"/>
          <w:szCs w:val="22"/>
        </w:rPr>
        <w:t>k vyjížďce za prací</w:t>
      </w:r>
      <w:r w:rsidR="00DA4161">
        <w:rPr>
          <w:rFonts w:ascii="Arial" w:hAnsi="Arial" w:cs="Arial"/>
          <w:sz w:val="22"/>
          <w:szCs w:val="22"/>
        </w:rPr>
        <w:t>)</w:t>
      </w:r>
      <w:r w:rsidRPr="00045975">
        <w:rPr>
          <w:rFonts w:ascii="Arial" w:hAnsi="Arial" w:cs="Arial"/>
          <w:sz w:val="22"/>
          <w:szCs w:val="22"/>
        </w:rPr>
        <w:t xml:space="preserve"> do průmyslových center</w:t>
      </w:r>
      <w:r>
        <w:rPr>
          <w:rFonts w:ascii="Arial" w:hAnsi="Arial" w:cs="Arial"/>
          <w:sz w:val="22"/>
          <w:szCs w:val="22"/>
        </w:rPr>
        <w:t>.</w:t>
      </w:r>
      <w:r w:rsidRPr="00045975">
        <w:rPr>
          <w:rFonts w:ascii="Arial" w:hAnsi="Arial" w:cs="Arial"/>
          <w:sz w:val="22"/>
          <w:szCs w:val="22"/>
        </w:rPr>
        <w:t xml:space="preserve"> </w:t>
      </w:r>
      <w:r>
        <w:rPr>
          <w:rFonts w:ascii="Arial" w:hAnsi="Arial" w:cs="Arial"/>
          <w:sz w:val="22"/>
          <w:szCs w:val="22"/>
        </w:rPr>
        <w:t>N</w:t>
      </w:r>
      <w:r w:rsidRPr="00045975">
        <w:rPr>
          <w:rFonts w:ascii="Arial" w:hAnsi="Arial" w:cs="Arial"/>
          <w:sz w:val="22"/>
          <w:szCs w:val="22"/>
        </w:rPr>
        <w:t xml:space="preserve">ejproblémovější z hlediska podílu nezaměstnaných </w:t>
      </w:r>
      <w:r>
        <w:rPr>
          <w:rFonts w:ascii="Arial" w:hAnsi="Arial" w:cs="Arial"/>
          <w:sz w:val="22"/>
          <w:szCs w:val="22"/>
        </w:rPr>
        <w:t xml:space="preserve">jsou </w:t>
      </w:r>
      <w:r w:rsidRPr="00045975">
        <w:rPr>
          <w:rFonts w:ascii="Arial" w:hAnsi="Arial" w:cs="Arial"/>
          <w:sz w:val="22"/>
          <w:szCs w:val="22"/>
        </w:rPr>
        <w:t>zejména obce Ú</w:t>
      </w:r>
      <w:r>
        <w:rPr>
          <w:rFonts w:ascii="Arial" w:hAnsi="Arial" w:cs="Arial"/>
          <w:sz w:val="22"/>
          <w:szCs w:val="22"/>
        </w:rPr>
        <w:t xml:space="preserve">stup, Křtěnov, Kněževes a Louka. V obci Louka podíl nezaměstnaných osob činil na konci roku 2014 20,0%. </w:t>
      </w:r>
      <w:r w:rsidRPr="00E81EBB">
        <w:rPr>
          <w:rFonts w:ascii="Arial" w:hAnsi="Arial" w:cs="Arial"/>
          <w:sz w:val="22"/>
          <w:szCs w:val="22"/>
        </w:rPr>
        <w:t>K 31. 12. 2014 bylo v celém mikroregionu evidováno 1 823 uchazečů o zaměstnání a podíl nezaměstnaných osob činil 7,6 %. K významným zaměstnavatelům patří Minerva Boskovice, a.s.,  NOVIBRA Boskovice s.r.o., Jednota Boskovice a v Sebranicích společnost ALPS Electric Czech, s.r.o.</w:t>
      </w:r>
    </w:p>
    <w:p w:rsidR="00060EFF" w:rsidRDefault="00060EFF" w:rsidP="00060EFF">
      <w:pPr>
        <w:jc w:val="both"/>
        <w:rPr>
          <w:rFonts w:ascii="Arial" w:hAnsi="Arial" w:cs="Arial"/>
          <w:sz w:val="22"/>
          <w:szCs w:val="22"/>
        </w:rPr>
      </w:pPr>
    </w:p>
    <w:p w:rsidR="00060EFF" w:rsidRPr="00E81EBB" w:rsidRDefault="00060EFF" w:rsidP="00060EFF">
      <w:pPr>
        <w:pStyle w:val="Zkladntext"/>
        <w:jc w:val="both"/>
        <w:rPr>
          <w:rFonts w:ascii="Arial" w:hAnsi="Arial" w:cs="Arial"/>
          <w:sz w:val="22"/>
          <w:szCs w:val="22"/>
        </w:rPr>
      </w:pPr>
      <w:r w:rsidRPr="00E81EBB">
        <w:rPr>
          <w:rFonts w:ascii="Arial" w:hAnsi="Arial" w:cs="Arial"/>
          <w:sz w:val="22"/>
          <w:szCs w:val="22"/>
        </w:rPr>
        <w:t>Letovicko</w:t>
      </w:r>
    </w:p>
    <w:p w:rsidR="00060EFF" w:rsidRPr="00E81EBB" w:rsidRDefault="00060EFF" w:rsidP="00060EFF">
      <w:pPr>
        <w:pStyle w:val="Zkladntext"/>
        <w:jc w:val="both"/>
        <w:rPr>
          <w:rFonts w:ascii="Arial" w:hAnsi="Arial" w:cs="Arial"/>
          <w:sz w:val="22"/>
          <w:szCs w:val="22"/>
        </w:rPr>
      </w:pPr>
    </w:p>
    <w:p w:rsidR="00060EFF" w:rsidRPr="00E81EBB" w:rsidRDefault="00060EFF" w:rsidP="00060EFF">
      <w:pPr>
        <w:pStyle w:val="Zkladntext"/>
        <w:jc w:val="both"/>
        <w:rPr>
          <w:rFonts w:ascii="Arial" w:hAnsi="Arial" w:cs="Arial"/>
          <w:b w:val="0"/>
          <w:sz w:val="22"/>
          <w:szCs w:val="22"/>
        </w:rPr>
      </w:pPr>
      <w:r>
        <w:rPr>
          <w:rFonts w:ascii="Arial" w:hAnsi="Arial" w:cs="Arial"/>
          <w:b w:val="0"/>
          <w:sz w:val="22"/>
          <w:szCs w:val="22"/>
        </w:rPr>
        <w:t>Letovicko je p</w:t>
      </w:r>
      <w:r w:rsidRPr="00E81EBB">
        <w:rPr>
          <w:rFonts w:ascii="Arial" w:hAnsi="Arial" w:cs="Arial"/>
          <w:b w:val="0"/>
          <w:sz w:val="22"/>
          <w:szCs w:val="22"/>
        </w:rPr>
        <w:t>růmyslový mikroregion s </w:t>
      </w:r>
      <w:r w:rsidR="00DA4161">
        <w:rPr>
          <w:rFonts w:ascii="Arial" w:hAnsi="Arial" w:cs="Arial"/>
          <w:b w:val="0"/>
          <w:sz w:val="22"/>
          <w:szCs w:val="22"/>
        </w:rPr>
        <w:t>částečným</w:t>
      </w:r>
      <w:r w:rsidRPr="00E81EBB">
        <w:rPr>
          <w:rFonts w:ascii="Arial" w:hAnsi="Arial" w:cs="Arial"/>
          <w:b w:val="0"/>
          <w:sz w:val="22"/>
          <w:szCs w:val="22"/>
        </w:rPr>
        <w:t xml:space="preserve"> podílem zemědělství na celkové zaměstnanosti. K významným zaměstnavatelům patří firmy Letovické strojírny, s.r.o, Tylex Letovice a.s., LETOPLAST s.r.o., Ledeko a.s., Keramika Letovice, spol. s r.o. Sídlí zde i množství menších firem. Větší část regionu má dobré dopravní spojení jak po silnici, tak i po železnici, problémovou oblastí se špatnou dopravní dostupností je ale oblast Kunštátu s převažujícím zemědělských charakterem a absencí nových podnikatelských aktivit. </w:t>
      </w:r>
      <w:r w:rsidR="00EA2B38">
        <w:rPr>
          <w:rFonts w:ascii="Arial" w:hAnsi="Arial" w:cs="Arial"/>
          <w:b w:val="0"/>
          <w:sz w:val="22"/>
          <w:szCs w:val="22"/>
        </w:rPr>
        <w:t xml:space="preserve">           </w:t>
      </w:r>
      <w:r w:rsidRPr="00E81EBB">
        <w:rPr>
          <w:rFonts w:ascii="Arial" w:hAnsi="Arial" w:cs="Arial"/>
          <w:b w:val="0"/>
          <w:sz w:val="22"/>
          <w:szCs w:val="22"/>
        </w:rPr>
        <w:t xml:space="preserve">K největším zaměstnavatelům patří firma Best Bussines, a.s. (v Kunštátě). K 31. 12. 2014 bylo v uvedeném mikroregionu evidováno </w:t>
      </w:r>
      <w:r>
        <w:rPr>
          <w:rFonts w:ascii="Arial" w:hAnsi="Arial" w:cs="Arial"/>
          <w:b w:val="0"/>
          <w:sz w:val="22"/>
          <w:szCs w:val="22"/>
        </w:rPr>
        <w:t>323</w:t>
      </w:r>
      <w:r w:rsidRPr="00E81EBB">
        <w:rPr>
          <w:rFonts w:ascii="Arial" w:hAnsi="Arial" w:cs="Arial"/>
          <w:b w:val="0"/>
          <w:sz w:val="22"/>
          <w:szCs w:val="22"/>
        </w:rPr>
        <w:t xml:space="preserve"> uchazečů o </w:t>
      </w:r>
      <w:r>
        <w:rPr>
          <w:rFonts w:ascii="Arial" w:hAnsi="Arial" w:cs="Arial"/>
          <w:b w:val="0"/>
          <w:sz w:val="22"/>
          <w:szCs w:val="22"/>
        </w:rPr>
        <w:t>zaměstnání a</w:t>
      </w:r>
      <w:r w:rsidRPr="00E81EBB">
        <w:rPr>
          <w:rFonts w:ascii="Arial" w:hAnsi="Arial" w:cs="Arial"/>
          <w:b w:val="0"/>
          <w:sz w:val="22"/>
          <w:szCs w:val="22"/>
        </w:rPr>
        <w:t xml:space="preserve"> </w:t>
      </w:r>
      <w:r>
        <w:rPr>
          <w:rFonts w:ascii="Arial" w:hAnsi="Arial" w:cs="Arial"/>
          <w:b w:val="0"/>
          <w:sz w:val="22"/>
          <w:szCs w:val="22"/>
        </w:rPr>
        <w:t>podíl nezaměstnaných osob</w:t>
      </w:r>
      <w:r w:rsidRPr="00E81EBB">
        <w:rPr>
          <w:rFonts w:ascii="Arial" w:hAnsi="Arial" w:cs="Arial"/>
          <w:b w:val="0"/>
          <w:sz w:val="22"/>
          <w:szCs w:val="22"/>
        </w:rPr>
        <w:t> </w:t>
      </w:r>
      <w:r>
        <w:rPr>
          <w:rFonts w:ascii="Arial" w:hAnsi="Arial" w:cs="Arial"/>
          <w:b w:val="0"/>
          <w:sz w:val="22"/>
          <w:szCs w:val="22"/>
        </w:rPr>
        <w:t>dosáhl</w:t>
      </w:r>
      <w:r w:rsidRPr="00E81EBB">
        <w:rPr>
          <w:rFonts w:ascii="Arial" w:hAnsi="Arial" w:cs="Arial"/>
          <w:b w:val="0"/>
          <w:sz w:val="22"/>
          <w:szCs w:val="22"/>
        </w:rPr>
        <w:t xml:space="preserve"> </w:t>
      </w:r>
      <w:r>
        <w:rPr>
          <w:rFonts w:ascii="Arial" w:hAnsi="Arial" w:cs="Arial"/>
          <w:b w:val="0"/>
          <w:sz w:val="22"/>
          <w:szCs w:val="22"/>
        </w:rPr>
        <w:t>7</w:t>
      </w:r>
      <w:r w:rsidRPr="00E81EBB">
        <w:rPr>
          <w:rFonts w:ascii="Arial" w:hAnsi="Arial" w:cs="Arial"/>
          <w:b w:val="0"/>
          <w:sz w:val="22"/>
          <w:szCs w:val="22"/>
        </w:rPr>
        <w:t>,</w:t>
      </w:r>
      <w:r>
        <w:rPr>
          <w:rFonts w:ascii="Arial" w:hAnsi="Arial" w:cs="Arial"/>
          <w:b w:val="0"/>
          <w:sz w:val="22"/>
          <w:szCs w:val="22"/>
        </w:rPr>
        <w:t>5</w:t>
      </w:r>
      <w:r w:rsidRPr="00E81EBB">
        <w:rPr>
          <w:rFonts w:ascii="Arial" w:hAnsi="Arial" w:cs="Arial"/>
          <w:b w:val="0"/>
          <w:sz w:val="22"/>
          <w:szCs w:val="22"/>
        </w:rPr>
        <w:t xml:space="preserve"> %. </w:t>
      </w:r>
    </w:p>
    <w:p w:rsidR="00060EFF" w:rsidRDefault="00060EFF" w:rsidP="00060EFF">
      <w:pPr>
        <w:jc w:val="both"/>
        <w:rPr>
          <w:rFonts w:ascii="Arial" w:hAnsi="Arial" w:cs="Arial"/>
          <w:sz w:val="22"/>
          <w:szCs w:val="22"/>
        </w:rPr>
      </w:pPr>
    </w:p>
    <w:p w:rsidR="00060EFF" w:rsidRPr="00E81EBB" w:rsidRDefault="00060EFF" w:rsidP="00060EFF">
      <w:pPr>
        <w:jc w:val="both"/>
        <w:rPr>
          <w:rFonts w:ascii="Arial" w:hAnsi="Arial" w:cs="Arial"/>
          <w:b/>
          <w:sz w:val="22"/>
          <w:szCs w:val="22"/>
        </w:rPr>
      </w:pPr>
      <w:r>
        <w:rPr>
          <w:rFonts w:ascii="Arial" w:hAnsi="Arial" w:cs="Arial"/>
          <w:b/>
          <w:sz w:val="22"/>
          <w:szCs w:val="22"/>
        </w:rPr>
        <w:t>Velko</w:t>
      </w:r>
      <w:r w:rsidR="00DA4161">
        <w:rPr>
          <w:rFonts w:ascii="Arial" w:hAnsi="Arial" w:cs="Arial"/>
          <w:b/>
          <w:sz w:val="22"/>
          <w:szCs w:val="22"/>
        </w:rPr>
        <w:t>o</w:t>
      </w:r>
      <w:r>
        <w:rPr>
          <w:rFonts w:ascii="Arial" w:hAnsi="Arial" w:cs="Arial"/>
          <w:b/>
          <w:sz w:val="22"/>
          <w:szCs w:val="22"/>
        </w:rPr>
        <w:t>patovicko</w:t>
      </w:r>
    </w:p>
    <w:p w:rsidR="00060EFF" w:rsidRPr="00E81EBB" w:rsidRDefault="00060EFF" w:rsidP="00060EFF">
      <w:pPr>
        <w:jc w:val="both"/>
        <w:rPr>
          <w:rFonts w:ascii="Arial" w:hAnsi="Arial" w:cs="Arial"/>
          <w:sz w:val="22"/>
          <w:szCs w:val="22"/>
        </w:rPr>
      </w:pPr>
    </w:p>
    <w:p w:rsidR="00060EFF" w:rsidRDefault="00060EFF" w:rsidP="00060EFF">
      <w:pPr>
        <w:jc w:val="both"/>
        <w:rPr>
          <w:rFonts w:ascii="Arial" w:hAnsi="Arial" w:cs="Arial"/>
          <w:sz w:val="22"/>
          <w:szCs w:val="22"/>
        </w:rPr>
      </w:pPr>
      <w:r>
        <w:rPr>
          <w:rFonts w:ascii="Arial" w:hAnsi="Arial" w:cs="Arial"/>
          <w:sz w:val="22"/>
          <w:szCs w:val="22"/>
        </w:rPr>
        <w:t>Jedná se p</w:t>
      </w:r>
      <w:r w:rsidRPr="00E81EBB">
        <w:rPr>
          <w:rFonts w:ascii="Arial" w:hAnsi="Arial" w:cs="Arial"/>
          <w:sz w:val="22"/>
          <w:szCs w:val="22"/>
        </w:rPr>
        <w:t>růmyslově</w:t>
      </w:r>
      <w:r>
        <w:rPr>
          <w:rFonts w:ascii="Arial" w:hAnsi="Arial" w:cs="Arial"/>
          <w:sz w:val="22"/>
          <w:szCs w:val="22"/>
        </w:rPr>
        <w:t xml:space="preserve"> -</w:t>
      </w:r>
      <w:r w:rsidRPr="00E81EBB">
        <w:rPr>
          <w:rFonts w:ascii="Arial" w:hAnsi="Arial" w:cs="Arial"/>
          <w:sz w:val="22"/>
          <w:szCs w:val="22"/>
        </w:rPr>
        <w:t xml:space="preserve"> zemědělský region s jediným dominantním zaměstnavatelem (tím je společnost P – D Refractories CZ a.s.)  a několika menšími – VOS zemědělců, a.s., Interkontakt, spediční a obchod. servis, spol. s r.o.,  Inkova spol. s r.o., Molat spol.s r.o. K 31. 12. 2014 bylo v tomto mikroregionu evidováno celkem 375 uchazečů o zaměstnání a</w:t>
      </w:r>
      <w:r>
        <w:rPr>
          <w:rFonts w:ascii="Arial" w:hAnsi="Arial" w:cs="Arial"/>
          <w:sz w:val="22"/>
          <w:szCs w:val="22"/>
        </w:rPr>
        <w:t xml:space="preserve"> podíl nezaměstnaných osob činil 8</w:t>
      </w:r>
      <w:r w:rsidRPr="00E81EBB">
        <w:rPr>
          <w:rFonts w:ascii="Arial" w:hAnsi="Arial" w:cs="Arial"/>
          <w:sz w:val="22"/>
          <w:szCs w:val="22"/>
        </w:rPr>
        <w:t>,</w:t>
      </w:r>
      <w:r>
        <w:rPr>
          <w:rFonts w:ascii="Arial" w:hAnsi="Arial" w:cs="Arial"/>
          <w:sz w:val="22"/>
          <w:szCs w:val="22"/>
        </w:rPr>
        <w:t>2</w:t>
      </w:r>
      <w:r w:rsidRPr="00E81EBB">
        <w:rPr>
          <w:rFonts w:ascii="Arial" w:hAnsi="Arial" w:cs="Arial"/>
          <w:sz w:val="22"/>
          <w:szCs w:val="22"/>
        </w:rPr>
        <w:t xml:space="preserve"> %.  </w:t>
      </w:r>
    </w:p>
    <w:p w:rsidR="00B0094B" w:rsidRDefault="00B0094B" w:rsidP="00B0094B"/>
    <w:p w:rsidR="00060EFF" w:rsidRPr="00DA4161" w:rsidRDefault="00060EFF" w:rsidP="00B0094B">
      <w:pPr>
        <w:rPr>
          <w:rFonts w:ascii="Arial" w:hAnsi="Arial" w:cs="Arial"/>
          <w:b/>
          <w:sz w:val="22"/>
          <w:szCs w:val="22"/>
          <w:u w:val="single"/>
        </w:rPr>
      </w:pPr>
      <w:r w:rsidRPr="00DA4161">
        <w:rPr>
          <w:rFonts w:ascii="Arial" w:hAnsi="Arial" w:cs="Arial"/>
          <w:b/>
          <w:sz w:val="22"/>
          <w:szCs w:val="22"/>
          <w:u w:val="single"/>
        </w:rPr>
        <w:t>Silné stránky okresu</w:t>
      </w:r>
    </w:p>
    <w:p w:rsidR="00060EFF" w:rsidRPr="00B61805" w:rsidRDefault="00060EFF" w:rsidP="00B0094B">
      <w:pPr>
        <w:rPr>
          <w:rFonts w:ascii="Arial" w:hAnsi="Arial" w:cs="Arial"/>
          <w:sz w:val="22"/>
          <w:szCs w:val="22"/>
        </w:rPr>
      </w:pPr>
    </w:p>
    <w:p w:rsidR="00060EFF" w:rsidRPr="00B61805" w:rsidRDefault="00060EFF" w:rsidP="00B0094B">
      <w:pPr>
        <w:numPr>
          <w:ilvl w:val="0"/>
          <w:numId w:val="1"/>
        </w:numPr>
        <w:tabs>
          <w:tab w:val="clear" w:pos="1245"/>
        </w:tabs>
        <w:ind w:left="900" w:hanging="540"/>
        <w:rPr>
          <w:rFonts w:ascii="Arial" w:hAnsi="Arial" w:cs="Arial"/>
          <w:sz w:val="22"/>
          <w:szCs w:val="22"/>
        </w:rPr>
      </w:pPr>
      <w:r w:rsidRPr="00B61805">
        <w:rPr>
          <w:rFonts w:ascii="Arial" w:hAnsi="Arial" w:cs="Arial"/>
          <w:sz w:val="22"/>
          <w:szCs w:val="22"/>
        </w:rPr>
        <w:t>staletá tradice strojírenské výroby</w:t>
      </w:r>
    </w:p>
    <w:p w:rsidR="00060EFF" w:rsidRPr="00B61805" w:rsidRDefault="00060EFF" w:rsidP="00B0094B">
      <w:pPr>
        <w:numPr>
          <w:ilvl w:val="0"/>
          <w:numId w:val="1"/>
        </w:numPr>
        <w:tabs>
          <w:tab w:val="clear" w:pos="1245"/>
        </w:tabs>
        <w:ind w:left="900" w:hanging="540"/>
        <w:rPr>
          <w:rFonts w:ascii="Arial" w:hAnsi="Arial" w:cs="Arial"/>
          <w:sz w:val="22"/>
          <w:szCs w:val="22"/>
        </w:rPr>
      </w:pPr>
      <w:r w:rsidRPr="00B61805">
        <w:rPr>
          <w:rFonts w:ascii="Arial" w:hAnsi="Arial" w:cs="Arial"/>
          <w:sz w:val="22"/>
          <w:szCs w:val="22"/>
        </w:rPr>
        <w:t>existence nově vybudovaných průmyslových zón</w:t>
      </w:r>
    </w:p>
    <w:p w:rsidR="00060EFF" w:rsidRPr="00B61805" w:rsidRDefault="00060EFF" w:rsidP="00B0094B">
      <w:pPr>
        <w:numPr>
          <w:ilvl w:val="0"/>
          <w:numId w:val="1"/>
        </w:numPr>
        <w:tabs>
          <w:tab w:val="clear" w:pos="1245"/>
        </w:tabs>
        <w:ind w:left="900" w:hanging="540"/>
        <w:rPr>
          <w:rFonts w:ascii="Arial" w:hAnsi="Arial" w:cs="Arial"/>
          <w:sz w:val="22"/>
          <w:szCs w:val="22"/>
        </w:rPr>
      </w:pPr>
      <w:r w:rsidRPr="00B61805">
        <w:rPr>
          <w:rFonts w:ascii="Arial" w:hAnsi="Arial" w:cs="Arial"/>
          <w:sz w:val="22"/>
          <w:szCs w:val="22"/>
        </w:rPr>
        <w:t>kvalifikovaná pracovní síla</w:t>
      </w:r>
    </w:p>
    <w:p w:rsidR="00060EFF" w:rsidRPr="00B61805" w:rsidRDefault="00060EFF" w:rsidP="00B0094B">
      <w:pPr>
        <w:numPr>
          <w:ilvl w:val="0"/>
          <w:numId w:val="1"/>
        </w:numPr>
        <w:tabs>
          <w:tab w:val="clear" w:pos="1245"/>
        </w:tabs>
        <w:ind w:left="900" w:hanging="540"/>
        <w:rPr>
          <w:rFonts w:ascii="Arial" w:hAnsi="Arial" w:cs="Arial"/>
          <w:sz w:val="22"/>
          <w:szCs w:val="22"/>
        </w:rPr>
      </w:pPr>
      <w:r w:rsidRPr="00B61805">
        <w:rPr>
          <w:rFonts w:ascii="Arial" w:hAnsi="Arial" w:cs="Arial"/>
          <w:sz w:val="22"/>
          <w:szCs w:val="22"/>
        </w:rPr>
        <w:t>dobrá vzdělanostní úroveň</w:t>
      </w:r>
    </w:p>
    <w:p w:rsidR="00060EFF" w:rsidRPr="00B61805" w:rsidRDefault="00060EFF" w:rsidP="00B0094B">
      <w:pPr>
        <w:numPr>
          <w:ilvl w:val="0"/>
          <w:numId w:val="1"/>
        </w:numPr>
        <w:tabs>
          <w:tab w:val="clear" w:pos="1245"/>
        </w:tabs>
        <w:ind w:left="900" w:hanging="540"/>
        <w:rPr>
          <w:rFonts w:ascii="Arial" w:hAnsi="Arial" w:cs="Arial"/>
          <w:sz w:val="22"/>
          <w:szCs w:val="22"/>
        </w:rPr>
      </w:pPr>
      <w:r w:rsidRPr="00B61805">
        <w:rPr>
          <w:rFonts w:ascii="Arial" w:hAnsi="Arial" w:cs="Arial"/>
          <w:sz w:val="22"/>
          <w:szCs w:val="22"/>
        </w:rPr>
        <w:t>dobrá silniční i železniční dostupnost regionu</w:t>
      </w:r>
    </w:p>
    <w:p w:rsidR="00060EFF" w:rsidRPr="00B61805" w:rsidRDefault="00060EFF" w:rsidP="00B0094B">
      <w:pPr>
        <w:numPr>
          <w:ilvl w:val="0"/>
          <w:numId w:val="1"/>
        </w:numPr>
        <w:tabs>
          <w:tab w:val="clear" w:pos="1245"/>
        </w:tabs>
        <w:ind w:left="900" w:hanging="540"/>
        <w:rPr>
          <w:rFonts w:ascii="Arial" w:hAnsi="Arial" w:cs="Arial"/>
          <w:sz w:val="22"/>
          <w:szCs w:val="22"/>
        </w:rPr>
      </w:pPr>
      <w:r w:rsidRPr="00B61805">
        <w:rPr>
          <w:rFonts w:ascii="Arial" w:hAnsi="Arial" w:cs="Arial"/>
          <w:sz w:val="22"/>
          <w:szCs w:val="22"/>
        </w:rPr>
        <w:t>atraktivní oblast z hlediska rozvoje cestovního a turistického ruchu</w:t>
      </w:r>
    </w:p>
    <w:p w:rsidR="00060EFF" w:rsidRPr="00B61805" w:rsidRDefault="00060EFF" w:rsidP="00B0094B">
      <w:pPr>
        <w:rPr>
          <w:rFonts w:ascii="Arial" w:hAnsi="Arial" w:cs="Arial"/>
          <w:sz w:val="22"/>
          <w:szCs w:val="22"/>
        </w:rPr>
      </w:pPr>
    </w:p>
    <w:p w:rsidR="00060EFF" w:rsidRPr="00DA4161" w:rsidRDefault="00060EFF" w:rsidP="00B0094B">
      <w:pPr>
        <w:rPr>
          <w:rFonts w:ascii="Arial" w:hAnsi="Arial" w:cs="Arial"/>
          <w:b/>
          <w:sz w:val="22"/>
          <w:szCs w:val="22"/>
          <w:u w:val="single"/>
        </w:rPr>
      </w:pPr>
      <w:r w:rsidRPr="00DA4161">
        <w:rPr>
          <w:rFonts w:ascii="Arial" w:hAnsi="Arial" w:cs="Arial"/>
          <w:b/>
          <w:sz w:val="22"/>
          <w:szCs w:val="22"/>
          <w:u w:val="single"/>
        </w:rPr>
        <w:t>Slabé stránky okresu</w:t>
      </w:r>
    </w:p>
    <w:p w:rsidR="00060EFF" w:rsidRPr="00B61805" w:rsidRDefault="00060EFF" w:rsidP="00B0094B">
      <w:pPr>
        <w:rPr>
          <w:rFonts w:ascii="Arial" w:hAnsi="Arial" w:cs="Arial"/>
          <w:sz w:val="22"/>
          <w:szCs w:val="22"/>
        </w:rPr>
      </w:pPr>
    </w:p>
    <w:p w:rsidR="00060EFF" w:rsidRPr="00B61805" w:rsidRDefault="00060EFF" w:rsidP="00B0094B">
      <w:pPr>
        <w:numPr>
          <w:ilvl w:val="0"/>
          <w:numId w:val="2"/>
        </w:numPr>
        <w:jc w:val="both"/>
        <w:rPr>
          <w:rFonts w:ascii="Arial" w:hAnsi="Arial" w:cs="Arial"/>
          <w:sz w:val="22"/>
          <w:szCs w:val="22"/>
        </w:rPr>
      </w:pPr>
      <w:r w:rsidRPr="00B61805">
        <w:rPr>
          <w:rFonts w:ascii="Arial" w:hAnsi="Arial" w:cs="Arial"/>
          <w:sz w:val="22"/>
          <w:szCs w:val="22"/>
        </w:rPr>
        <w:t xml:space="preserve">nedostatek volných pracovních míst </w:t>
      </w:r>
    </w:p>
    <w:p w:rsidR="00060EFF" w:rsidRPr="00B61805" w:rsidRDefault="00060EFF" w:rsidP="00B0094B">
      <w:pPr>
        <w:numPr>
          <w:ilvl w:val="0"/>
          <w:numId w:val="2"/>
        </w:numPr>
        <w:jc w:val="both"/>
        <w:rPr>
          <w:rFonts w:ascii="Arial" w:hAnsi="Arial" w:cs="Arial"/>
          <w:sz w:val="22"/>
          <w:szCs w:val="22"/>
        </w:rPr>
      </w:pPr>
      <w:r w:rsidRPr="00B61805">
        <w:rPr>
          <w:rFonts w:ascii="Arial" w:hAnsi="Arial" w:cs="Arial"/>
          <w:sz w:val="22"/>
          <w:szCs w:val="22"/>
        </w:rPr>
        <w:t>podprůměrná úroveň mezd</w:t>
      </w:r>
    </w:p>
    <w:p w:rsidR="00060EFF" w:rsidRPr="00B61805" w:rsidRDefault="00060EFF" w:rsidP="00B0094B">
      <w:pPr>
        <w:numPr>
          <w:ilvl w:val="0"/>
          <w:numId w:val="2"/>
        </w:numPr>
        <w:jc w:val="both"/>
        <w:rPr>
          <w:rFonts w:ascii="Arial" w:hAnsi="Arial" w:cs="Arial"/>
          <w:sz w:val="22"/>
          <w:szCs w:val="22"/>
        </w:rPr>
      </w:pPr>
      <w:r w:rsidRPr="00B61805">
        <w:rPr>
          <w:rFonts w:ascii="Arial" w:hAnsi="Arial" w:cs="Arial"/>
          <w:sz w:val="22"/>
          <w:szCs w:val="22"/>
        </w:rPr>
        <w:t xml:space="preserve">přetíženost silnice  1. tř. č. 43 </w:t>
      </w:r>
    </w:p>
    <w:p w:rsidR="00060EFF" w:rsidRPr="00B61805" w:rsidRDefault="00060EFF" w:rsidP="00B0094B">
      <w:pPr>
        <w:numPr>
          <w:ilvl w:val="0"/>
          <w:numId w:val="2"/>
        </w:numPr>
        <w:jc w:val="both"/>
        <w:rPr>
          <w:rFonts w:ascii="Arial" w:hAnsi="Arial" w:cs="Arial"/>
          <w:sz w:val="22"/>
          <w:szCs w:val="22"/>
        </w:rPr>
      </w:pPr>
      <w:r w:rsidRPr="00B61805">
        <w:rPr>
          <w:rFonts w:ascii="Arial" w:hAnsi="Arial" w:cs="Arial"/>
          <w:sz w:val="22"/>
          <w:szCs w:val="22"/>
        </w:rPr>
        <w:t>špatná silniční dostupnost mikroregionu Adamov</w:t>
      </w:r>
      <w:r>
        <w:rPr>
          <w:rFonts w:ascii="Arial" w:hAnsi="Arial" w:cs="Arial"/>
          <w:sz w:val="22"/>
          <w:szCs w:val="22"/>
        </w:rPr>
        <w:t>,</w:t>
      </w:r>
      <w:r w:rsidRPr="00B61805">
        <w:rPr>
          <w:rFonts w:ascii="Arial" w:hAnsi="Arial" w:cs="Arial"/>
          <w:sz w:val="22"/>
          <w:szCs w:val="22"/>
        </w:rPr>
        <w:t xml:space="preserve"> Kunštát</w:t>
      </w:r>
      <w:r>
        <w:rPr>
          <w:rFonts w:ascii="Arial" w:hAnsi="Arial" w:cs="Arial"/>
          <w:sz w:val="22"/>
          <w:szCs w:val="22"/>
        </w:rPr>
        <w:t xml:space="preserve"> a Olešnice</w:t>
      </w:r>
    </w:p>
    <w:p w:rsidR="00060EFF" w:rsidRDefault="00060EFF" w:rsidP="00060EFF">
      <w:pPr>
        <w:jc w:val="both"/>
        <w:rPr>
          <w:rFonts w:ascii="Arial" w:hAnsi="Arial" w:cs="Arial"/>
          <w:b/>
          <w:sz w:val="22"/>
          <w:szCs w:val="22"/>
        </w:rPr>
      </w:pPr>
    </w:p>
    <w:p w:rsidR="00E978A4" w:rsidRDefault="00E978A4" w:rsidP="00060EFF">
      <w:pPr>
        <w:jc w:val="both"/>
        <w:rPr>
          <w:rFonts w:ascii="Arial" w:hAnsi="Arial" w:cs="Arial"/>
          <w:b/>
        </w:rPr>
      </w:pPr>
    </w:p>
    <w:p w:rsidR="00060EFF" w:rsidRPr="00296A41" w:rsidRDefault="00060EFF" w:rsidP="00060EFF">
      <w:pPr>
        <w:jc w:val="both"/>
        <w:rPr>
          <w:rFonts w:ascii="Arial" w:hAnsi="Arial" w:cs="Arial"/>
          <w:b/>
        </w:rPr>
      </w:pPr>
      <w:r w:rsidRPr="00296A41">
        <w:rPr>
          <w:rFonts w:ascii="Arial" w:hAnsi="Arial" w:cs="Arial"/>
          <w:b/>
        </w:rPr>
        <w:t>Okres Brno-město</w:t>
      </w:r>
    </w:p>
    <w:p w:rsidR="00060EFF" w:rsidRDefault="00060EFF" w:rsidP="00060EFF">
      <w:pPr>
        <w:jc w:val="both"/>
        <w:rPr>
          <w:rFonts w:ascii="Arial" w:hAnsi="Arial" w:cs="Arial"/>
          <w:sz w:val="22"/>
          <w:szCs w:val="22"/>
        </w:rPr>
      </w:pPr>
    </w:p>
    <w:p w:rsidR="00060EFF" w:rsidRDefault="00060EFF" w:rsidP="00060EFF">
      <w:pPr>
        <w:jc w:val="both"/>
        <w:rPr>
          <w:rFonts w:ascii="Arial" w:hAnsi="Arial" w:cs="Arial"/>
          <w:sz w:val="22"/>
          <w:szCs w:val="22"/>
        </w:rPr>
      </w:pPr>
      <w:r w:rsidRPr="008D41B2">
        <w:rPr>
          <w:rFonts w:ascii="Arial" w:hAnsi="Arial" w:cs="Arial"/>
          <w:sz w:val="22"/>
          <w:szCs w:val="22"/>
        </w:rPr>
        <w:t xml:space="preserve">Podíl nezaměstnaných osob </w:t>
      </w:r>
      <w:r w:rsidRPr="008451B9">
        <w:rPr>
          <w:rFonts w:ascii="Arial" w:hAnsi="Arial" w:cs="Arial"/>
          <w:sz w:val="22"/>
          <w:szCs w:val="22"/>
        </w:rPr>
        <w:t>dosah</w:t>
      </w:r>
      <w:r>
        <w:rPr>
          <w:rFonts w:ascii="Arial" w:hAnsi="Arial" w:cs="Arial"/>
          <w:sz w:val="22"/>
          <w:szCs w:val="22"/>
        </w:rPr>
        <w:t>oval na konci roku 2014</w:t>
      </w:r>
      <w:r w:rsidRPr="008451B9">
        <w:rPr>
          <w:rFonts w:ascii="Arial" w:hAnsi="Arial" w:cs="Arial"/>
          <w:sz w:val="22"/>
          <w:szCs w:val="22"/>
        </w:rPr>
        <w:t xml:space="preserve"> v okrese Brno-město hodnoty 8,</w:t>
      </w:r>
      <w:r>
        <w:rPr>
          <w:rFonts w:ascii="Arial" w:hAnsi="Arial" w:cs="Arial"/>
          <w:sz w:val="22"/>
          <w:szCs w:val="22"/>
        </w:rPr>
        <w:t>8</w:t>
      </w:r>
      <w:r w:rsidRPr="008451B9">
        <w:rPr>
          <w:rFonts w:ascii="Arial" w:hAnsi="Arial" w:cs="Arial"/>
          <w:sz w:val="22"/>
          <w:szCs w:val="22"/>
        </w:rPr>
        <w:t xml:space="preserve">%. </w:t>
      </w:r>
      <w:r>
        <w:rPr>
          <w:rFonts w:ascii="Arial" w:hAnsi="Arial" w:cs="Arial"/>
          <w:sz w:val="22"/>
          <w:szCs w:val="22"/>
        </w:rPr>
        <w:t>Na konci roku 2014</w:t>
      </w:r>
      <w:r w:rsidRPr="008D41B2">
        <w:rPr>
          <w:rFonts w:ascii="Arial" w:hAnsi="Arial" w:cs="Arial"/>
          <w:sz w:val="22"/>
          <w:szCs w:val="22"/>
        </w:rPr>
        <w:t xml:space="preserve"> bylo v Brně průměrně evidováno celkem </w:t>
      </w:r>
      <w:r>
        <w:rPr>
          <w:rFonts w:ascii="Arial" w:hAnsi="Arial" w:cs="Arial"/>
          <w:sz w:val="22"/>
          <w:szCs w:val="22"/>
        </w:rPr>
        <w:t>1 524</w:t>
      </w:r>
      <w:r w:rsidRPr="008D41B2">
        <w:rPr>
          <w:rFonts w:ascii="Arial" w:hAnsi="Arial" w:cs="Arial"/>
          <w:b/>
          <w:sz w:val="22"/>
          <w:szCs w:val="22"/>
        </w:rPr>
        <w:t xml:space="preserve"> </w:t>
      </w:r>
      <w:r w:rsidRPr="008D41B2">
        <w:rPr>
          <w:rFonts w:ascii="Arial" w:hAnsi="Arial" w:cs="Arial"/>
          <w:sz w:val="22"/>
          <w:szCs w:val="22"/>
        </w:rPr>
        <w:t xml:space="preserve">volných pracovních míst. O každé z nich se tedy ve městě ucházelo </w:t>
      </w:r>
      <w:r>
        <w:rPr>
          <w:rFonts w:ascii="Arial" w:hAnsi="Arial" w:cs="Arial"/>
          <w:sz w:val="22"/>
          <w:szCs w:val="22"/>
        </w:rPr>
        <w:t>14</w:t>
      </w:r>
      <w:r w:rsidRPr="008D41B2">
        <w:rPr>
          <w:rFonts w:ascii="Arial" w:hAnsi="Arial" w:cs="Arial"/>
          <w:sz w:val="22"/>
          <w:szCs w:val="22"/>
        </w:rPr>
        <w:t>,</w:t>
      </w:r>
      <w:r>
        <w:rPr>
          <w:rFonts w:ascii="Arial" w:hAnsi="Arial" w:cs="Arial"/>
          <w:sz w:val="22"/>
          <w:szCs w:val="22"/>
        </w:rPr>
        <w:t>8</w:t>
      </w:r>
      <w:r w:rsidRPr="008D41B2">
        <w:rPr>
          <w:rFonts w:ascii="Arial" w:hAnsi="Arial" w:cs="Arial"/>
          <w:sz w:val="22"/>
          <w:szCs w:val="22"/>
        </w:rPr>
        <w:t xml:space="preserve"> nezaměstnaných. Vzhledem k tomu, že se jedná o krajsk</w:t>
      </w:r>
      <w:r w:rsidR="00E978A4">
        <w:rPr>
          <w:rFonts w:ascii="Arial" w:hAnsi="Arial" w:cs="Arial"/>
          <w:sz w:val="22"/>
          <w:szCs w:val="22"/>
        </w:rPr>
        <w:t>é</w:t>
      </w:r>
      <w:r w:rsidRPr="008D41B2">
        <w:rPr>
          <w:rFonts w:ascii="Arial" w:hAnsi="Arial" w:cs="Arial"/>
          <w:sz w:val="22"/>
          <w:szCs w:val="22"/>
        </w:rPr>
        <w:t xml:space="preserve">, a zároveň druhé největší město ČR je to hodnota extrémně vysoká, neboť aktuální průměr celé ČR dosahuje </w:t>
      </w:r>
      <w:r>
        <w:rPr>
          <w:rFonts w:ascii="Arial" w:hAnsi="Arial" w:cs="Arial"/>
          <w:sz w:val="22"/>
          <w:szCs w:val="22"/>
        </w:rPr>
        <w:t>9</w:t>
      </w:r>
      <w:r w:rsidRPr="008D41B2">
        <w:rPr>
          <w:rFonts w:ascii="Arial" w:hAnsi="Arial" w:cs="Arial"/>
          <w:sz w:val="22"/>
          <w:szCs w:val="22"/>
        </w:rPr>
        <w:t>,</w:t>
      </w:r>
      <w:r>
        <w:rPr>
          <w:rFonts w:ascii="Arial" w:hAnsi="Arial" w:cs="Arial"/>
          <w:sz w:val="22"/>
          <w:szCs w:val="22"/>
        </w:rPr>
        <w:t>2</w:t>
      </w:r>
      <w:r w:rsidRPr="008D41B2">
        <w:rPr>
          <w:rFonts w:ascii="Arial" w:hAnsi="Arial" w:cs="Arial"/>
          <w:sz w:val="22"/>
          <w:szCs w:val="22"/>
        </w:rPr>
        <w:t xml:space="preserve"> osob na jedno volné pracovní místo</w:t>
      </w:r>
      <w:r>
        <w:rPr>
          <w:rFonts w:ascii="Arial" w:hAnsi="Arial" w:cs="Arial"/>
          <w:sz w:val="22"/>
          <w:szCs w:val="22"/>
        </w:rPr>
        <w:t>.</w:t>
      </w:r>
    </w:p>
    <w:p w:rsidR="00060EFF" w:rsidRDefault="00060EFF" w:rsidP="00060EFF">
      <w:pPr>
        <w:jc w:val="both"/>
        <w:rPr>
          <w:rFonts w:ascii="Arial" w:hAnsi="Arial" w:cs="Arial"/>
          <w:sz w:val="22"/>
          <w:szCs w:val="22"/>
        </w:rPr>
      </w:pPr>
    </w:p>
    <w:p w:rsidR="00060EFF" w:rsidRPr="00531922" w:rsidRDefault="00531922" w:rsidP="007168E0">
      <w:pPr>
        <w:pStyle w:val="Bezmezer"/>
        <w:spacing w:line="276" w:lineRule="auto"/>
        <w:rPr>
          <w:rFonts w:ascii="Arial" w:hAnsi="Arial" w:cs="Arial"/>
          <w:b/>
          <w:i/>
          <w:sz w:val="20"/>
          <w:szCs w:val="20"/>
        </w:rPr>
      </w:pPr>
      <w:r w:rsidRPr="00531922">
        <w:rPr>
          <w:rFonts w:ascii="Arial" w:hAnsi="Arial" w:cs="Arial"/>
          <w:b/>
          <w:i/>
          <w:sz w:val="20"/>
          <w:szCs w:val="20"/>
        </w:rPr>
        <w:t xml:space="preserve">Tab. </w:t>
      </w:r>
      <w:r w:rsidRPr="00531922">
        <w:rPr>
          <w:rFonts w:ascii="Arial" w:hAnsi="Arial" w:cs="Arial"/>
          <w:b/>
          <w:i/>
          <w:sz w:val="20"/>
          <w:szCs w:val="20"/>
        </w:rPr>
        <w:fldChar w:fldCharType="begin"/>
      </w:r>
      <w:r w:rsidRPr="00531922">
        <w:rPr>
          <w:rFonts w:ascii="Arial" w:hAnsi="Arial" w:cs="Arial"/>
          <w:b/>
          <w:i/>
          <w:sz w:val="20"/>
          <w:szCs w:val="20"/>
        </w:rPr>
        <w:instrText xml:space="preserve"> SEQ Tab. \* ARABIC </w:instrText>
      </w:r>
      <w:r w:rsidRPr="00531922">
        <w:rPr>
          <w:rFonts w:ascii="Arial" w:hAnsi="Arial" w:cs="Arial"/>
          <w:b/>
          <w:i/>
          <w:sz w:val="20"/>
          <w:szCs w:val="20"/>
        </w:rPr>
        <w:fldChar w:fldCharType="separate"/>
      </w:r>
      <w:r w:rsidR="004378F3">
        <w:rPr>
          <w:rFonts w:ascii="Arial" w:hAnsi="Arial" w:cs="Arial"/>
          <w:b/>
          <w:i/>
          <w:noProof/>
          <w:sz w:val="20"/>
          <w:szCs w:val="20"/>
        </w:rPr>
        <w:t>8</w:t>
      </w:r>
      <w:r w:rsidRPr="00531922">
        <w:rPr>
          <w:rFonts w:ascii="Arial" w:hAnsi="Arial" w:cs="Arial"/>
          <w:b/>
          <w:i/>
          <w:sz w:val="20"/>
          <w:szCs w:val="20"/>
        </w:rPr>
        <w:fldChar w:fldCharType="end"/>
      </w:r>
      <w:r w:rsidR="00060EFF" w:rsidRPr="00531922">
        <w:rPr>
          <w:rFonts w:ascii="Arial" w:hAnsi="Arial" w:cs="Arial"/>
          <w:b/>
          <w:i/>
          <w:sz w:val="20"/>
          <w:szCs w:val="20"/>
        </w:rPr>
        <w:t>: Charakteristika okresu Brno-město k 31. 12. 2014</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24"/>
        <w:gridCol w:w="1007"/>
        <w:gridCol w:w="1009"/>
        <w:gridCol w:w="1009"/>
        <w:gridCol w:w="1085"/>
        <w:gridCol w:w="1010"/>
        <w:gridCol w:w="1010"/>
        <w:gridCol w:w="1058"/>
      </w:tblGrid>
      <w:tr w:rsidR="00060EFF" w:rsidRPr="00671D17" w:rsidTr="00060EFF">
        <w:trPr>
          <w:trHeight w:val="301"/>
        </w:trPr>
        <w:tc>
          <w:tcPr>
            <w:tcW w:w="1099" w:type="pct"/>
            <w:vMerge w:val="restart"/>
            <w:tcBorders>
              <w:top w:val="single" w:sz="12" w:space="0" w:color="auto"/>
              <w:bottom w:val="single" w:sz="12" w:space="0" w:color="auto"/>
              <w:right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Území</w:t>
            </w:r>
          </w:p>
        </w:tc>
        <w:tc>
          <w:tcPr>
            <w:tcW w:w="1642" w:type="pct"/>
            <w:gridSpan w:val="3"/>
            <w:tcBorders>
              <w:top w:val="single" w:sz="12" w:space="0" w:color="auto"/>
              <w:left w:val="single" w:sz="12" w:space="0" w:color="auto"/>
              <w:bottom w:val="single" w:sz="8"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Počet nezaměstnaných</w:t>
            </w:r>
          </w:p>
        </w:tc>
        <w:tc>
          <w:tcPr>
            <w:tcW w:w="589" w:type="pct"/>
            <w:vMerge w:val="restart"/>
            <w:tcBorders>
              <w:top w:val="single" w:sz="12"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color w:val="000000"/>
              </w:rPr>
            </w:pPr>
            <w:r w:rsidRPr="00671D17">
              <w:rPr>
                <w:rFonts w:ascii="Calibri" w:hAnsi="Calibri"/>
                <w:color w:val="000000"/>
                <w:sz w:val="22"/>
                <w:szCs w:val="22"/>
              </w:rPr>
              <w:t>Absolventi škol a mladiství</w:t>
            </w:r>
          </w:p>
        </w:tc>
        <w:tc>
          <w:tcPr>
            <w:tcW w:w="548" w:type="pct"/>
            <w:vMerge w:val="restart"/>
            <w:tcBorders>
              <w:top w:val="single" w:sz="12"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color w:val="000000"/>
              </w:rPr>
            </w:pPr>
            <w:r w:rsidRPr="00671D17">
              <w:rPr>
                <w:rFonts w:ascii="Calibri" w:hAnsi="Calibri"/>
                <w:color w:val="000000"/>
                <w:sz w:val="22"/>
                <w:szCs w:val="22"/>
              </w:rPr>
              <w:t>Osoby se ZP</w:t>
            </w:r>
          </w:p>
        </w:tc>
        <w:tc>
          <w:tcPr>
            <w:tcW w:w="548" w:type="pct"/>
            <w:vMerge w:val="restart"/>
            <w:tcBorders>
              <w:top w:val="single" w:sz="12"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Volná pracovní místa</w:t>
            </w:r>
          </w:p>
        </w:tc>
        <w:tc>
          <w:tcPr>
            <w:tcW w:w="574" w:type="pct"/>
            <w:vMerge w:val="restart"/>
            <w:tcBorders>
              <w:top w:val="single" w:sz="12"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Podíl nezaměst. [%]</w:t>
            </w:r>
          </w:p>
        </w:tc>
      </w:tr>
      <w:tr w:rsidR="00060EFF" w:rsidRPr="00671D17" w:rsidTr="00060EFF">
        <w:trPr>
          <w:trHeight w:val="301"/>
        </w:trPr>
        <w:tc>
          <w:tcPr>
            <w:tcW w:w="1099" w:type="pct"/>
            <w:vMerge/>
            <w:tcBorders>
              <w:top w:val="single" w:sz="12" w:space="0" w:color="auto"/>
              <w:bottom w:val="single" w:sz="8" w:space="0" w:color="auto"/>
              <w:right w:val="single" w:sz="12" w:space="0" w:color="auto"/>
            </w:tcBorders>
            <w:vAlign w:val="center"/>
            <w:hideMark/>
          </w:tcPr>
          <w:p w:rsidR="00060EFF" w:rsidRPr="00671D17" w:rsidRDefault="00060EFF" w:rsidP="00060EFF">
            <w:pPr>
              <w:spacing w:line="240" w:lineRule="auto"/>
              <w:jc w:val="right"/>
              <w:rPr>
                <w:rFonts w:ascii="Calibri" w:hAnsi="Calibri"/>
              </w:rPr>
            </w:pPr>
          </w:p>
        </w:tc>
        <w:tc>
          <w:tcPr>
            <w:tcW w:w="547" w:type="pct"/>
            <w:vMerge w:val="restart"/>
            <w:tcBorders>
              <w:top w:val="single" w:sz="8" w:space="0" w:color="auto"/>
              <w:left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celkem</w:t>
            </w:r>
          </w:p>
        </w:tc>
        <w:tc>
          <w:tcPr>
            <w:tcW w:w="1095" w:type="pct"/>
            <w:gridSpan w:val="2"/>
            <w:tcBorders>
              <w:top w:val="single" w:sz="8" w:space="0" w:color="auto"/>
              <w:bottom w:val="single" w:sz="8" w:space="0" w:color="auto"/>
              <w:right w:val="single" w:sz="8"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v tom</w:t>
            </w:r>
          </w:p>
        </w:tc>
        <w:tc>
          <w:tcPr>
            <w:tcW w:w="589" w:type="pct"/>
            <w:vMerge/>
            <w:tcBorders>
              <w:top w:val="single" w:sz="12" w:space="0" w:color="auto"/>
              <w:left w:val="single" w:sz="8" w:space="0" w:color="auto"/>
              <w:bottom w:val="single" w:sz="8" w:space="0" w:color="auto"/>
            </w:tcBorders>
            <w:vAlign w:val="center"/>
            <w:hideMark/>
          </w:tcPr>
          <w:p w:rsidR="00060EFF" w:rsidRPr="00671D17" w:rsidRDefault="00060EFF" w:rsidP="00060EFF">
            <w:pPr>
              <w:spacing w:line="240" w:lineRule="auto"/>
              <w:jc w:val="right"/>
              <w:rPr>
                <w:rFonts w:ascii="Calibri" w:hAnsi="Calibri"/>
                <w:color w:val="000000"/>
              </w:rPr>
            </w:pPr>
          </w:p>
        </w:tc>
        <w:tc>
          <w:tcPr>
            <w:tcW w:w="548" w:type="pct"/>
            <w:vMerge/>
            <w:tcBorders>
              <w:top w:val="single" w:sz="12" w:space="0" w:color="auto"/>
            </w:tcBorders>
            <w:vAlign w:val="center"/>
            <w:hideMark/>
          </w:tcPr>
          <w:p w:rsidR="00060EFF" w:rsidRPr="00671D17" w:rsidRDefault="00060EFF" w:rsidP="00060EFF">
            <w:pPr>
              <w:spacing w:line="240" w:lineRule="auto"/>
              <w:jc w:val="right"/>
              <w:rPr>
                <w:rFonts w:ascii="Calibri" w:hAnsi="Calibri"/>
                <w:color w:val="000000"/>
              </w:rPr>
            </w:pPr>
          </w:p>
        </w:tc>
        <w:tc>
          <w:tcPr>
            <w:tcW w:w="548" w:type="pct"/>
            <w:vMerge/>
            <w:tcBorders>
              <w:top w:val="single" w:sz="12" w:space="0" w:color="auto"/>
            </w:tcBorders>
            <w:vAlign w:val="center"/>
            <w:hideMark/>
          </w:tcPr>
          <w:p w:rsidR="00060EFF" w:rsidRPr="00671D17" w:rsidRDefault="00060EFF" w:rsidP="00060EFF">
            <w:pPr>
              <w:spacing w:line="240" w:lineRule="auto"/>
              <w:jc w:val="right"/>
              <w:rPr>
                <w:rFonts w:ascii="Calibri" w:hAnsi="Calibri"/>
              </w:rPr>
            </w:pPr>
          </w:p>
        </w:tc>
        <w:tc>
          <w:tcPr>
            <w:tcW w:w="574" w:type="pct"/>
            <w:vMerge/>
            <w:tcBorders>
              <w:top w:val="single" w:sz="12" w:space="0" w:color="auto"/>
            </w:tcBorders>
            <w:vAlign w:val="center"/>
            <w:hideMark/>
          </w:tcPr>
          <w:p w:rsidR="00060EFF" w:rsidRPr="00671D17" w:rsidRDefault="00060EFF" w:rsidP="00060EFF">
            <w:pPr>
              <w:spacing w:line="240" w:lineRule="auto"/>
              <w:jc w:val="right"/>
              <w:rPr>
                <w:rFonts w:ascii="Calibri" w:hAnsi="Calibri"/>
              </w:rPr>
            </w:pPr>
          </w:p>
        </w:tc>
      </w:tr>
      <w:tr w:rsidR="00060EFF" w:rsidRPr="00671D17" w:rsidTr="00060EFF">
        <w:trPr>
          <w:trHeight w:val="315"/>
        </w:trPr>
        <w:tc>
          <w:tcPr>
            <w:tcW w:w="1099" w:type="pct"/>
            <w:vMerge/>
            <w:tcBorders>
              <w:top w:val="single" w:sz="8" w:space="0" w:color="auto"/>
              <w:bottom w:val="single" w:sz="12" w:space="0" w:color="auto"/>
              <w:right w:val="single" w:sz="12" w:space="0" w:color="auto"/>
            </w:tcBorders>
            <w:vAlign w:val="center"/>
            <w:hideMark/>
          </w:tcPr>
          <w:p w:rsidR="00060EFF" w:rsidRPr="00671D17" w:rsidRDefault="00060EFF" w:rsidP="00060EFF">
            <w:pPr>
              <w:spacing w:line="240" w:lineRule="auto"/>
              <w:jc w:val="right"/>
              <w:rPr>
                <w:rFonts w:ascii="Calibri" w:hAnsi="Calibri"/>
              </w:rPr>
            </w:pPr>
          </w:p>
        </w:tc>
        <w:tc>
          <w:tcPr>
            <w:tcW w:w="547" w:type="pct"/>
            <w:vMerge/>
            <w:tcBorders>
              <w:left w:val="single" w:sz="12"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p>
        </w:tc>
        <w:tc>
          <w:tcPr>
            <w:tcW w:w="548" w:type="pct"/>
            <w:tcBorders>
              <w:top w:val="single" w:sz="8"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muži</w:t>
            </w:r>
          </w:p>
        </w:tc>
        <w:tc>
          <w:tcPr>
            <w:tcW w:w="548" w:type="pct"/>
            <w:tcBorders>
              <w:top w:val="single" w:sz="8" w:space="0" w:color="auto"/>
              <w:bottom w:val="single" w:sz="12" w:space="0" w:color="auto"/>
              <w:right w:val="single" w:sz="8"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ženy</w:t>
            </w:r>
          </w:p>
        </w:tc>
        <w:tc>
          <w:tcPr>
            <w:tcW w:w="589" w:type="pct"/>
            <w:vMerge/>
            <w:tcBorders>
              <w:top w:val="single" w:sz="8" w:space="0" w:color="auto"/>
              <w:left w:val="single" w:sz="8" w:space="0" w:color="auto"/>
              <w:bottom w:val="single" w:sz="12" w:space="0" w:color="auto"/>
            </w:tcBorders>
            <w:vAlign w:val="center"/>
            <w:hideMark/>
          </w:tcPr>
          <w:p w:rsidR="00060EFF" w:rsidRPr="00671D17" w:rsidRDefault="00060EFF" w:rsidP="00060EFF">
            <w:pPr>
              <w:spacing w:line="240" w:lineRule="auto"/>
              <w:jc w:val="right"/>
              <w:rPr>
                <w:rFonts w:ascii="Calibri" w:hAnsi="Calibri"/>
                <w:color w:val="000000"/>
              </w:rPr>
            </w:pPr>
          </w:p>
        </w:tc>
        <w:tc>
          <w:tcPr>
            <w:tcW w:w="548" w:type="pct"/>
            <w:vMerge/>
            <w:tcBorders>
              <w:bottom w:val="single" w:sz="12" w:space="0" w:color="auto"/>
            </w:tcBorders>
            <w:vAlign w:val="center"/>
            <w:hideMark/>
          </w:tcPr>
          <w:p w:rsidR="00060EFF" w:rsidRPr="00671D17" w:rsidRDefault="00060EFF" w:rsidP="00060EFF">
            <w:pPr>
              <w:spacing w:line="240" w:lineRule="auto"/>
              <w:jc w:val="right"/>
              <w:rPr>
                <w:rFonts w:ascii="Calibri" w:hAnsi="Calibri"/>
                <w:color w:val="000000"/>
              </w:rPr>
            </w:pPr>
          </w:p>
        </w:tc>
        <w:tc>
          <w:tcPr>
            <w:tcW w:w="548" w:type="pct"/>
            <w:vMerge/>
            <w:tcBorders>
              <w:bottom w:val="single" w:sz="12" w:space="0" w:color="auto"/>
            </w:tcBorders>
            <w:vAlign w:val="center"/>
            <w:hideMark/>
          </w:tcPr>
          <w:p w:rsidR="00060EFF" w:rsidRPr="00671D17" w:rsidRDefault="00060EFF" w:rsidP="00060EFF">
            <w:pPr>
              <w:spacing w:line="240" w:lineRule="auto"/>
              <w:jc w:val="right"/>
              <w:rPr>
                <w:rFonts w:ascii="Calibri" w:hAnsi="Calibri"/>
              </w:rPr>
            </w:pPr>
          </w:p>
        </w:tc>
        <w:tc>
          <w:tcPr>
            <w:tcW w:w="574" w:type="pct"/>
            <w:vMerge/>
            <w:tcBorders>
              <w:bottom w:val="single" w:sz="12" w:space="0" w:color="auto"/>
            </w:tcBorders>
            <w:vAlign w:val="center"/>
            <w:hideMark/>
          </w:tcPr>
          <w:p w:rsidR="00060EFF" w:rsidRPr="00671D17" w:rsidRDefault="00060EFF" w:rsidP="00060EFF">
            <w:pPr>
              <w:spacing w:line="240" w:lineRule="auto"/>
              <w:jc w:val="right"/>
              <w:rPr>
                <w:rFonts w:ascii="Calibri" w:hAnsi="Calibri"/>
              </w:rPr>
            </w:pPr>
          </w:p>
        </w:tc>
      </w:tr>
      <w:tr w:rsidR="00060EFF" w:rsidRPr="00671D17" w:rsidTr="00060EFF">
        <w:trPr>
          <w:trHeight w:val="315"/>
        </w:trPr>
        <w:tc>
          <w:tcPr>
            <w:tcW w:w="1099" w:type="pct"/>
            <w:tcBorders>
              <w:top w:val="single" w:sz="12" w:space="0" w:color="auto"/>
              <w:bottom w:val="single" w:sz="12" w:space="0" w:color="auto"/>
              <w:right w:val="single" w:sz="12" w:space="0" w:color="auto"/>
            </w:tcBorders>
            <w:shd w:val="clear" w:color="000000" w:fill="D9D9D9" w:themeFill="background1" w:themeFillShade="D9"/>
            <w:noWrap/>
            <w:vAlign w:val="center"/>
            <w:hideMark/>
          </w:tcPr>
          <w:p w:rsidR="00060EFF" w:rsidRPr="00671D17" w:rsidRDefault="00060EFF" w:rsidP="00060EFF">
            <w:pPr>
              <w:spacing w:line="240" w:lineRule="auto"/>
              <w:rPr>
                <w:rFonts w:ascii="Calibri" w:hAnsi="Calibri"/>
                <w:b/>
                <w:bCs/>
              </w:rPr>
            </w:pPr>
            <w:r w:rsidRPr="00671D17">
              <w:rPr>
                <w:rFonts w:ascii="Calibri" w:hAnsi="Calibri"/>
                <w:b/>
                <w:bCs/>
                <w:sz w:val="22"/>
                <w:szCs w:val="22"/>
              </w:rPr>
              <w:t>Okres Brno-město</w:t>
            </w:r>
          </w:p>
        </w:tc>
        <w:tc>
          <w:tcPr>
            <w:tcW w:w="547" w:type="pct"/>
            <w:tcBorders>
              <w:top w:val="single" w:sz="12" w:space="0" w:color="auto"/>
              <w:left w:val="single" w:sz="12" w:space="0" w:color="auto"/>
              <w:bottom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b/>
                <w:bCs/>
              </w:rPr>
            </w:pPr>
            <w:r w:rsidRPr="00671D17">
              <w:rPr>
                <w:rFonts w:ascii="Calibri" w:hAnsi="Calibri"/>
                <w:b/>
                <w:bCs/>
                <w:sz w:val="22"/>
                <w:szCs w:val="22"/>
              </w:rPr>
              <w:t>22 501</w:t>
            </w:r>
          </w:p>
        </w:tc>
        <w:tc>
          <w:tcPr>
            <w:tcW w:w="548" w:type="pct"/>
            <w:tcBorders>
              <w:top w:val="single" w:sz="12" w:space="0" w:color="auto"/>
              <w:bottom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b/>
                <w:bCs/>
              </w:rPr>
            </w:pPr>
            <w:r w:rsidRPr="00671D17">
              <w:rPr>
                <w:rFonts w:ascii="Calibri" w:hAnsi="Calibri"/>
                <w:b/>
                <w:bCs/>
                <w:sz w:val="22"/>
                <w:szCs w:val="22"/>
              </w:rPr>
              <w:t>10 962</w:t>
            </w:r>
          </w:p>
        </w:tc>
        <w:tc>
          <w:tcPr>
            <w:tcW w:w="548" w:type="pct"/>
            <w:tcBorders>
              <w:top w:val="single" w:sz="12" w:space="0" w:color="auto"/>
              <w:bottom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b/>
                <w:bCs/>
              </w:rPr>
            </w:pPr>
            <w:r w:rsidRPr="00671D17">
              <w:rPr>
                <w:rFonts w:ascii="Calibri" w:hAnsi="Calibri"/>
                <w:b/>
                <w:bCs/>
                <w:sz w:val="22"/>
                <w:szCs w:val="22"/>
              </w:rPr>
              <w:t>11 539</w:t>
            </w:r>
          </w:p>
        </w:tc>
        <w:tc>
          <w:tcPr>
            <w:tcW w:w="589" w:type="pct"/>
            <w:tcBorders>
              <w:top w:val="single" w:sz="12" w:space="0" w:color="auto"/>
              <w:bottom w:val="single" w:sz="12" w:space="0" w:color="auto"/>
            </w:tcBorders>
            <w:shd w:val="clear" w:color="auto" w:fill="auto"/>
            <w:noWrap/>
            <w:vAlign w:val="center"/>
            <w:hideMark/>
          </w:tcPr>
          <w:p w:rsidR="00060EFF" w:rsidRPr="00671D17" w:rsidRDefault="00060EFF" w:rsidP="00060EFF">
            <w:pPr>
              <w:spacing w:line="240" w:lineRule="auto"/>
              <w:jc w:val="right"/>
              <w:rPr>
                <w:rFonts w:ascii="Calibri" w:hAnsi="Calibri"/>
                <w:b/>
                <w:bCs/>
                <w:color w:val="000000"/>
              </w:rPr>
            </w:pPr>
            <w:r w:rsidRPr="00671D17">
              <w:rPr>
                <w:rFonts w:ascii="Calibri" w:hAnsi="Calibri"/>
                <w:b/>
                <w:bCs/>
                <w:color w:val="000000"/>
                <w:sz w:val="22"/>
                <w:szCs w:val="22"/>
              </w:rPr>
              <w:t>1</w:t>
            </w:r>
            <w:r>
              <w:rPr>
                <w:rFonts w:ascii="Calibri" w:hAnsi="Calibri"/>
                <w:b/>
                <w:bCs/>
                <w:color w:val="000000"/>
                <w:sz w:val="22"/>
                <w:szCs w:val="22"/>
              </w:rPr>
              <w:t xml:space="preserve"> </w:t>
            </w:r>
            <w:r w:rsidRPr="00671D17">
              <w:rPr>
                <w:rFonts w:ascii="Calibri" w:hAnsi="Calibri"/>
                <w:b/>
                <w:bCs/>
                <w:color w:val="000000"/>
                <w:sz w:val="22"/>
                <w:szCs w:val="22"/>
              </w:rPr>
              <w:t>057</w:t>
            </w:r>
          </w:p>
        </w:tc>
        <w:tc>
          <w:tcPr>
            <w:tcW w:w="548" w:type="pct"/>
            <w:tcBorders>
              <w:top w:val="single" w:sz="12" w:space="0" w:color="auto"/>
              <w:bottom w:val="single" w:sz="12" w:space="0" w:color="auto"/>
            </w:tcBorders>
            <w:shd w:val="clear" w:color="auto" w:fill="auto"/>
            <w:noWrap/>
            <w:vAlign w:val="center"/>
            <w:hideMark/>
          </w:tcPr>
          <w:p w:rsidR="00060EFF" w:rsidRPr="00671D17" w:rsidRDefault="00060EFF" w:rsidP="00060EFF">
            <w:pPr>
              <w:spacing w:line="240" w:lineRule="auto"/>
              <w:jc w:val="right"/>
              <w:rPr>
                <w:rFonts w:ascii="Calibri" w:hAnsi="Calibri"/>
                <w:b/>
                <w:bCs/>
                <w:color w:val="000000"/>
              </w:rPr>
            </w:pPr>
            <w:r w:rsidRPr="00671D17">
              <w:rPr>
                <w:rFonts w:ascii="Calibri" w:hAnsi="Calibri"/>
                <w:b/>
                <w:bCs/>
                <w:color w:val="000000"/>
                <w:sz w:val="22"/>
                <w:szCs w:val="22"/>
              </w:rPr>
              <w:t>1</w:t>
            </w:r>
            <w:r>
              <w:rPr>
                <w:rFonts w:ascii="Calibri" w:hAnsi="Calibri"/>
                <w:b/>
                <w:bCs/>
                <w:color w:val="000000"/>
                <w:sz w:val="22"/>
                <w:szCs w:val="22"/>
              </w:rPr>
              <w:t xml:space="preserve"> </w:t>
            </w:r>
            <w:r w:rsidRPr="00671D17">
              <w:rPr>
                <w:rFonts w:ascii="Calibri" w:hAnsi="Calibri"/>
                <w:b/>
                <w:bCs/>
                <w:color w:val="000000"/>
                <w:sz w:val="22"/>
                <w:szCs w:val="22"/>
              </w:rPr>
              <w:t>830</w:t>
            </w:r>
          </w:p>
        </w:tc>
        <w:tc>
          <w:tcPr>
            <w:tcW w:w="548" w:type="pct"/>
            <w:tcBorders>
              <w:top w:val="single" w:sz="12" w:space="0" w:color="auto"/>
              <w:bottom w:val="single" w:sz="12" w:space="0" w:color="auto"/>
            </w:tcBorders>
            <w:shd w:val="clear" w:color="auto" w:fill="auto"/>
            <w:noWrap/>
            <w:vAlign w:val="center"/>
            <w:hideMark/>
          </w:tcPr>
          <w:p w:rsidR="00060EFF" w:rsidRPr="00671D17" w:rsidRDefault="00060EFF" w:rsidP="00060EFF">
            <w:pPr>
              <w:spacing w:line="240" w:lineRule="auto"/>
              <w:jc w:val="right"/>
              <w:rPr>
                <w:rFonts w:ascii="Calibri" w:hAnsi="Calibri"/>
                <w:b/>
                <w:bCs/>
                <w:color w:val="000000"/>
              </w:rPr>
            </w:pPr>
            <w:r w:rsidRPr="00671D17">
              <w:rPr>
                <w:rFonts w:ascii="Calibri" w:hAnsi="Calibri"/>
                <w:b/>
                <w:bCs/>
                <w:color w:val="000000"/>
                <w:sz w:val="22"/>
                <w:szCs w:val="22"/>
              </w:rPr>
              <w:t>1524</w:t>
            </w:r>
          </w:p>
        </w:tc>
        <w:tc>
          <w:tcPr>
            <w:tcW w:w="574" w:type="pct"/>
            <w:tcBorders>
              <w:top w:val="single" w:sz="12" w:space="0" w:color="auto"/>
              <w:bottom w:val="single" w:sz="12" w:space="0" w:color="auto"/>
            </w:tcBorders>
            <w:shd w:val="clear" w:color="auto" w:fill="auto"/>
            <w:noWrap/>
            <w:vAlign w:val="center"/>
            <w:hideMark/>
          </w:tcPr>
          <w:p w:rsidR="00060EFF" w:rsidRPr="00671D17" w:rsidRDefault="00060EFF" w:rsidP="00060EFF">
            <w:pPr>
              <w:spacing w:line="240" w:lineRule="auto"/>
              <w:jc w:val="right"/>
              <w:rPr>
                <w:rFonts w:ascii="Calibri" w:hAnsi="Calibri"/>
                <w:b/>
                <w:bCs/>
                <w:color w:val="000000"/>
              </w:rPr>
            </w:pPr>
            <w:r w:rsidRPr="00671D17">
              <w:rPr>
                <w:rFonts w:ascii="Calibri" w:hAnsi="Calibri"/>
                <w:b/>
                <w:bCs/>
                <w:color w:val="000000"/>
                <w:sz w:val="22"/>
                <w:szCs w:val="22"/>
              </w:rPr>
              <w:t>8,8</w:t>
            </w:r>
          </w:p>
        </w:tc>
      </w:tr>
    </w:tbl>
    <w:p w:rsidR="00060EFF" w:rsidRPr="000D0280" w:rsidRDefault="00060EFF" w:rsidP="00060EFF">
      <w:pPr>
        <w:pStyle w:val="Normlnweb"/>
        <w:spacing w:line="276" w:lineRule="auto"/>
        <w:jc w:val="both"/>
        <w:rPr>
          <w:rFonts w:ascii="Arial" w:hAnsi="Arial" w:cs="Arial"/>
          <w:noProof/>
          <w:sz w:val="20"/>
          <w:szCs w:val="20"/>
        </w:rPr>
      </w:pPr>
      <w:r w:rsidRPr="000D0280">
        <w:rPr>
          <w:rFonts w:ascii="Arial" w:hAnsi="Arial" w:cs="Arial"/>
          <w:b/>
          <w:noProof/>
          <w:sz w:val="20"/>
          <w:szCs w:val="20"/>
        </w:rPr>
        <w:t>Pramen</w:t>
      </w:r>
      <w:r w:rsidRPr="000D0280">
        <w:rPr>
          <w:rFonts w:ascii="Arial" w:hAnsi="Arial" w:cs="Arial"/>
          <w:noProof/>
          <w:sz w:val="20"/>
          <w:szCs w:val="20"/>
        </w:rPr>
        <w:t>: MPSV,ČR, GIS Prostorová analýza, 2014</w:t>
      </w:r>
    </w:p>
    <w:p w:rsidR="00060EFF" w:rsidRDefault="00060EFF" w:rsidP="00060EFF">
      <w:pPr>
        <w:autoSpaceDE w:val="0"/>
        <w:autoSpaceDN w:val="0"/>
        <w:adjustRightInd w:val="0"/>
        <w:jc w:val="both"/>
        <w:rPr>
          <w:rFonts w:ascii="Arial" w:eastAsiaTheme="minorHAnsi" w:hAnsi="Arial" w:cs="Arial"/>
          <w:sz w:val="22"/>
          <w:szCs w:val="22"/>
          <w:lang w:eastAsia="en-US"/>
        </w:rPr>
      </w:pPr>
      <w:r w:rsidRPr="008451B9">
        <w:rPr>
          <w:rFonts w:ascii="Arial" w:hAnsi="Arial" w:cs="Arial"/>
          <w:sz w:val="22"/>
          <w:szCs w:val="22"/>
        </w:rPr>
        <w:t>Město Brno je s</w:t>
      </w:r>
      <w:r w:rsidRPr="008451B9">
        <w:rPr>
          <w:rStyle w:val="A2"/>
          <w:rFonts w:ascii="Arial" w:eastAsiaTheme="majorEastAsia" w:hAnsi="Arial" w:cs="Arial"/>
          <w:sz w:val="22"/>
          <w:szCs w:val="22"/>
        </w:rPr>
        <w:t>práv</w:t>
      </w:r>
      <w:r w:rsidRPr="008451B9">
        <w:rPr>
          <w:rStyle w:val="A2"/>
          <w:rFonts w:ascii="Arial" w:eastAsiaTheme="majorEastAsia" w:hAnsi="Arial" w:cs="Arial"/>
          <w:sz w:val="22"/>
          <w:szCs w:val="22"/>
        </w:rPr>
        <w:softHyphen/>
        <w:t>ním, ekonomickým a kulturním centrem Jihomoravského kraje</w:t>
      </w:r>
      <w:r w:rsidR="00E978A4">
        <w:rPr>
          <w:rStyle w:val="A2"/>
          <w:rFonts w:ascii="Arial" w:eastAsiaTheme="majorEastAsia" w:hAnsi="Arial" w:cs="Arial"/>
          <w:sz w:val="22"/>
          <w:szCs w:val="22"/>
        </w:rPr>
        <w:t>.</w:t>
      </w:r>
      <w:r w:rsidRPr="008451B9">
        <w:rPr>
          <w:rStyle w:val="A2"/>
          <w:rFonts w:ascii="Arial" w:eastAsiaTheme="majorEastAsia" w:hAnsi="Arial" w:cs="Arial"/>
          <w:sz w:val="22"/>
          <w:szCs w:val="22"/>
        </w:rPr>
        <w:t xml:space="preserve"> </w:t>
      </w:r>
      <w:r>
        <w:rPr>
          <w:rFonts w:ascii="Arial" w:eastAsiaTheme="minorHAnsi" w:hAnsi="Arial" w:cs="Arial"/>
          <w:sz w:val="22"/>
          <w:szCs w:val="22"/>
          <w:lang w:eastAsia="en-US"/>
        </w:rPr>
        <w:t xml:space="preserve">Zaměstnanost ve městě je rozložena do velkého počtu odvětví, přičemž žádné z nich nemá na trhu práce dominantní postavení. Největší zaměstnavatelé ve městě vyvíjejí činnost v odvětvích terciární sféry (nemocnice, vysoké školy, dopravní organizace). V důsledku vysokého počtu pracovníků ve veřejné správě (úřady, </w:t>
      </w:r>
      <w:r w:rsidRPr="00EA2B38">
        <w:rPr>
          <w:rFonts w:ascii="Arial" w:eastAsiaTheme="minorHAnsi" w:hAnsi="Arial" w:cs="Arial"/>
          <w:sz w:val="22"/>
          <w:szCs w:val="22"/>
          <w:lang w:eastAsia="en-US"/>
        </w:rPr>
        <w:t>polic</w:t>
      </w:r>
      <w:r w:rsidR="00EA2B38" w:rsidRPr="00EA2B38">
        <w:rPr>
          <w:rFonts w:ascii="Arial" w:eastAsiaTheme="minorHAnsi" w:hAnsi="Arial" w:cs="Arial"/>
          <w:sz w:val="22"/>
          <w:szCs w:val="22"/>
          <w:lang w:eastAsia="en-US"/>
        </w:rPr>
        <w:t>i</w:t>
      </w:r>
      <w:r w:rsidRPr="00EA2B38">
        <w:rPr>
          <w:rFonts w:ascii="Arial" w:eastAsiaTheme="minorHAnsi" w:hAnsi="Arial" w:cs="Arial"/>
          <w:sz w:val="22"/>
          <w:szCs w:val="22"/>
          <w:lang w:eastAsia="en-US"/>
        </w:rPr>
        <w:t>e</w:t>
      </w:r>
      <w:r>
        <w:rPr>
          <w:rFonts w:ascii="Arial" w:eastAsiaTheme="minorHAnsi" w:hAnsi="Arial" w:cs="Arial"/>
          <w:sz w:val="22"/>
          <w:szCs w:val="22"/>
          <w:lang w:eastAsia="en-US"/>
        </w:rPr>
        <w:t>, soudy), školství, zdravotnictví a sociální péči je podíl státu na zaměstnanosti ve městě značný. Takto vázaná pracovní síla je stabilní a méně ohrožena nezaměstnaností, což je při výrazných turbulencích na trhu práce pokládáno za značnou výhodu.</w:t>
      </w:r>
    </w:p>
    <w:p w:rsidR="00060EFF" w:rsidRDefault="00060EFF" w:rsidP="00060EFF">
      <w:pPr>
        <w:autoSpaceDE w:val="0"/>
        <w:autoSpaceDN w:val="0"/>
        <w:adjustRightInd w:val="0"/>
        <w:jc w:val="both"/>
        <w:rPr>
          <w:rFonts w:ascii="Arial" w:eastAsiaTheme="minorHAnsi" w:hAnsi="Arial" w:cs="Arial"/>
          <w:sz w:val="22"/>
          <w:szCs w:val="22"/>
          <w:lang w:eastAsia="en-US"/>
        </w:rPr>
      </w:pPr>
    </w:p>
    <w:p w:rsidR="00060EFF" w:rsidRDefault="00060EFF" w:rsidP="00060EFF">
      <w:pPr>
        <w:autoSpaceDE w:val="0"/>
        <w:autoSpaceDN w:val="0"/>
        <w:adjustRightInd w:val="0"/>
        <w:jc w:val="both"/>
        <w:rPr>
          <w:rFonts w:ascii="Arial" w:eastAsiaTheme="minorHAnsi" w:hAnsi="Arial" w:cs="Arial"/>
          <w:sz w:val="22"/>
          <w:szCs w:val="22"/>
          <w:lang w:eastAsia="en-US"/>
        </w:rPr>
      </w:pPr>
      <w:r w:rsidRPr="00EA2B38">
        <w:rPr>
          <w:rFonts w:ascii="Arial" w:eastAsiaTheme="minorHAnsi" w:hAnsi="Arial" w:cs="Arial"/>
          <w:sz w:val="22"/>
          <w:szCs w:val="22"/>
          <w:lang w:eastAsia="en-US"/>
        </w:rPr>
        <w:t>V jihomoravské metropoli získávají díky zahraničním investicím na převaze pracovní místa vyžadující vyšší kvalifikaci. Není proto překvapením skutečnost, že odvětvím, které v období krize navýšilo nejvíce zaměstnanost, bylo odvětví informačních a komunikačních činností</w:t>
      </w:r>
      <w:r w:rsidR="00EA2B38" w:rsidRPr="00EA2B38">
        <w:rPr>
          <w:rFonts w:ascii="Arial" w:eastAsiaTheme="minorHAnsi" w:hAnsi="Arial" w:cs="Arial"/>
          <w:sz w:val="22"/>
          <w:szCs w:val="22"/>
          <w:lang w:eastAsia="en-US"/>
        </w:rPr>
        <w:t>.</w:t>
      </w:r>
      <w:r w:rsidRPr="00EA2B38">
        <w:rPr>
          <w:rFonts w:ascii="Arial" w:eastAsiaTheme="minorHAnsi" w:hAnsi="Arial" w:cs="Arial"/>
          <w:sz w:val="22"/>
          <w:szCs w:val="22"/>
          <w:lang w:eastAsia="en-US"/>
        </w:rPr>
        <w:t xml:space="preserve"> </w:t>
      </w:r>
    </w:p>
    <w:p w:rsidR="00F60E27" w:rsidRPr="00EA2B38" w:rsidRDefault="00F60E27" w:rsidP="00060EFF">
      <w:pPr>
        <w:autoSpaceDE w:val="0"/>
        <w:autoSpaceDN w:val="0"/>
        <w:adjustRightInd w:val="0"/>
        <w:jc w:val="both"/>
        <w:rPr>
          <w:rFonts w:ascii="Arial" w:eastAsiaTheme="minorHAnsi" w:hAnsi="Arial" w:cs="Arial"/>
          <w:sz w:val="22"/>
          <w:szCs w:val="22"/>
          <w:lang w:eastAsia="en-US"/>
        </w:rPr>
      </w:pPr>
    </w:p>
    <w:p w:rsidR="00060EFF" w:rsidRDefault="00060EFF" w:rsidP="00060EFF">
      <w:pPr>
        <w:autoSpaceDE w:val="0"/>
        <w:autoSpaceDN w:val="0"/>
        <w:adjustRightInd w:val="0"/>
        <w:jc w:val="both"/>
        <w:rPr>
          <w:rFonts w:ascii="Arial" w:eastAsiaTheme="minorHAnsi" w:hAnsi="Arial" w:cs="Arial"/>
          <w:sz w:val="22"/>
          <w:szCs w:val="22"/>
          <w:lang w:eastAsia="en-US"/>
        </w:rPr>
      </w:pPr>
      <w:r w:rsidRPr="00EA2B38">
        <w:rPr>
          <w:rFonts w:ascii="Arial" w:eastAsiaTheme="minorHAnsi" w:hAnsi="Arial" w:cs="Arial"/>
          <w:sz w:val="22"/>
          <w:szCs w:val="22"/>
          <w:lang w:eastAsia="en-US"/>
        </w:rPr>
        <w:t>V brněnských průmyslových zónách rostl počet zaměstnaných i v období krize. V největší zóně Černovická terasa se zvýšil počet pracujících během posledních let na 8 tis. a v Technologickém parku Brno je již zaměstnáno téměř 5 tis. osob. Zde na nárůstu počtu zaměstnanců má největší podíl společnost IBM Global Services Delivery Center Czech Republic. Na konci roku 2014 společnost vykazovala přes 3 800 zaměstnanců. Brněnské centrum IBM se zaměřuje na podporu databázového a systémového programového vybavení</w:t>
      </w:r>
      <w:r w:rsidR="00F60E27">
        <w:rPr>
          <w:rFonts w:ascii="Arial" w:eastAsiaTheme="minorHAnsi" w:hAnsi="Arial" w:cs="Arial"/>
          <w:sz w:val="22"/>
          <w:szCs w:val="22"/>
          <w:lang w:eastAsia="en-US"/>
        </w:rPr>
        <w:t xml:space="preserve">. </w:t>
      </w:r>
    </w:p>
    <w:p w:rsidR="00F60E27" w:rsidRDefault="00F60E27" w:rsidP="00060EFF">
      <w:pPr>
        <w:autoSpaceDE w:val="0"/>
        <w:autoSpaceDN w:val="0"/>
        <w:adjustRightInd w:val="0"/>
        <w:jc w:val="both"/>
        <w:rPr>
          <w:rFonts w:ascii="Arial" w:eastAsiaTheme="minorHAnsi" w:hAnsi="Arial" w:cs="Arial"/>
          <w:sz w:val="22"/>
          <w:szCs w:val="22"/>
          <w:lang w:eastAsia="en-US"/>
        </w:rPr>
      </w:pPr>
    </w:p>
    <w:p w:rsidR="00F60E27" w:rsidRPr="00EA2B38" w:rsidRDefault="00F60E27" w:rsidP="00060EFF">
      <w:pPr>
        <w:autoSpaceDE w:val="0"/>
        <w:autoSpaceDN w:val="0"/>
        <w:adjustRightInd w:val="0"/>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V Brně </w:t>
      </w:r>
      <w:r w:rsidR="0024494D">
        <w:rPr>
          <w:rFonts w:ascii="Arial" w:eastAsiaTheme="minorHAnsi" w:hAnsi="Arial" w:cs="Arial"/>
          <w:sz w:val="22"/>
          <w:szCs w:val="22"/>
          <w:lang w:eastAsia="en-US"/>
        </w:rPr>
        <w:t>pracuje</w:t>
      </w:r>
      <w:r>
        <w:rPr>
          <w:rFonts w:ascii="Arial" w:eastAsiaTheme="minorHAnsi" w:hAnsi="Arial" w:cs="Arial"/>
          <w:sz w:val="22"/>
          <w:szCs w:val="22"/>
          <w:lang w:eastAsia="en-US"/>
        </w:rPr>
        <w:t xml:space="preserve"> relativně vysoký počet cizinců, zejména Slováků, směřuje sem však i kvalifikovaná pracovní síla ze zemí EU.</w:t>
      </w:r>
    </w:p>
    <w:p w:rsidR="00E978A4" w:rsidRDefault="00E978A4" w:rsidP="00B0094B">
      <w:pPr>
        <w:rPr>
          <w:rFonts w:ascii="Arial" w:hAnsi="Arial" w:cs="Arial"/>
          <w:sz w:val="22"/>
          <w:szCs w:val="22"/>
          <w:u w:val="single"/>
        </w:rPr>
      </w:pPr>
    </w:p>
    <w:p w:rsidR="00060EFF" w:rsidRPr="00E978A4" w:rsidRDefault="00060EFF" w:rsidP="00B0094B">
      <w:pPr>
        <w:rPr>
          <w:rFonts w:ascii="Arial" w:hAnsi="Arial" w:cs="Arial"/>
          <w:b/>
          <w:sz w:val="22"/>
          <w:szCs w:val="22"/>
          <w:u w:val="single"/>
        </w:rPr>
      </w:pPr>
      <w:r w:rsidRPr="00E978A4">
        <w:rPr>
          <w:rFonts w:ascii="Arial" w:hAnsi="Arial" w:cs="Arial"/>
          <w:b/>
          <w:sz w:val="22"/>
          <w:szCs w:val="22"/>
          <w:u w:val="single"/>
        </w:rPr>
        <w:t>Silné stránky okresu</w:t>
      </w:r>
    </w:p>
    <w:p w:rsidR="00060EFF" w:rsidRPr="00EA2B38" w:rsidRDefault="00060EFF" w:rsidP="00EA2B38">
      <w:pPr>
        <w:rPr>
          <w:rFonts w:ascii="Arial" w:hAnsi="Arial" w:cs="Arial"/>
          <w:sz w:val="22"/>
          <w:szCs w:val="22"/>
        </w:rPr>
      </w:pPr>
    </w:p>
    <w:p w:rsidR="00060EFF" w:rsidRPr="00EA2B38" w:rsidRDefault="00060EFF" w:rsidP="00EA2B38">
      <w:pPr>
        <w:numPr>
          <w:ilvl w:val="0"/>
          <w:numId w:val="1"/>
        </w:numPr>
        <w:tabs>
          <w:tab w:val="clear" w:pos="1245"/>
        </w:tabs>
        <w:ind w:left="900" w:hanging="540"/>
        <w:rPr>
          <w:rFonts w:ascii="Arial" w:hAnsi="Arial" w:cs="Arial"/>
          <w:sz w:val="22"/>
          <w:szCs w:val="22"/>
        </w:rPr>
      </w:pPr>
      <w:r w:rsidRPr="00EA2B38">
        <w:rPr>
          <w:rFonts w:ascii="Arial" w:hAnsi="Arial" w:cs="Arial"/>
          <w:sz w:val="22"/>
          <w:szCs w:val="22"/>
        </w:rPr>
        <w:t>rozsáhlý pracovní potenciál</w:t>
      </w:r>
    </w:p>
    <w:p w:rsidR="00060EFF" w:rsidRPr="00EA2B38" w:rsidRDefault="00060EFF" w:rsidP="00EA2B38">
      <w:pPr>
        <w:numPr>
          <w:ilvl w:val="0"/>
          <w:numId w:val="1"/>
        </w:numPr>
        <w:tabs>
          <w:tab w:val="clear" w:pos="1245"/>
        </w:tabs>
        <w:ind w:left="900" w:hanging="540"/>
        <w:rPr>
          <w:rFonts w:ascii="Arial" w:hAnsi="Arial" w:cs="Arial"/>
          <w:sz w:val="22"/>
          <w:szCs w:val="22"/>
        </w:rPr>
      </w:pPr>
      <w:r w:rsidRPr="00EA2B38">
        <w:rPr>
          <w:rFonts w:ascii="Arial" w:hAnsi="Arial" w:cs="Arial"/>
          <w:sz w:val="22"/>
          <w:szCs w:val="22"/>
        </w:rPr>
        <w:t>kvalitní střední, vyšší a vysoké školství</w:t>
      </w:r>
    </w:p>
    <w:p w:rsidR="00060EFF" w:rsidRPr="00EA2B38" w:rsidRDefault="00060EFF" w:rsidP="00EA2B38">
      <w:pPr>
        <w:numPr>
          <w:ilvl w:val="0"/>
          <w:numId w:val="1"/>
        </w:numPr>
        <w:tabs>
          <w:tab w:val="clear" w:pos="1245"/>
        </w:tabs>
        <w:ind w:left="900" w:hanging="540"/>
        <w:rPr>
          <w:rFonts w:ascii="Arial" w:hAnsi="Arial" w:cs="Arial"/>
          <w:sz w:val="22"/>
          <w:szCs w:val="22"/>
        </w:rPr>
      </w:pPr>
      <w:r w:rsidRPr="00EA2B38">
        <w:rPr>
          <w:rFonts w:ascii="Arial" w:hAnsi="Arial" w:cs="Arial"/>
          <w:sz w:val="22"/>
          <w:szCs w:val="22"/>
        </w:rPr>
        <w:t>kvalifikovaná pracovní síla</w:t>
      </w:r>
    </w:p>
    <w:p w:rsidR="00060EFF" w:rsidRPr="00EA2B38" w:rsidRDefault="00060EFF" w:rsidP="00EA2B38">
      <w:pPr>
        <w:numPr>
          <w:ilvl w:val="0"/>
          <w:numId w:val="1"/>
        </w:numPr>
        <w:tabs>
          <w:tab w:val="clear" w:pos="1245"/>
        </w:tabs>
        <w:ind w:left="900" w:hanging="540"/>
        <w:rPr>
          <w:rFonts w:ascii="Arial" w:hAnsi="Arial" w:cs="Arial"/>
          <w:sz w:val="22"/>
          <w:szCs w:val="22"/>
        </w:rPr>
      </w:pPr>
      <w:r w:rsidRPr="00EA2B38">
        <w:rPr>
          <w:rFonts w:ascii="Arial" w:eastAsiaTheme="minorHAnsi" w:hAnsi="Arial" w:cs="Arial"/>
          <w:bCs/>
          <w:sz w:val="22"/>
          <w:szCs w:val="22"/>
          <w:lang w:eastAsia="en-US"/>
        </w:rPr>
        <w:t>kvalitní infrastruktura pro rozvoj inovativního podnikání a klastrů</w:t>
      </w:r>
    </w:p>
    <w:p w:rsidR="00060EFF" w:rsidRPr="00EA2B38" w:rsidRDefault="00060EFF" w:rsidP="00EA2B38">
      <w:pPr>
        <w:numPr>
          <w:ilvl w:val="0"/>
          <w:numId w:val="1"/>
        </w:numPr>
        <w:tabs>
          <w:tab w:val="clear" w:pos="1245"/>
        </w:tabs>
        <w:ind w:left="900" w:hanging="540"/>
        <w:rPr>
          <w:rFonts w:ascii="Arial" w:hAnsi="Arial" w:cs="Arial"/>
          <w:sz w:val="22"/>
          <w:szCs w:val="22"/>
        </w:rPr>
      </w:pPr>
      <w:r w:rsidRPr="00EA2B38">
        <w:rPr>
          <w:rFonts w:ascii="Arial" w:hAnsi="Arial" w:cs="Arial"/>
          <w:sz w:val="22"/>
          <w:szCs w:val="22"/>
        </w:rPr>
        <w:t xml:space="preserve">možnost využití vědeckovýzkumného potenciálu města Brna </w:t>
      </w:r>
    </w:p>
    <w:p w:rsidR="00060EFF" w:rsidRPr="00EA2B38" w:rsidRDefault="00060EFF" w:rsidP="00EA2B38">
      <w:pPr>
        <w:numPr>
          <w:ilvl w:val="0"/>
          <w:numId w:val="1"/>
        </w:numPr>
        <w:tabs>
          <w:tab w:val="clear" w:pos="1245"/>
        </w:tabs>
        <w:ind w:left="900" w:hanging="540"/>
        <w:rPr>
          <w:rFonts w:ascii="Arial" w:hAnsi="Arial" w:cs="Arial"/>
          <w:sz w:val="22"/>
          <w:szCs w:val="22"/>
        </w:rPr>
      </w:pPr>
      <w:r w:rsidRPr="00EA2B38">
        <w:rPr>
          <w:rFonts w:ascii="Arial" w:hAnsi="Arial" w:cs="Arial"/>
          <w:sz w:val="22"/>
          <w:szCs w:val="22"/>
        </w:rPr>
        <w:t>rozvoj průmyslových zón</w:t>
      </w:r>
    </w:p>
    <w:p w:rsidR="00060EFF" w:rsidRPr="00EA2B38" w:rsidRDefault="00060EFF" w:rsidP="00060EFF">
      <w:pPr>
        <w:rPr>
          <w:rFonts w:ascii="Arial" w:hAnsi="Arial" w:cs="Arial"/>
          <w:sz w:val="22"/>
          <w:szCs w:val="22"/>
        </w:rPr>
      </w:pPr>
    </w:p>
    <w:p w:rsidR="00060EFF" w:rsidRPr="00E978A4" w:rsidRDefault="00060EFF" w:rsidP="00B0094B">
      <w:pPr>
        <w:rPr>
          <w:rFonts w:ascii="Arial" w:hAnsi="Arial" w:cs="Arial"/>
          <w:b/>
          <w:sz w:val="22"/>
          <w:szCs w:val="22"/>
          <w:u w:val="single"/>
        </w:rPr>
      </w:pPr>
      <w:r w:rsidRPr="00E978A4">
        <w:rPr>
          <w:rFonts w:ascii="Arial" w:hAnsi="Arial" w:cs="Arial"/>
          <w:b/>
          <w:sz w:val="22"/>
          <w:szCs w:val="22"/>
          <w:u w:val="single"/>
        </w:rPr>
        <w:t>Slabé stránky okresu</w:t>
      </w:r>
    </w:p>
    <w:p w:rsidR="00060EFF" w:rsidRPr="00EA2B38" w:rsidRDefault="00060EFF" w:rsidP="00EA2B38">
      <w:pPr>
        <w:rPr>
          <w:rFonts w:ascii="Arial" w:hAnsi="Arial" w:cs="Arial"/>
          <w:sz w:val="22"/>
          <w:szCs w:val="22"/>
        </w:rPr>
      </w:pPr>
    </w:p>
    <w:p w:rsidR="00060EFF" w:rsidRPr="00EA2B38" w:rsidRDefault="00060EFF" w:rsidP="00EA2B38">
      <w:pPr>
        <w:numPr>
          <w:ilvl w:val="0"/>
          <w:numId w:val="2"/>
        </w:numPr>
        <w:jc w:val="both"/>
        <w:rPr>
          <w:rFonts w:ascii="Arial" w:hAnsi="Arial" w:cs="Arial"/>
          <w:sz w:val="22"/>
          <w:szCs w:val="22"/>
        </w:rPr>
      </w:pPr>
      <w:r w:rsidRPr="00EA2B38">
        <w:rPr>
          <w:rFonts w:ascii="Arial" w:hAnsi="Arial" w:cs="Arial"/>
          <w:sz w:val="22"/>
          <w:szCs w:val="22"/>
        </w:rPr>
        <w:t>nepříznivá demografická struktura obyvatel města</w:t>
      </w:r>
    </w:p>
    <w:p w:rsidR="00060EFF" w:rsidRPr="00EA2B38" w:rsidRDefault="00F60E27" w:rsidP="00EA2B38">
      <w:pPr>
        <w:numPr>
          <w:ilvl w:val="0"/>
          <w:numId w:val="2"/>
        </w:numPr>
        <w:jc w:val="both"/>
        <w:rPr>
          <w:rFonts w:ascii="Arial" w:hAnsi="Arial" w:cs="Arial"/>
          <w:sz w:val="22"/>
          <w:szCs w:val="22"/>
        </w:rPr>
      </w:pPr>
      <w:r>
        <w:rPr>
          <w:rFonts w:ascii="Arial" w:hAnsi="Arial" w:cs="Arial"/>
          <w:sz w:val="22"/>
          <w:szCs w:val="22"/>
        </w:rPr>
        <w:t>relativně</w:t>
      </w:r>
      <w:r w:rsidR="00060EFF" w:rsidRPr="00EA2B38">
        <w:rPr>
          <w:rFonts w:ascii="Arial" w:hAnsi="Arial" w:cs="Arial"/>
          <w:sz w:val="22"/>
          <w:szCs w:val="22"/>
        </w:rPr>
        <w:t xml:space="preserve"> vysoká nezaměstnanost</w:t>
      </w:r>
    </w:p>
    <w:p w:rsidR="00060EFF" w:rsidRPr="00EA2B38" w:rsidRDefault="00060EFF" w:rsidP="00EA2B38">
      <w:pPr>
        <w:numPr>
          <w:ilvl w:val="0"/>
          <w:numId w:val="2"/>
        </w:numPr>
        <w:jc w:val="both"/>
        <w:rPr>
          <w:rFonts w:ascii="Arial" w:hAnsi="Arial" w:cs="Arial"/>
          <w:sz w:val="22"/>
          <w:szCs w:val="22"/>
        </w:rPr>
      </w:pPr>
      <w:r w:rsidRPr="00EA2B38">
        <w:rPr>
          <w:rFonts w:ascii="Arial" w:hAnsi="Arial" w:cs="Arial"/>
          <w:sz w:val="22"/>
          <w:szCs w:val="22"/>
        </w:rPr>
        <w:t>vysoká koncentrace osob ohrožených sociální exkluzí a jejich slabá motivace k pracovnímu uplatnění</w:t>
      </w:r>
    </w:p>
    <w:p w:rsidR="00060EFF" w:rsidRPr="00EA2B38" w:rsidRDefault="00060EFF" w:rsidP="00060EFF">
      <w:pPr>
        <w:jc w:val="both"/>
        <w:rPr>
          <w:rFonts w:ascii="Arial" w:hAnsi="Arial" w:cs="Arial"/>
          <w:b/>
        </w:rPr>
      </w:pPr>
    </w:p>
    <w:p w:rsidR="00E978A4" w:rsidRDefault="00E978A4" w:rsidP="00060EFF">
      <w:pPr>
        <w:jc w:val="both"/>
        <w:rPr>
          <w:rFonts w:ascii="Arial" w:hAnsi="Arial" w:cs="Arial"/>
          <w:b/>
        </w:rPr>
      </w:pPr>
    </w:p>
    <w:p w:rsidR="00060EFF" w:rsidRPr="00EA2B38" w:rsidRDefault="00060EFF" w:rsidP="00060EFF">
      <w:pPr>
        <w:jc w:val="both"/>
        <w:rPr>
          <w:rFonts w:ascii="Arial" w:hAnsi="Arial" w:cs="Arial"/>
          <w:b/>
        </w:rPr>
      </w:pPr>
      <w:r w:rsidRPr="00EA2B38">
        <w:rPr>
          <w:rFonts w:ascii="Arial" w:hAnsi="Arial" w:cs="Arial"/>
          <w:b/>
        </w:rPr>
        <w:t>Okres Brno-venkov</w:t>
      </w:r>
    </w:p>
    <w:p w:rsidR="00060EFF" w:rsidRPr="00EA2B38" w:rsidRDefault="00060EFF" w:rsidP="00060EFF">
      <w:pPr>
        <w:jc w:val="both"/>
        <w:rPr>
          <w:rFonts w:ascii="Arial" w:hAnsi="Arial" w:cs="Arial"/>
          <w:sz w:val="22"/>
          <w:szCs w:val="22"/>
        </w:rPr>
      </w:pPr>
    </w:p>
    <w:p w:rsidR="00060EFF" w:rsidRPr="00EA2B38" w:rsidRDefault="00060EFF" w:rsidP="00060EFF">
      <w:pPr>
        <w:jc w:val="both"/>
        <w:rPr>
          <w:rFonts w:ascii="Arial" w:hAnsi="Arial" w:cs="Arial"/>
          <w:sz w:val="22"/>
          <w:szCs w:val="22"/>
        </w:rPr>
      </w:pPr>
      <w:r w:rsidRPr="00EA2B38">
        <w:rPr>
          <w:rFonts w:ascii="Arial" w:hAnsi="Arial" w:cs="Arial"/>
          <w:sz w:val="22"/>
          <w:szCs w:val="22"/>
        </w:rPr>
        <w:t>Okres Brno-venkov je okresem s druhou nejnižší hodnotou podílu nezaměstnaných osob v Jihomoravském kraji (6,4 %) a zároveň s</w:t>
      </w:r>
      <w:r w:rsidR="00E978A4">
        <w:rPr>
          <w:rFonts w:ascii="Arial" w:hAnsi="Arial" w:cs="Arial"/>
          <w:sz w:val="22"/>
          <w:szCs w:val="22"/>
        </w:rPr>
        <w:t> relativně</w:t>
      </w:r>
      <w:r w:rsidRPr="00EA2B38">
        <w:rPr>
          <w:rFonts w:ascii="Arial" w:hAnsi="Arial" w:cs="Arial"/>
          <w:sz w:val="22"/>
          <w:szCs w:val="22"/>
        </w:rPr>
        <w:t> vysokým poč</w:t>
      </w:r>
      <w:r w:rsidR="00B90DF7">
        <w:rPr>
          <w:rFonts w:ascii="Arial" w:hAnsi="Arial" w:cs="Arial"/>
          <w:sz w:val="22"/>
          <w:szCs w:val="22"/>
        </w:rPr>
        <w:t xml:space="preserve">tem </w:t>
      </w:r>
      <w:r w:rsidR="00F60E27">
        <w:rPr>
          <w:rFonts w:ascii="Arial" w:hAnsi="Arial" w:cs="Arial"/>
          <w:sz w:val="22"/>
          <w:szCs w:val="22"/>
        </w:rPr>
        <w:t xml:space="preserve">vytvářených </w:t>
      </w:r>
      <w:r w:rsidR="00B90DF7">
        <w:rPr>
          <w:rFonts w:ascii="Arial" w:hAnsi="Arial" w:cs="Arial"/>
          <w:sz w:val="22"/>
          <w:szCs w:val="22"/>
        </w:rPr>
        <w:t xml:space="preserve">volných míst. (1 240 míst). </w:t>
      </w:r>
      <w:r w:rsidRPr="00EA2B38">
        <w:rPr>
          <w:rFonts w:ascii="Arial" w:hAnsi="Arial" w:cs="Arial"/>
          <w:sz w:val="22"/>
          <w:szCs w:val="22"/>
        </w:rPr>
        <w:t>S tímto souvisí nízký počet uchazečů na jedno pracovní místo, v roce 2014 tento poměr činil 11,6. Úřad práce Brno-venkov sídlí v Brně. Detašovaná pracoviště jsou již umístěna ve městech okresu Brno-venkov (Ivančice, Pohořelice, Rosice, Tišnov a Židlochovice).</w:t>
      </w:r>
    </w:p>
    <w:p w:rsidR="00060EFF" w:rsidRPr="00EA2B38" w:rsidRDefault="00060EFF" w:rsidP="00060EFF">
      <w:pPr>
        <w:jc w:val="both"/>
        <w:rPr>
          <w:rFonts w:ascii="Arial" w:hAnsi="Arial" w:cs="Arial"/>
          <w:sz w:val="22"/>
          <w:szCs w:val="22"/>
        </w:rPr>
      </w:pPr>
    </w:p>
    <w:p w:rsidR="00060EFF" w:rsidRDefault="00B90DF7" w:rsidP="00060EFF">
      <w:pPr>
        <w:jc w:val="both"/>
        <w:rPr>
          <w:rFonts w:ascii="Arial" w:hAnsi="Arial" w:cs="Arial"/>
          <w:sz w:val="22"/>
          <w:szCs w:val="22"/>
        </w:rPr>
      </w:pPr>
      <w:r>
        <w:rPr>
          <w:rFonts w:ascii="Arial" w:hAnsi="Arial" w:cs="Arial"/>
          <w:sz w:val="22"/>
          <w:szCs w:val="22"/>
        </w:rPr>
        <w:t xml:space="preserve">Okres Brno-venkov má </w:t>
      </w:r>
      <w:r w:rsidR="00060EFF" w:rsidRPr="00EA2B38">
        <w:rPr>
          <w:rFonts w:ascii="Arial" w:hAnsi="Arial" w:cs="Arial"/>
          <w:sz w:val="22"/>
          <w:szCs w:val="22"/>
        </w:rPr>
        <w:t xml:space="preserve">průmyslový charakter, </w:t>
      </w:r>
      <w:r>
        <w:rPr>
          <w:rFonts w:ascii="Arial" w:hAnsi="Arial" w:cs="Arial"/>
          <w:sz w:val="22"/>
          <w:szCs w:val="22"/>
        </w:rPr>
        <w:t xml:space="preserve">dříve </w:t>
      </w:r>
      <w:r w:rsidR="00F60E27">
        <w:rPr>
          <w:rFonts w:ascii="Arial" w:hAnsi="Arial" w:cs="Arial"/>
          <w:sz w:val="22"/>
          <w:szCs w:val="22"/>
        </w:rPr>
        <w:t>poměrně</w:t>
      </w:r>
      <w:r>
        <w:rPr>
          <w:rFonts w:ascii="Arial" w:hAnsi="Arial" w:cs="Arial"/>
          <w:sz w:val="22"/>
          <w:szCs w:val="22"/>
        </w:rPr>
        <w:t xml:space="preserve"> vysoký</w:t>
      </w:r>
      <w:r w:rsidR="00060EFF" w:rsidRPr="00EA2B38">
        <w:rPr>
          <w:rFonts w:ascii="Arial" w:hAnsi="Arial" w:cs="Arial"/>
          <w:sz w:val="22"/>
          <w:szCs w:val="22"/>
        </w:rPr>
        <w:t xml:space="preserve"> podíl zaměstnaných v</w:t>
      </w:r>
      <w:r>
        <w:rPr>
          <w:rFonts w:ascii="Arial" w:hAnsi="Arial" w:cs="Arial"/>
          <w:sz w:val="22"/>
          <w:szCs w:val="22"/>
        </w:rPr>
        <w:t> </w:t>
      </w:r>
      <w:r w:rsidR="00060EFF" w:rsidRPr="00EA2B38">
        <w:rPr>
          <w:rFonts w:ascii="Arial" w:hAnsi="Arial" w:cs="Arial"/>
          <w:sz w:val="22"/>
          <w:szCs w:val="22"/>
        </w:rPr>
        <w:t>zemědělství</w:t>
      </w:r>
      <w:r>
        <w:rPr>
          <w:rFonts w:ascii="Arial" w:hAnsi="Arial" w:cs="Arial"/>
          <w:sz w:val="22"/>
          <w:szCs w:val="22"/>
        </w:rPr>
        <w:t xml:space="preserve"> v posledních</w:t>
      </w:r>
      <w:r w:rsidR="00060EFF" w:rsidRPr="00EA2B38">
        <w:rPr>
          <w:rFonts w:ascii="Arial" w:hAnsi="Arial" w:cs="Arial"/>
          <w:sz w:val="22"/>
          <w:szCs w:val="22"/>
        </w:rPr>
        <w:t xml:space="preserve"> </w:t>
      </w:r>
      <w:r w:rsidR="00F60E27">
        <w:rPr>
          <w:rFonts w:ascii="Arial" w:hAnsi="Arial" w:cs="Arial"/>
          <w:sz w:val="22"/>
          <w:szCs w:val="22"/>
        </w:rPr>
        <w:t xml:space="preserve">letech </w:t>
      </w:r>
      <w:r w:rsidR="00060EFF" w:rsidRPr="00EA2B38">
        <w:rPr>
          <w:rFonts w:ascii="Arial" w:hAnsi="Arial" w:cs="Arial"/>
          <w:sz w:val="22"/>
          <w:szCs w:val="22"/>
        </w:rPr>
        <w:t>neustále klesá</w:t>
      </w:r>
      <w:r w:rsidR="00F60E27">
        <w:rPr>
          <w:rFonts w:ascii="Arial" w:hAnsi="Arial" w:cs="Arial"/>
          <w:sz w:val="22"/>
          <w:szCs w:val="22"/>
        </w:rPr>
        <w:t xml:space="preserve"> (firmy na sezonní práce raději najímají pracovníky ze zahraničí)</w:t>
      </w:r>
      <w:r w:rsidR="00060EFF" w:rsidRPr="00EA2B38">
        <w:rPr>
          <w:rFonts w:ascii="Arial" w:hAnsi="Arial" w:cs="Arial"/>
          <w:sz w:val="22"/>
          <w:szCs w:val="22"/>
        </w:rPr>
        <w:t xml:space="preserve">. Díky své poloze má okres Brno-venkov značnou intenzitu dopravy. Silniční doprava (dálnice Brno-Praha-Bratislava-Ostrava) i železniční trasy zákonitě procházejí územím okresu a tím kladně ovlivňují hospodářství i rozvoj podnikatelských </w:t>
      </w:r>
      <w:r w:rsidR="00060EFF" w:rsidRPr="00B432E0">
        <w:rPr>
          <w:rFonts w:ascii="Arial" w:hAnsi="Arial" w:cs="Arial"/>
          <w:sz w:val="22"/>
          <w:szCs w:val="22"/>
        </w:rPr>
        <w:t xml:space="preserve">aktivit. </w:t>
      </w:r>
      <w:r>
        <w:rPr>
          <w:rFonts w:ascii="Arial" w:hAnsi="Arial" w:cs="Arial"/>
          <w:sz w:val="22"/>
          <w:szCs w:val="22"/>
        </w:rPr>
        <w:t>V</w:t>
      </w:r>
      <w:r w:rsidR="00060EFF" w:rsidRPr="00B432E0">
        <w:rPr>
          <w:rFonts w:ascii="Arial" w:hAnsi="Arial" w:cs="Arial"/>
          <w:sz w:val="22"/>
          <w:szCs w:val="22"/>
        </w:rPr>
        <w:t xml:space="preserve">elká část obyvatel </w:t>
      </w:r>
      <w:r>
        <w:rPr>
          <w:rFonts w:ascii="Arial" w:hAnsi="Arial" w:cs="Arial"/>
          <w:sz w:val="22"/>
          <w:szCs w:val="22"/>
        </w:rPr>
        <w:t>dojíždí za prací do města Brna. Okres Brno-venkov je výrazně</w:t>
      </w:r>
      <w:r w:rsidR="00060EFF" w:rsidRPr="00B432E0">
        <w:rPr>
          <w:rFonts w:ascii="Arial" w:hAnsi="Arial" w:cs="Arial"/>
          <w:sz w:val="22"/>
          <w:szCs w:val="22"/>
        </w:rPr>
        <w:t xml:space="preserve"> závislý na trhu práce v brněnském okrese. O</w:t>
      </w:r>
      <w:r w:rsidR="00060EFF">
        <w:rPr>
          <w:rFonts w:ascii="Arial" w:hAnsi="Arial" w:cs="Arial"/>
          <w:sz w:val="22"/>
          <w:szCs w:val="22"/>
        </w:rPr>
        <w:t>kres Brno</w:t>
      </w:r>
      <w:r w:rsidR="00060EFF" w:rsidRPr="0037545C">
        <w:rPr>
          <w:rFonts w:ascii="Arial" w:hAnsi="Arial" w:cs="Arial"/>
          <w:color w:val="FF0000"/>
          <w:sz w:val="22"/>
          <w:szCs w:val="22"/>
        </w:rPr>
        <w:t>-</w:t>
      </w:r>
      <w:r w:rsidR="00060EFF" w:rsidRPr="00B432E0">
        <w:rPr>
          <w:rFonts w:ascii="Arial" w:hAnsi="Arial" w:cs="Arial"/>
          <w:sz w:val="22"/>
          <w:szCs w:val="22"/>
        </w:rPr>
        <w:t xml:space="preserve">venkov se skládá </w:t>
      </w:r>
      <w:r w:rsidR="00EA2B38">
        <w:rPr>
          <w:rFonts w:ascii="Arial" w:hAnsi="Arial" w:cs="Arial"/>
          <w:sz w:val="22"/>
          <w:szCs w:val="22"/>
        </w:rPr>
        <w:t xml:space="preserve"> </w:t>
      </w:r>
      <w:r>
        <w:rPr>
          <w:rFonts w:ascii="Arial" w:hAnsi="Arial" w:cs="Arial"/>
          <w:sz w:val="22"/>
          <w:szCs w:val="22"/>
        </w:rPr>
        <w:t>z těchto</w:t>
      </w:r>
      <w:r w:rsidR="00060EFF" w:rsidRPr="00B432E0">
        <w:rPr>
          <w:rFonts w:ascii="Arial" w:hAnsi="Arial" w:cs="Arial"/>
          <w:sz w:val="22"/>
          <w:szCs w:val="22"/>
        </w:rPr>
        <w:t xml:space="preserve"> </w:t>
      </w:r>
      <w:r w:rsidR="0024494D">
        <w:rPr>
          <w:rFonts w:ascii="Arial" w:hAnsi="Arial" w:cs="Arial"/>
          <w:sz w:val="22"/>
          <w:szCs w:val="22"/>
        </w:rPr>
        <w:t xml:space="preserve">mikro </w:t>
      </w:r>
      <w:r w:rsidR="00F60E27">
        <w:rPr>
          <w:rFonts w:ascii="Arial" w:hAnsi="Arial" w:cs="Arial"/>
          <w:sz w:val="22"/>
          <w:szCs w:val="22"/>
        </w:rPr>
        <w:t>r</w:t>
      </w:r>
      <w:r w:rsidR="00060EFF" w:rsidRPr="00B432E0">
        <w:rPr>
          <w:rFonts w:ascii="Arial" w:hAnsi="Arial" w:cs="Arial"/>
          <w:sz w:val="22"/>
          <w:szCs w:val="22"/>
        </w:rPr>
        <w:t>egionů</w:t>
      </w:r>
      <w:r w:rsidR="0024494D">
        <w:rPr>
          <w:rFonts w:ascii="Arial" w:hAnsi="Arial" w:cs="Arial"/>
          <w:sz w:val="22"/>
          <w:szCs w:val="22"/>
        </w:rPr>
        <w:t xml:space="preserve"> – viz tabulka:</w:t>
      </w:r>
    </w:p>
    <w:p w:rsidR="00060EFF" w:rsidRPr="00EA2B38" w:rsidRDefault="00EA2B38" w:rsidP="007168E0">
      <w:pPr>
        <w:pStyle w:val="Bezmezer"/>
        <w:spacing w:line="276" w:lineRule="auto"/>
        <w:rPr>
          <w:rFonts w:ascii="Arial" w:hAnsi="Arial" w:cs="Arial"/>
          <w:b/>
          <w:i/>
          <w:sz w:val="20"/>
          <w:szCs w:val="20"/>
        </w:rPr>
      </w:pPr>
      <w:r w:rsidRPr="00EA2B38">
        <w:rPr>
          <w:rFonts w:ascii="Arial" w:hAnsi="Arial" w:cs="Arial"/>
          <w:b/>
          <w:i/>
          <w:sz w:val="20"/>
          <w:szCs w:val="20"/>
        </w:rPr>
        <w:t xml:space="preserve">Tab. </w:t>
      </w:r>
      <w:r w:rsidRPr="00EA2B38">
        <w:rPr>
          <w:rFonts w:ascii="Arial" w:hAnsi="Arial" w:cs="Arial"/>
          <w:b/>
          <w:i/>
          <w:sz w:val="20"/>
          <w:szCs w:val="20"/>
        </w:rPr>
        <w:fldChar w:fldCharType="begin"/>
      </w:r>
      <w:r w:rsidRPr="00EA2B38">
        <w:rPr>
          <w:rFonts w:ascii="Arial" w:hAnsi="Arial" w:cs="Arial"/>
          <w:b/>
          <w:i/>
          <w:sz w:val="20"/>
          <w:szCs w:val="20"/>
        </w:rPr>
        <w:instrText xml:space="preserve"> SEQ Tab. \* ARABIC </w:instrText>
      </w:r>
      <w:r w:rsidRPr="00EA2B38">
        <w:rPr>
          <w:rFonts w:ascii="Arial" w:hAnsi="Arial" w:cs="Arial"/>
          <w:b/>
          <w:i/>
          <w:sz w:val="20"/>
          <w:szCs w:val="20"/>
        </w:rPr>
        <w:fldChar w:fldCharType="separate"/>
      </w:r>
      <w:r w:rsidR="004378F3">
        <w:rPr>
          <w:rFonts w:ascii="Arial" w:hAnsi="Arial" w:cs="Arial"/>
          <w:b/>
          <w:i/>
          <w:noProof/>
          <w:sz w:val="20"/>
          <w:szCs w:val="20"/>
        </w:rPr>
        <w:t>9</w:t>
      </w:r>
      <w:r w:rsidRPr="00EA2B38">
        <w:rPr>
          <w:rFonts w:ascii="Arial" w:hAnsi="Arial" w:cs="Arial"/>
          <w:b/>
          <w:i/>
          <w:sz w:val="20"/>
          <w:szCs w:val="20"/>
        </w:rPr>
        <w:fldChar w:fldCharType="end"/>
      </w:r>
      <w:r w:rsidR="00060EFF" w:rsidRPr="00EA2B38">
        <w:rPr>
          <w:rFonts w:ascii="Arial" w:hAnsi="Arial" w:cs="Arial"/>
          <w:b/>
          <w:i/>
          <w:sz w:val="20"/>
          <w:szCs w:val="20"/>
        </w:rPr>
        <w:t>: Charakteristika okresu Brno-venkov k 31. 12. 2014</w:t>
      </w:r>
    </w:p>
    <w:tbl>
      <w:tblPr>
        <w:tblW w:w="9423"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80"/>
        <w:gridCol w:w="1040"/>
        <w:gridCol w:w="1040"/>
        <w:gridCol w:w="1040"/>
        <w:gridCol w:w="1085"/>
        <w:gridCol w:w="1040"/>
        <w:gridCol w:w="1040"/>
        <w:gridCol w:w="1058"/>
      </w:tblGrid>
      <w:tr w:rsidR="00060EFF" w:rsidRPr="00671D17" w:rsidTr="00060EFF">
        <w:trPr>
          <w:trHeight w:val="301"/>
        </w:trPr>
        <w:tc>
          <w:tcPr>
            <w:tcW w:w="2080" w:type="dxa"/>
            <w:vMerge w:val="restart"/>
            <w:tcBorders>
              <w:top w:val="single" w:sz="12" w:space="0" w:color="auto"/>
              <w:bottom w:val="single" w:sz="12" w:space="0" w:color="auto"/>
              <w:right w:val="single" w:sz="8"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Území</w:t>
            </w:r>
          </w:p>
        </w:tc>
        <w:tc>
          <w:tcPr>
            <w:tcW w:w="3120" w:type="dxa"/>
            <w:gridSpan w:val="3"/>
            <w:tcBorders>
              <w:top w:val="single" w:sz="12" w:space="0" w:color="auto"/>
              <w:left w:val="single" w:sz="8" w:space="0" w:color="auto"/>
              <w:bottom w:val="single" w:sz="8"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Počet nezaměstnaných</w:t>
            </w:r>
          </w:p>
        </w:tc>
        <w:tc>
          <w:tcPr>
            <w:tcW w:w="1085" w:type="dxa"/>
            <w:vMerge w:val="restart"/>
            <w:tcBorders>
              <w:top w:val="single" w:sz="12"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color w:val="000000"/>
              </w:rPr>
            </w:pPr>
            <w:r w:rsidRPr="00671D17">
              <w:rPr>
                <w:rFonts w:ascii="Calibri" w:hAnsi="Calibri"/>
                <w:color w:val="000000"/>
                <w:sz w:val="22"/>
                <w:szCs w:val="22"/>
              </w:rPr>
              <w:t>Absolventi škol a mladiství</w:t>
            </w:r>
          </w:p>
        </w:tc>
        <w:tc>
          <w:tcPr>
            <w:tcW w:w="1040" w:type="dxa"/>
            <w:vMerge w:val="restart"/>
            <w:tcBorders>
              <w:top w:val="single" w:sz="12"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color w:val="000000"/>
              </w:rPr>
            </w:pPr>
            <w:r w:rsidRPr="00671D17">
              <w:rPr>
                <w:rFonts w:ascii="Calibri" w:hAnsi="Calibri"/>
                <w:color w:val="000000"/>
                <w:sz w:val="22"/>
                <w:szCs w:val="22"/>
              </w:rPr>
              <w:t>Osoby se ZP</w:t>
            </w:r>
          </w:p>
        </w:tc>
        <w:tc>
          <w:tcPr>
            <w:tcW w:w="1040" w:type="dxa"/>
            <w:vMerge w:val="restart"/>
            <w:tcBorders>
              <w:top w:val="single" w:sz="12"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Volná pracovní místa</w:t>
            </w:r>
          </w:p>
        </w:tc>
        <w:tc>
          <w:tcPr>
            <w:tcW w:w="1058" w:type="dxa"/>
            <w:vMerge w:val="restart"/>
            <w:tcBorders>
              <w:top w:val="single" w:sz="12"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Podíl nezaměst. [%]</w:t>
            </w:r>
          </w:p>
        </w:tc>
      </w:tr>
      <w:tr w:rsidR="00060EFF" w:rsidRPr="00671D17" w:rsidTr="00060EFF">
        <w:trPr>
          <w:trHeight w:val="301"/>
        </w:trPr>
        <w:tc>
          <w:tcPr>
            <w:tcW w:w="2080" w:type="dxa"/>
            <w:vMerge/>
            <w:tcBorders>
              <w:top w:val="single" w:sz="12" w:space="0" w:color="auto"/>
              <w:bottom w:val="single" w:sz="8" w:space="0" w:color="auto"/>
              <w:right w:val="single" w:sz="12" w:space="0" w:color="auto"/>
            </w:tcBorders>
            <w:vAlign w:val="center"/>
            <w:hideMark/>
          </w:tcPr>
          <w:p w:rsidR="00060EFF" w:rsidRPr="00671D17" w:rsidRDefault="00060EFF" w:rsidP="00060EFF">
            <w:pPr>
              <w:spacing w:line="240" w:lineRule="auto"/>
              <w:rPr>
                <w:rFonts w:ascii="Calibri" w:hAnsi="Calibri"/>
              </w:rPr>
            </w:pPr>
          </w:p>
        </w:tc>
        <w:tc>
          <w:tcPr>
            <w:tcW w:w="1040" w:type="dxa"/>
            <w:vMerge w:val="restart"/>
            <w:tcBorders>
              <w:top w:val="single" w:sz="8" w:space="0" w:color="auto"/>
              <w:left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celkem</w:t>
            </w:r>
          </w:p>
        </w:tc>
        <w:tc>
          <w:tcPr>
            <w:tcW w:w="2080" w:type="dxa"/>
            <w:gridSpan w:val="2"/>
            <w:tcBorders>
              <w:top w:val="single" w:sz="8" w:space="0" w:color="auto"/>
              <w:bottom w:val="single" w:sz="8" w:space="0" w:color="auto"/>
              <w:right w:val="single" w:sz="8"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v tom</w:t>
            </w:r>
          </w:p>
        </w:tc>
        <w:tc>
          <w:tcPr>
            <w:tcW w:w="1085" w:type="dxa"/>
            <w:vMerge/>
            <w:tcBorders>
              <w:top w:val="single" w:sz="12" w:space="0" w:color="auto"/>
              <w:left w:val="single" w:sz="8" w:space="0" w:color="auto"/>
              <w:bottom w:val="single" w:sz="8" w:space="0" w:color="auto"/>
            </w:tcBorders>
            <w:vAlign w:val="center"/>
            <w:hideMark/>
          </w:tcPr>
          <w:p w:rsidR="00060EFF" w:rsidRPr="00671D17" w:rsidRDefault="00060EFF" w:rsidP="00060EFF">
            <w:pPr>
              <w:spacing w:line="240" w:lineRule="auto"/>
              <w:rPr>
                <w:rFonts w:ascii="Calibri" w:hAnsi="Calibri"/>
                <w:color w:val="000000"/>
              </w:rPr>
            </w:pPr>
          </w:p>
        </w:tc>
        <w:tc>
          <w:tcPr>
            <w:tcW w:w="1040" w:type="dxa"/>
            <w:vMerge/>
            <w:tcBorders>
              <w:top w:val="single" w:sz="12" w:space="0" w:color="auto"/>
            </w:tcBorders>
            <w:vAlign w:val="center"/>
            <w:hideMark/>
          </w:tcPr>
          <w:p w:rsidR="00060EFF" w:rsidRPr="00671D17" w:rsidRDefault="00060EFF" w:rsidP="00060EFF">
            <w:pPr>
              <w:spacing w:line="240" w:lineRule="auto"/>
              <w:rPr>
                <w:rFonts w:ascii="Calibri" w:hAnsi="Calibri"/>
                <w:color w:val="000000"/>
              </w:rPr>
            </w:pPr>
          </w:p>
        </w:tc>
        <w:tc>
          <w:tcPr>
            <w:tcW w:w="1040" w:type="dxa"/>
            <w:vMerge/>
            <w:tcBorders>
              <w:top w:val="single" w:sz="12" w:space="0" w:color="auto"/>
            </w:tcBorders>
            <w:vAlign w:val="center"/>
            <w:hideMark/>
          </w:tcPr>
          <w:p w:rsidR="00060EFF" w:rsidRPr="00671D17" w:rsidRDefault="00060EFF" w:rsidP="00060EFF">
            <w:pPr>
              <w:spacing w:line="240" w:lineRule="auto"/>
              <w:rPr>
                <w:rFonts w:ascii="Calibri" w:hAnsi="Calibri"/>
              </w:rPr>
            </w:pPr>
          </w:p>
        </w:tc>
        <w:tc>
          <w:tcPr>
            <w:tcW w:w="1058" w:type="dxa"/>
            <w:vMerge/>
            <w:tcBorders>
              <w:top w:val="single" w:sz="12" w:space="0" w:color="auto"/>
            </w:tcBorders>
            <w:vAlign w:val="center"/>
            <w:hideMark/>
          </w:tcPr>
          <w:p w:rsidR="00060EFF" w:rsidRPr="00671D17" w:rsidRDefault="00060EFF" w:rsidP="00060EFF">
            <w:pPr>
              <w:spacing w:line="240" w:lineRule="auto"/>
              <w:rPr>
                <w:rFonts w:ascii="Calibri" w:hAnsi="Calibri"/>
              </w:rPr>
            </w:pPr>
          </w:p>
        </w:tc>
      </w:tr>
      <w:tr w:rsidR="00060EFF" w:rsidRPr="00671D17" w:rsidTr="00060EFF">
        <w:trPr>
          <w:trHeight w:val="315"/>
        </w:trPr>
        <w:tc>
          <w:tcPr>
            <w:tcW w:w="2080" w:type="dxa"/>
            <w:vMerge/>
            <w:tcBorders>
              <w:top w:val="single" w:sz="8" w:space="0" w:color="auto"/>
              <w:bottom w:val="single" w:sz="12" w:space="0" w:color="auto"/>
              <w:right w:val="single" w:sz="12" w:space="0" w:color="auto"/>
            </w:tcBorders>
            <w:vAlign w:val="center"/>
            <w:hideMark/>
          </w:tcPr>
          <w:p w:rsidR="00060EFF" w:rsidRPr="00671D17" w:rsidRDefault="00060EFF" w:rsidP="00060EFF">
            <w:pPr>
              <w:spacing w:line="240" w:lineRule="auto"/>
              <w:rPr>
                <w:rFonts w:ascii="Calibri" w:hAnsi="Calibri"/>
              </w:rPr>
            </w:pPr>
          </w:p>
        </w:tc>
        <w:tc>
          <w:tcPr>
            <w:tcW w:w="1040" w:type="dxa"/>
            <w:vMerge/>
            <w:tcBorders>
              <w:left w:val="single" w:sz="12"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rPr>
                <w:rFonts w:ascii="Calibri" w:hAnsi="Calibri"/>
              </w:rPr>
            </w:pPr>
          </w:p>
        </w:tc>
        <w:tc>
          <w:tcPr>
            <w:tcW w:w="1040" w:type="dxa"/>
            <w:tcBorders>
              <w:top w:val="single" w:sz="8" w:space="0" w:color="auto"/>
              <w:bottom w:val="single" w:sz="12"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muži</w:t>
            </w:r>
          </w:p>
        </w:tc>
        <w:tc>
          <w:tcPr>
            <w:tcW w:w="1040" w:type="dxa"/>
            <w:tcBorders>
              <w:top w:val="single" w:sz="8" w:space="0" w:color="auto"/>
              <w:bottom w:val="single" w:sz="12" w:space="0" w:color="auto"/>
              <w:right w:val="single" w:sz="8" w:space="0" w:color="auto"/>
            </w:tcBorders>
            <w:shd w:val="clear" w:color="000000" w:fill="D9D9D9" w:themeFill="background1" w:themeFillShade="D9"/>
            <w:vAlign w:val="center"/>
            <w:hideMark/>
          </w:tcPr>
          <w:p w:rsidR="00060EFF" w:rsidRPr="00671D17" w:rsidRDefault="00060EFF" w:rsidP="00060EFF">
            <w:pPr>
              <w:spacing w:line="240" w:lineRule="auto"/>
              <w:jc w:val="center"/>
              <w:rPr>
                <w:rFonts w:ascii="Calibri" w:hAnsi="Calibri"/>
              </w:rPr>
            </w:pPr>
            <w:r w:rsidRPr="00671D17">
              <w:rPr>
                <w:rFonts w:ascii="Calibri" w:hAnsi="Calibri"/>
                <w:sz w:val="22"/>
                <w:szCs w:val="22"/>
              </w:rPr>
              <w:t>ženy</w:t>
            </w:r>
          </w:p>
        </w:tc>
        <w:tc>
          <w:tcPr>
            <w:tcW w:w="1085" w:type="dxa"/>
            <w:vMerge/>
            <w:tcBorders>
              <w:top w:val="single" w:sz="8" w:space="0" w:color="auto"/>
              <w:left w:val="single" w:sz="8" w:space="0" w:color="auto"/>
              <w:bottom w:val="single" w:sz="12" w:space="0" w:color="auto"/>
            </w:tcBorders>
            <w:vAlign w:val="center"/>
            <w:hideMark/>
          </w:tcPr>
          <w:p w:rsidR="00060EFF" w:rsidRPr="00671D17" w:rsidRDefault="00060EFF" w:rsidP="00060EFF">
            <w:pPr>
              <w:spacing w:line="240" w:lineRule="auto"/>
              <w:rPr>
                <w:rFonts w:ascii="Calibri" w:hAnsi="Calibri"/>
                <w:color w:val="000000"/>
              </w:rPr>
            </w:pPr>
          </w:p>
        </w:tc>
        <w:tc>
          <w:tcPr>
            <w:tcW w:w="1040" w:type="dxa"/>
            <w:vMerge/>
            <w:tcBorders>
              <w:bottom w:val="single" w:sz="12" w:space="0" w:color="auto"/>
            </w:tcBorders>
            <w:vAlign w:val="center"/>
            <w:hideMark/>
          </w:tcPr>
          <w:p w:rsidR="00060EFF" w:rsidRPr="00671D17" w:rsidRDefault="00060EFF" w:rsidP="00060EFF">
            <w:pPr>
              <w:spacing w:line="240" w:lineRule="auto"/>
              <w:rPr>
                <w:rFonts w:ascii="Calibri" w:hAnsi="Calibri"/>
                <w:color w:val="000000"/>
              </w:rPr>
            </w:pPr>
          </w:p>
        </w:tc>
        <w:tc>
          <w:tcPr>
            <w:tcW w:w="1040" w:type="dxa"/>
            <w:vMerge/>
            <w:tcBorders>
              <w:bottom w:val="single" w:sz="12" w:space="0" w:color="auto"/>
            </w:tcBorders>
            <w:vAlign w:val="center"/>
            <w:hideMark/>
          </w:tcPr>
          <w:p w:rsidR="00060EFF" w:rsidRPr="00671D17" w:rsidRDefault="00060EFF" w:rsidP="00060EFF">
            <w:pPr>
              <w:spacing w:line="240" w:lineRule="auto"/>
              <w:rPr>
                <w:rFonts w:ascii="Calibri" w:hAnsi="Calibri"/>
              </w:rPr>
            </w:pPr>
          </w:p>
        </w:tc>
        <w:tc>
          <w:tcPr>
            <w:tcW w:w="1058" w:type="dxa"/>
            <w:vMerge/>
            <w:tcBorders>
              <w:bottom w:val="single" w:sz="12" w:space="0" w:color="auto"/>
            </w:tcBorders>
            <w:vAlign w:val="center"/>
            <w:hideMark/>
          </w:tcPr>
          <w:p w:rsidR="00060EFF" w:rsidRPr="00671D17" w:rsidRDefault="00060EFF" w:rsidP="00060EFF">
            <w:pPr>
              <w:spacing w:line="240" w:lineRule="auto"/>
              <w:rPr>
                <w:rFonts w:ascii="Calibri" w:hAnsi="Calibri"/>
              </w:rPr>
            </w:pPr>
          </w:p>
        </w:tc>
      </w:tr>
      <w:tr w:rsidR="00060EFF" w:rsidRPr="00671D17" w:rsidTr="00060EFF">
        <w:trPr>
          <w:trHeight w:val="301"/>
        </w:trPr>
        <w:tc>
          <w:tcPr>
            <w:tcW w:w="2080" w:type="dxa"/>
            <w:tcBorders>
              <w:top w:val="single" w:sz="12" w:space="0" w:color="auto"/>
              <w:bottom w:val="single" w:sz="8" w:space="0" w:color="auto"/>
              <w:right w:val="single" w:sz="12" w:space="0" w:color="auto"/>
            </w:tcBorders>
            <w:shd w:val="clear" w:color="000000" w:fill="D9D9D9" w:themeFill="background1" w:themeFillShade="D9"/>
            <w:noWrap/>
            <w:vAlign w:val="center"/>
            <w:hideMark/>
          </w:tcPr>
          <w:p w:rsidR="00060EFF" w:rsidRPr="00671D17" w:rsidRDefault="00060EFF" w:rsidP="00060EFF">
            <w:pPr>
              <w:spacing w:line="240" w:lineRule="auto"/>
              <w:rPr>
                <w:rFonts w:ascii="Calibri" w:hAnsi="Calibri"/>
              </w:rPr>
            </w:pPr>
            <w:r w:rsidRPr="00671D17">
              <w:rPr>
                <w:rFonts w:ascii="Calibri" w:hAnsi="Calibri"/>
                <w:sz w:val="22"/>
                <w:szCs w:val="22"/>
              </w:rPr>
              <w:t>Ivančice</w:t>
            </w:r>
          </w:p>
        </w:tc>
        <w:tc>
          <w:tcPr>
            <w:tcW w:w="1040" w:type="dxa"/>
            <w:tcBorders>
              <w:top w:val="single" w:sz="12" w:space="0" w:color="auto"/>
              <w:left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1 331</w:t>
            </w:r>
          </w:p>
        </w:tc>
        <w:tc>
          <w:tcPr>
            <w:tcW w:w="1040" w:type="dxa"/>
            <w:tcBorders>
              <w:top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638</w:t>
            </w:r>
          </w:p>
        </w:tc>
        <w:tc>
          <w:tcPr>
            <w:tcW w:w="1040" w:type="dxa"/>
            <w:tcBorders>
              <w:top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693</w:t>
            </w:r>
          </w:p>
        </w:tc>
        <w:tc>
          <w:tcPr>
            <w:tcW w:w="1085" w:type="dxa"/>
            <w:tcBorders>
              <w:top w:val="single" w:sz="12" w:space="0" w:color="auto"/>
            </w:tcBorders>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95</w:t>
            </w:r>
          </w:p>
        </w:tc>
        <w:tc>
          <w:tcPr>
            <w:tcW w:w="1040" w:type="dxa"/>
            <w:tcBorders>
              <w:top w:val="single" w:sz="12" w:space="0" w:color="auto"/>
            </w:tcBorders>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227</w:t>
            </w:r>
          </w:p>
        </w:tc>
        <w:tc>
          <w:tcPr>
            <w:tcW w:w="1040" w:type="dxa"/>
            <w:tcBorders>
              <w:top w:val="single" w:sz="12" w:space="0" w:color="auto"/>
            </w:tcBorders>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47</w:t>
            </w:r>
          </w:p>
        </w:tc>
        <w:tc>
          <w:tcPr>
            <w:tcW w:w="1058" w:type="dxa"/>
            <w:tcBorders>
              <w:top w:val="single" w:sz="12" w:space="0" w:color="auto"/>
            </w:tcBorders>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7,9</w:t>
            </w:r>
          </w:p>
        </w:tc>
      </w:tr>
      <w:tr w:rsidR="00060EFF" w:rsidRPr="00671D17" w:rsidTr="00060EFF">
        <w:trPr>
          <w:trHeight w:val="301"/>
        </w:trPr>
        <w:tc>
          <w:tcPr>
            <w:tcW w:w="2080" w:type="dxa"/>
            <w:tcBorders>
              <w:top w:val="single" w:sz="8" w:space="0" w:color="auto"/>
              <w:bottom w:val="single" w:sz="8" w:space="0" w:color="auto"/>
              <w:right w:val="single" w:sz="12" w:space="0" w:color="auto"/>
            </w:tcBorders>
            <w:shd w:val="clear" w:color="000000" w:fill="D9D9D9" w:themeFill="background1" w:themeFillShade="D9"/>
            <w:noWrap/>
            <w:vAlign w:val="center"/>
            <w:hideMark/>
          </w:tcPr>
          <w:p w:rsidR="00060EFF" w:rsidRPr="00671D17" w:rsidRDefault="00060EFF" w:rsidP="00060EFF">
            <w:pPr>
              <w:spacing w:line="240" w:lineRule="auto"/>
              <w:rPr>
                <w:rFonts w:ascii="Calibri" w:hAnsi="Calibri"/>
              </w:rPr>
            </w:pPr>
            <w:r w:rsidRPr="00671D17">
              <w:rPr>
                <w:rFonts w:ascii="Calibri" w:hAnsi="Calibri"/>
                <w:sz w:val="22"/>
                <w:szCs w:val="22"/>
              </w:rPr>
              <w:t>Kuřim</w:t>
            </w:r>
          </w:p>
        </w:tc>
        <w:tc>
          <w:tcPr>
            <w:tcW w:w="1040" w:type="dxa"/>
            <w:tcBorders>
              <w:left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801</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387</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414</w:t>
            </w:r>
          </w:p>
        </w:tc>
        <w:tc>
          <w:tcPr>
            <w:tcW w:w="1085"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51</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106</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94</w:t>
            </w:r>
          </w:p>
        </w:tc>
        <w:tc>
          <w:tcPr>
            <w:tcW w:w="1058"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5,3</w:t>
            </w:r>
          </w:p>
        </w:tc>
      </w:tr>
      <w:tr w:rsidR="00060EFF" w:rsidRPr="00671D17" w:rsidTr="00060EFF">
        <w:trPr>
          <w:trHeight w:val="301"/>
        </w:trPr>
        <w:tc>
          <w:tcPr>
            <w:tcW w:w="2080" w:type="dxa"/>
            <w:tcBorders>
              <w:top w:val="single" w:sz="8" w:space="0" w:color="auto"/>
              <w:bottom w:val="single" w:sz="8" w:space="0" w:color="auto"/>
              <w:right w:val="single" w:sz="12" w:space="0" w:color="auto"/>
            </w:tcBorders>
            <w:shd w:val="clear" w:color="000000" w:fill="D9D9D9" w:themeFill="background1" w:themeFillShade="D9"/>
            <w:noWrap/>
            <w:vAlign w:val="center"/>
            <w:hideMark/>
          </w:tcPr>
          <w:p w:rsidR="00060EFF" w:rsidRPr="00671D17" w:rsidRDefault="00060EFF" w:rsidP="00060EFF">
            <w:pPr>
              <w:spacing w:line="240" w:lineRule="auto"/>
              <w:rPr>
                <w:rFonts w:ascii="Calibri" w:hAnsi="Calibri"/>
              </w:rPr>
            </w:pPr>
            <w:r w:rsidRPr="00671D17">
              <w:rPr>
                <w:rFonts w:ascii="Calibri" w:hAnsi="Calibri"/>
                <w:sz w:val="22"/>
                <w:szCs w:val="22"/>
              </w:rPr>
              <w:t>Pohořelice</w:t>
            </w:r>
          </w:p>
        </w:tc>
        <w:tc>
          <w:tcPr>
            <w:tcW w:w="1040" w:type="dxa"/>
            <w:tcBorders>
              <w:left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729</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361</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368</w:t>
            </w:r>
          </w:p>
        </w:tc>
        <w:tc>
          <w:tcPr>
            <w:tcW w:w="1085"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32</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117</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64</w:t>
            </w:r>
          </w:p>
        </w:tc>
        <w:tc>
          <w:tcPr>
            <w:tcW w:w="1058"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7,5</w:t>
            </w:r>
          </w:p>
        </w:tc>
      </w:tr>
      <w:tr w:rsidR="00060EFF" w:rsidRPr="00671D17" w:rsidTr="00060EFF">
        <w:trPr>
          <w:trHeight w:val="301"/>
        </w:trPr>
        <w:tc>
          <w:tcPr>
            <w:tcW w:w="2080" w:type="dxa"/>
            <w:tcBorders>
              <w:top w:val="single" w:sz="8" w:space="0" w:color="auto"/>
              <w:bottom w:val="single" w:sz="8" w:space="0" w:color="auto"/>
              <w:right w:val="single" w:sz="12" w:space="0" w:color="auto"/>
            </w:tcBorders>
            <w:shd w:val="clear" w:color="000000" w:fill="D9D9D9" w:themeFill="background1" w:themeFillShade="D9"/>
            <w:noWrap/>
            <w:vAlign w:val="center"/>
            <w:hideMark/>
          </w:tcPr>
          <w:p w:rsidR="00060EFF" w:rsidRPr="00671D17" w:rsidRDefault="00060EFF" w:rsidP="00060EFF">
            <w:pPr>
              <w:spacing w:line="240" w:lineRule="auto"/>
              <w:rPr>
                <w:rFonts w:ascii="Calibri" w:hAnsi="Calibri"/>
              </w:rPr>
            </w:pPr>
            <w:r w:rsidRPr="00671D17">
              <w:rPr>
                <w:rFonts w:ascii="Calibri" w:hAnsi="Calibri"/>
                <w:sz w:val="22"/>
                <w:szCs w:val="22"/>
              </w:rPr>
              <w:t>Rosice</w:t>
            </w:r>
          </w:p>
        </w:tc>
        <w:tc>
          <w:tcPr>
            <w:tcW w:w="1040" w:type="dxa"/>
            <w:tcBorders>
              <w:left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1 173</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547</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626</w:t>
            </w:r>
          </w:p>
        </w:tc>
        <w:tc>
          <w:tcPr>
            <w:tcW w:w="1085"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69</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145</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61</w:t>
            </w:r>
          </w:p>
        </w:tc>
        <w:tc>
          <w:tcPr>
            <w:tcW w:w="1058"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6,9</w:t>
            </w:r>
          </w:p>
        </w:tc>
      </w:tr>
      <w:tr w:rsidR="00060EFF" w:rsidRPr="00671D17" w:rsidTr="00060EFF">
        <w:trPr>
          <w:trHeight w:val="301"/>
        </w:trPr>
        <w:tc>
          <w:tcPr>
            <w:tcW w:w="2080" w:type="dxa"/>
            <w:tcBorders>
              <w:top w:val="single" w:sz="8" w:space="0" w:color="auto"/>
              <w:bottom w:val="single" w:sz="8" w:space="0" w:color="auto"/>
              <w:right w:val="single" w:sz="12" w:space="0" w:color="auto"/>
            </w:tcBorders>
            <w:shd w:val="clear" w:color="000000" w:fill="D9D9D9" w:themeFill="background1" w:themeFillShade="D9"/>
            <w:noWrap/>
            <w:vAlign w:val="center"/>
            <w:hideMark/>
          </w:tcPr>
          <w:p w:rsidR="00060EFF" w:rsidRPr="00671D17" w:rsidRDefault="00060EFF" w:rsidP="00060EFF">
            <w:pPr>
              <w:spacing w:line="240" w:lineRule="auto"/>
              <w:rPr>
                <w:rFonts w:ascii="Calibri" w:hAnsi="Calibri"/>
              </w:rPr>
            </w:pPr>
            <w:r w:rsidRPr="00671D17">
              <w:rPr>
                <w:rFonts w:ascii="Calibri" w:hAnsi="Calibri"/>
                <w:sz w:val="22"/>
                <w:szCs w:val="22"/>
              </w:rPr>
              <w:t>Šlapanice</w:t>
            </w:r>
          </w:p>
        </w:tc>
        <w:tc>
          <w:tcPr>
            <w:tcW w:w="1040" w:type="dxa"/>
            <w:tcBorders>
              <w:left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2 214</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1 088</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1 126</w:t>
            </w:r>
          </w:p>
        </w:tc>
        <w:tc>
          <w:tcPr>
            <w:tcW w:w="1085"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142</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239</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209</w:t>
            </w:r>
          </w:p>
        </w:tc>
        <w:tc>
          <w:tcPr>
            <w:tcW w:w="1058"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5,1</w:t>
            </w:r>
          </w:p>
        </w:tc>
      </w:tr>
      <w:tr w:rsidR="00060EFF" w:rsidRPr="00671D17" w:rsidTr="00060EFF">
        <w:trPr>
          <w:trHeight w:val="301"/>
        </w:trPr>
        <w:tc>
          <w:tcPr>
            <w:tcW w:w="2080" w:type="dxa"/>
            <w:tcBorders>
              <w:top w:val="single" w:sz="8" w:space="0" w:color="auto"/>
              <w:bottom w:val="single" w:sz="8" w:space="0" w:color="auto"/>
              <w:right w:val="single" w:sz="12" w:space="0" w:color="auto"/>
            </w:tcBorders>
            <w:shd w:val="clear" w:color="000000" w:fill="D9D9D9" w:themeFill="background1" w:themeFillShade="D9"/>
            <w:noWrap/>
            <w:vAlign w:val="center"/>
            <w:hideMark/>
          </w:tcPr>
          <w:p w:rsidR="00060EFF" w:rsidRPr="00671D17" w:rsidRDefault="00060EFF" w:rsidP="00060EFF">
            <w:pPr>
              <w:spacing w:line="240" w:lineRule="auto"/>
              <w:rPr>
                <w:rFonts w:ascii="Calibri" w:hAnsi="Calibri"/>
              </w:rPr>
            </w:pPr>
            <w:r w:rsidRPr="00671D17">
              <w:rPr>
                <w:rFonts w:ascii="Calibri" w:hAnsi="Calibri"/>
                <w:sz w:val="22"/>
                <w:szCs w:val="22"/>
              </w:rPr>
              <w:t>Tišnov</w:t>
            </w:r>
          </w:p>
        </w:tc>
        <w:tc>
          <w:tcPr>
            <w:tcW w:w="1040" w:type="dxa"/>
            <w:tcBorders>
              <w:left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1 478</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739</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739</w:t>
            </w:r>
          </w:p>
        </w:tc>
        <w:tc>
          <w:tcPr>
            <w:tcW w:w="1085"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119</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256</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71</w:t>
            </w:r>
          </w:p>
        </w:tc>
        <w:tc>
          <w:tcPr>
            <w:tcW w:w="1058"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7,3</w:t>
            </w:r>
          </w:p>
        </w:tc>
      </w:tr>
      <w:tr w:rsidR="00060EFF" w:rsidRPr="00671D17" w:rsidTr="00060EFF">
        <w:trPr>
          <w:trHeight w:val="301"/>
        </w:trPr>
        <w:tc>
          <w:tcPr>
            <w:tcW w:w="2080" w:type="dxa"/>
            <w:tcBorders>
              <w:top w:val="single" w:sz="8" w:space="0" w:color="auto"/>
              <w:bottom w:val="single" w:sz="8" w:space="0" w:color="auto"/>
              <w:right w:val="single" w:sz="12" w:space="0" w:color="auto"/>
            </w:tcBorders>
            <w:shd w:val="clear" w:color="000000" w:fill="D9D9D9" w:themeFill="background1" w:themeFillShade="D9"/>
            <w:noWrap/>
            <w:vAlign w:val="center"/>
            <w:hideMark/>
          </w:tcPr>
          <w:p w:rsidR="00060EFF" w:rsidRPr="00671D17" w:rsidRDefault="00060EFF" w:rsidP="00060EFF">
            <w:pPr>
              <w:spacing w:line="240" w:lineRule="auto"/>
              <w:rPr>
                <w:rFonts w:ascii="Calibri" w:hAnsi="Calibri"/>
              </w:rPr>
            </w:pPr>
            <w:r w:rsidRPr="00671D17">
              <w:rPr>
                <w:rFonts w:ascii="Calibri" w:hAnsi="Calibri"/>
                <w:sz w:val="22"/>
                <w:szCs w:val="22"/>
              </w:rPr>
              <w:t>Židlochovice</w:t>
            </w:r>
          </w:p>
        </w:tc>
        <w:tc>
          <w:tcPr>
            <w:tcW w:w="1040" w:type="dxa"/>
            <w:tcBorders>
              <w:left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1 297</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657</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rPr>
            </w:pPr>
            <w:r w:rsidRPr="00671D17">
              <w:rPr>
                <w:rFonts w:ascii="Calibri" w:hAnsi="Calibri"/>
                <w:sz w:val="22"/>
                <w:szCs w:val="22"/>
              </w:rPr>
              <w:t>640</w:t>
            </w:r>
          </w:p>
        </w:tc>
        <w:tc>
          <w:tcPr>
            <w:tcW w:w="1085"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88</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150</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231</w:t>
            </w:r>
          </w:p>
        </w:tc>
        <w:tc>
          <w:tcPr>
            <w:tcW w:w="1058" w:type="dxa"/>
            <w:shd w:val="clear" w:color="auto" w:fill="auto"/>
            <w:noWrap/>
            <w:vAlign w:val="center"/>
            <w:hideMark/>
          </w:tcPr>
          <w:p w:rsidR="00060EFF" w:rsidRPr="00671D17" w:rsidRDefault="00060EFF" w:rsidP="00060EFF">
            <w:pPr>
              <w:spacing w:line="240" w:lineRule="auto"/>
              <w:jc w:val="right"/>
              <w:rPr>
                <w:rFonts w:ascii="Calibri" w:hAnsi="Calibri"/>
                <w:color w:val="000000"/>
              </w:rPr>
            </w:pPr>
            <w:r w:rsidRPr="00671D17">
              <w:rPr>
                <w:rFonts w:ascii="Calibri" w:hAnsi="Calibri"/>
                <w:color w:val="000000"/>
                <w:sz w:val="22"/>
                <w:szCs w:val="22"/>
              </w:rPr>
              <w:t>5,9</w:t>
            </w:r>
          </w:p>
        </w:tc>
      </w:tr>
      <w:tr w:rsidR="00060EFF" w:rsidRPr="00671D17" w:rsidTr="00060EFF">
        <w:trPr>
          <w:trHeight w:val="315"/>
        </w:trPr>
        <w:tc>
          <w:tcPr>
            <w:tcW w:w="2080" w:type="dxa"/>
            <w:tcBorders>
              <w:top w:val="single" w:sz="8" w:space="0" w:color="auto"/>
              <w:bottom w:val="single" w:sz="12" w:space="0" w:color="auto"/>
              <w:right w:val="single" w:sz="12" w:space="0" w:color="auto"/>
            </w:tcBorders>
            <w:shd w:val="clear" w:color="000000" w:fill="D9D9D9" w:themeFill="background1" w:themeFillShade="D9"/>
            <w:noWrap/>
            <w:vAlign w:val="center"/>
            <w:hideMark/>
          </w:tcPr>
          <w:p w:rsidR="00060EFF" w:rsidRPr="00671D17" w:rsidRDefault="00060EFF" w:rsidP="00060EFF">
            <w:pPr>
              <w:spacing w:line="240" w:lineRule="auto"/>
              <w:rPr>
                <w:rFonts w:ascii="Calibri" w:hAnsi="Calibri"/>
                <w:b/>
                <w:bCs/>
              </w:rPr>
            </w:pPr>
            <w:r w:rsidRPr="00671D17">
              <w:rPr>
                <w:rFonts w:ascii="Calibri" w:hAnsi="Calibri"/>
                <w:b/>
                <w:bCs/>
                <w:sz w:val="22"/>
                <w:szCs w:val="22"/>
              </w:rPr>
              <w:t>Okres Brno-venkov</w:t>
            </w:r>
          </w:p>
        </w:tc>
        <w:tc>
          <w:tcPr>
            <w:tcW w:w="1040" w:type="dxa"/>
            <w:tcBorders>
              <w:left w:val="single" w:sz="12" w:space="0" w:color="auto"/>
            </w:tcBorders>
            <w:shd w:val="clear" w:color="000000" w:fill="FFFFFF"/>
            <w:noWrap/>
            <w:vAlign w:val="center"/>
            <w:hideMark/>
          </w:tcPr>
          <w:p w:rsidR="00060EFF" w:rsidRPr="00671D17" w:rsidRDefault="00060EFF" w:rsidP="00060EFF">
            <w:pPr>
              <w:spacing w:line="240" w:lineRule="auto"/>
              <w:jc w:val="right"/>
              <w:rPr>
                <w:rFonts w:ascii="Calibri" w:hAnsi="Calibri"/>
                <w:b/>
                <w:bCs/>
              </w:rPr>
            </w:pPr>
            <w:r w:rsidRPr="00671D17">
              <w:rPr>
                <w:rFonts w:ascii="Calibri" w:hAnsi="Calibri"/>
                <w:b/>
                <w:bCs/>
                <w:sz w:val="22"/>
                <w:szCs w:val="22"/>
              </w:rPr>
              <w:t>9</w:t>
            </w:r>
            <w:r>
              <w:rPr>
                <w:rFonts w:ascii="Calibri" w:hAnsi="Calibri"/>
                <w:b/>
                <w:bCs/>
                <w:sz w:val="22"/>
                <w:szCs w:val="22"/>
              </w:rPr>
              <w:t xml:space="preserve"> </w:t>
            </w:r>
            <w:r w:rsidRPr="00671D17">
              <w:rPr>
                <w:rFonts w:ascii="Calibri" w:hAnsi="Calibri"/>
                <w:b/>
                <w:bCs/>
                <w:sz w:val="22"/>
                <w:szCs w:val="22"/>
              </w:rPr>
              <w:t>023</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b/>
                <w:bCs/>
              </w:rPr>
            </w:pPr>
            <w:r w:rsidRPr="00671D17">
              <w:rPr>
                <w:rFonts w:ascii="Calibri" w:hAnsi="Calibri"/>
                <w:b/>
                <w:bCs/>
                <w:sz w:val="22"/>
                <w:szCs w:val="22"/>
              </w:rPr>
              <w:t>4 417</w:t>
            </w:r>
          </w:p>
        </w:tc>
        <w:tc>
          <w:tcPr>
            <w:tcW w:w="1040" w:type="dxa"/>
            <w:shd w:val="clear" w:color="000000" w:fill="FFFFFF"/>
            <w:noWrap/>
            <w:vAlign w:val="center"/>
            <w:hideMark/>
          </w:tcPr>
          <w:p w:rsidR="00060EFF" w:rsidRPr="00671D17" w:rsidRDefault="00060EFF" w:rsidP="00060EFF">
            <w:pPr>
              <w:spacing w:line="240" w:lineRule="auto"/>
              <w:jc w:val="right"/>
              <w:rPr>
                <w:rFonts w:ascii="Calibri" w:hAnsi="Calibri"/>
                <w:b/>
                <w:bCs/>
              </w:rPr>
            </w:pPr>
            <w:r w:rsidRPr="00671D17">
              <w:rPr>
                <w:rFonts w:ascii="Calibri" w:hAnsi="Calibri"/>
                <w:b/>
                <w:bCs/>
                <w:sz w:val="22"/>
                <w:szCs w:val="22"/>
              </w:rPr>
              <w:t>4 606</w:t>
            </w:r>
          </w:p>
        </w:tc>
        <w:tc>
          <w:tcPr>
            <w:tcW w:w="1085" w:type="dxa"/>
            <w:shd w:val="clear" w:color="auto" w:fill="auto"/>
            <w:noWrap/>
            <w:vAlign w:val="center"/>
            <w:hideMark/>
          </w:tcPr>
          <w:p w:rsidR="00060EFF" w:rsidRPr="00671D17" w:rsidRDefault="00060EFF" w:rsidP="00060EFF">
            <w:pPr>
              <w:spacing w:line="240" w:lineRule="auto"/>
              <w:jc w:val="right"/>
              <w:rPr>
                <w:rFonts w:ascii="Calibri" w:hAnsi="Calibri"/>
                <w:b/>
                <w:bCs/>
                <w:color w:val="000000"/>
              </w:rPr>
            </w:pPr>
            <w:r w:rsidRPr="00671D17">
              <w:rPr>
                <w:rFonts w:ascii="Calibri" w:hAnsi="Calibri"/>
                <w:b/>
                <w:bCs/>
                <w:color w:val="000000"/>
                <w:sz w:val="22"/>
                <w:szCs w:val="22"/>
              </w:rPr>
              <w:t>599</w:t>
            </w:r>
          </w:p>
        </w:tc>
        <w:tc>
          <w:tcPr>
            <w:tcW w:w="1040" w:type="dxa"/>
            <w:shd w:val="clear" w:color="auto" w:fill="auto"/>
            <w:noWrap/>
            <w:vAlign w:val="center"/>
            <w:hideMark/>
          </w:tcPr>
          <w:p w:rsidR="00060EFF" w:rsidRPr="00671D17" w:rsidRDefault="00060EFF" w:rsidP="00060EFF">
            <w:pPr>
              <w:spacing w:line="240" w:lineRule="auto"/>
              <w:jc w:val="right"/>
              <w:rPr>
                <w:rFonts w:ascii="Calibri" w:hAnsi="Calibri"/>
                <w:b/>
                <w:bCs/>
                <w:color w:val="000000"/>
              </w:rPr>
            </w:pPr>
            <w:r w:rsidRPr="00671D17">
              <w:rPr>
                <w:rFonts w:ascii="Calibri" w:hAnsi="Calibri"/>
                <w:b/>
                <w:bCs/>
                <w:color w:val="000000"/>
                <w:sz w:val="22"/>
                <w:szCs w:val="22"/>
              </w:rPr>
              <w:t>1240</w:t>
            </w:r>
          </w:p>
        </w:tc>
        <w:tc>
          <w:tcPr>
            <w:tcW w:w="1040" w:type="dxa"/>
            <w:shd w:val="clear" w:color="C0C0C0" w:fill="FFFFFF"/>
            <w:noWrap/>
            <w:vAlign w:val="center"/>
            <w:hideMark/>
          </w:tcPr>
          <w:p w:rsidR="00060EFF" w:rsidRPr="00671D17" w:rsidRDefault="00060EFF" w:rsidP="00060EFF">
            <w:pPr>
              <w:spacing w:line="240" w:lineRule="auto"/>
              <w:jc w:val="right"/>
              <w:rPr>
                <w:rFonts w:ascii="Calibri" w:hAnsi="Calibri"/>
                <w:b/>
                <w:bCs/>
              </w:rPr>
            </w:pPr>
            <w:r w:rsidRPr="00671D17">
              <w:rPr>
                <w:rFonts w:ascii="Calibri" w:hAnsi="Calibri"/>
                <w:b/>
                <w:bCs/>
                <w:sz w:val="22"/>
                <w:szCs w:val="22"/>
              </w:rPr>
              <w:t>777</w:t>
            </w:r>
          </w:p>
        </w:tc>
        <w:tc>
          <w:tcPr>
            <w:tcW w:w="1058" w:type="dxa"/>
            <w:shd w:val="clear" w:color="000000" w:fill="FFFFFF"/>
            <w:noWrap/>
            <w:vAlign w:val="center"/>
            <w:hideMark/>
          </w:tcPr>
          <w:p w:rsidR="00060EFF" w:rsidRPr="00671D17" w:rsidRDefault="00060EFF" w:rsidP="00060EFF">
            <w:pPr>
              <w:spacing w:line="240" w:lineRule="auto"/>
              <w:jc w:val="right"/>
              <w:rPr>
                <w:rFonts w:ascii="Calibri" w:hAnsi="Calibri"/>
                <w:b/>
                <w:bCs/>
              </w:rPr>
            </w:pPr>
            <w:r w:rsidRPr="00671D17">
              <w:rPr>
                <w:rFonts w:ascii="Calibri" w:hAnsi="Calibri"/>
                <w:b/>
                <w:bCs/>
                <w:sz w:val="22"/>
                <w:szCs w:val="22"/>
              </w:rPr>
              <w:t>6,4</w:t>
            </w:r>
          </w:p>
        </w:tc>
      </w:tr>
    </w:tbl>
    <w:p w:rsidR="00060EFF" w:rsidRDefault="00060EFF" w:rsidP="00060EFF">
      <w:pPr>
        <w:pStyle w:val="Normlnweb"/>
        <w:spacing w:line="276" w:lineRule="auto"/>
        <w:jc w:val="both"/>
        <w:rPr>
          <w:rFonts w:ascii="Arial" w:hAnsi="Arial" w:cs="Arial"/>
          <w:noProof/>
          <w:sz w:val="20"/>
          <w:szCs w:val="20"/>
        </w:rPr>
      </w:pPr>
      <w:r w:rsidRPr="000D0280">
        <w:rPr>
          <w:rFonts w:ascii="Arial" w:hAnsi="Arial" w:cs="Arial"/>
          <w:b/>
          <w:noProof/>
          <w:sz w:val="20"/>
          <w:szCs w:val="20"/>
        </w:rPr>
        <w:t>Pramen</w:t>
      </w:r>
      <w:r w:rsidRPr="000D0280">
        <w:rPr>
          <w:rFonts w:ascii="Arial" w:hAnsi="Arial" w:cs="Arial"/>
          <w:noProof/>
          <w:sz w:val="20"/>
          <w:szCs w:val="20"/>
        </w:rPr>
        <w:t>: MPSV,ČR, GIS Prostorová analýza, 2014</w:t>
      </w:r>
    </w:p>
    <w:p w:rsidR="0024494D" w:rsidRDefault="0024494D" w:rsidP="00060EFF">
      <w:pPr>
        <w:pStyle w:val="Normlnweb"/>
        <w:spacing w:line="276" w:lineRule="auto"/>
        <w:jc w:val="both"/>
        <w:rPr>
          <w:rFonts w:ascii="Arial" w:hAnsi="Arial" w:cs="Arial"/>
          <w:noProof/>
          <w:sz w:val="20"/>
          <w:szCs w:val="20"/>
        </w:rPr>
      </w:pPr>
    </w:p>
    <w:p w:rsidR="0024494D" w:rsidRDefault="0024494D" w:rsidP="0024494D">
      <w:pPr>
        <w:jc w:val="both"/>
        <w:rPr>
          <w:rFonts w:ascii="Arial" w:hAnsi="Arial" w:cs="Arial"/>
          <w:b/>
          <w:sz w:val="22"/>
          <w:szCs w:val="22"/>
        </w:rPr>
      </w:pPr>
      <w:r w:rsidRPr="00254A44">
        <w:rPr>
          <w:rFonts w:ascii="Arial" w:hAnsi="Arial" w:cs="Arial"/>
          <w:b/>
          <w:sz w:val="22"/>
          <w:szCs w:val="22"/>
        </w:rPr>
        <w:t>Ivančicko</w:t>
      </w:r>
    </w:p>
    <w:p w:rsidR="0024494D" w:rsidRPr="00254A44" w:rsidRDefault="0024494D" w:rsidP="0024494D">
      <w:pPr>
        <w:jc w:val="both"/>
        <w:rPr>
          <w:rFonts w:ascii="Arial" w:hAnsi="Arial" w:cs="Arial"/>
          <w:b/>
          <w:sz w:val="22"/>
          <w:szCs w:val="22"/>
        </w:rPr>
      </w:pPr>
    </w:p>
    <w:p w:rsidR="0024494D" w:rsidRPr="00D77F83" w:rsidRDefault="0024494D" w:rsidP="0024494D">
      <w:pPr>
        <w:jc w:val="both"/>
        <w:rPr>
          <w:rFonts w:ascii="Arial" w:hAnsi="Arial" w:cs="Arial"/>
          <w:sz w:val="22"/>
          <w:szCs w:val="22"/>
        </w:rPr>
      </w:pPr>
      <w:r w:rsidRPr="00D77F83">
        <w:rPr>
          <w:rFonts w:ascii="Arial" w:hAnsi="Arial" w:cs="Arial"/>
          <w:sz w:val="22"/>
          <w:szCs w:val="22"/>
        </w:rPr>
        <w:t xml:space="preserve">Ivančicko je průmyslově - zemědělským regionem, který byl stejně jako sousední region Rosicko v minulosti postižen útlumem hornictví. K tomu se přidává dlouhodobě nedobrá dopravní obslužnost, zejména málo intenzivní napojení na Brno a nedostatečný počet významných zaměstnavatelů. Nemalý vliv na stav nezaměstnanosti v tomto regionu má i sousedství s okresy Znojmo a Třebíč, což jsou okresy s vyšší podílem nezaměstnaných osob než okres Brno-venkov. Nejvýznamnějším zaměstnavatelem byla v roce 2014 Nemocnice Ivančice. K 31. 12. 2014 bylo v celém mikroregionu evidováno 1 331 uchazečů o zaměstnání a podíl nezaměstnaných osob činil 7,9 %.  </w:t>
      </w:r>
    </w:p>
    <w:p w:rsidR="0024494D" w:rsidRDefault="0024494D" w:rsidP="0024494D">
      <w:pPr>
        <w:jc w:val="both"/>
        <w:rPr>
          <w:rFonts w:ascii="Arial" w:hAnsi="Arial" w:cs="Arial"/>
          <w:sz w:val="22"/>
          <w:szCs w:val="22"/>
        </w:rPr>
      </w:pPr>
    </w:p>
    <w:p w:rsidR="0024494D" w:rsidRPr="00D77F83" w:rsidRDefault="0024494D" w:rsidP="0024494D">
      <w:pPr>
        <w:jc w:val="both"/>
        <w:rPr>
          <w:rFonts w:ascii="Arial" w:hAnsi="Arial" w:cs="Arial"/>
          <w:b/>
          <w:sz w:val="22"/>
          <w:szCs w:val="22"/>
        </w:rPr>
      </w:pPr>
      <w:r w:rsidRPr="00D77F83">
        <w:rPr>
          <w:rFonts w:ascii="Arial" w:hAnsi="Arial" w:cs="Arial"/>
          <w:b/>
          <w:sz w:val="22"/>
          <w:szCs w:val="22"/>
        </w:rPr>
        <w:t>Kuřimsko</w:t>
      </w:r>
    </w:p>
    <w:p w:rsidR="0024494D" w:rsidRPr="00B432E0" w:rsidRDefault="0024494D" w:rsidP="0024494D">
      <w:pPr>
        <w:jc w:val="both"/>
        <w:rPr>
          <w:rFonts w:ascii="Arial" w:hAnsi="Arial" w:cs="Arial"/>
          <w:sz w:val="22"/>
          <w:szCs w:val="22"/>
        </w:rPr>
      </w:pPr>
    </w:p>
    <w:p w:rsidR="0024494D" w:rsidRPr="00B432E0" w:rsidRDefault="0024494D" w:rsidP="0024494D">
      <w:pPr>
        <w:jc w:val="both"/>
        <w:rPr>
          <w:rFonts w:ascii="Arial" w:hAnsi="Arial" w:cs="Arial"/>
          <w:bCs/>
          <w:sz w:val="22"/>
          <w:szCs w:val="22"/>
        </w:rPr>
      </w:pPr>
      <w:r w:rsidRPr="00B432E0">
        <w:rPr>
          <w:rFonts w:ascii="Arial" w:hAnsi="Arial" w:cs="Arial"/>
          <w:sz w:val="22"/>
          <w:szCs w:val="22"/>
        </w:rPr>
        <w:t xml:space="preserve">Naopak Kuřimsko je průmyslovým regionem s </w:t>
      </w:r>
      <w:r>
        <w:rPr>
          <w:rFonts w:ascii="Arial" w:hAnsi="Arial" w:cs="Arial"/>
          <w:sz w:val="22"/>
          <w:szCs w:val="22"/>
        </w:rPr>
        <w:t>druhou</w:t>
      </w:r>
      <w:r w:rsidRPr="00B432E0">
        <w:rPr>
          <w:rFonts w:ascii="Arial" w:hAnsi="Arial" w:cs="Arial"/>
          <w:sz w:val="22"/>
          <w:szCs w:val="22"/>
        </w:rPr>
        <w:t> nejnižší nezaměstnanosti v kraji. Na trhu práce se kladně projevuje přítomnost většího počtu středních a velkých zaměstnavatelů a dobré dopravní spojení s městem Brno. V Kuřimi sídlí nejvýznamnější zaměstnavatel v </w:t>
      </w:r>
      <w:r w:rsidRPr="00D77F83">
        <w:rPr>
          <w:rFonts w:ascii="Arial" w:hAnsi="Arial" w:cs="Arial"/>
          <w:sz w:val="22"/>
          <w:szCs w:val="22"/>
        </w:rPr>
        <w:t>okrese Brno-venkov, společnost Tyco Electronics Czech.</w:t>
      </w:r>
      <w:r>
        <w:rPr>
          <w:rFonts w:ascii="Arial" w:hAnsi="Arial" w:cs="Arial"/>
          <w:sz w:val="22"/>
          <w:szCs w:val="22"/>
        </w:rPr>
        <w:t xml:space="preserve"> Výrobce elektrosoučástek.</w:t>
      </w:r>
      <w:r w:rsidRPr="00D77F83">
        <w:rPr>
          <w:rFonts w:ascii="Arial" w:hAnsi="Arial" w:cs="Arial"/>
          <w:sz w:val="22"/>
          <w:szCs w:val="22"/>
        </w:rPr>
        <w:t xml:space="preserve"> Dalším významným zaměstnavatelem v okrese je akciová společnost Slévárna Kuřim. K 31. 12. 2014 bylo v  mikroregionu evidováno celkem 801</w:t>
      </w:r>
      <w:r>
        <w:rPr>
          <w:rFonts w:ascii="Arial" w:hAnsi="Arial" w:cs="Arial"/>
          <w:sz w:val="22"/>
          <w:szCs w:val="22"/>
        </w:rPr>
        <w:t xml:space="preserve"> uchazečů o zaměstnání a </w:t>
      </w:r>
      <w:r w:rsidRPr="00D77F83">
        <w:rPr>
          <w:rFonts w:ascii="Arial" w:hAnsi="Arial" w:cs="Arial"/>
          <w:sz w:val="22"/>
          <w:szCs w:val="22"/>
        </w:rPr>
        <w:t>podíl nezaměstnaných osob dosáhl 5,3 %.</w:t>
      </w:r>
      <w:r w:rsidRPr="002D1BA7">
        <w:t xml:space="preserve">  </w:t>
      </w:r>
    </w:p>
    <w:p w:rsidR="0024494D" w:rsidRPr="000D0280" w:rsidRDefault="0024494D" w:rsidP="00060EFF">
      <w:pPr>
        <w:pStyle w:val="Normlnweb"/>
        <w:spacing w:line="276" w:lineRule="auto"/>
        <w:jc w:val="both"/>
        <w:rPr>
          <w:rFonts w:ascii="Arial" w:hAnsi="Arial" w:cs="Arial"/>
          <w:noProof/>
          <w:sz w:val="20"/>
          <w:szCs w:val="20"/>
        </w:rPr>
      </w:pPr>
    </w:p>
    <w:p w:rsidR="00060EFF" w:rsidRPr="00EA2B38" w:rsidRDefault="00EA2B38" w:rsidP="00EA2B38">
      <w:pPr>
        <w:pStyle w:val="Bezmezer"/>
        <w:rPr>
          <w:rFonts w:ascii="Arial" w:hAnsi="Arial" w:cs="Arial"/>
          <w:b/>
          <w:i/>
          <w:sz w:val="20"/>
          <w:szCs w:val="20"/>
        </w:rPr>
      </w:pPr>
      <w:r w:rsidRPr="00EA2B38">
        <w:rPr>
          <w:rFonts w:ascii="Arial" w:hAnsi="Arial" w:cs="Arial"/>
          <w:b/>
          <w:i/>
          <w:sz w:val="20"/>
          <w:szCs w:val="20"/>
        </w:rPr>
        <w:t xml:space="preserve">Obr. </w:t>
      </w:r>
      <w:r w:rsidRPr="00EA2B38">
        <w:rPr>
          <w:rFonts w:ascii="Arial" w:hAnsi="Arial" w:cs="Arial"/>
          <w:b/>
          <w:i/>
          <w:sz w:val="20"/>
          <w:szCs w:val="20"/>
        </w:rPr>
        <w:fldChar w:fldCharType="begin"/>
      </w:r>
      <w:r w:rsidRPr="00EA2B38">
        <w:rPr>
          <w:rFonts w:ascii="Arial" w:hAnsi="Arial" w:cs="Arial"/>
          <w:b/>
          <w:i/>
          <w:sz w:val="20"/>
          <w:szCs w:val="20"/>
        </w:rPr>
        <w:instrText xml:space="preserve"> SEQ Obr. \* ARABIC </w:instrText>
      </w:r>
      <w:r w:rsidRPr="00EA2B38">
        <w:rPr>
          <w:rFonts w:ascii="Arial" w:hAnsi="Arial" w:cs="Arial"/>
          <w:b/>
          <w:i/>
          <w:sz w:val="20"/>
          <w:szCs w:val="20"/>
        </w:rPr>
        <w:fldChar w:fldCharType="separate"/>
      </w:r>
      <w:r w:rsidR="009E38FD">
        <w:rPr>
          <w:rFonts w:ascii="Arial" w:hAnsi="Arial" w:cs="Arial"/>
          <w:b/>
          <w:i/>
          <w:noProof/>
          <w:sz w:val="20"/>
          <w:szCs w:val="20"/>
        </w:rPr>
        <w:t>16</w:t>
      </w:r>
      <w:r w:rsidRPr="00EA2B38">
        <w:rPr>
          <w:rFonts w:ascii="Arial" w:hAnsi="Arial" w:cs="Arial"/>
          <w:b/>
          <w:i/>
          <w:sz w:val="20"/>
          <w:szCs w:val="20"/>
        </w:rPr>
        <w:fldChar w:fldCharType="end"/>
      </w:r>
      <w:r w:rsidR="00060EFF" w:rsidRPr="00EA2B38">
        <w:rPr>
          <w:rFonts w:ascii="Arial" w:hAnsi="Arial" w:cs="Arial"/>
          <w:b/>
          <w:i/>
          <w:noProof/>
          <w:sz w:val="20"/>
          <w:szCs w:val="20"/>
        </w:rPr>
        <w:t>: Podíl nezaměstnaných osob na obyvatelstvu 15-64 v okrese Brno-město a Brno-venkov k 31.12.2014</w:t>
      </w:r>
    </w:p>
    <w:p w:rsidR="00060EFF" w:rsidRPr="00B432E0" w:rsidRDefault="00060EFF" w:rsidP="00060EFF">
      <w:pPr>
        <w:jc w:val="center"/>
        <w:rPr>
          <w:rFonts w:ascii="Arial" w:hAnsi="Arial" w:cs="Arial"/>
          <w:sz w:val="22"/>
          <w:szCs w:val="22"/>
        </w:rPr>
      </w:pPr>
      <w:r>
        <w:rPr>
          <w:rFonts w:ascii="Arial" w:hAnsi="Arial" w:cs="Arial"/>
          <w:noProof/>
          <w:sz w:val="22"/>
          <w:szCs w:val="22"/>
        </w:rPr>
        <w:drawing>
          <wp:inline distT="0" distB="0" distL="0" distR="0" wp14:anchorId="352F6FD1" wp14:editId="77E16669">
            <wp:extent cx="3780000" cy="4662000"/>
            <wp:effectExtent l="0" t="0" r="0" b="5715"/>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no-venkov.jpg"/>
                    <pic:cNvPicPr/>
                  </pic:nvPicPr>
                  <pic:blipFill rotWithShape="1">
                    <a:blip r:embed="rId25" cstate="print">
                      <a:extLst>
                        <a:ext uri="{28A0092B-C50C-407E-A947-70E740481C1C}">
                          <a14:useLocalDpi xmlns:a14="http://schemas.microsoft.com/office/drawing/2010/main" val="0"/>
                        </a:ext>
                      </a:extLst>
                    </a:blip>
                    <a:srcRect t="11550" r="4040" b="2351"/>
                    <a:stretch/>
                  </pic:blipFill>
                  <pic:spPr bwMode="auto">
                    <a:xfrm>
                      <a:off x="0" y="0"/>
                      <a:ext cx="3780000" cy="4662000"/>
                    </a:xfrm>
                    <a:prstGeom prst="rect">
                      <a:avLst/>
                    </a:prstGeom>
                    <a:ln>
                      <a:noFill/>
                    </a:ln>
                    <a:extLst>
                      <a:ext uri="{53640926-AAD7-44D8-BBD7-CCE9431645EC}">
                        <a14:shadowObscured xmlns:a14="http://schemas.microsoft.com/office/drawing/2010/main"/>
                      </a:ext>
                    </a:extLst>
                  </pic:spPr>
                </pic:pic>
              </a:graphicData>
            </a:graphic>
          </wp:inline>
        </w:drawing>
      </w:r>
    </w:p>
    <w:p w:rsidR="00060EFF" w:rsidRPr="00B432E0" w:rsidRDefault="00060EFF" w:rsidP="00060EFF">
      <w:pPr>
        <w:jc w:val="both"/>
        <w:rPr>
          <w:rFonts w:ascii="Arial" w:hAnsi="Arial" w:cs="Arial"/>
          <w:sz w:val="22"/>
          <w:szCs w:val="22"/>
        </w:rPr>
      </w:pPr>
    </w:p>
    <w:p w:rsidR="00060EFF" w:rsidRDefault="00060EFF" w:rsidP="00060EFF">
      <w:pPr>
        <w:jc w:val="both"/>
        <w:rPr>
          <w:rFonts w:ascii="Arial" w:hAnsi="Arial" w:cs="Arial"/>
          <w:b/>
          <w:sz w:val="22"/>
          <w:szCs w:val="22"/>
        </w:rPr>
      </w:pPr>
      <w:r w:rsidRPr="00D77F83">
        <w:rPr>
          <w:rFonts w:ascii="Arial" w:hAnsi="Arial" w:cs="Arial"/>
          <w:b/>
          <w:sz w:val="22"/>
          <w:szCs w:val="22"/>
        </w:rPr>
        <w:t>Pohořelicko</w:t>
      </w:r>
    </w:p>
    <w:p w:rsidR="00060EFF" w:rsidRPr="00D77F83" w:rsidRDefault="00060EFF" w:rsidP="00060EFF">
      <w:pPr>
        <w:jc w:val="both"/>
        <w:rPr>
          <w:rFonts w:ascii="Arial" w:hAnsi="Arial" w:cs="Arial"/>
          <w:b/>
          <w:sz w:val="22"/>
          <w:szCs w:val="22"/>
        </w:rPr>
      </w:pPr>
      <w:r w:rsidRPr="00D77F83">
        <w:rPr>
          <w:rFonts w:ascii="Arial" w:hAnsi="Arial" w:cs="Arial"/>
          <w:b/>
          <w:sz w:val="22"/>
          <w:szCs w:val="22"/>
        </w:rPr>
        <w:t xml:space="preserve"> </w:t>
      </w:r>
    </w:p>
    <w:p w:rsidR="00060EFF" w:rsidRPr="0024494D" w:rsidRDefault="00060EFF" w:rsidP="00060EFF">
      <w:pPr>
        <w:jc w:val="both"/>
        <w:rPr>
          <w:rFonts w:ascii="Arial" w:hAnsi="Arial" w:cs="Arial"/>
          <w:sz w:val="22"/>
          <w:szCs w:val="22"/>
        </w:rPr>
      </w:pPr>
      <w:r w:rsidRPr="00B432E0">
        <w:rPr>
          <w:rFonts w:ascii="Arial" w:hAnsi="Arial" w:cs="Arial"/>
          <w:sz w:val="22"/>
          <w:szCs w:val="22"/>
        </w:rPr>
        <w:t xml:space="preserve">Pohořelicko má </w:t>
      </w:r>
      <w:r w:rsidR="0024494D">
        <w:rPr>
          <w:rFonts w:ascii="Arial" w:hAnsi="Arial" w:cs="Arial"/>
          <w:sz w:val="22"/>
          <w:szCs w:val="22"/>
        </w:rPr>
        <w:t>průmyslov</w:t>
      </w:r>
      <w:r w:rsidR="00B90DF7">
        <w:rPr>
          <w:rFonts w:ascii="Arial" w:hAnsi="Arial" w:cs="Arial"/>
          <w:sz w:val="22"/>
          <w:szCs w:val="22"/>
        </w:rPr>
        <w:t xml:space="preserve">ě - </w:t>
      </w:r>
      <w:r w:rsidRPr="00B432E0">
        <w:rPr>
          <w:rFonts w:ascii="Arial" w:hAnsi="Arial" w:cs="Arial"/>
          <w:sz w:val="22"/>
          <w:szCs w:val="22"/>
        </w:rPr>
        <w:t xml:space="preserve">zemědělský charakter i proto, že se jedná o vinařskou oblast. </w:t>
      </w:r>
      <w:r>
        <w:rPr>
          <w:rFonts w:ascii="Arial" w:hAnsi="Arial" w:cs="Arial"/>
          <w:sz w:val="22"/>
          <w:szCs w:val="22"/>
        </w:rPr>
        <w:t xml:space="preserve">Pro zaměstnanost na území mikroregionu mělo významnou roli vybudování průmyslové zóny </w:t>
      </w:r>
      <w:r w:rsidRPr="00B432E0">
        <w:rPr>
          <w:rFonts w:ascii="Arial" w:hAnsi="Arial" w:cs="Arial"/>
          <w:sz w:val="22"/>
          <w:szCs w:val="22"/>
        </w:rPr>
        <w:t>Pohořelice - Dolní Štignary. Tato skutečnost kladně ovlivňuje situaci na trhu práce v celém regionu. Mezi významné zaměstnavatele na Pohořelicku patří například firma DHL Supply Chain s.r.o. se sídlem v Pohořelicích, DHL Packaging s.r.o., Pohořelice, C</w:t>
      </w:r>
      <w:r>
        <w:rPr>
          <w:rFonts w:ascii="Arial" w:hAnsi="Arial" w:cs="Arial"/>
          <w:sz w:val="22"/>
          <w:szCs w:val="22"/>
        </w:rPr>
        <w:t>ross</w:t>
      </w:r>
      <w:r w:rsidRPr="00B432E0">
        <w:rPr>
          <w:rFonts w:ascii="Arial" w:hAnsi="Arial" w:cs="Arial"/>
          <w:sz w:val="22"/>
          <w:szCs w:val="22"/>
        </w:rPr>
        <w:t xml:space="preserve"> S</w:t>
      </w:r>
      <w:r>
        <w:rPr>
          <w:rFonts w:ascii="Arial" w:hAnsi="Arial" w:cs="Arial"/>
          <w:sz w:val="22"/>
          <w:szCs w:val="22"/>
        </w:rPr>
        <w:t>peed</w:t>
      </w:r>
      <w:r w:rsidRPr="00B432E0">
        <w:rPr>
          <w:rFonts w:ascii="Arial" w:hAnsi="Arial" w:cs="Arial"/>
          <w:sz w:val="22"/>
          <w:szCs w:val="22"/>
        </w:rPr>
        <w:t xml:space="preserve"> s.r.o. v Branišovicích. </w:t>
      </w:r>
      <w:r w:rsidRPr="00D77F83">
        <w:rPr>
          <w:rFonts w:ascii="Arial" w:hAnsi="Arial" w:cs="Arial"/>
          <w:sz w:val="22"/>
          <w:szCs w:val="22"/>
        </w:rPr>
        <w:t xml:space="preserve">K 31. 12. 2014 bylo v  mikroregionu evidováno celkem </w:t>
      </w:r>
      <w:r>
        <w:rPr>
          <w:rFonts w:ascii="Arial" w:hAnsi="Arial" w:cs="Arial"/>
          <w:sz w:val="22"/>
          <w:szCs w:val="22"/>
        </w:rPr>
        <w:t xml:space="preserve">729 uchazečů o zaměstnání a </w:t>
      </w:r>
      <w:r w:rsidRPr="00D77F83">
        <w:rPr>
          <w:rFonts w:ascii="Arial" w:hAnsi="Arial" w:cs="Arial"/>
          <w:sz w:val="22"/>
          <w:szCs w:val="22"/>
        </w:rPr>
        <w:t xml:space="preserve">podíl nezaměstnaných osob dosáhl </w:t>
      </w:r>
      <w:r>
        <w:rPr>
          <w:rFonts w:ascii="Arial" w:hAnsi="Arial" w:cs="Arial"/>
          <w:sz w:val="22"/>
          <w:szCs w:val="22"/>
        </w:rPr>
        <w:t>7,5</w:t>
      </w:r>
      <w:r w:rsidRPr="00D77F83">
        <w:rPr>
          <w:rFonts w:ascii="Arial" w:hAnsi="Arial" w:cs="Arial"/>
          <w:sz w:val="22"/>
          <w:szCs w:val="22"/>
        </w:rPr>
        <w:t xml:space="preserve"> %.</w:t>
      </w:r>
      <w:r w:rsidRPr="002D1BA7">
        <w:t xml:space="preserve">  </w:t>
      </w:r>
    </w:p>
    <w:p w:rsidR="00060EFF" w:rsidRDefault="00060EFF" w:rsidP="00060EFF">
      <w:pPr>
        <w:jc w:val="both"/>
        <w:rPr>
          <w:rFonts w:ascii="Arial" w:hAnsi="Arial" w:cs="Arial"/>
          <w:sz w:val="22"/>
          <w:szCs w:val="22"/>
        </w:rPr>
      </w:pPr>
    </w:p>
    <w:p w:rsidR="00060EFF" w:rsidRPr="00D77F83" w:rsidRDefault="00060EFF" w:rsidP="00060EFF">
      <w:pPr>
        <w:jc w:val="both"/>
        <w:rPr>
          <w:rFonts w:ascii="Arial" w:hAnsi="Arial" w:cs="Arial"/>
          <w:b/>
          <w:sz w:val="22"/>
          <w:szCs w:val="22"/>
        </w:rPr>
      </w:pPr>
      <w:r w:rsidRPr="00D77F83">
        <w:rPr>
          <w:rFonts w:ascii="Arial" w:hAnsi="Arial" w:cs="Arial"/>
          <w:b/>
          <w:sz w:val="22"/>
          <w:szCs w:val="22"/>
        </w:rPr>
        <w:t>Rosicko</w:t>
      </w:r>
    </w:p>
    <w:p w:rsidR="00060EFF" w:rsidRPr="00B432E0" w:rsidRDefault="00060EFF" w:rsidP="00060EFF">
      <w:pPr>
        <w:jc w:val="both"/>
        <w:rPr>
          <w:rFonts w:ascii="Arial" w:hAnsi="Arial" w:cs="Arial"/>
          <w:b/>
          <w:bCs/>
          <w:sz w:val="22"/>
          <w:szCs w:val="22"/>
        </w:rPr>
      </w:pPr>
    </w:p>
    <w:p w:rsidR="00060EFF" w:rsidRPr="00B432E0" w:rsidRDefault="00060EFF" w:rsidP="00060EFF">
      <w:pPr>
        <w:jc w:val="both"/>
        <w:rPr>
          <w:rFonts w:ascii="Arial" w:hAnsi="Arial" w:cs="Arial"/>
          <w:bCs/>
          <w:sz w:val="22"/>
          <w:szCs w:val="22"/>
        </w:rPr>
      </w:pPr>
      <w:r w:rsidRPr="00B432E0">
        <w:rPr>
          <w:rFonts w:ascii="Arial" w:hAnsi="Arial" w:cs="Arial"/>
          <w:sz w:val="22"/>
          <w:szCs w:val="22"/>
        </w:rPr>
        <w:t xml:space="preserve">Rosicko bylo v minulosti </w:t>
      </w:r>
      <w:r w:rsidRPr="00EA2B38">
        <w:rPr>
          <w:rFonts w:ascii="Arial" w:hAnsi="Arial" w:cs="Arial"/>
          <w:sz w:val="22"/>
          <w:szCs w:val="22"/>
        </w:rPr>
        <w:t>charakteristick</w:t>
      </w:r>
      <w:r w:rsidR="00EA2B38" w:rsidRPr="00EA2B38">
        <w:rPr>
          <w:rFonts w:ascii="Arial" w:hAnsi="Arial" w:cs="Arial"/>
          <w:sz w:val="22"/>
          <w:szCs w:val="22"/>
        </w:rPr>
        <w:t>é</w:t>
      </w:r>
      <w:r w:rsidRPr="00B432E0">
        <w:rPr>
          <w:rFonts w:ascii="Arial" w:hAnsi="Arial" w:cs="Arial"/>
          <w:sz w:val="22"/>
          <w:szCs w:val="22"/>
        </w:rPr>
        <w:t xml:space="preserve"> především těžbou černého uhlí v Rosicko-oslavanské pánvi. Těžba však byla na počátku 90. let shledána nerentabilní a doly byly v roce 1992 uzavřeny. Těžební průmysl ustoupil do pozadí a největším zaměstnavatelem se stala strojírenská společnost M</w:t>
      </w:r>
      <w:r>
        <w:rPr>
          <w:rFonts w:ascii="Arial" w:hAnsi="Arial" w:cs="Arial"/>
          <w:sz w:val="22"/>
          <w:szCs w:val="22"/>
        </w:rPr>
        <w:t>etalpress</w:t>
      </w:r>
      <w:r w:rsidRPr="00B432E0">
        <w:rPr>
          <w:rFonts w:ascii="Arial" w:hAnsi="Arial" w:cs="Arial"/>
          <w:sz w:val="22"/>
          <w:szCs w:val="22"/>
        </w:rPr>
        <w:t xml:space="preserve"> s.r.o. se sídlem v Zastávce u Brna.</w:t>
      </w:r>
      <w:r>
        <w:rPr>
          <w:rFonts w:ascii="Arial" w:hAnsi="Arial" w:cs="Arial"/>
          <w:sz w:val="22"/>
          <w:szCs w:val="22"/>
        </w:rPr>
        <w:t xml:space="preserve"> </w:t>
      </w:r>
      <w:r w:rsidRPr="00D77F83">
        <w:rPr>
          <w:rFonts w:ascii="Arial" w:hAnsi="Arial" w:cs="Arial"/>
          <w:sz w:val="22"/>
          <w:szCs w:val="22"/>
        </w:rPr>
        <w:t xml:space="preserve">K 31. 12. 2014 bylo v  mikroregionu evidováno celkem </w:t>
      </w:r>
      <w:r>
        <w:rPr>
          <w:rFonts w:ascii="Arial" w:hAnsi="Arial" w:cs="Arial"/>
          <w:sz w:val="22"/>
          <w:szCs w:val="22"/>
        </w:rPr>
        <w:t xml:space="preserve">1 173 uchazečů o zaměstnání a </w:t>
      </w:r>
      <w:r w:rsidRPr="00D77F83">
        <w:rPr>
          <w:rFonts w:ascii="Arial" w:hAnsi="Arial" w:cs="Arial"/>
          <w:sz w:val="22"/>
          <w:szCs w:val="22"/>
        </w:rPr>
        <w:t xml:space="preserve">podíl nezaměstnaných osob dosáhl </w:t>
      </w:r>
      <w:r>
        <w:rPr>
          <w:rFonts w:ascii="Arial" w:hAnsi="Arial" w:cs="Arial"/>
          <w:sz w:val="22"/>
          <w:szCs w:val="22"/>
        </w:rPr>
        <w:t>6,9</w:t>
      </w:r>
      <w:r w:rsidRPr="00D77F83">
        <w:rPr>
          <w:rFonts w:ascii="Arial" w:hAnsi="Arial" w:cs="Arial"/>
          <w:sz w:val="22"/>
          <w:szCs w:val="22"/>
        </w:rPr>
        <w:t xml:space="preserve"> %.</w:t>
      </w:r>
      <w:r w:rsidRPr="002D1BA7">
        <w:t xml:space="preserve">  </w:t>
      </w:r>
    </w:p>
    <w:p w:rsidR="00060EFF" w:rsidRDefault="00060EFF" w:rsidP="00060EFF">
      <w:pPr>
        <w:jc w:val="both"/>
        <w:rPr>
          <w:rFonts w:ascii="Arial" w:hAnsi="Arial" w:cs="Arial"/>
          <w:b/>
          <w:sz w:val="22"/>
          <w:szCs w:val="22"/>
        </w:rPr>
      </w:pPr>
    </w:p>
    <w:p w:rsidR="00060EFF" w:rsidRPr="00D77F83" w:rsidRDefault="00060EFF" w:rsidP="00060EFF">
      <w:pPr>
        <w:jc w:val="both"/>
        <w:rPr>
          <w:rFonts w:ascii="Arial" w:hAnsi="Arial" w:cs="Arial"/>
          <w:b/>
          <w:bCs/>
          <w:sz w:val="22"/>
          <w:szCs w:val="22"/>
        </w:rPr>
      </w:pPr>
      <w:r w:rsidRPr="00D77F83">
        <w:rPr>
          <w:rFonts w:ascii="Arial" w:hAnsi="Arial" w:cs="Arial"/>
          <w:b/>
          <w:sz w:val="22"/>
          <w:szCs w:val="22"/>
        </w:rPr>
        <w:t>Tišnovsko</w:t>
      </w:r>
    </w:p>
    <w:p w:rsidR="00060EFF" w:rsidRPr="00B432E0" w:rsidRDefault="00060EFF" w:rsidP="00060EFF">
      <w:pPr>
        <w:jc w:val="both"/>
        <w:rPr>
          <w:rFonts w:ascii="Arial" w:hAnsi="Arial" w:cs="Arial"/>
          <w:b/>
          <w:sz w:val="22"/>
          <w:szCs w:val="22"/>
        </w:rPr>
      </w:pPr>
    </w:p>
    <w:p w:rsidR="00060EFF" w:rsidRPr="00B432E0" w:rsidRDefault="00060EFF" w:rsidP="00060EFF">
      <w:pPr>
        <w:jc w:val="both"/>
        <w:rPr>
          <w:rFonts w:ascii="Arial" w:hAnsi="Arial" w:cs="Arial"/>
          <w:bCs/>
          <w:sz w:val="22"/>
          <w:szCs w:val="22"/>
        </w:rPr>
      </w:pPr>
      <w:r w:rsidRPr="00B432E0">
        <w:rPr>
          <w:rFonts w:ascii="Arial" w:hAnsi="Arial" w:cs="Arial"/>
          <w:sz w:val="22"/>
          <w:szCs w:val="22"/>
        </w:rPr>
        <w:t xml:space="preserve">Tišnovsko je průmyslovým regionem, který dříve patřil v rámci okresu Brno-venkov </w:t>
      </w:r>
      <w:r w:rsidR="0024494D">
        <w:rPr>
          <w:rFonts w:ascii="Arial" w:hAnsi="Arial" w:cs="Arial"/>
          <w:sz w:val="22"/>
          <w:szCs w:val="22"/>
        </w:rPr>
        <w:br/>
      </w:r>
      <w:r w:rsidRPr="00B432E0">
        <w:rPr>
          <w:rFonts w:ascii="Arial" w:hAnsi="Arial" w:cs="Arial"/>
          <w:sz w:val="22"/>
          <w:szCs w:val="22"/>
        </w:rPr>
        <w:t xml:space="preserve">k oblastem s nižší nezaměstnanosti. Na trhu práce se kladně projevuje přítomnost většího počtu středních a velkých zaměstnavatelů a dobré dopravní spojení s městem Brnem. Situace v mikroregionu se zhoršila od roku 2005, kdy bylo k tomuto mikroregionu přiřazeno 24 převážně menších obcí s vyšší mírou nezaměstnanosti z okresu Žďár nad Sázavou. Z významných zaměstnavatelů v okrese, kteří v tomto mikroregionu působí, lze uvést firmy: Siemens Electric Machines s.r.o. v Drásově, ČSAD Tišnov s.r.o. v Tišnově, Steinhauser s.r.o. v Tišnově. </w:t>
      </w:r>
      <w:r w:rsidRPr="00D77F83">
        <w:rPr>
          <w:rFonts w:ascii="Arial" w:hAnsi="Arial" w:cs="Arial"/>
          <w:sz w:val="22"/>
          <w:szCs w:val="22"/>
        </w:rPr>
        <w:t xml:space="preserve">K 31. 12. 2014 bylo v  mikroregionu evidováno celkem </w:t>
      </w:r>
      <w:r>
        <w:rPr>
          <w:rFonts w:ascii="Arial" w:hAnsi="Arial" w:cs="Arial"/>
          <w:sz w:val="22"/>
          <w:szCs w:val="22"/>
        </w:rPr>
        <w:t xml:space="preserve">1 478 uchazečů o zaměstnání a </w:t>
      </w:r>
      <w:r w:rsidRPr="00D77F83">
        <w:rPr>
          <w:rFonts w:ascii="Arial" w:hAnsi="Arial" w:cs="Arial"/>
          <w:sz w:val="22"/>
          <w:szCs w:val="22"/>
        </w:rPr>
        <w:t xml:space="preserve">podíl nezaměstnaných osob dosáhl </w:t>
      </w:r>
      <w:r>
        <w:rPr>
          <w:rFonts w:ascii="Arial" w:hAnsi="Arial" w:cs="Arial"/>
          <w:sz w:val="22"/>
          <w:szCs w:val="22"/>
        </w:rPr>
        <w:t>7,3</w:t>
      </w:r>
      <w:r w:rsidRPr="00D77F83">
        <w:rPr>
          <w:rFonts w:ascii="Arial" w:hAnsi="Arial" w:cs="Arial"/>
          <w:sz w:val="22"/>
          <w:szCs w:val="22"/>
        </w:rPr>
        <w:t xml:space="preserve"> %.</w:t>
      </w:r>
      <w:r w:rsidRPr="002D1BA7">
        <w:t xml:space="preserve">  </w:t>
      </w:r>
    </w:p>
    <w:p w:rsidR="00060EFF" w:rsidRPr="00B432E0" w:rsidRDefault="00060EFF" w:rsidP="00060EFF">
      <w:pPr>
        <w:jc w:val="both"/>
        <w:rPr>
          <w:rFonts w:ascii="Arial" w:hAnsi="Arial" w:cs="Arial"/>
          <w:bCs/>
          <w:sz w:val="22"/>
          <w:szCs w:val="22"/>
        </w:rPr>
      </w:pPr>
    </w:p>
    <w:p w:rsidR="00060EFF" w:rsidRDefault="00060EFF" w:rsidP="00060EFF">
      <w:pPr>
        <w:jc w:val="both"/>
        <w:rPr>
          <w:rFonts w:ascii="Arial" w:hAnsi="Arial" w:cs="Arial"/>
          <w:b/>
          <w:sz w:val="22"/>
          <w:szCs w:val="22"/>
        </w:rPr>
      </w:pPr>
    </w:p>
    <w:p w:rsidR="00060EFF" w:rsidRPr="00D77F83" w:rsidRDefault="00060EFF" w:rsidP="00060EFF">
      <w:pPr>
        <w:jc w:val="both"/>
        <w:rPr>
          <w:rFonts w:ascii="Arial" w:hAnsi="Arial" w:cs="Arial"/>
          <w:b/>
          <w:sz w:val="22"/>
          <w:szCs w:val="22"/>
        </w:rPr>
      </w:pPr>
      <w:r w:rsidRPr="00D77F83">
        <w:rPr>
          <w:rFonts w:ascii="Arial" w:hAnsi="Arial" w:cs="Arial"/>
          <w:b/>
          <w:sz w:val="22"/>
          <w:szCs w:val="22"/>
        </w:rPr>
        <w:t>Šlapanicko</w:t>
      </w:r>
    </w:p>
    <w:p w:rsidR="00060EFF" w:rsidRDefault="00060EFF" w:rsidP="00060EFF">
      <w:pPr>
        <w:jc w:val="both"/>
        <w:rPr>
          <w:rFonts w:ascii="Arial" w:hAnsi="Arial" w:cs="Arial"/>
          <w:sz w:val="22"/>
          <w:szCs w:val="22"/>
        </w:rPr>
      </w:pPr>
    </w:p>
    <w:p w:rsidR="00060EFF" w:rsidRDefault="00060EFF" w:rsidP="00060EFF">
      <w:pPr>
        <w:jc w:val="both"/>
        <w:rPr>
          <w:rFonts w:ascii="Arial" w:hAnsi="Arial" w:cs="Arial"/>
          <w:sz w:val="22"/>
          <w:szCs w:val="22"/>
        </w:rPr>
      </w:pPr>
      <w:r w:rsidRPr="00B432E0">
        <w:rPr>
          <w:rFonts w:ascii="Arial" w:hAnsi="Arial" w:cs="Arial"/>
          <w:sz w:val="22"/>
          <w:szCs w:val="22"/>
        </w:rPr>
        <w:t>Šlapanicko je regionem s nízkou nezaměstnanosti. Na trhu práce se kladně projevuje přítomnost většího počtu středních a velkých zaměstnavatelů a dobré dopravní spojení s městem Brno. V roce 1996 byla založena</w:t>
      </w:r>
      <w:r>
        <w:rPr>
          <w:rFonts w:ascii="Arial" w:hAnsi="Arial" w:cs="Arial"/>
          <w:sz w:val="22"/>
          <w:szCs w:val="22"/>
        </w:rPr>
        <w:t xml:space="preserve"> v Modřicích </w:t>
      </w:r>
      <w:r w:rsidRPr="00B432E0">
        <w:rPr>
          <w:rFonts w:ascii="Arial" w:hAnsi="Arial" w:cs="Arial"/>
          <w:sz w:val="22"/>
          <w:szCs w:val="22"/>
        </w:rPr>
        <w:t>průmyslová zóna CTP Project In</w:t>
      </w:r>
      <w:r>
        <w:rPr>
          <w:rFonts w:ascii="Arial" w:hAnsi="Arial" w:cs="Arial"/>
          <w:sz w:val="22"/>
          <w:szCs w:val="22"/>
        </w:rPr>
        <w:t>cest</w:t>
      </w:r>
      <w:r w:rsidRPr="00B432E0">
        <w:rPr>
          <w:rFonts w:ascii="Arial" w:hAnsi="Arial" w:cs="Arial"/>
          <w:sz w:val="22"/>
          <w:szCs w:val="22"/>
        </w:rPr>
        <w:t>, ve které mají sídlo nejvýznamnější zaměstnavatelé regionu, ale i Jihomoravského kraje.</w:t>
      </w:r>
      <w:r w:rsidRPr="00B432E0">
        <w:rPr>
          <w:rFonts w:ascii="Arial" w:eastAsiaTheme="minorHAnsi" w:hAnsi="Arial" w:cs="Arial"/>
          <w:sz w:val="22"/>
          <w:szCs w:val="22"/>
          <w:lang w:eastAsia="en-US"/>
        </w:rPr>
        <w:t xml:space="preserve"> Mezi významné zaměstnavatele patří následující společnosti: IFE CR,  IMI Norgren, Andrew Telecommunications. Mezi další významné zaměstnavatele regionu patří Juli Motonwerk s.r.o., akciová společnost Vodňanská drůbež a Kovolit, a.s.</w:t>
      </w:r>
      <w:r w:rsidRPr="00D77F83">
        <w:rPr>
          <w:rFonts w:ascii="Arial" w:hAnsi="Arial" w:cs="Arial"/>
          <w:sz w:val="22"/>
          <w:szCs w:val="22"/>
        </w:rPr>
        <w:t xml:space="preserve"> K 31. 12. 2014 bylo v  mikroregionu evidováno celkem </w:t>
      </w:r>
      <w:r>
        <w:rPr>
          <w:rFonts w:ascii="Arial" w:hAnsi="Arial" w:cs="Arial"/>
          <w:sz w:val="22"/>
          <w:szCs w:val="22"/>
        </w:rPr>
        <w:t xml:space="preserve">2 214 uchazečů o zaměstnání a </w:t>
      </w:r>
      <w:r w:rsidRPr="00D77F83">
        <w:rPr>
          <w:rFonts w:ascii="Arial" w:hAnsi="Arial" w:cs="Arial"/>
          <w:sz w:val="22"/>
          <w:szCs w:val="22"/>
        </w:rPr>
        <w:t xml:space="preserve">podíl nezaměstnaných osob dosáhl </w:t>
      </w:r>
      <w:r>
        <w:rPr>
          <w:rFonts w:ascii="Arial" w:hAnsi="Arial" w:cs="Arial"/>
          <w:sz w:val="22"/>
          <w:szCs w:val="22"/>
        </w:rPr>
        <w:t>5,1 %, což je v rámci kraje nejnižší hodnota podílu nezaměstnaných osob.</w:t>
      </w:r>
    </w:p>
    <w:p w:rsidR="00060EFF" w:rsidRDefault="00060EFF" w:rsidP="00060EFF">
      <w:pPr>
        <w:jc w:val="both"/>
        <w:rPr>
          <w:rFonts w:ascii="Arial" w:hAnsi="Arial" w:cs="Arial"/>
          <w:sz w:val="22"/>
          <w:szCs w:val="22"/>
        </w:rPr>
      </w:pPr>
    </w:p>
    <w:p w:rsidR="00060EFF" w:rsidRPr="00D77F83" w:rsidRDefault="00060EFF" w:rsidP="00060EFF">
      <w:pPr>
        <w:jc w:val="both"/>
        <w:rPr>
          <w:rFonts w:ascii="Arial" w:hAnsi="Arial" w:cs="Arial"/>
          <w:b/>
          <w:sz w:val="22"/>
          <w:szCs w:val="22"/>
        </w:rPr>
      </w:pPr>
      <w:r>
        <w:rPr>
          <w:rFonts w:ascii="Arial" w:hAnsi="Arial" w:cs="Arial"/>
          <w:b/>
          <w:sz w:val="22"/>
          <w:szCs w:val="22"/>
        </w:rPr>
        <w:t>Židlochovicko</w:t>
      </w:r>
    </w:p>
    <w:p w:rsidR="00060EFF" w:rsidRDefault="00060EFF" w:rsidP="00060EFF">
      <w:pPr>
        <w:jc w:val="both"/>
        <w:rPr>
          <w:rFonts w:ascii="Arial" w:hAnsi="Arial" w:cs="Arial"/>
          <w:sz w:val="22"/>
          <w:szCs w:val="22"/>
        </w:rPr>
      </w:pPr>
    </w:p>
    <w:p w:rsidR="00060EFF" w:rsidRPr="00B432E0" w:rsidRDefault="00060EFF" w:rsidP="00060EFF">
      <w:pPr>
        <w:jc w:val="both"/>
        <w:rPr>
          <w:rFonts w:ascii="Arial" w:hAnsi="Arial" w:cs="Arial"/>
          <w:sz w:val="22"/>
          <w:szCs w:val="22"/>
        </w:rPr>
      </w:pPr>
      <w:r w:rsidRPr="00D77F83">
        <w:rPr>
          <w:rFonts w:ascii="Arial" w:hAnsi="Arial" w:cs="Arial"/>
          <w:sz w:val="22"/>
          <w:szCs w:val="22"/>
        </w:rPr>
        <w:t xml:space="preserve">K 31. 12. 2014 bylo v  mikroregionu evidováno celkem </w:t>
      </w:r>
      <w:r>
        <w:rPr>
          <w:rFonts w:ascii="Arial" w:hAnsi="Arial" w:cs="Arial"/>
          <w:sz w:val="22"/>
          <w:szCs w:val="22"/>
        </w:rPr>
        <w:t xml:space="preserve">1 297 uchazečů o zaměstnání a </w:t>
      </w:r>
      <w:r w:rsidRPr="00D77F83">
        <w:rPr>
          <w:rFonts w:ascii="Arial" w:hAnsi="Arial" w:cs="Arial"/>
          <w:sz w:val="22"/>
          <w:szCs w:val="22"/>
        </w:rPr>
        <w:t xml:space="preserve">podíl nezaměstnaných osob dosáhl </w:t>
      </w:r>
      <w:r>
        <w:rPr>
          <w:rFonts w:ascii="Arial" w:hAnsi="Arial" w:cs="Arial"/>
          <w:sz w:val="22"/>
          <w:szCs w:val="22"/>
        </w:rPr>
        <w:t xml:space="preserve">5,9 %. Nejvýznamnější zaměstnavatel je výrobce </w:t>
      </w:r>
      <w:r w:rsidR="00F56D02">
        <w:rPr>
          <w:rFonts w:ascii="Arial" w:hAnsi="Arial" w:cs="Arial"/>
          <w:sz w:val="22"/>
          <w:szCs w:val="22"/>
        </w:rPr>
        <w:t>pekárenských a cukrárenských výrobků</w:t>
      </w:r>
      <w:r>
        <w:rPr>
          <w:rFonts w:ascii="Arial" w:hAnsi="Arial" w:cs="Arial"/>
          <w:sz w:val="22"/>
          <w:szCs w:val="22"/>
        </w:rPr>
        <w:t xml:space="preserve"> společnost Karlova pekárna s.r.o. se sídlem v Židlochovicích.</w:t>
      </w:r>
    </w:p>
    <w:p w:rsidR="00060EFF" w:rsidRDefault="00060EFF" w:rsidP="00EA2B38">
      <w:pPr>
        <w:jc w:val="both"/>
        <w:rPr>
          <w:rFonts w:ascii="Arial" w:hAnsi="Arial" w:cs="Arial"/>
          <w:sz w:val="22"/>
          <w:szCs w:val="22"/>
        </w:rPr>
      </w:pPr>
    </w:p>
    <w:p w:rsidR="00F56D02" w:rsidRPr="00FE7666" w:rsidRDefault="00F56D02" w:rsidP="00EA2B38">
      <w:pPr>
        <w:jc w:val="both"/>
        <w:rPr>
          <w:rFonts w:ascii="Arial" w:hAnsi="Arial" w:cs="Arial"/>
          <w:sz w:val="22"/>
          <w:szCs w:val="22"/>
        </w:rPr>
      </w:pPr>
    </w:p>
    <w:p w:rsidR="00060EFF" w:rsidRPr="00F56D02" w:rsidRDefault="00060EFF" w:rsidP="00C112A9">
      <w:pPr>
        <w:rPr>
          <w:rFonts w:ascii="Arial" w:hAnsi="Arial" w:cs="Arial"/>
          <w:b/>
          <w:sz w:val="22"/>
          <w:szCs w:val="22"/>
          <w:u w:val="single"/>
        </w:rPr>
      </w:pPr>
      <w:bookmarkStart w:id="24" w:name="_Toc381372886"/>
      <w:r w:rsidRPr="00F56D02">
        <w:rPr>
          <w:rFonts w:ascii="Arial" w:hAnsi="Arial" w:cs="Arial"/>
          <w:b/>
          <w:sz w:val="22"/>
          <w:szCs w:val="22"/>
          <w:u w:val="single"/>
        </w:rPr>
        <w:t>Silné stránky okresu</w:t>
      </w:r>
      <w:bookmarkEnd w:id="24"/>
    </w:p>
    <w:p w:rsidR="00C112A9" w:rsidRPr="00C112A9" w:rsidRDefault="00C112A9" w:rsidP="00C112A9">
      <w:pPr>
        <w:rPr>
          <w:rFonts w:ascii="Arial" w:hAnsi="Arial" w:cs="Arial"/>
          <w:sz w:val="22"/>
          <w:szCs w:val="22"/>
          <w:u w:val="single"/>
        </w:rPr>
      </w:pPr>
    </w:p>
    <w:p w:rsidR="00060EFF" w:rsidRPr="004A741A" w:rsidRDefault="00060EFF" w:rsidP="00EA2B38">
      <w:pPr>
        <w:pStyle w:val="odrky-zprva"/>
        <w:numPr>
          <w:ilvl w:val="0"/>
          <w:numId w:val="4"/>
        </w:numPr>
        <w:spacing w:line="276" w:lineRule="auto"/>
        <w:rPr>
          <w:rFonts w:ascii="Arial" w:hAnsi="Arial" w:cs="Arial"/>
          <w:sz w:val="22"/>
          <w:szCs w:val="22"/>
        </w:rPr>
      </w:pPr>
      <w:r w:rsidRPr="004A741A">
        <w:rPr>
          <w:rFonts w:ascii="Arial" w:hAnsi="Arial" w:cs="Arial"/>
          <w:sz w:val="22"/>
          <w:szCs w:val="22"/>
        </w:rPr>
        <w:t>rozmach průmyslových zón</w:t>
      </w:r>
    </w:p>
    <w:p w:rsidR="00060EFF" w:rsidRPr="004A741A" w:rsidRDefault="00060EFF" w:rsidP="00EA2B38">
      <w:pPr>
        <w:pStyle w:val="odrky-zprva"/>
        <w:numPr>
          <w:ilvl w:val="0"/>
          <w:numId w:val="4"/>
        </w:numPr>
        <w:spacing w:line="276" w:lineRule="auto"/>
        <w:rPr>
          <w:rFonts w:ascii="Arial" w:hAnsi="Arial" w:cs="Arial"/>
          <w:sz w:val="22"/>
          <w:szCs w:val="22"/>
        </w:rPr>
      </w:pPr>
      <w:r w:rsidRPr="004A741A">
        <w:rPr>
          <w:rFonts w:ascii="Arial" w:hAnsi="Arial" w:cs="Arial"/>
          <w:sz w:val="22"/>
          <w:szCs w:val="22"/>
        </w:rPr>
        <w:t>významné podnikatelské subjekty se zahraničním kapitálem na území okresu</w:t>
      </w:r>
    </w:p>
    <w:p w:rsidR="00060EFF" w:rsidRPr="004A741A" w:rsidRDefault="00060EFF" w:rsidP="00EA2B38">
      <w:pPr>
        <w:pStyle w:val="odrky-zprva"/>
        <w:numPr>
          <w:ilvl w:val="0"/>
          <w:numId w:val="4"/>
        </w:numPr>
        <w:spacing w:line="276" w:lineRule="auto"/>
        <w:rPr>
          <w:rFonts w:ascii="Arial" w:hAnsi="Arial" w:cs="Arial"/>
          <w:sz w:val="22"/>
          <w:szCs w:val="22"/>
        </w:rPr>
      </w:pPr>
      <w:r w:rsidRPr="004A741A">
        <w:rPr>
          <w:rFonts w:ascii="Arial" w:hAnsi="Arial" w:cs="Arial"/>
          <w:sz w:val="22"/>
          <w:szCs w:val="22"/>
        </w:rPr>
        <w:t xml:space="preserve">značný počet kvalifikované pracovní síly </w:t>
      </w:r>
    </w:p>
    <w:p w:rsidR="00060EFF" w:rsidRPr="004A741A" w:rsidRDefault="00060EFF" w:rsidP="00EA2B38">
      <w:pPr>
        <w:pStyle w:val="odrky-zprva"/>
        <w:numPr>
          <w:ilvl w:val="0"/>
          <w:numId w:val="4"/>
        </w:numPr>
        <w:spacing w:line="276" w:lineRule="auto"/>
        <w:rPr>
          <w:rFonts w:ascii="Arial" w:hAnsi="Arial" w:cs="Arial"/>
          <w:sz w:val="22"/>
          <w:szCs w:val="22"/>
        </w:rPr>
      </w:pPr>
      <w:r w:rsidRPr="004A741A">
        <w:rPr>
          <w:rFonts w:ascii="Arial" w:hAnsi="Arial" w:cs="Arial"/>
          <w:sz w:val="22"/>
          <w:szCs w:val="22"/>
        </w:rPr>
        <w:t>nižší cena pozemků oproti městu Brnu, což také ovlivňuje vstup zahraničních investorů</w:t>
      </w:r>
    </w:p>
    <w:p w:rsidR="00060EFF" w:rsidRPr="004A741A" w:rsidRDefault="00060EFF" w:rsidP="00EA2B38">
      <w:pPr>
        <w:pStyle w:val="odrky-zprva"/>
        <w:numPr>
          <w:ilvl w:val="0"/>
          <w:numId w:val="4"/>
        </w:numPr>
        <w:spacing w:line="276" w:lineRule="auto"/>
        <w:rPr>
          <w:rFonts w:ascii="Arial" w:hAnsi="Arial" w:cs="Arial"/>
          <w:sz w:val="22"/>
          <w:szCs w:val="22"/>
        </w:rPr>
      </w:pPr>
      <w:r w:rsidRPr="004A741A">
        <w:rPr>
          <w:rFonts w:ascii="Arial" w:hAnsi="Arial" w:cs="Arial"/>
          <w:sz w:val="22"/>
          <w:szCs w:val="22"/>
        </w:rPr>
        <w:t>významná tranzitní funkce okresu</w:t>
      </w:r>
    </w:p>
    <w:p w:rsidR="00060EFF" w:rsidRPr="004A741A" w:rsidRDefault="00060EFF" w:rsidP="00EA2B38">
      <w:pPr>
        <w:pStyle w:val="odrky-zprva"/>
        <w:numPr>
          <w:ilvl w:val="0"/>
          <w:numId w:val="4"/>
        </w:numPr>
        <w:spacing w:line="276" w:lineRule="auto"/>
        <w:rPr>
          <w:rFonts w:ascii="Arial" w:hAnsi="Arial" w:cs="Arial"/>
          <w:sz w:val="22"/>
          <w:szCs w:val="22"/>
        </w:rPr>
      </w:pPr>
      <w:r w:rsidRPr="004A741A">
        <w:rPr>
          <w:rFonts w:ascii="Arial" w:hAnsi="Arial" w:cs="Arial"/>
          <w:sz w:val="22"/>
          <w:szCs w:val="22"/>
        </w:rPr>
        <w:t>dobrá dopravní dostupnost obyvatel okresu do města Brna</w:t>
      </w:r>
    </w:p>
    <w:p w:rsidR="00060EFF" w:rsidRPr="004A741A" w:rsidRDefault="00060EFF" w:rsidP="00EA2B38">
      <w:pPr>
        <w:pStyle w:val="odrky-zprva"/>
        <w:numPr>
          <w:ilvl w:val="0"/>
          <w:numId w:val="4"/>
        </w:numPr>
        <w:spacing w:line="276" w:lineRule="auto"/>
        <w:rPr>
          <w:rFonts w:ascii="Arial" w:hAnsi="Arial" w:cs="Arial"/>
          <w:sz w:val="22"/>
          <w:szCs w:val="22"/>
        </w:rPr>
      </w:pPr>
      <w:r w:rsidRPr="004A741A">
        <w:rPr>
          <w:rFonts w:ascii="Arial" w:hAnsi="Arial" w:cs="Arial"/>
          <w:sz w:val="22"/>
          <w:szCs w:val="22"/>
        </w:rPr>
        <w:t>sousedství s univerzitním městem Brnem, které je rovněž sídlem řady středních a vyšších odborných škol, tedy dostatečná kapacita škol v dojížďkové vzdálenosti</w:t>
      </w:r>
      <w:bookmarkStart w:id="25" w:name="_Toc254593554"/>
    </w:p>
    <w:p w:rsidR="00060EFF" w:rsidRPr="004A741A" w:rsidRDefault="00060EFF" w:rsidP="00EA2B38">
      <w:pPr>
        <w:pStyle w:val="odrky-zprva"/>
        <w:tabs>
          <w:tab w:val="clear" w:pos="360"/>
        </w:tabs>
        <w:spacing w:line="276" w:lineRule="auto"/>
        <w:rPr>
          <w:rFonts w:ascii="Arial" w:hAnsi="Arial" w:cs="Arial"/>
          <w:sz w:val="22"/>
          <w:szCs w:val="22"/>
        </w:rPr>
      </w:pPr>
    </w:p>
    <w:p w:rsidR="0024494D" w:rsidRDefault="0024494D" w:rsidP="00C112A9">
      <w:pPr>
        <w:rPr>
          <w:rFonts w:ascii="Arial" w:hAnsi="Arial" w:cs="Arial"/>
          <w:b/>
          <w:sz w:val="22"/>
          <w:szCs w:val="22"/>
          <w:u w:val="single"/>
        </w:rPr>
      </w:pPr>
    </w:p>
    <w:p w:rsidR="0024494D" w:rsidRDefault="0024494D" w:rsidP="00C112A9">
      <w:pPr>
        <w:rPr>
          <w:rFonts w:ascii="Arial" w:hAnsi="Arial" w:cs="Arial"/>
          <w:b/>
          <w:sz w:val="22"/>
          <w:szCs w:val="22"/>
          <w:u w:val="single"/>
        </w:rPr>
      </w:pPr>
    </w:p>
    <w:p w:rsidR="00060EFF" w:rsidRPr="00F56D02" w:rsidRDefault="00060EFF" w:rsidP="00C112A9">
      <w:pPr>
        <w:rPr>
          <w:rFonts w:ascii="Arial" w:hAnsi="Arial" w:cs="Arial"/>
          <w:b/>
          <w:sz w:val="22"/>
          <w:szCs w:val="22"/>
          <w:u w:val="single"/>
        </w:rPr>
      </w:pPr>
      <w:r w:rsidRPr="00F56D02">
        <w:rPr>
          <w:rFonts w:ascii="Arial" w:hAnsi="Arial" w:cs="Arial"/>
          <w:b/>
          <w:sz w:val="22"/>
          <w:szCs w:val="22"/>
          <w:u w:val="single"/>
        </w:rPr>
        <w:t xml:space="preserve">Slabé stránky okresu </w:t>
      </w:r>
      <w:bookmarkEnd w:id="25"/>
    </w:p>
    <w:p w:rsidR="00C112A9" w:rsidRPr="00C112A9" w:rsidRDefault="00C112A9" w:rsidP="00C112A9">
      <w:pPr>
        <w:rPr>
          <w:rFonts w:ascii="Arial" w:hAnsi="Arial" w:cs="Arial"/>
          <w:sz w:val="22"/>
          <w:szCs w:val="22"/>
          <w:u w:val="single"/>
        </w:rPr>
      </w:pPr>
    </w:p>
    <w:p w:rsidR="00060EFF" w:rsidRPr="004A741A" w:rsidRDefault="00060EFF" w:rsidP="00EA2B38">
      <w:pPr>
        <w:pStyle w:val="odrky-zprva"/>
        <w:numPr>
          <w:ilvl w:val="0"/>
          <w:numId w:val="5"/>
        </w:numPr>
        <w:spacing w:line="276" w:lineRule="auto"/>
        <w:rPr>
          <w:rFonts w:ascii="Arial" w:hAnsi="Arial" w:cs="Arial"/>
          <w:sz w:val="22"/>
          <w:szCs w:val="22"/>
        </w:rPr>
      </w:pPr>
      <w:r w:rsidRPr="004A741A">
        <w:rPr>
          <w:rFonts w:ascii="Arial" w:hAnsi="Arial" w:cs="Arial"/>
          <w:sz w:val="22"/>
          <w:szCs w:val="22"/>
        </w:rPr>
        <w:t>dlouhodobě podprůměrná úroveň mezd</w:t>
      </w:r>
    </w:p>
    <w:p w:rsidR="00060EFF" w:rsidRPr="004A741A" w:rsidRDefault="00060EFF" w:rsidP="00EA2B38">
      <w:pPr>
        <w:pStyle w:val="odrky-zprva"/>
        <w:numPr>
          <w:ilvl w:val="0"/>
          <w:numId w:val="5"/>
        </w:numPr>
        <w:spacing w:line="276" w:lineRule="auto"/>
        <w:rPr>
          <w:rFonts w:ascii="Arial" w:hAnsi="Arial" w:cs="Arial"/>
          <w:sz w:val="22"/>
          <w:szCs w:val="22"/>
        </w:rPr>
      </w:pPr>
      <w:r w:rsidRPr="004A741A">
        <w:rPr>
          <w:rFonts w:ascii="Arial" w:hAnsi="Arial" w:cs="Arial"/>
          <w:sz w:val="22"/>
          <w:szCs w:val="22"/>
        </w:rPr>
        <w:t>nedostatečná mobilita pracovní síly</w:t>
      </w:r>
    </w:p>
    <w:p w:rsidR="00060EFF" w:rsidRPr="004A741A" w:rsidRDefault="00060EFF" w:rsidP="00EA2B38">
      <w:pPr>
        <w:pStyle w:val="odrky-zprva"/>
        <w:numPr>
          <w:ilvl w:val="0"/>
          <w:numId w:val="5"/>
        </w:numPr>
        <w:spacing w:line="276" w:lineRule="auto"/>
        <w:rPr>
          <w:rFonts w:ascii="Arial" w:hAnsi="Arial" w:cs="Arial"/>
          <w:sz w:val="22"/>
          <w:szCs w:val="22"/>
        </w:rPr>
      </w:pPr>
      <w:r w:rsidRPr="004A741A">
        <w:rPr>
          <w:rFonts w:ascii="Arial" w:hAnsi="Arial" w:cs="Arial"/>
          <w:sz w:val="22"/>
          <w:szCs w:val="22"/>
        </w:rPr>
        <w:t>nerovnoměrné rozložení pracovních příležitostí na okrese</w:t>
      </w:r>
    </w:p>
    <w:p w:rsidR="00060EFF" w:rsidRPr="004A741A" w:rsidRDefault="00060EFF" w:rsidP="00EA2B38">
      <w:pPr>
        <w:pStyle w:val="odrky-zprva"/>
        <w:numPr>
          <w:ilvl w:val="0"/>
          <w:numId w:val="5"/>
        </w:numPr>
        <w:spacing w:line="276" w:lineRule="auto"/>
        <w:rPr>
          <w:rFonts w:ascii="Arial" w:hAnsi="Arial" w:cs="Arial"/>
          <w:sz w:val="22"/>
          <w:szCs w:val="22"/>
        </w:rPr>
      </w:pPr>
      <w:r w:rsidRPr="004A741A">
        <w:rPr>
          <w:rFonts w:ascii="Arial" w:hAnsi="Arial" w:cs="Arial"/>
          <w:sz w:val="22"/>
          <w:szCs w:val="22"/>
        </w:rPr>
        <w:t>větší vliv sezónní zaměstnanosti na trh práce</w:t>
      </w:r>
    </w:p>
    <w:p w:rsidR="00060EFF" w:rsidRDefault="00060EFF" w:rsidP="00060EFF">
      <w:pPr>
        <w:jc w:val="both"/>
        <w:rPr>
          <w:rFonts w:ascii="Arial" w:hAnsi="Arial" w:cs="Arial"/>
          <w:b/>
        </w:rPr>
      </w:pPr>
    </w:p>
    <w:p w:rsidR="00F56D02" w:rsidRDefault="00F56D02" w:rsidP="00060EFF">
      <w:pPr>
        <w:jc w:val="both"/>
        <w:rPr>
          <w:rFonts w:ascii="Arial" w:hAnsi="Arial" w:cs="Arial"/>
          <w:b/>
        </w:rPr>
      </w:pPr>
    </w:p>
    <w:p w:rsidR="00060EFF" w:rsidRPr="00296A41" w:rsidRDefault="00060EFF" w:rsidP="00060EFF">
      <w:pPr>
        <w:jc w:val="both"/>
        <w:rPr>
          <w:rFonts w:ascii="Arial" w:hAnsi="Arial" w:cs="Arial"/>
          <w:b/>
        </w:rPr>
      </w:pPr>
      <w:r w:rsidRPr="00296A41">
        <w:rPr>
          <w:rFonts w:ascii="Arial" w:hAnsi="Arial" w:cs="Arial"/>
          <w:b/>
        </w:rPr>
        <w:t>Okres Břeclav</w:t>
      </w:r>
    </w:p>
    <w:p w:rsidR="00060EFF" w:rsidRDefault="00060EFF" w:rsidP="00060EFF">
      <w:pPr>
        <w:rPr>
          <w:rFonts w:ascii="Arial" w:hAnsi="Arial" w:cs="Arial"/>
          <w:sz w:val="22"/>
          <w:szCs w:val="22"/>
        </w:rPr>
      </w:pPr>
    </w:p>
    <w:p w:rsidR="00060EFF" w:rsidRDefault="00060EFF" w:rsidP="00060EFF">
      <w:pPr>
        <w:jc w:val="both"/>
        <w:rPr>
          <w:rFonts w:ascii="Arial" w:hAnsi="Arial" w:cs="Arial"/>
          <w:sz w:val="22"/>
          <w:szCs w:val="22"/>
        </w:rPr>
      </w:pPr>
      <w:r w:rsidRPr="00A21F88">
        <w:rPr>
          <w:rFonts w:ascii="Arial" w:hAnsi="Arial" w:cs="Arial"/>
          <w:sz w:val="22"/>
          <w:szCs w:val="22"/>
        </w:rPr>
        <w:t>Během roku 2014 docházelo v okrese Břeclav k  oživování ekonomiky</w:t>
      </w:r>
      <w:r w:rsidR="0024494D">
        <w:rPr>
          <w:rFonts w:ascii="Arial" w:hAnsi="Arial" w:cs="Arial"/>
          <w:sz w:val="22"/>
          <w:szCs w:val="22"/>
        </w:rPr>
        <w:t xml:space="preserve"> a</w:t>
      </w:r>
      <w:r w:rsidRPr="00A21F88">
        <w:rPr>
          <w:rFonts w:ascii="Arial" w:hAnsi="Arial" w:cs="Arial"/>
          <w:sz w:val="22"/>
          <w:szCs w:val="22"/>
        </w:rPr>
        <w:t xml:space="preserve"> </w:t>
      </w:r>
      <w:r w:rsidR="0024494D">
        <w:rPr>
          <w:rFonts w:ascii="Arial" w:hAnsi="Arial" w:cs="Arial"/>
          <w:sz w:val="22"/>
          <w:szCs w:val="22"/>
        </w:rPr>
        <w:t>nezaměstnanost</w:t>
      </w:r>
      <w:r w:rsidRPr="00A21F88">
        <w:rPr>
          <w:rFonts w:ascii="Arial" w:hAnsi="Arial" w:cs="Arial"/>
          <w:sz w:val="22"/>
          <w:szCs w:val="22"/>
        </w:rPr>
        <w:t xml:space="preserve"> </w:t>
      </w:r>
      <w:r w:rsidR="0024494D">
        <w:rPr>
          <w:rFonts w:ascii="Arial" w:hAnsi="Arial" w:cs="Arial"/>
          <w:sz w:val="22"/>
          <w:szCs w:val="22"/>
        </w:rPr>
        <w:t xml:space="preserve">výrazně </w:t>
      </w:r>
      <w:r w:rsidRPr="00A21F88">
        <w:rPr>
          <w:rFonts w:ascii="Arial" w:hAnsi="Arial" w:cs="Arial"/>
          <w:sz w:val="22"/>
          <w:szCs w:val="22"/>
        </w:rPr>
        <w:t>klesal</w:t>
      </w:r>
      <w:r w:rsidR="0024494D">
        <w:rPr>
          <w:rFonts w:ascii="Arial" w:hAnsi="Arial" w:cs="Arial"/>
          <w:sz w:val="22"/>
          <w:szCs w:val="22"/>
        </w:rPr>
        <w:t xml:space="preserve">a. V lednu 2014 činil podíl nezaměstnaných </w:t>
      </w:r>
      <w:r w:rsidRPr="00A21F88">
        <w:rPr>
          <w:rFonts w:ascii="Arial" w:hAnsi="Arial" w:cs="Arial"/>
          <w:sz w:val="22"/>
          <w:szCs w:val="22"/>
        </w:rPr>
        <w:t xml:space="preserve">9,7 %, na konci roku </w:t>
      </w:r>
      <w:r w:rsidR="0024494D">
        <w:rPr>
          <w:rFonts w:ascii="Arial" w:hAnsi="Arial" w:cs="Arial"/>
          <w:sz w:val="22"/>
          <w:szCs w:val="22"/>
        </w:rPr>
        <w:t>již jen</w:t>
      </w:r>
      <w:r w:rsidRPr="00A21F88">
        <w:rPr>
          <w:rFonts w:ascii="Arial" w:hAnsi="Arial" w:cs="Arial"/>
          <w:sz w:val="22"/>
          <w:szCs w:val="22"/>
        </w:rPr>
        <w:t xml:space="preserve"> 7,7</w:t>
      </w:r>
      <w:r>
        <w:rPr>
          <w:rFonts w:ascii="Arial" w:hAnsi="Arial" w:cs="Arial"/>
          <w:sz w:val="22"/>
          <w:szCs w:val="22"/>
        </w:rPr>
        <w:t xml:space="preserve"> %. </w:t>
      </w:r>
      <w:r w:rsidRPr="002B21A4">
        <w:rPr>
          <w:rFonts w:ascii="Arial" w:hAnsi="Arial" w:cs="Arial"/>
          <w:sz w:val="22"/>
          <w:szCs w:val="22"/>
        </w:rPr>
        <w:t>Počet uchazečů na jedno pracovní místo v</w:t>
      </w:r>
      <w:r>
        <w:rPr>
          <w:rFonts w:ascii="Arial" w:hAnsi="Arial" w:cs="Arial"/>
          <w:sz w:val="22"/>
          <w:szCs w:val="22"/>
        </w:rPr>
        <w:t> okrese Břeclav dosahoval na konci roku</w:t>
      </w:r>
      <w:r w:rsidRPr="008451B9">
        <w:rPr>
          <w:rFonts w:ascii="Arial" w:hAnsi="Arial" w:cs="Arial"/>
          <w:sz w:val="22"/>
          <w:szCs w:val="22"/>
        </w:rPr>
        <w:t xml:space="preserve"> 201</w:t>
      </w:r>
      <w:r>
        <w:rPr>
          <w:rFonts w:ascii="Arial" w:hAnsi="Arial" w:cs="Arial"/>
          <w:sz w:val="22"/>
          <w:szCs w:val="22"/>
        </w:rPr>
        <w:t>4</w:t>
      </w:r>
      <w:r w:rsidRPr="008451B9">
        <w:rPr>
          <w:rFonts w:ascii="Arial" w:hAnsi="Arial" w:cs="Arial"/>
          <w:sz w:val="22"/>
          <w:szCs w:val="22"/>
        </w:rPr>
        <w:t xml:space="preserve"> </w:t>
      </w:r>
      <w:r w:rsidRPr="002B21A4">
        <w:rPr>
          <w:rFonts w:ascii="Arial" w:hAnsi="Arial" w:cs="Arial"/>
          <w:sz w:val="22"/>
          <w:szCs w:val="22"/>
        </w:rPr>
        <w:t xml:space="preserve">hodnoty </w:t>
      </w:r>
      <w:r>
        <w:rPr>
          <w:rFonts w:ascii="Arial" w:hAnsi="Arial" w:cs="Arial"/>
          <w:sz w:val="22"/>
          <w:szCs w:val="22"/>
        </w:rPr>
        <w:t>11</w:t>
      </w:r>
      <w:r w:rsidRPr="002B21A4">
        <w:rPr>
          <w:rFonts w:ascii="Arial" w:hAnsi="Arial" w:cs="Arial"/>
          <w:sz w:val="22"/>
          <w:szCs w:val="22"/>
        </w:rPr>
        <w:t>,</w:t>
      </w:r>
      <w:r>
        <w:rPr>
          <w:rFonts w:ascii="Arial" w:hAnsi="Arial" w:cs="Arial"/>
          <w:sz w:val="22"/>
          <w:szCs w:val="22"/>
        </w:rPr>
        <w:t>7</w:t>
      </w:r>
      <w:r w:rsidRPr="002B21A4">
        <w:rPr>
          <w:rFonts w:ascii="Arial" w:hAnsi="Arial" w:cs="Arial"/>
          <w:sz w:val="22"/>
          <w:szCs w:val="22"/>
        </w:rPr>
        <w:t>. Krajská pobočka úřadu práce je v tomto okrese zastoupena třemi kontaktními pracovišti –  Břeclav, Hustopeče a Mikulov.</w:t>
      </w:r>
    </w:p>
    <w:p w:rsidR="00EA2B38" w:rsidRDefault="00EA2B38" w:rsidP="00EA2B38">
      <w:pPr>
        <w:tabs>
          <w:tab w:val="left" w:pos="3443"/>
        </w:tabs>
        <w:jc w:val="both"/>
        <w:rPr>
          <w:rFonts w:ascii="Arial" w:hAnsi="Arial" w:cs="Arial"/>
          <w:b/>
          <w:sz w:val="20"/>
          <w:szCs w:val="20"/>
        </w:rPr>
      </w:pPr>
      <w:r>
        <w:rPr>
          <w:rFonts w:ascii="Arial" w:hAnsi="Arial" w:cs="Arial"/>
          <w:b/>
          <w:sz w:val="20"/>
          <w:szCs w:val="20"/>
        </w:rPr>
        <w:tab/>
      </w:r>
    </w:p>
    <w:p w:rsidR="00060EFF" w:rsidRPr="00EA2B38" w:rsidRDefault="00EA2B38" w:rsidP="007168E0">
      <w:pPr>
        <w:pStyle w:val="Bezmezer"/>
        <w:spacing w:line="276" w:lineRule="auto"/>
        <w:rPr>
          <w:rFonts w:ascii="Arial" w:hAnsi="Arial" w:cs="Arial"/>
          <w:b/>
          <w:i/>
          <w:sz w:val="20"/>
          <w:szCs w:val="20"/>
        </w:rPr>
      </w:pPr>
      <w:r w:rsidRPr="00EA2B38">
        <w:rPr>
          <w:rFonts w:ascii="Arial" w:hAnsi="Arial" w:cs="Arial"/>
          <w:b/>
          <w:i/>
          <w:sz w:val="20"/>
          <w:szCs w:val="20"/>
        </w:rPr>
        <w:t xml:space="preserve">Tab. </w:t>
      </w:r>
      <w:r w:rsidRPr="00EA2B38">
        <w:rPr>
          <w:rFonts w:ascii="Arial" w:hAnsi="Arial" w:cs="Arial"/>
          <w:b/>
          <w:i/>
          <w:sz w:val="20"/>
          <w:szCs w:val="20"/>
        </w:rPr>
        <w:fldChar w:fldCharType="begin"/>
      </w:r>
      <w:r w:rsidRPr="00EA2B38">
        <w:rPr>
          <w:rFonts w:ascii="Arial" w:hAnsi="Arial" w:cs="Arial"/>
          <w:b/>
          <w:i/>
          <w:sz w:val="20"/>
          <w:szCs w:val="20"/>
        </w:rPr>
        <w:instrText xml:space="preserve"> SEQ Tab. \* ARABIC </w:instrText>
      </w:r>
      <w:r w:rsidRPr="00EA2B38">
        <w:rPr>
          <w:rFonts w:ascii="Arial" w:hAnsi="Arial" w:cs="Arial"/>
          <w:b/>
          <w:i/>
          <w:sz w:val="20"/>
          <w:szCs w:val="20"/>
        </w:rPr>
        <w:fldChar w:fldCharType="separate"/>
      </w:r>
      <w:r w:rsidR="004378F3">
        <w:rPr>
          <w:rFonts w:ascii="Arial" w:hAnsi="Arial" w:cs="Arial"/>
          <w:b/>
          <w:i/>
          <w:noProof/>
          <w:sz w:val="20"/>
          <w:szCs w:val="20"/>
        </w:rPr>
        <w:t>10</w:t>
      </w:r>
      <w:r w:rsidRPr="00EA2B38">
        <w:rPr>
          <w:rFonts w:ascii="Arial" w:hAnsi="Arial" w:cs="Arial"/>
          <w:b/>
          <w:i/>
          <w:sz w:val="20"/>
          <w:szCs w:val="20"/>
        </w:rPr>
        <w:fldChar w:fldCharType="end"/>
      </w:r>
      <w:r w:rsidR="00060EFF" w:rsidRPr="00EA2B38">
        <w:rPr>
          <w:rFonts w:ascii="Arial" w:hAnsi="Arial" w:cs="Arial"/>
          <w:b/>
          <w:i/>
          <w:sz w:val="20"/>
          <w:szCs w:val="20"/>
        </w:rPr>
        <w:t>: Charakteristika okresu Břeclav k 31. 12. 2014</w:t>
      </w:r>
    </w:p>
    <w:tbl>
      <w:tblPr>
        <w:tblW w:w="9423"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80"/>
        <w:gridCol w:w="1040"/>
        <w:gridCol w:w="1040"/>
        <w:gridCol w:w="1040"/>
        <w:gridCol w:w="1085"/>
        <w:gridCol w:w="1040"/>
        <w:gridCol w:w="1040"/>
        <w:gridCol w:w="1058"/>
      </w:tblGrid>
      <w:tr w:rsidR="00060EFF" w:rsidRPr="00034258" w:rsidTr="00060EFF">
        <w:trPr>
          <w:trHeight w:val="301"/>
        </w:trPr>
        <w:tc>
          <w:tcPr>
            <w:tcW w:w="2080" w:type="dxa"/>
            <w:vMerge w:val="restart"/>
            <w:tcBorders>
              <w:top w:val="single" w:sz="12" w:space="0" w:color="auto"/>
              <w:bottom w:val="single" w:sz="12" w:space="0" w:color="auto"/>
              <w:right w:val="single" w:sz="12" w:space="0" w:color="auto"/>
            </w:tcBorders>
            <w:shd w:val="clear" w:color="auto" w:fill="D9D9D9" w:themeFill="background1" w:themeFillShade="D9"/>
            <w:vAlign w:val="center"/>
            <w:hideMark/>
          </w:tcPr>
          <w:p w:rsidR="00060EFF" w:rsidRPr="00034258" w:rsidRDefault="00060EFF" w:rsidP="00060EFF">
            <w:pPr>
              <w:spacing w:line="240" w:lineRule="auto"/>
              <w:jc w:val="center"/>
              <w:rPr>
                <w:rFonts w:ascii="Calibri" w:hAnsi="Calibri"/>
              </w:rPr>
            </w:pPr>
            <w:r w:rsidRPr="00034258">
              <w:rPr>
                <w:rFonts w:ascii="Calibri" w:hAnsi="Calibri"/>
                <w:sz w:val="22"/>
                <w:szCs w:val="22"/>
              </w:rPr>
              <w:t>Území</w:t>
            </w:r>
          </w:p>
        </w:tc>
        <w:tc>
          <w:tcPr>
            <w:tcW w:w="3120" w:type="dxa"/>
            <w:gridSpan w:val="3"/>
            <w:tcBorders>
              <w:top w:val="single" w:sz="12" w:space="0" w:color="auto"/>
              <w:left w:val="single" w:sz="12" w:space="0" w:color="auto"/>
              <w:bottom w:val="single" w:sz="8" w:space="0" w:color="auto"/>
            </w:tcBorders>
            <w:shd w:val="clear" w:color="auto" w:fill="D9D9D9" w:themeFill="background1" w:themeFillShade="D9"/>
            <w:vAlign w:val="center"/>
            <w:hideMark/>
          </w:tcPr>
          <w:p w:rsidR="00060EFF" w:rsidRPr="00034258" w:rsidRDefault="00060EFF" w:rsidP="00060EFF">
            <w:pPr>
              <w:spacing w:line="240" w:lineRule="auto"/>
              <w:jc w:val="center"/>
              <w:rPr>
                <w:rFonts w:ascii="Calibri" w:hAnsi="Calibri"/>
              </w:rPr>
            </w:pPr>
            <w:r w:rsidRPr="00034258">
              <w:rPr>
                <w:rFonts w:ascii="Calibri" w:hAnsi="Calibri"/>
                <w:sz w:val="22"/>
                <w:szCs w:val="22"/>
              </w:rPr>
              <w:t>Počet nezaměstnaných</w:t>
            </w:r>
          </w:p>
        </w:tc>
        <w:tc>
          <w:tcPr>
            <w:tcW w:w="1085" w:type="dxa"/>
            <w:vMerge w:val="restart"/>
            <w:tcBorders>
              <w:top w:val="single" w:sz="12" w:space="0" w:color="auto"/>
              <w:bottom w:val="single" w:sz="12" w:space="0" w:color="auto"/>
            </w:tcBorders>
            <w:shd w:val="clear" w:color="auto" w:fill="D9D9D9" w:themeFill="background1" w:themeFillShade="D9"/>
            <w:vAlign w:val="center"/>
            <w:hideMark/>
          </w:tcPr>
          <w:p w:rsidR="00060EFF" w:rsidRPr="00034258" w:rsidRDefault="00060EFF" w:rsidP="00060EFF">
            <w:pPr>
              <w:spacing w:line="240" w:lineRule="auto"/>
              <w:jc w:val="center"/>
              <w:rPr>
                <w:rFonts w:ascii="Calibri" w:hAnsi="Calibri"/>
                <w:color w:val="000000"/>
              </w:rPr>
            </w:pPr>
            <w:r w:rsidRPr="00034258">
              <w:rPr>
                <w:rFonts w:ascii="Calibri" w:hAnsi="Calibri"/>
                <w:color w:val="000000"/>
                <w:sz w:val="22"/>
                <w:szCs w:val="22"/>
              </w:rPr>
              <w:t>Absolventi škol a mladiství</w:t>
            </w:r>
          </w:p>
        </w:tc>
        <w:tc>
          <w:tcPr>
            <w:tcW w:w="1040" w:type="dxa"/>
            <w:vMerge w:val="restart"/>
            <w:tcBorders>
              <w:top w:val="single" w:sz="12" w:space="0" w:color="auto"/>
              <w:bottom w:val="single" w:sz="12" w:space="0" w:color="auto"/>
            </w:tcBorders>
            <w:shd w:val="clear" w:color="auto" w:fill="D9D9D9" w:themeFill="background1" w:themeFillShade="D9"/>
            <w:vAlign w:val="center"/>
            <w:hideMark/>
          </w:tcPr>
          <w:p w:rsidR="00060EFF" w:rsidRPr="00034258" w:rsidRDefault="00060EFF" w:rsidP="00060EFF">
            <w:pPr>
              <w:spacing w:line="240" w:lineRule="auto"/>
              <w:jc w:val="center"/>
              <w:rPr>
                <w:rFonts w:ascii="Calibri" w:hAnsi="Calibri"/>
                <w:color w:val="000000"/>
              </w:rPr>
            </w:pPr>
            <w:r w:rsidRPr="00034258">
              <w:rPr>
                <w:rFonts w:ascii="Calibri" w:hAnsi="Calibri"/>
                <w:color w:val="000000"/>
                <w:sz w:val="22"/>
                <w:szCs w:val="22"/>
              </w:rPr>
              <w:t>Osoby se ZP</w:t>
            </w:r>
          </w:p>
        </w:tc>
        <w:tc>
          <w:tcPr>
            <w:tcW w:w="1040" w:type="dxa"/>
            <w:vMerge w:val="restart"/>
            <w:tcBorders>
              <w:top w:val="single" w:sz="12" w:space="0" w:color="auto"/>
              <w:bottom w:val="single" w:sz="12" w:space="0" w:color="auto"/>
            </w:tcBorders>
            <w:shd w:val="clear" w:color="auto" w:fill="D9D9D9" w:themeFill="background1" w:themeFillShade="D9"/>
            <w:vAlign w:val="center"/>
            <w:hideMark/>
          </w:tcPr>
          <w:p w:rsidR="00060EFF" w:rsidRPr="00034258" w:rsidRDefault="00060EFF" w:rsidP="00060EFF">
            <w:pPr>
              <w:spacing w:line="240" w:lineRule="auto"/>
              <w:jc w:val="center"/>
              <w:rPr>
                <w:rFonts w:ascii="Calibri" w:hAnsi="Calibri"/>
              </w:rPr>
            </w:pPr>
            <w:r w:rsidRPr="00034258">
              <w:rPr>
                <w:rFonts w:ascii="Calibri" w:hAnsi="Calibri"/>
                <w:sz w:val="22"/>
                <w:szCs w:val="22"/>
              </w:rPr>
              <w:t>Volná pracovní místa</w:t>
            </w:r>
          </w:p>
        </w:tc>
        <w:tc>
          <w:tcPr>
            <w:tcW w:w="1058" w:type="dxa"/>
            <w:vMerge w:val="restart"/>
            <w:tcBorders>
              <w:top w:val="single" w:sz="12" w:space="0" w:color="auto"/>
              <w:bottom w:val="single" w:sz="12" w:space="0" w:color="auto"/>
            </w:tcBorders>
            <w:shd w:val="clear" w:color="auto" w:fill="D9D9D9" w:themeFill="background1" w:themeFillShade="D9"/>
            <w:vAlign w:val="center"/>
            <w:hideMark/>
          </w:tcPr>
          <w:p w:rsidR="00060EFF" w:rsidRPr="00034258" w:rsidRDefault="00060EFF" w:rsidP="00060EFF">
            <w:pPr>
              <w:spacing w:line="240" w:lineRule="auto"/>
              <w:jc w:val="center"/>
              <w:rPr>
                <w:rFonts w:ascii="Calibri" w:hAnsi="Calibri"/>
              </w:rPr>
            </w:pPr>
            <w:r w:rsidRPr="00034258">
              <w:rPr>
                <w:rFonts w:ascii="Calibri" w:hAnsi="Calibri"/>
                <w:sz w:val="22"/>
                <w:szCs w:val="22"/>
              </w:rPr>
              <w:t>Podíl nezaměst. [%]</w:t>
            </w:r>
          </w:p>
        </w:tc>
      </w:tr>
      <w:tr w:rsidR="00060EFF" w:rsidRPr="00034258" w:rsidTr="00060EFF">
        <w:trPr>
          <w:trHeight w:val="301"/>
        </w:trPr>
        <w:tc>
          <w:tcPr>
            <w:tcW w:w="2080" w:type="dxa"/>
            <w:vMerge/>
            <w:tcBorders>
              <w:top w:val="single" w:sz="8" w:space="0" w:color="auto"/>
              <w:bottom w:val="single" w:sz="12" w:space="0" w:color="auto"/>
              <w:right w:val="single" w:sz="12" w:space="0" w:color="auto"/>
            </w:tcBorders>
            <w:shd w:val="clear" w:color="auto" w:fill="D9D9D9" w:themeFill="background1" w:themeFillShade="D9"/>
            <w:vAlign w:val="center"/>
            <w:hideMark/>
          </w:tcPr>
          <w:p w:rsidR="00060EFF" w:rsidRPr="00034258" w:rsidRDefault="00060EFF" w:rsidP="00060EFF">
            <w:pPr>
              <w:spacing w:line="240" w:lineRule="auto"/>
              <w:rPr>
                <w:rFonts w:ascii="Calibri" w:hAnsi="Calibri"/>
              </w:rPr>
            </w:pPr>
          </w:p>
        </w:tc>
        <w:tc>
          <w:tcPr>
            <w:tcW w:w="1040" w:type="dxa"/>
            <w:vMerge w:val="restart"/>
            <w:tcBorders>
              <w:top w:val="single" w:sz="8" w:space="0" w:color="auto"/>
              <w:left w:val="single" w:sz="12" w:space="0" w:color="auto"/>
              <w:bottom w:val="single" w:sz="8" w:space="0" w:color="auto"/>
            </w:tcBorders>
            <w:shd w:val="clear" w:color="auto" w:fill="D9D9D9" w:themeFill="background1" w:themeFillShade="D9"/>
            <w:vAlign w:val="center"/>
            <w:hideMark/>
          </w:tcPr>
          <w:p w:rsidR="00060EFF" w:rsidRPr="00034258" w:rsidRDefault="00060EFF" w:rsidP="00060EFF">
            <w:pPr>
              <w:spacing w:line="240" w:lineRule="auto"/>
              <w:jc w:val="center"/>
              <w:rPr>
                <w:rFonts w:ascii="Calibri" w:hAnsi="Calibri"/>
              </w:rPr>
            </w:pPr>
            <w:r w:rsidRPr="00034258">
              <w:rPr>
                <w:rFonts w:ascii="Calibri" w:hAnsi="Calibri"/>
                <w:sz w:val="22"/>
                <w:szCs w:val="22"/>
              </w:rPr>
              <w:t>celkem</w:t>
            </w:r>
          </w:p>
        </w:tc>
        <w:tc>
          <w:tcPr>
            <w:tcW w:w="2080" w:type="dxa"/>
            <w:gridSpan w:val="2"/>
            <w:tcBorders>
              <w:top w:val="single" w:sz="8" w:space="0" w:color="auto"/>
              <w:bottom w:val="single" w:sz="8" w:space="0" w:color="auto"/>
            </w:tcBorders>
            <w:shd w:val="clear" w:color="auto" w:fill="D9D9D9" w:themeFill="background1" w:themeFillShade="D9"/>
            <w:vAlign w:val="center"/>
            <w:hideMark/>
          </w:tcPr>
          <w:p w:rsidR="00060EFF" w:rsidRPr="00034258" w:rsidRDefault="00060EFF" w:rsidP="00060EFF">
            <w:pPr>
              <w:spacing w:line="240" w:lineRule="auto"/>
              <w:jc w:val="center"/>
              <w:rPr>
                <w:rFonts w:ascii="Calibri" w:hAnsi="Calibri"/>
              </w:rPr>
            </w:pPr>
            <w:r w:rsidRPr="00034258">
              <w:rPr>
                <w:rFonts w:ascii="Calibri" w:hAnsi="Calibri"/>
                <w:sz w:val="22"/>
                <w:szCs w:val="22"/>
              </w:rPr>
              <w:t>v tom</w:t>
            </w:r>
          </w:p>
        </w:tc>
        <w:tc>
          <w:tcPr>
            <w:tcW w:w="1085" w:type="dxa"/>
            <w:vMerge/>
            <w:tcBorders>
              <w:top w:val="single" w:sz="8" w:space="0" w:color="auto"/>
              <w:bottom w:val="single" w:sz="12" w:space="0" w:color="auto"/>
            </w:tcBorders>
            <w:vAlign w:val="center"/>
            <w:hideMark/>
          </w:tcPr>
          <w:p w:rsidR="00060EFF" w:rsidRPr="00034258" w:rsidRDefault="00060EFF" w:rsidP="00060EFF">
            <w:pPr>
              <w:spacing w:line="240" w:lineRule="auto"/>
              <w:rPr>
                <w:rFonts w:ascii="Calibri" w:hAnsi="Calibri"/>
                <w:color w:val="000000"/>
              </w:rPr>
            </w:pPr>
          </w:p>
        </w:tc>
        <w:tc>
          <w:tcPr>
            <w:tcW w:w="1040" w:type="dxa"/>
            <w:vMerge/>
            <w:tcBorders>
              <w:top w:val="single" w:sz="8" w:space="0" w:color="auto"/>
              <w:bottom w:val="single" w:sz="12" w:space="0" w:color="auto"/>
            </w:tcBorders>
            <w:vAlign w:val="center"/>
            <w:hideMark/>
          </w:tcPr>
          <w:p w:rsidR="00060EFF" w:rsidRPr="00034258" w:rsidRDefault="00060EFF" w:rsidP="00060EFF">
            <w:pPr>
              <w:spacing w:line="240" w:lineRule="auto"/>
              <w:rPr>
                <w:rFonts w:ascii="Calibri" w:hAnsi="Calibri"/>
                <w:color w:val="000000"/>
              </w:rPr>
            </w:pPr>
          </w:p>
        </w:tc>
        <w:tc>
          <w:tcPr>
            <w:tcW w:w="1040" w:type="dxa"/>
            <w:vMerge/>
            <w:tcBorders>
              <w:top w:val="single" w:sz="8" w:space="0" w:color="auto"/>
              <w:bottom w:val="single" w:sz="12" w:space="0" w:color="auto"/>
            </w:tcBorders>
            <w:vAlign w:val="center"/>
            <w:hideMark/>
          </w:tcPr>
          <w:p w:rsidR="00060EFF" w:rsidRPr="00034258" w:rsidRDefault="00060EFF" w:rsidP="00060EFF">
            <w:pPr>
              <w:spacing w:line="240" w:lineRule="auto"/>
              <w:rPr>
                <w:rFonts w:ascii="Calibri" w:hAnsi="Calibri"/>
              </w:rPr>
            </w:pPr>
          </w:p>
        </w:tc>
        <w:tc>
          <w:tcPr>
            <w:tcW w:w="1058" w:type="dxa"/>
            <w:vMerge/>
            <w:tcBorders>
              <w:top w:val="single" w:sz="8" w:space="0" w:color="auto"/>
              <w:bottom w:val="single" w:sz="12" w:space="0" w:color="auto"/>
            </w:tcBorders>
            <w:vAlign w:val="center"/>
            <w:hideMark/>
          </w:tcPr>
          <w:p w:rsidR="00060EFF" w:rsidRPr="00034258" w:rsidRDefault="00060EFF" w:rsidP="00060EFF">
            <w:pPr>
              <w:spacing w:line="240" w:lineRule="auto"/>
              <w:rPr>
                <w:rFonts w:ascii="Calibri" w:hAnsi="Calibri"/>
              </w:rPr>
            </w:pPr>
          </w:p>
        </w:tc>
      </w:tr>
      <w:tr w:rsidR="00060EFF" w:rsidRPr="00034258" w:rsidTr="00060EFF">
        <w:trPr>
          <w:trHeight w:val="315"/>
        </w:trPr>
        <w:tc>
          <w:tcPr>
            <w:tcW w:w="2080" w:type="dxa"/>
            <w:vMerge/>
            <w:tcBorders>
              <w:top w:val="single" w:sz="8" w:space="0" w:color="auto"/>
              <w:bottom w:val="single" w:sz="12" w:space="0" w:color="auto"/>
              <w:right w:val="single" w:sz="12" w:space="0" w:color="auto"/>
            </w:tcBorders>
            <w:shd w:val="clear" w:color="auto" w:fill="D9D9D9" w:themeFill="background1" w:themeFillShade="D9"/>
            <w:vAlign w:val="center"/>
            <w:hideMark/>
          </w:tcPr>
          <w:p w:rsidR="00060EFF" w:rsidRPr="00034258" w:rsidRDefault="00060EFF" w:rsidP="00060EFF">
            <w:pPr>
              <w:spacing w:line="240" w:lineRule="auto"/>
              <w:rPr>
                <w:rFonts w:ascii="Calibri" w:hAnsi="Calibri"/>
              </w:rPr>
            </w:pPr>
          </w:p>
        </w:tc>
        <w:tc>
          <w:tcPr>
            <w:tcW w:w="1040" w:type="dxa"/>
            <w:vMerge/>
            <w:tcBorders>
              <w:top w:val="single" w:sz="8" w:space="0" w:color="auto"/>
              <w:left w:val="single" w:sz="12" w:space="0" w:color="auto"/>
              <w:bottom w:val="single" w:sz="12" w:space="0" w:color="auto"/>
            </w:tcBorders>
            <w:shd w:val="clear" w:color="auto" w:fill="D9D9D9" w:themeFill="background1" w:themeFillShade="D9"/>
            <w:vAlign w:val="center"/>
            <w:hideMark/>
          </w:tcPr>
          <w:p w:rsidR="00060EFF" w:rsidRPr="00034258" w:rsidRDefault="00060EFF" w:rsidP="00060EFF">
            <w:pPr>
              <w:spacing w:line="240" w:lineRule="auto"/>
              <w:rPr>
                <w:rFonts w:ascii="Calibri" w:hAnsi="Calibri"/>
              </w:rPr>
            </w:pPr>
          </w:p>
        </w:tc>
        <w:tc>
          <w:tcPr>
            <w:tcW w:w="1040" w:type="dxa"/>
            <w:tcBorders>
              <w:top w:val="single" w:sz="8" w:space="0" w:color="auto"/>
              <w:bottom w:val="single" w:sz="12" w:space="0" w:color="auto"/>
            </w:tcBorders>
            <w:shd w:val="clear" w:color="auto" w:fill="D9D9D9" w:themeFill="background1" w:themeFillShade="D9"/>
            <w:vAlign w:val="center"/>
            <w:hideMark/>
          </w:tcPr>
          <w:p w:rsidR="00060EFF" w:rsidRPr="00034258" w:rsidRDefault="00060EFF" w:rsidP="00060EFF">
            <w:pPr>
              <w:spacing w:line="240" w:lineRule="auto"/>
              <w:jc w:val="center"/>
              <w:rPr>
                <w:rFonts w:ascii="Calibri" w:hAnsi="Calibri"/>
              </w:rPr>
            </w:pPr>
            <w:r w:rsidRPr="00034258">
              <w:rPr>
                <w:rFonts w:ascii="Calibri" w:hAnsi="Calibri"/>
                <w:sz w:val="22"/>
                <w:szCs w:val="22"/>
              </w:rPr>
              <w:t>muži</w:t>
            </w:r>
          </w:p>
        </w:tc>
        <w:tc>
          <w:tcPr>
            <w:tcW w:w="1040" w:type="dxa"/>
            <w:tcBorders>
              <w:top w:val="single" w:sz="8" w:space="0" w:color="auto"/>
              <w:bottom w:val="single" w:sz="12" w:space="0" w:color="auto"/>
            </w:tcBorders>
            <w:shd w:val="clear" w:color="auto" w:fill="D9D9D9" w:themeFill="background1" w:themeFillShade="D9"/>
            <w:vAlign w:val="center"/>
            <w:hideMark/>
          </w:tcPr>
          <w:p w:rsidR="00060EFF" w:rsidRPr="00034258" w:rsidRDefault="00060EFF" w:rsidP="00060EFF">
            <w:pPr>
              <w:spacing w:line="240" w:lineRule="auto"/>
              <w:jc w:val="center"/>
              <w:rPr>
                <w:rFonts w:ascii="Calibri" w:hAnsi="Calibri"/>
              </w:rPr>
            </w:pPr>
            <w:r w:rsidRPr="00034258">
              <w:rPr>
                <w:rFonts w:ascii="Calibri" w:hAnsi="Calibri"/>
                <w:sz w:val="22"/>
                <w:szCs w:val="22"/>
              </w:rPr>
              <w:t>ženy</w:t>
            </w:r>
          </w:p>
        </w:tc>
        <w:tc>
          <w:tcPr>
            <w:tcW w:w="1085" w:type="dxa"/>
            <w:vMerge/>
            <w:tcBorders>
              <w:top w:val="single" w:sz="8" w:space="0" w:color="auto"/>
              <w:bottom w:val="single" w:sz="12" w:space="0" w:color="auto"/>
            </w:tcBorders>
            <w:vAlign w:val="center"/>
            <w:hideMark/>
          </w:tcPr>
          <w:p w:rsidR="00060EFF" w:rsidRPr="00034258" w:rsidRDefault="00060EFF" w:rsidP="00060EFF">
            <w:pPr>
              <w:spacing w:line="240" w:lineRule="auto"/>
              <w:rPr>
                <w:rFonts w:ascii="Calibri" w:hAnsi="Calibri"/>
                <w:color w:val="000000"/>
              </w:rPr>
            </w:pPr>
          </w:p>
        </w:tc>
        <w:tc>
          <w:tcPr>
            <w:tcW w:w="1040" w:type="dxa"/>
            <w:vMerge/>
            <w:tcBorders>
              <w:top w:val="single" w:sz="8" w:space="0" w:color="auto"/>
              <w:bottom w:val="single" w:sz="12" w:space="0" w:color="auto"/>
            </w:tcBorders>
            <w:vAlign w:val="center"/>
            <w:hideMark/>
          </w:tcPr>
          <w:p w:rsidR="00060EFF" w:rsidRPr="00034258" w:rsidRDefault="00060EFF" w:rsidP="00060EFF">
            <w:pPr>
              <w:spacing w:line="240" w:lineRule="auto"/>
              <w:rPr>
                <w:rFonts w:ascii="Calibri" w:hAnsi="Calibri"/>
                <w:color w:val="000000"/>
              </w:rPr>
            </w:pPr>
          </w:p>
        </w:tc>
        <w:tc>
          <w:tcPr>
            <w:tcW w:w="1040" w:type="dxa"/>
            <w:vMerge/>
            <w:tcBorders>
              <w:top w:val="single" w:sz="8" w:space="0" w:color="auto"/>
              <w:bottom w:val="single" w:sz="12" w:space="0" w:color="auto"/>
            </w:tcBorders>
            <w:vAlign w:val="center"/>
            <w:hideMark/>
          </w:tcPr>
          <w:p w:rsidR="00060EFF" w:rsidRPr="00034258" w:rsidRDefault="00060EFF" w:rsidP="00060EFF">
            <w:pPr>
              <w:spacing w:line="240" w:lineRule="auto"/>
              <w:rPr>
                <w:rFonts w:ascii="Calibri" w:hAnsi="Calibri"/>
              </w:rPr>
            </w:pPr>
          </w:p>
        </w:tc>
        <w:tc>
          <w:tcPr>
            <w:tcW w:w="1058" w:type="dxa"/>
            <w:vMerge/>
            <w:tcBorders>
              <w:top w:val="single" w:sz="8" w:space="0" w:color="auto"/>
              <w:bottom w:val="single" w:sz="12" w:space="0" w:color="auto"/>
            </w:tcBorders>
            <w:vAlign w:val="center"/>
            <w:hideMark/>
          </w:tcPr>
          <w:p w:rsidR="00060EFF" w:rsidRPr="00034258" w:rsidRDefault="00060EFF" w:rsidP="00060EFF">
            <w:pPr>
              <w:spacing w:line="240" w:lineRule="auto"/>
              <w:rPr>
                <w:rFonts w:ascii="Calibri" w:hAnsi="Calibri"/>
              </w:rPr>
            </w:pPr>
          </w:p>
        </w:tc>
      </w:tr>
      <w:tr w:rsidR="00060EFF" w:rsidRPr="00034258" w:rsidTr="00060EFF">
        <w:trPr>
          <w:trHeight w:val="301"/>
        </w:trPr>
        <w:tc>
          <w:tcPr>
            <w:tcW w:w="2080" w:type="dxa"/>
            <w:tcBorders>
              <w:top w:val="single" w:sz="12" w:space="0" w:color="auto"/>
              <w:bottom w:val="single" w:sz="8" w:space="0" w:color="auto"/>
              <w:right w:val="single" w:sz="12" w:space="0" w:color="auto"/>
            </w:tcBorders>
            <w:shd w:val="clear" w:color="auto" w:fill="D9D9D9" w:themeFill="background1" w:themeFillShade="D9"/>
            <w:noWrap/>
            <w:vAlign w:val="center"/>
            <w:hideMark/>
          </w:tcPr>
          <w:p w:rsidR="00060EFF" w:rsidRPr="00034258" w:rsidRDefault="00060EFF" w:rsidP="00060EFF">
            <w:pPr>
              <w:spacing w:line="240" w:lineRule="auto"/>
              <w:rPr>
                <w:rFonts w:ascii="Calibri" w:hAnsi="Calibri"/>
              </w:rPr>
            </w:pPr>
            <w:r w:rsidRPr="00034258">
              <w:rPr>
                <w:rFonts w:ascii="Calibri" w:hAnsi="Calibri"/>
                <w:sz w:val="22"/>
                <w:szCs w:val="22"/>
              </w:rPr>
              <w:t>Břeclav</w:t>
            </w:r>
          </w:p>
        </w:tc>
        <w:tc>
          <w:tcPr>
            <w:tcW w:w="1040" w:type="dxa"/>
            <w:tcBorders>
              <w:top w:val="single" w:sz="12" w:space="0" w:color="auto"/>
              <w:left w:val="single" w:sz="12" w:space="0" w:color="auto"/>
            </w:tcBorders>
            <w:shd w:val="clear" w:color="000000" w:fill="FFFFFF"/>
            <w:noWrap/>
            <w:vAlign w:val="center"/>
            <w:hideMark/>
          </w:tcPr>
          <w:p w:rsidR="00060EFF" w:rsidRPr="00034258" w:rsidRDefault="00060EFF" w:rsidP="00060EFF">
            <w:pPr>
              <w:spacing w:line="240" w:lineRule="auto"/>
              <w:jc w:val="right"/>
              <w:rPr>
                <w:rFonts w:ascii="Calibri" w:hAnsi="Calibri"/>
              </w:rPr>
            </w:pPr>
            <w:r w:rsidRPr="00034258">
              <w:rPr>
                <w:rFonts w:ascii="Calibri" w:hAnsi="Calibri"/>
                <w:sz w:val="22"/>
                <w:szCs w:val="22"/>
              </w:rPr>
              <w:t>3 106</w:t>
            </w:r>
          </w:p>
        </w:tc>
        <w:tc>
          <w:tcPr>
            <w:tcW w:w="1040" w:type="dxa"/>
            <w:tcBorders>
              <w:top w:val="single" w:sz="12" w:space="0" w:color="auto"/>
            </w:tcBorders>
            <w:shd w:val="clear" w:color="000000" w:fill="FFFFFF"/>
            <w:noWrap/>
            <w:vAlign w:val="center"/>
            <w:hideMark/>
          </w:tcPr>
          <w:p w:rsidR="00060EFF" w:rsidRPr="00034258" w:rsidRDefault="00060EFF" w:rsidP="00060EFF">
            <w:pPr>
              <w:spacing w:line="240" w:lineRule="auto"/>
              <w:jc w:val="right"/>
              <w:rPr>
                <w:rFonts w:ascii="Calibri" w:hAnsi="Calibri"/>
              </w:rPr>
            </w:pPr>
            <w:r w:rsidRPr="00034258">
              <w:rPr>
                <w:rFonts w:ascii="Calibri" w:hAnsi="Calibri"/>
                <w:sz w:val="22"/>
                <w:szCs w:val="22"/>
              </w:rPr>
              <w:t>1 636</w:t>
            </w:r>
          </w:p>
        </w:tc>
        <w:tc>
          <w:tcPr>
            <w:tcW w:w="1040" w:type="dxa"/>
            <w:tcBorders>
              <w:top w:val="single" w:sz="12" w:space="0" w:color="auto"/>
            </w:tcBorders>
            <w:shd w:val="clear" w:color="000000" w:fill="FFFFFF"/>
            <w:noWrap/>
            <w:vAlign w:val="center"/>
            <w:hideMark/>
          </w:tcPr>
          <w:p w:rsidR="00060EFF" w:rsidRPr="00034258" w:rsidRDefault="00060EFF" w:rsidP="00060EFF">
            <w:pPr>
              <w:spacing w:line="240" w:lineRule="auto"/>
              <w:jc w:val="right"/>
              <w:rPr>
                <w:rFonts w:ascii="Calibri" w:hAnsi="Calibri"/>
              </w:rPr>
            </w:pPr>
            <w:r w:rsidRPr="00034258">
              <w:rPr>
                <w:rFonts w:ascii="Calibri" w:hAnsi="Calibri"/>
                <w:sz w:val="22"/>
                <w:szCs w:val="22"/>
              </w:rPr>
              <w:t>1 469</w:t>
            </w:r>
          </w:p>
        </w:tc>
        <w:tc>
          <w:tcPr>
            <w:tcW w:w="1085" w:type="dxa"/>
            <w:tcBorders>
              <w:top w:val="single" w:sz="12" w:space="0" w:color="auto"/>
            </w:tcBorders>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225</w:t>
            </w:r>
          </w:p>
        </w:tc>
        <w:tc>
          <w:tcPr>
            <w:tcW w:w="1040" w:type="dxa"/>
            <w:tcBorders>
              <w:top w:val="single" w:sz="12" w:space="0" w:color="auto"/>
            </w:tcBorders>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373</w:t>
            </w:r>
          </w:p>
        </w:tc>
        <w:tc>
          <w:tcPr>
            <w:tcW w:w="1040" w:type="dxa"/>
            <w:tcBorders>
              <w:top w:val="single" w:sz="12" w:space="0" w:color="auto"/>
            </w:tcBorders>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329</w:t>
            </w:r>
          </w:p>
        </w:tc>
        <w:tc>
          <w:tcPr>
            <w:tcW w:w="1058" w:type="dxa"/>
            <w:tcBorders>
              <w:top w:val="single" w:sz="12" w:space="0" w:color="auto"/>
            </w:tcBorders>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7,4</w:t>
            </w:r>
          </w:p>
        </w:tc>
      </w:tr>
      <w:tr w:rsidR="00060EFF" w:rsidRPr="00034258" w:rsidTr="00060EFF">
        <w:trPr>
          <w:trHeight w:val="301"/>
        </w:trPr>
        <w:tc>
          <w:tcPr>
            <w:tcW w:w="2080" w:type="dxa"/>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034258" w:rsidRDefault="00060EFF" w:rsidP="00060EFF">
            <w:pPr>
              <w:spacing w:line="240" w:lineRule="auto"/>
              <w:rPr>
                <w:rFonts w:ascii="Calibri" w:hAnsi="Calibri"/>
              </w:rPr>
            </w:pPr>
            <w:r w:rsidRPr="00034258">
              <w:rPr>
                <w:rFonts w:ascii="Calibri" w:hAnsi="Calibri"/>
                <w:sz w:val="22"/>
                <w:szCs w:val="22"/>
              </w:rPr>
              <w:t>Hustopeče</w:t>
            </w:r>
          </w:p>
        </w:tc>
        <w:tc>
          <w:tcPr>
            <w:tcW w:w="1040" w:type="dxa"/>
            <w:tcBorders>
              <w:left w:val="single" w:sz="12" w:space="0" w:color="auto"/>
            </w:tcBorders>
            <w:shd w:val="clear" w:color="000000" w:fill="FFFFFF"/>
            <w:noWrap/>
            <w:vAlign w:val="center"/>
            <w:hideMark/>
          </w:tcPr>
          <w:p w:rsidR="00060EFF" w:rsidRPr="00034258" w:rsidRDefault="00060EFF" w:rsidP="00060EFF">
            <w:pPr>
              <w:spacing w:line="240" w:lineRule="auto"/>
              <w:jc w:val="right"/>
              <w:rPr>
                <w:rFonts w:ascii="Calibri" w:hAnsi="Calibri"/>
              </w:rPr>
            </w:pPr>
            <w:r w:rsidRPr="00034258">
              <w:rPr>
                <w:rFonts w:ascii="Calibri" w:hAnsi="Calibri"/>
                <w:sz w:val="22"/>
                <w:szCs w:val="22"/>
              </w:rPr>
              <w:t>1 433</w:t>
            </w:r>
          </w:p>
        </w:tc>
        <w:tc>
          <w:tcPr>
            <w:tcW w:w="1040" w:type="dxa"/>
            <w:shd w:val="clear" w:color="000000" w:fill="FFFFFF"/>
            <w:noWrap/>
            <w:vAlign w:val="center"/>
            <w:hideMark/>
          </w:tcPr>
          <w:p w:rsidR="00060EFF" w:rsidRPr="00034258" w:rsidRDefault="00060EFF" w:rsidP="00060EFF">
            <w:pPr>
              <w:spacing w:line="240" w:lineRule="auto"/>
              <w:jc w:val="right"/>
              <w:rPr>
                <w:rFonts w:ascii="Calibri" w:hAnsi="Calibri"/>
              </w:rPr>
            </w:pPr>
            <w:r w:rsidRPr="00034258">
              <w:rPr>
                <w:rFonts w:ascii="Calibri" w:hAnsi="Calibri"/>
                <w:sz w:val="22"/>
                <w:szCs w:val="22"/>
              </w:rPr>
              <w:t>750</w:t>
            </w:r>
          </w:p>
        </w:tc>
        <w:tc>
          <w:tcPr>
            <w:tcW w:w="1040" w:type="dxa"/>
            <w:shd w:val="clear" w:color="000000" w:fill="FFFFFF"/>
            <w:noWrap/>
            <w:vAlign w:val="center"/>
            <w:hideMark/>
          </w:tcPr>
          <w:p w:rsidR="00060EFF" w:rsidRPr="00034258" w:rsidRDefault="00060EFF" w:rsidP="00060EFF">
            <w:pPr>
              <w:spacing w:line="240" w:lineRule="auto"/>
              <w:jc w:val="right"/>
              <w:rPr>
                <w:rFonts w:ascii="Calibri" w:hAnsi="Calibri"/>
              </w:rPr>
            </w:pPr>
            <w:r w:rsidRPr="00034258">
              <w:rPr>
                <w:rFonts w:ascii="Calibri" w:hAnsi="Calibri"/>
                <w:sz w:val="22"/>
                <w:szCs w:val="22"/>
              </w:rPr>
              <w:t>684</w:t>
            </w:r>
          </w:p>
        </w:tc>
        <w:tc>
          <w:tcPr>
            <w:tcW w:w="1085" w:type="dxa"/>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105</w:t>
            </w:r>
          </w:p>
        </w:tc>
        <w:tc>
          <w:tcPr>
            <w:tcW w:w="1040" w:type="dxa"/>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178</w:t>
            </w:r>
          </w:p>
        </w:tc>
        <w:tc>
          <w:tcPr>
            <w:tcW w:w="1040" w:type="dxa"/>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79</w:t>
            </w:r>
          </w:p>
        </w:tc>
        <w:tc>
          <w:tcPr>
            <w:tcW w:w="1058" w:type="dxa"/>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7,3</w:t>
            </w:r>
          </w:p>
        </w:tc>
      </w:tr>
      <w:tr w:rsidR="00060EFF" w:rsidRPr="00034258" w:rsidTr="00060EFF">
        <w:trPr>
          <w:trHeight w:val="301"/>
        </w:trPr>
        <w:tc>
          <w:tcPr>
            <w:tcW w:w="2080" w:type="dxa"/>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034258" w:rsidRDefault="00060EFF" w:rsidP="00060EFF">
            <w:pPr>
              <w:spacing w:line="240" w:lineRule="auto"/>
              <w:rPr>
                <w:rFonts w:ascii="Calibri" w:hAnsi="Calibri"/>
              </w:rPr>
            </w:pPr>
            <w:r w:rsidRPr="00034258">
              <w:rPr>
                <w:rFonts w:ascii="Calibri" w:hAnsi="Calibri"/>
                <w:sz w:val="22"/>
                <w:szCs w:val="22"/>
              </w:rPr>
              <w:t>Klobouky u Brna</w:t>
            </w:r>
          </w:p>
        </w:tc>
        <w:tc>
          <w:tcPr>
            <w:tcW w:w="1040" w:type="dxa"/>
            <w:tcBorders>
              <w:left w:val="single" w:sz="12" w:space="0" w:color="auto"/>
            </w:tcBorders>
            <w:shd w:val="clear" w:color="000000" w:fill="FFFFFF"/>
            <w:noWrap/>
            <w:vAlign w:val="center"/>
            <w:hideMark/>
          </w:tcPr>
          <w:p w:rsidR="00060EFF" w:rsidRDefault="00060EFF" w:rsidP="00060EFF">
            <w:pPr>
              <w:jc w:val="right"/>
              <w:rPr>
                <w:rFonts w:ascii="Calibri" w:hAnsi="Calibri"/>
              </w:rPr>
            </w:pPr>
            <w:r>
              <w:rPr>
                <w:rFonts w:ascii="Calibri" w:hAnsi="Calibri"/>
                <w:sz w:val="22"/>
                <w:szCs w:val="22"/>
              </w:rPr>
              <w:t>372</w:t>
            </w:r>
          </w:p>
        </w:tc>
        <w:tc>
          <w:tcPr>
            <w:tcW w:w="1040" w:type="dxa"/>
            <w:shd w:val="clear" w:color="000000" w:fill="FFFFFF"/>
            <w:noWrap/>
            <w:vAlign w:val="center"/>
            <w:hideMark/>
          </w:tcPr>
          <w:p w:rsidR="00060EFF" w:rsidRDefault="00060EFF" w:rsidP="00060EFF">
            <w:pPr>
              <w:jc w:val="right"/>
              <w:rPr>
                <w:rFonts w:ascii="Calibri" w:hAnsi="Calibri"/>
              </w:rPr>
            </w:pPr>
            <w:r>
              <w:rPr>
                <w:rFonts w:ascii="Calibri" w:hAnsi="Calibri"/>
                <w:sz w:val="22"/>
                <w:szCs w:val="22"/>
              </w:rPr>
              <w:t>192</w:t>
            </w:r>
          </w:p>
        </w:tc>
        <w:tc>
          <w:tcPr>
            <w:tcW w:w="1040" w:type="dxa"/>
            <w:shd w:val="clear" w:color="000000" w:fill="FFFFFF"/>
            <w:noWrap/>
            <w:vAlign w:val="center"/>
            <w:hideMark/>
          </w:tcPr>
          <w:p w:rsidR="00060EFF" w:rsidRDefault="00060EFF" w:rsidP="00060EFF">
            <w:pPr>
              <w:jc w:val="right"/>
              <w:rPr>
                <w:rFonts w:ascii="Calibri" w:hAnsi="Calibri"/>
              </w:rPr>
            </w:pPr>
            <w:r>
              <w:rPr>
                <w:rFonts w:ascii="Calibri" w:hAnsi="Calibri"/>
                <w:sz w:val="22"/>
                <w:szCs w:val="22"/>
              </w:rPr>
              <w:t>179</w:t>
            </w:r>
          </w:p>
        </w:tc>
        <w:tc>
          <w:tcPr>
            <w:tcW w:w="1085" w:type="dxa"/>
            <w:shd w:val="clear" w:color="auto" w:fill="auto"/>
            <w:noWrap/>
            <w:vAlign w:val="center"/>
            <w:hideMark/>
          </w:tcPr>
          <w:p w:rsidR="00060EFF" w:rsidRDefault="00060EFF" w:rsidP="00060EFF">
            <w:pPr>
              <w:jc w:val="right"/>
              <w:rPr>
                <w:rFonts w:ascii="Calibri" w:hAnsi="Calibri"/>
                <w:color w:val="000000"/>
              </w:rPr>
            </w:pPr>
            <w:r>
              <w:rPr>
                <w:rFonts w:ascii="Calibri" w:hAnsi="Calibri"/>
                <w:color w:val="000000"/>
                <w:sz w:val="22"/>
                <w:szCs w:val="22"/>
              </w:rPr>
              <w:t>32</w:t>
            </w:r>
          </w:p>
        </w:tc>
        <w:tc>
          <w:tcPr>
            <w:tcW w:w="1040" w:type="dxa"/>
            <w:shd w:val="clear" w:color="auto" w:fill="auto"/>
            <w:noWrap/>
            <w:vAlign w:val="center"/>
            <w:hideMark/>
          </w:tcPr>
          <w:p w:rsidR="00060EFF" w:rsidRDefault="00060EFF" w:rsidP="00060EFF">
            <w:pPr>
              <w:jc w:val="right"/>
              <w:rPr>
                <w:rFonts w:ascii="Calibri" w:hAnsi="Calibri"/>
                <w:color w:val="000000"/>
              </w:rPr>
            </w:pPr>
            <w:r>
              <w:rPr>
                <w:rFonts w:ascii="Calibri" w:hAnsi="Calibri"/>
                <w:color w:val="000000"/>
                <w:sz w:val="22"/>
                <w:szCs w:val="22"/>
              </w:rPr>
              <w:t>47</w:t>
            </w:r>
          </w:p>
        </w:tc>
        <w:tc>
          <w:tcPr>
            <w:tcW w:w="1040" w:type="dxa"/>
            <w:shd w:val="clear" w:color="auto" w:fill="auto"/>
            <w:noWrap/>
            <w:vAlign w:val="center"/>
            <w:hideMark/>
          </w:tcPr>
          <w:p w:rsidR="00060EFF" w:rsidRDefault="00060EFF" w:rsidP="00060EFF">
            <w:pPr>
              <w:jc w:val="right"/>
              <w:rPr>
                <w:rFonts w:ascii="Calibri" w:hAnsi="Calibri"/>
                <w:color w:val="000000"/>
              </w:rPr>
            </w:pPr>
            <w:r>
              <w:rPr>
                <w:rFonts w:ascii="Calibri" w:hAnsi="Calibri"/>
                <w:color w:val="000000"/>
                <w:sz w:val="22"/>
                <w:szCs w:val="22"/>
              </w:rPr>
              <w:t>22</w:t>
            </w:r>
          </w:p>
        </w:tc>
        <w:tc>
          <w:tcPr>
            <w:tcW w:w="1058" w:type="dxa"/>
            <w:shd w:val="clear" w:color="auto" w:fill="auto"/>
            <w:noWrap/>
            <w:vAlign w:val="center"/>
            <w:hideMark/>
          </w:tcPr>
          <w:p w:rsidR="00060EFF" w:rsidRDefault="00060EFF" w:rsidP="00060EFF">
            <w:pPr>
              <w:jc w:val="right"/>
              <w:rPr>
                <w:rFonts w:ascii="Calibri" w:hAnsi="Calibri"/>
                <w:color w:val="000000"/>
              </w:rPr>
            </w:pPr>
            <w:r>
              <w:rPr>
                <w:rFonts w:ascii="Calibri" w:hAnsi="Calibri"/>
                <w:color w:val="000000"/>
                <w:sz w:val="22"/>
                <w:szCs w:val="22"/>
              </w:rPr>
              <w:t>7,4</w:t>
            </w:r>
          </w:p>
        </w:tc>
      </w:tr>
      <w:tr w:rsidR="00060EFF" w:rsidRPr="00034258" w:rsidTr="00060EFF">
        <w:trPr>
          <w:trHeight w:val="301"/>
        </w:trPr>
        <w:tc>
          <w:tcPr>
            <w:tcW w:w="2080" w:type="dxa"/>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034258" w:rsidRDefault="00060EFF" w:rsidP="00060EFF">
            <w:pPr>
              <w:spacing w:line="240" w:lineRule="auto"/>
              <w:rPr>
                <w:rFonts w:ascii="Calibri" w:hAnsi="Calibri"/>
              </w:rPr>
            </w:pPr>
            <w:r>
              <w:rPr>
                <w:rFonts w:ascii="Calibri" w:hAnsi="Calibri"/>
                <w:sz w:val="22"/>
                <w:szCs w:val="22"/>
              </w:rPr>
              <w:t>Mikulov</w:t>
            </w:r>
          </w:p>
        </w:tc>
        <w:tc>
          <w:tcPr>
            <w:tcW w:w="1040" w:type="dxa"/>
            <w:tcBorders>
              <w:left w:val="single" w:sz="12" w:space="0" w:color="auto"/>
            </w:tcBorders>
            <w:shd w:val="clear" w:color="000000" w:fill="FFFFFF"/>
            <w:noWrap/>
            <w:vAlign w:val="center"/>
            <w:hideMark/>
          </w:tcPr>
          <w:p w:rsidR="00060EFF" w:rsidRPr="00034258" w:rsidRDefault="00060EFF" w:rsidP="00060EFF">
            <w:pPr>
              <w:spacing w:line="240" w:lineRule="auto"/>
              <w:jc w:val="right"/>
              <w:rPr>
                <w:rFonts w:ascii="Calibri" w:hAnsi="Calibri"/>
              </w:rPr>
            </w:pPr>
            <w:r w:rsidRPr="00034258">
              <w:rPr>
                <w:rFonts w:ascii="Calibri" w:hAnsi="Calibri"/>
                <w:sz w:val="22"/>
                <w:szCs w:val="22"/>
              </w:rPr>
              <w:t>1 241</w:t>
            </w:r>
          </w:p>
        </w:tc>
        <w:tc>
          <w:tcPr>
            <w:tcW w:w="1040" w:type="dxa"/>
            <w:shd w:val="clear" w:color="000000" w:fill="FFFFFF"/>
            <w:noWrap/>
            <w:vAlign w:val="center"/>
            <w:hideMark/>
          </w:tcPr>
          <w:p w:rsidR="00060EFF" w:rsidRPr="00034258" w:rsidRDefault="00060EFF" w:rsidP="00060EFF">
            <w:pPr>
              <w:spacing w:line="240" w:lineRule="auto"/>
              <w:jc w:val="right"/>
              <w:rPr>
                <w:rFonts w:ascii="Calibri" w:hAnsi="Calibri"/>
              </w:rPr>
            </w:pPr>
            <w:r w:rsidRPr="00034258">
              <w:rPr>
                <w:rFonts w:ascii="Calibri" w:hAnsi="Calibri"/>
                <w:sz w:val="22"/>
                <w:szCs w:val="22"/>
              </w:rPr>
              <w:t>609</w:t>
            </w:r>
          </w:p>
        </w:tc>
        <w:tc>
          <w:tcPr>
            <w:tcW w:w="1040" w:type="dxa"/>
            <w:shd w:val="clear" w:color="000000" w:fill="FFFFFF"/>
            <w:noWrap/>
            <w:vAlign w:val="center"/>
            <w:hideMark/>
          </w:tcPr>
          <w:p w:rsidR="00060EFF" w:rsidRPr="00034258" w:rsidRDefault="00060EFF" w:rsidP="00060EFF">
            <w:pPr>
              <w:spacing w:line="240" w:lineRule="auto"/>
              <w:jc w:val="right"/>
              <w:rPr>
                <w:rFonts w:ascii="Calibri" w:hAnsi="Calibri"/>
              </w:rPr>
            </w:pPr>
            <w:r w:rsidRPr="00034258">
              <w:rPr>
                <w:rFonts w:ascii="Calibri" w:hAnsi="Calibri"/>
                <w:sz w:val="22"/>
                <w:szCs w:val="22"/>
              </w:rPr>
              <w:t>632</w:t>
            </w:r>
          </w:p>
        </w:tc>
        <w:tc>
          <w:tcPr>
            <w:tcW w:w="1085" w:type="dxa"/>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63</w:t>
            </w:r>
          </w:p>
        </w:tc>
        <w:tc>
          <w:tcPr>
            <w:tcW w:w="1040" w:type="dxa"/>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187</w:t>
            </w:r>
          </w:p>
        </w:tc>
        <w:tc>
          <w:tcPr>
            <w:tcW w:w="1040" w:type="dxa"/>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96</w:t>
            </w:r>
          </w:p>
        </w:tc>
        <w:tc>
          <w:tcPr>
            <w:tcW w:w="1058" w:type="dxa"/>
            <w:shd w:val="clear" w:color="auto" w:fill="auto"/>
            <w:noWrap/>
            <w:vAlign w:val="center"/>
            <w:hideMark/>
          </w:tcPr>
          <w:p w:rsidR="00060EFF" w:rsidRPr="00034258" w:rsidRDefault="00060EFF" w:rsidP="00060EFF">
            <w:pPr>
              <w:spacing w:line="240" w:lineRule="auto"/>
              <w:jc w:val="right"/>
              <w:rPr>
                <w:rFonts w:ascii="Calibri" w:hAnsi="Calibri"/>
                <w:color w:val="000000"/>
              </w:rPr>
            </w:pPr>
            <w:r w:rsidRPr="00034258">
              <w:rPr>
                <w:rFonts w:ascii="Calibri" w:hAnsi="Calibri"/>
                <w:color w:val="000000"/>
                <w:sz w:val="22"/>
                <w:szCs w:val="22"/>
              </w:rPr>
              <w:t>8,9</w:t>
            </w:r>
          </w:p>
        </w:tc>
      </w:tr>
      <w:tr w:rsidR="00060EFF" w:rsidRPr="00034258" w:rsidTr="00060EFF">
        <w:trPr>
          <w:trHeight w:val="315"/>
        </w:trPr>
        <w:tc>
          <w:tcPr>
            <w:tcW w:w="2080" w:type="dxa"/>
            <w:tcBorders>
              <w:top w:val="single" w:sz="8" w:space="0" w:color="auto"/>
              <w:bottom w:val="single" w:sz="12" w:space="0" w:color="auto"/>
              <w:right w:val="single" w:sz="12" w:space="0" w:color="auto"/>
            </w:tcBorders>
            <w:shd w:val="clear" w:color="auto" w:fill="D9D9D9" w:themeFill="background1" w:themeFillShade="D9"/>
            <w:noWrap/>
            <w:vAlign w:val="center"/>
            <w:hideMark/>
          </w:tcPr>
          <w:p w:rsidR="00060EFF" w:rsidRPr="00034258" w:rsidRDefault="00060EFF" w:rsidP="00060EFF">
            <w:pPr>
              <w:spacing w:line="240" w:lineRule="auto"/>
              <w:rPr>
                <w:rFonts w:ascii="Calibri" w:hAnsi="Calibri"/>
                <w:b/>
                <w:bCs/>
              </w:rPr>
            </w:pPr>
            <w:r w:rsidRPr="00034258">
              <w:rPr>
                <w:rFonts w:ascii="Calibri" w:hAnsi="Calibri"/>
                <w:b/>
                <w:bCs/>
                <w:sz w:val="22"/>
                <w:szCs w:val="22"/>
              </w:rPr>
              <w:t>Okres Břeclav</w:t>
            </w:r>
          </w:p>
        </w:tc>
        <w:tc>
          <w:tcPr>
            <w:tcW w:w="1040" w:type="dxa"/>
            <w:tcBorders>
              <w:left w:val="single" w:sz="12" w:space="0" w:color="auto"/>
            </w:tcBorders>
            <w:shd w:val="clear" w:color="000000" w:fill="FFFFFF"/>
            <w:noWrap/>
            <w:vAlign w:val="center"/>
            <w:hideMark/>
          </w:tcPr>
          <w:p w:rsidR="00060EFF" w:rsidRPr="00034258" w:rsidRDefault="00060EFF" w:rsidP="00060EFF">
            <w:pPr>
              <w:spacing w:line="240" w:lineRule="auto"/>
              <w:jc w:val="right"/>
              <w:rPr>
                <w:rFonts w:ascii="Calibri" w:hAnsi="Calibri"/>
                <w:b/>
                <w:bCs/>
              </w:rPr>
            </w:pPr>
            <w:r w:rsidRPr="00034258">
              <w:rPr>
                <w:rFonts w:ascii="Calibri" w:hAnsi="Calibri"/>
                <w:b/>
                <w:bCs/>
                <w:sz w:val="22"/>
                <w:szCs w:val="22"/>
              </w:rPr>
              <w:t>6</w:t>
            </w:r>
            <w:r>
              <w:rPr>
                <w:rFonts w:ascii="Calibri" w:hAnsi="Calibri"/>
                <w:b/>
                <w:bCs/>
                <w:sz w:val="22"/>
                <w:szCs w:val="22"/>
              </w:rPr>
              <w:t xml:space="preserve"> </w:t>
            </w:r>
            <w:r w:rsidRPr="00034258">
              <w:rPr>
                <w:rFonts w:ascii="Calibri" w:hAnsi="Calibri"/>
                <w:b/>
                <w:bCs/>
                <w:sz w:val="22"/>
                <w:szCs w:val="22"/>
              </w:rPr>
              <w:t>152</w:t>
            </w:r>
          </w:p>
        </w:tc>
        <w:tc>
          <w:tcPr>
            <w:tcW w:w="1040" w:type="dxa"/>
            <w:shd w:val="clear" w:color="000000" w:fill="FFFFFF"/>
            <w:noWrap/>
            <w:vAlign w:val="center"/>
            <w:hideMark/>
          </w:tcPr>
          <w:p w:rsidR="00060EFF" w:rsidRPr="00034258" w:rsidRDefault="00060EFF" w:rsidP="00060EFF">
            <w:pPr>
              <w:spacing w:line="240" w:lineRule="auto"/>
              <w:jc w:val="right"/>
              <w:rPr>
                <w:rFonts w:ascii="Calibri" w:hAnsi="Calibri"/>
                <w:b/>
                <w:bCs/>
              </w:rPr>
            </w:pPr>
            <w:r w:rsidRPr="00034258">
              <w:rPr>
                <w:rFonts w:ascii="Calibri" w:hAnsi="Calibri"/>
                <w:b/>
                <w:bCs/>
                <w:sz w:val="22"/>
                <w:szCs w:val="22"/>
              </w:rPr>
              <w:t>3 187</w:t>
            </w:r>
          </w:p>
        </w:tc>
        <w:tc>
          <w:tcPr>
            <w:tcW w:w="1040" w:type="dxa"/>
            <w:shd w:val="clear" w:color="000000" w:fill="FFFFFF"/>
            <w:noWrap/>
            <w:vAlign w:val="center"/>
            <w:hideMark/>
          </w:tcPr>
          <w:p w:rsidR="00060EFF" w:rsidRPr="00034258" w:rsidRDefault="00060EFF" w:rsidP="00060EFF">
            <w:pPr>
              <w:spacing w:line="240" w:lineRule="auto"/>
              <w:jc w:val="right"/>
              <w:rPr>
                <w:rFonts w:ascii="Calibri" w:hAnsi="Calibri"/>
                <w:b/>
                <w:bCs/>
              </w:rPr>
            </w:pPr>
            <w:r w:rsidRPr="00034258">
              <w:rPr>
                <w:rFonts w:ascii="Calibri" w:hAnsi="Calibri"/>
                <w:b/>
                <w:bCs/>
                <w:sz w:val="22"/>
                <w:szCs w:val="22"/>
              </w:rPr>
              <w:t>2 965</w:t>
            </w:r>
          </w:p>
        </w:tc>
        <w:tc>
          <w:tcPr>
            <w:tcW w:w="1085" w:type="dxa"/>
            <w:shd w:val="clear" w:color="auto" w:fill="auto"/>
            <w:noWrap/>
            <w:vAlign w:val="center"/>
            <w:hideMark/>
          </w:tcPr>
          <w:p w:rsidR="00060EFF" w:rsidRPr="00034258" w:rsidRDefault="00060EFF" w:rsidP="00060EFF">
            <w:pPr>
              <w:spacing w:line="240" w:lineRule="auto"/>
              <w:jc w:val="right"/>
              <w:rPr>
                <w:rFonts w:ascii="Calibri" w:hAnsi="Calibri"/>
                <w:b/>
                <w:bCs/>
                <w:color w:val="000000"/>
              </w:rPr>
            </w:pPr>
            <w:r w:rsidRPr="00034258">
              <w:rPr>
                <w:rFonts w:ascii="Calibri" w:hAnsi="Calibri"/>
                <w:b/>
                <w:bCs/>
                <w:color w:val="000000"/>
                <w:sz w:val="22"/>
                <w:szCs w:val="22"/>
              </w:rPr>
              <w:t>425</w:t>
            </w:r>
          </w:p>
        </w:tc>
        <w:tc>
          <w:tcPr>
            <w:tcW w:w="1040" w:type="dxa"/>
            <w:shd w:val="clear" w:color="auto" w:fill="auto"/>
            <w:noWrap/>
            <w:vAlign w:val="center"/>
            <w:hideMark/>
          </w:tcPr>
          <w:p w:rsidR="00060EFF" w:rsidRPr="00034258" w:rsidRDefault="00060EFF" w:rsidP="00060EFF">
            <w:pPr>
              <w:spacing w:line="240" w:lineRule="auto"/>
              <w:jc w:val="right"/>
              <w:rPr>
                <w:rFonts w:ascii="Calibri" w:hAnsi="Calibri"/>
                <w:b/>
                <w:bCs/>
                <w:color w:val="000000"/>
              </w:rPr>
            </w:pPr>
            <w:r w:rsidRPr="00034258">
              <w:rPr>
                <w:rFonts w:ascii="Calibri" w:hAnsi="Calibri"/>
                <w:b/>
                <w:bCs/>
                <w:color w:val="000000"/>
                <w:sz w:val="22"/>
                <w:szCs w:val="22"/>
              </w:rPr>
              <w:t>785</w:t>
            </w:r>
          </w:p>
        </w:tc>
        <w:tc>
          <w:tcPr>
            <w:tcW w:w="1040" w:type="dxa"/>
            <w:shd w:val="clear" w:color="C0C0C0" w:fill="FFFFFF"/>
            <w:noWrap/>
            <w:vAlign w:val="center"/>
            <w:hideMark/>
          </w:tcPr>
          <w:p w:rsidR="00060EFF" w:rsidRPr="00034258" w:rsidRDefault="00060EFF" w:rsidP="00060EFF">
            <w:pPr>
              <w:spacing w:line="240" w:lineRule="auto"/>
              <w:jc w:val="right"/>
              <w:rPr>
                <w:rFonts w:ascii="Calibri" w:hAnsi="Calibri"/>
                <w:b/>
                <w:bCs/>
              </w:rPr>
            </w:pPr>
            <w:r w:rsidRPr="00034258">
              <w:rPr>
                <w:rFonts w:ascii="Calibri" w:hAnsi="Calibri"/>
                <w:b/>
                <w:bCs/>
                <w:sz w:val="22"/>
                <w:szCs w:val="22"/>
              </w:rPr>
              <w:t>526</w:t>
            </w:r>
          </w:p>
        </w:tc>
        <w:tc>
          <w:tcPr>
            <w:tcW w:w="1058" w:type="dxa"/>
            <w:shd w:val="clear" w:color="000000" w:fill="FFFFFF"/>
            <w:noWrap/>
            <w:vAlign w:val="center"/>
            <w:hideMark/>
          </w:tcPr>
          <w:p w:rsidR="00060EFF" w:rsidRPr="00034258" w:rsidRDefault="00060EFF" w:rsidP="00060EFF">
            <w:pPr>
              <w:spacing w:line="240" w:lineRule="auto"/>
              <w:jc w:val="right"/>
              <w:rPr>
                <w:rFonts w:ascii="Calibri" w:hAnsi="Calibri"/>
                <w:b/>
                <w:bCs/>
              </w:rPr>
            </w:pPr>
            <w:r w:rsidRPr="00034258">
              <w:rPr>
                <w:rFonts w:ascii="Calibri" w:hAnsi="Calibri"/>
                <w:b/>
                <w:bCs/>
                <w:sz w:val="22"/>
                <w:szCs w:val="22"/>
              </w:rPr>
              <w:t>7,7</w:t>
            </w:r>
          </w:p>
        </w:tc>
      </w:tr>
    </w:tbl>
    <w:p w:rsidR="00060EFF" w:rsidRPr="000D0280" w:rsidRDefault="00060EFF" w:rsidP="00060EFF">
      <w:pPr>
        <w:pStyle w:val="Normlnweb"/>
        <w:spacing w:line="276" w:lineRule="auto"/>
        <w:jc w:val="both"/>
        <w:rPr>
          <w:rFonts w:ascii="Arial" w:hAnsi="Arial" w:cs="Arial"/>
          <w:noProof/>
          <w:sz w:val="20"/>
          <w:szCs w:val="20"/>
        </w:rPr>
      </w:pPr>
      <w:r w:rsidRPr="000D0280">
        <w:rPr>
          <w:rFonts w:ascii="Arial" w:hAnsi="Arial" w:cs="Arial"/>
          <w:b/>
          <w:noProof/>
          <w:sz w:val="20"/>
          <w:szCs w:val="20"/>
        </w:rPr>
        <w:t>Pramen</w:t>
      </w:r>
      <w:r w:rsidRPr="000D0280">
        <w:rPr>
          <w:rFonts w:ascii="Arial" w:hAnsi="Arial" w:cs="Arial"/>
          <w:noProof/>
          <w:sz w:val="20"/>
          <w:szCs w:val="20"/>
        </w:rPr>
        <w:t>: MPSV,ČR, GIS Prostorová analýza, 2014</w:t>
      </w:r>
    </w:p>
    <w:p w:rsidR="0024494D" w:rsidRPr="00A21F88" w:rsidRDefault="0024494D" w:rsidP="0024494D">
      <w:pPr>
        <w:tabs>
          <w:tab w:val="left" w:pos="9214"/>
        </w:tabs>
        <w:jc w:val="both"/>
        <w:rPr>
          <w:rFonts w:ascii="Arial" w:hAnsi="Arial" w:cs="Arial"/>
          <w:b/>
          <w:sz w:val="22"/>
          <w:szCs w:val="22"/>
        </w:rPr>
      </w:pPr>
      <w:r w:rsidRPr="00A21F88">
        <w:rPr>
          <w:rFonts w:ascii="Arial" w:hAnsi="Arial" w:cs="Arial"/>
          <w:b/>
          <w:sz w:val="22"/>
          <w:szCs w:val="22"/>
        </w:rPr>
        <w:t>Břeclavsko</w:t>
      </w:r>
    </w:p>
    <w:p w:rsidR="0024494D" w:rsidRDefault="0024494D" w:rsidP="0024494D">
      <w:pPr>
        <w:tabs>
          <w:tab w:val="left" w:pos="9214"/>
        </w:tabs>
        <w:jc w:val="both"/>
        <w:rPr>
          <w:rFonts w:ascii="Arial" w:hAnsi="Arial" w:cs="Arial"/>
          <w:sz w:val="22"/>
          <w:szCs w:val="22"/>
        </w:rPr>
      </w:pPr>
    </w:p>
    <w:p w:rsidR="0024494D" w:rsidRDefault="0024494D" w:rsidP="0024494D">
      <w:pPr>
        <w:tabs>
          <w:tab w:val="left" w:pos="9214"/>
        </w:tabs>
        <w:jc w:val="both"/>
      </w:pPr>
      <w:r w:rsidRPr="004A741A">
        <w:rPr>
          <w:rFonts w:ascii="Arial" w:hAnsi="Arial" w:cs="Arial"/>
          <w:sz w:val="22"/>
          <w:szCs w:val="22"/>
        </w:rPr>
        <w:t xml:space="preserve">Z hlediska odvětví poskytuje nejvíce pracovních míst v okrese odvětví obchodu, dále pak zpracovatelský průmysl a odvětví stavebnictví. Největší průmyslový podnik břeclavského </w:t>
      </w:r>
      <w:r w:rsidRPr="00F56D02">
        <w:rPr>
          <w:rFonts w:ascii="Arial" w:hAnsi="Arial" w:cs="Arial"/>
          <w:sz w:val="22"/>
          <w:szCs w:val="22"/>
        </w:rPr>
        <w:t>regionu s více než polovinou produkce určenou pro export je akciová společnost Gumotex, která zaměstnává 1119 osob. Významným zaměstnavatelem regionu je Nemocnice Břeclav, dále pak akciová společnost OTIS zabývající se výrobou eskalátorů (v letošním roce došlo k nárůstu počtu zaměstnanců v důsledku zakázky pro londýnské metro) a společnost BORS Břeclav zabývající se automobilovou dopravou.  Zaměstnavatelé ze zemědělských firem a družstev řeší situaci na trhu práce se zaměstnanci tak, že je vždy ke konci roku propouštějí, posílají na úřad práce a s příchodem jarních měsíců je opětovně přijímají do zaměstnání. K 31. 12. 2014 bylo v  mikroregionu evidováno celkem 3 106 uchazečů o zaměstnání a podíl nezaměstnaných osob dosáhl 7,4 %.</w:t>
      </w:r>
    </w:p>
    <w:p w:rsidR="0024494D" w:rsidRPr="004A741A" w:rsidRDefault="0024494D" w:rsidP="0024494D">
      <w:pPr>
        <w:tabs>
          <w:tab w:val="left" w:pos="9214"/>
        </w:tabs>
        <w:jc w:val="both"/>
      </w:pPr>
    </w:p>
    <w:p w:rsidR="0024494D" w:rsidRPr="00A21F88" w:rsidRDefault="0024494D" w:rsidP="0024494D">
      <w:pPr>
        <w:jc w:val="both"/>
        <w:rPr>
          <w:rFonts w:ascii="Arial" w:hAnsi="Arial" w:cs="Arial"/>
          <w:b/>
          <w:sz w:val="22"/>
          <w:szCs w:val="22"/>
        </w:rPr>
      </w:pPr>
      <w:r w:rsidRPr="00A21F88">
        <w:rPr>
          <w:rFonts w:ascii="Arial" w:hAnsi="Arial" w:cs="Arial"/>
          <w:b/>
          <w:sz w:val="22"/>
          <w:szCs w:val="22"/>
        </w:rPr>
        <w:t>Hustopečsko</w:t>
      </w:r>
    </w:p>
    <w:p w:rsidR="0024494D" w:rsidRDefault="0024494D" w:rsidP="0024494D">
      <w:pPr>
        <w:jc w:val="both"/>
        <w:rPr>
          <w:rFonts w:ascii="Arial" w:hAnsi="Arial" w:cs="Arial"/>
          <w:sz w:val="22"/>
          <w:szCs w:val="22"/>
        </w:rPr>
      </w:pPr>
    </w:p>
    <w:p w:rsidR="0024494D" w:rsidRPr="004538DE" w:rsidRDefault="0024494D" w:rsidP="0024494D">
      <w:pPr>
        <w:tabs>
          <w:tab w:val="left" w:pos="9214"/>
        </w:tabs>
        <w:jc w:val="both"/>
        <w:rPr>
          <w:rFonts w:ascii="Arial" w:hAnsi="Arial" w:cs="Arial"/>
          <w:sz w:val="22"/>
          <w:szCs w:val="22"/>
        </w:rPr>
      </w:pPr>
      <w:r w:rsidRPr="004538DE">
        <w:rPr>
          <w:rFonts w:ascii="Arial" w:hAnsi="Arial" w:cs="Arial"/>
          <w:sz w:val="22"/>
          <w:szCs w:val="22"/>
        </w:rPr>
        <w:t xml:space="preserve">Hustopečsko </w:t>
      </w:r>
      <w:r>
        <w:rPr>
          <w:rFonts w:ascii="Arial" w:hAnsi="Arial" w:cs="Arial"/>
          <w:sz w:val="22"/>
          <w:szCs w:val="22"/>
        </w:rPr>
        <w:t>má</w:t>
      </w:r>
      <w:r w:rsidRPr="004538DE">
        <w:rPr>
          <w:rFonts w:ascii="Arial" w:hAnsi="Arial" w:cs="Arial"/>
          <w:sz w:val="22"/>
          <w:szCs w:val="22"/>
        </w:rPr>
        <w:t xml:space="preserve"> průmyslově - zemědělský  charakter. Vzhledem ke geografické povaze regionu a dojezdovým vzdálenostem je v mikroregionu silná i vrstva živnostníků zabývajících se prvovýrobou a službami.  Nejvýznamnějším zaměstnavatelem regionu je MOSS logistics s.r.o. zabývající automobilovou dopravou. K 31. 12. 2014 bylo v  mikroregionu evidováno celkem 1 433 uchazečů o zaměstnání a podíl nezaměstnaných osob</w:t>
      </w:r>
      <w:r w:rsidRPr="00EA2B38">
        <w:rPr>
          <w:rFonts w:ascii="Arial" w:hAnsi="Arial" w:cs="Arial"/>
          <w:sz w:val="22"/>
          <w:szCs w:val="22"/>
        </w:rPr>
        <w:t xml:space="preserve"> dosáhl </w:t>
      </w:r>
      <w:r w:rsidRPr="004538DE">
        <w:rPr>
          <w:rFonts w:ascii="Arial" w:hAnsi="Arial" w:cs="Arial"/>
          <w:sz w:val="22"/>
          <w:szCs w:val="22"/>
        </w:rPr>
        <w:t>hodnoty 7,3 %.</w:t>
      </w:r>
    </w:p>
    <w:p w:rsidR="0024494D" w:rsidRPr="00A311BE" w:rsidRDefault="0024494D" w:rsidP="0024494D">
      <w:pPr>
        <w:rPr>
          <w:rFonts w:ascii="Arial" w:hAnsi="Arial" w:cs="Arial"/>
          <w:sz w:val="22"/>
          <w:szCs w:val="22"/>
        </w:rPr>
      </w:pPr>
    </w:p>
    <w:p w:rsidR="0024494D" w:rsidRDefault="0024494D" w:rsidP="00EA2B38">
      <w:pPr>
        <w:pStyle w:val="Bezmezer"/>
        <w:rPr>
          <w:rFonts w:ascii="Arial" w:hAnsi="Arial" w:cs="Arial"/>
          <w:b/>
          <w:i/>
          <w:sz w:val="20"/>
          <w:szCs w:val="20"/>
        </w:rPr>
      </w:pPr>
    </w:p>
    <w:p w:rsidR="00060EFF" w:rsidRPr="00EA2B38" w:rsidRDefault="00EA2B38" w:rsidP="00EA2B38">
      <w:pPr>
        <w:pStyle w:val="Bezmezer"/>
        <w:rPr>
          <w:rFonts w:ascii="Arial" w:hAnsi="Arial" w:cs="Arial"/>
          <w:b/>
          <w:i/>
          <w:noProof/>
          <w:sz w:val="20"/>
          <w:szCs w:val="20"/>
        </w:rPr>
      </w:pPr>
      <w:r w:rsidRPr="00EA2B38">
        <w:rPr>
          <w:rFonts w:ascii="Arial" w:hAnsi="Arial" w:cs="Arial"/>
          <w:b/>
          <w:i/>
          <w:sz w:val="20"/>
          <w:szCs w:val="20"/>
        </w:rPr>
        <w:t xml:space="preserve">Obr. </w:t>
      </w:r>
      <w:r w:rsidRPr="00EA2B38">
        <w:rPr>
          <w:rFonts w:ascii="Arial" w:hAnsi="Arial" w:cs="Arial"/>
          <w:b/>
          <w:i/>
          <w:sz w:val="20"/>
          <w:szCs w:val="20"/>
        </w:rPr>
        <w:fldChar w:fldCharType="begin"/>
      </w:r>
      <w:r w:rsidRPr="00EA2B38">
        <w:rPr>
          <w:rFonts w:ascii="Arial" w:hAnsi="Arial" w:cs="Arial"/>
          <w:b/>
          <w:i/>
          <w:sz w:val="20"/>
          <w:szCs w:val="20"/>
        </w:rPr>
        <w:instrText xml:space="preserve"> SEQ Obr. \* ARABIC </w:instrText>
      </w:r>
      <w:r w:rsidRPr="00EA2B38">
        <w:rPr>
          <w:rFonts w:ascii="Arial" w:hAnsi="Arial" w:cs="Arial"/>
          <w:b/>
          <w:i/>
          <w:sz w:val="20"/>
          <w:szCs w:val="20"/>
        </w:rPr>
        <w:fldChar w:fldCharType="separate"/>
      </w:r>
      <w:r w:rsidR="009E38FD">
        <w:rPr>
          <w:rFonts w:ascii="Arial" w:hAnsi="Arial" w:cs="Arial"/>
          <w:b/>
          <w:i/>
          <w:noProof/>
          <w:sz w:val="20"/>
          <w:szCs w:val="20"/>
        </w:rPr>
        <w:t>17</w:t>
      </w:r>
      <w:r w:rsidRPr="00EA2B38">
        <w:rPr>
          <w:rFonts w:ascii="Arial" w:hAnsi="Arial" w:cs="Arial"/>
          <w:b/>
          <w:i/>
          <w:sz w:val="20"/>
          <w:szCs w:val="20"/>
        </w:rPr>
        <w:fldChar w:fldCharType="end"/>
      </w:r>
      <w:r w:rsidRPr="00EA2B38">
        <w:rPr>
          <w:rFonts w:ascii="Arial" w:hAnsi="Arial" w:cs="Arial"/>
          <w:b/>
          <w:i/>
          <w:sz w:val="20"/>
          <w:szCs w:val="20"/>
        </w:rPr>
        <w:t>:</w:t>
      </w:r>
      <w:r w:rsidR="00060EFF" w:rsidRPr="00EA2B38">
        <w:rPr>
          <w:rFonts w:ascii="Arial" w:hAnsi="Arial" w:cs="Arial"/>
          <w:b/>
          <w:i/>
          <w:noProof/>
          <w:sz w:val="20"/>
          <w:szCs w:val="20"/>
        </w:rPr>
        <w:t xml:space="preserve"> Podíl nezaměstnaných osob na </w:t>
      </w:r>
      <w:r w:rsidRPr="00EA2B38">
        <w:rPr>
          <w:rFonts w:ascii="Arial" w:hAnsi="Arial" w:cs="Arial"/>
          <w:b/>
          <w:i/>
          <w:noProof/>
          <w:sz w:val="20"/>
          <w:szCs w:val="20"/>
        </w:rPr>
        <w:t>obyvatelstvu</w:t>
      </w:r>
      <w:r w:rsidR="00060EFF" w:rsidRPr="00EA2B38">
        <w:rPr>
          <w:rFonts w:ascii="Arial" w:hAnsi="Arial" w:cs="Arial"/>
          <w:b/>
          <w:i/>
          <w:noProof/>
          <w:sz w:val="20"/>
          <w:szCs w:val="20"/>
        </w:rPr>
        <w:t xml:space="preserve"> 15-64 v</w:t>
      </w:r>
      <w:r w:rsidR="007168E0">
        <w:rPr>
          <w:rFonts w:ascii="Arial" w:hAnsi="Arial" w:cs="Arial"/>
          <w:b/>
          <w:i/>
          <w:noProof/>
          <w:sz w:val="20"/>
          <w:szCs w:val="20"/>
        </w:rPr>
        <w:t xml:space="preserve"> okrese</w:t>
      </w:r>
      <w:r w:rsidR="00060EFF" w:rsidRPr="00EA2B38">
        <w:rPr>
          <w:rFonts w:ascii="Arial" w:hAnsi="Arial" w:cs="Arial"/>
          <w:b/>
          <w:i/>
          <w:noProof/>
          <w:sz w:val="20"/>
          <w:szCs w:val="20"/>
        </w:rPr>
        <w:t> Břeclav k 31.12.2014</w:t>
      </w:r>
    </w:p>
    <w:p w:rsidR="00060EFF" w:rsidRDefault="00060EFF" w:rsidP="00060EFF">
      <w:pPr>
        <w:jc w:val="both"/>
        <w:rPr>
          <w:rFonts w:ascii="Arial" w:hAnsi="Arial" w:cs="Arial"/>
          <w:sz w:val="22"/>
          <w:szCs w:val="22"/>
        </w:rPr>
      </w:pPr>
      <w:r>
        <w:rPr>
          <w:rFonts w:ascii="Arial" w:hAnsi="Arial" w:cs="Arial"/>
          <w:noProof/>
          <w:sz w:val="22"/>
          <w:szCs w:val="22"/>
        </w:rPr>
        <w:drawing>
          <wp:inline distT="0" distB="0" distL="0" distR="0" wp14:anchorId="1D22C0E9" wp14:editId="594F5A5F">
            <wp:extent cx="5760720" cy="4070350"/>
            <wp:effectExtent l="0" t="0" r="0"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řeclav.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070350"/>
                    </a:xfrm>
                    <a:prstGeom prst="rect">
                      <a:avLst/>
                    </a:prstGeom>
                  </pic:spPr>
                </pic:pic>
              </a:graphicData>
            </a:graphic>
          </wp:inline>
        </w:drawing>
      </w:r>
    </w:p>
    <w:p w:rsidR="00060EFF" w:rsidRDefault="00060EFF" w:rsidP="00060EFF">
      <w:pPr>
        <w:jc w:val="both"/>
        <w:rPr>
          <w:rFonts w:ascii="Arial" w:hAnsi="Arial" w:cs="Arial"/>
          <w:b/>
          <w:sz w:val="22"/>
          <w:szCs w:val="22"/>
        </w:rPr>
      </w:pPr>
      <w:r>
        <w:rPr>
          <w:rFonts w:ascii="Arial" w:hAnsi="Arial" w:cs="Arial"/>
          <w:b/>
          <w:sz w:val="22"/>
          <w:szCs w:val="22"/>
        </w:rPr>
        <w:t>Kloboucko</w:t>
      </w:r>
    </w:p>
    <w:p w:rsidR="00060EFF" w:rsidRDefault="00060EFF" w:rsidP="00060EFF">
      <w:pPr>
        <w:jc w:val="both"/>
        <w:rPr>
          <w:rFonts w:ascii="Arial" w:hAnsi="Arial" w:cs="Arial"/>
          <w:sz w:val="22"/>
          <w:szCs w:val="22"/>
        </w:rPr>
      </w:pPr>
    </w:p>
    <w:p w:rsidR="00060EFF" w:rsidRDefault="00060EFF" w:rsidP="00060EFF">
      <w:pPr>
        <w:jc w:val="both"/>
        <w:rPr>
          <w:rFonts w:ascii="Arial" w:hAnsi="Arial" w:cs="Arial"/>
          <w:b/>
          <w:sz w:val="22"/>
          <w:szCs w:val="22"/>
        </w:rPr>
      </w:pPr>
      <w:r w:rsidRPr="004538DE">
        <w:rPr>
          <w:rFonts w:ascii="Arial" w:hAnsi="Arial" w:cs="Arial"/>
          <w:sz w:val="22"/>
          <w:szCs w:val="22"/>
        </w:rPr>
        <w:t xml:space="preserve">K 31. 12. 2014 bylo v  mikroregionu evidováno celkem </w:t>
      </w:r>
      <w:r>
        <w:rPr>
          <w:rFonts w:ascii="Arial" w:hAnsi="Arial" w:cs="Arial"/>
          <w:sz w:val="22"/>
          <w:szCs w:val="22"/>
        </w:rPr>
        <w:t>372</w:t>
      </w:r>
      <w:r w:rsidRPr="004538DE">
        <w:rPr>
          <w:rFonts w:ascii="Arial" w:hAnsi="Arial" w:cs="Arial"/>
          <w:sz w:val="22"/>
          <w:szCs w:val="22"/>
        </w:rPr>
        <w:t xml:space="preserve"> uchazečů o zaměstnání a podíl nezaměstnaných osob</w:t>
      </w:r>
      <w:r w:rsidRPr="00EA2B38">
        <w:rPr>
          <w:rFonts w:ascii="Arial" w:hAnsi="Arial" w:cs="Arial"/>
          <w:sz w:val="22"/>
          <w:szCs w:val="22"/>
        </w:rPr>
        <w:t xml:space="preserve"> </w:t>
      </w:r>
      <w:r w:rsidR="00EA2B38" w:rsidRPr="00EA2B38">
        <w:rPr>
          <w:rFonts w:ascii="Arial" w:hAnsi="Arial" w:cs="Arial"/>
          <w:sz w:val="22"/>
          <w:szCs w:val="22"/>
        </w:rPr>
        <w:t>dosáhl</w:t>
      </w:r>
      <w:r w:rsidRPr="00EA2B38">
        <w:rPr>
          <w:rFonts w:ascii="Arial" w:hAnsi="Arial" w:cs="Arial"/>
          <w:sz w:val="22"/>
          <w:szCs w:val="22"/>
        </w:rPr>
        <w:t xml:space="preserve"> </w:t>
      </w:r>
      <w:r w:rsidRPr="004538DE">
        <w:rPr>
          <w:rFonts w:ascii="Arial" w:hAnsi="Arial" w:cs="Arial"/>
          <w:sz w:val="22"/>
          <w:szCs w:val="22"/>
        </w:rPr>
        <w:t>hodnoty 7,</w:t>
      </w:r>
      <w:r>
        <w:rPr>
          <w:rFonts w:ascii="Arial" w:hAnsi="Arial" w:cs="Arial"/>
          <w:sz w:val="22"/>
          <w:szCs w:val="22"/>
        </w:rPr>
        <w:t>4</w:t>
      </w:r>
      <w:r w:rsidRPr="004538DE">
        <w:rPr>
          <w:rFonts w:ascii="Arial" w:hAnsi="Arial" w:cs="Arial"/>
          <w:sz w:val="22"/>
          <w:szCs w:val="22"/>
        </w:rPr>
        <w:t xml:space="preserve"> %.</w:t>
      </w:r>
      <w:r>
        <w:rPr>
          <w:rFonts w:ascii="Arial" w:hAnsi="Arial" w:cs="Arial"/>
          <w:sz w:val="22"/>
          <w:szCs w:val="22"/>
        </w:rPr>
        <w:t xml:space="preserve"> Nejvýznamnější zaměstnavatel je výrobce plastových oken </w:t>
      </w:r>
      <w:r w:rsidRPr="00EC3ED9">
        <w:rPr>
          <w:rFonts w:ascii="Arial" w:hAnsi="Arial" w:cs="Arial"/>
          <w:sz w:val="22"/>
          <w:szCs w:val="22"/>
        </w:rPr>
        <w:t>PRAMOS, a.s.</w:t>
      </w:r>
    </w:p>
    <w:p w:rsidR="00060EFF" w:rsidRDefault="00060EFF" w:rsidP="00060EFF">
      <w:pPr>
        <w:jc w:val="both"/>
        <w:rPr>
          <w:rFonts w:ascii="Arial" w:hAnsi="Arial" w:cs="Arial"/>
          <w:b/>
          <w:sz w:val="22"/>
          <w:szCs w:val="22"/>
        </w:rPr>
      </w:pPr>
    </w:p>
    <w:p w:rsidR="00060EFF" w:rsidRPr="00A21F88" w:rsidRDefault="00060EFF" w:rsidP="00060EFF">
      <w:pPr>
        <w:jc w:val="both"/>
        <w:rPr>
          <w:rFonts w:ascii="Arial" w:hAnsi="Arial" w:cs="Arial"/>
          <w:b/>
          <w:sz w:val="22"/>
          <w:szCs w:val="22"/>
        </w:rPr>
      </w:pPr>
      <w:r w:rsidRPr="00A21F88">
        <w:rPr>
          <w:rFonts w:ascii="Arial" w:hAnsi="Arial" w:cs="Arial"/>
          <w:b/>
          <w:sz w:val="22"/>
          <w:szCs w:val="22"/>
        </w:rPr>
        <w:t>Mikulovsko</w:t>
      </w:r>
    </w:p>
    <w:p w:rsidR="00060EFF" w:rsidRDefault="00060EFF" w:rsidP="00060EFF">
      <w:pPr>
        <w:jc w:val="both"/>
        <w:rPr>
          <w:rFonts w:ascii="Arial" w:hAnsi="Arial" w:cs="Arial"/>
          <w:sz w:val="22"/>
          <w:szCs w:val="22"/>
        </w:rPr>
      </w:pPr>
    </w:p>
    <w:p w:rsidR="00060EFF" w:rsidRPr="00F50931" w:rsidRDefault="00060EFF" w:rsidP="00060EFF">
      <w:pPr>
        <w:jc w:val="both"/>
        <w:rPr>
          <w:rFonts w:ascii="Arial" w:hAnsi="Arial" w:cs="Arial"/>
          <w:sz w:val="22"/>
          <w:szCs w:val="22"/>
        </w:rPr>
      </w:pPr>
      <w:r w:rsidRPr="00F50931">
        <w:rPr>
          <w:rFonts w:ascii="Arial" w:hAnsi="Arial" w:cs="Arial"/>
          <w:sz w:val="22"/>
          <w:szCs w:val="22"/>
        </w:rPr>
        <w:t>Mikulovsko má vzhledem ke specifickému postavení v rámci okresu tradičně nejvyšší nezaměstnanost. Tato situace je dána i tím, že jde o region s</w:t>
      </w:r>
      <w:r w:rsidR="00F56D02">
        <w:rPr>
          <w:rFonts w:ascii="Arial" w:hAnsi="Arial" w:cs="Arial"/>
          <w:sz w:val="22"/>
          <w:szCs w:val="22"/>
        </w:rPr>
        <w:t xml:space="preserve"> relativně</w:t>
      </w:r>
      <w:r w:rsidRPr="00F50931">
        <w:rPr>
          <w:rFonts w:ascii="Arial" w:hAnsi="Arial" w:cs="Arial"/>
          <w:sz w:val="22"/>
          <w:szCs w:val="22"/>
        </w:rPr>
        <w:t xml:space="preserve"> významnou zaměstnaností v odvětví zemědělství, což se odráží v zaměření podnikatelských aktivit. Vzhledem </w:t>
      </w:r>
      <w:r w:rsidR="00F56D02">
        <w:rPr>
          <w:rFonts w:ascii="Arial" w:hAnsi="Arial" w:cs="Arial"/>
          <w:sz w:val="22"/>
          <w:szCs w:val="22"/>
        </w:rPr>
        <w:t>k přírodním podmínkám</w:t>
      </w:r>
      <w:r w:rsidRPr="00F50931">
        <w:rPr>
          <w:rFonts w:ascii="Arial" w:hAnsi="Arial" w:cs="Arial"/>
          <w:sz w:val="22"/>
          <w:szCs w:val="22"/>
        </w:rPr>
        <w:t xml:space="preserve"> je v regionu rozšířené pěstování vinné révy a její následné zpracování. Na tuto oblast podnikání je úzce navázána i agroturistika, aktivity v oblasti cestovního ruchu a rozvoj služeb s ním  spojených. Ve výše uvedených případech však jde převážně o sezonní aktivity, které významně ovlivňují nezaměstnanost pouze v některých obdobích kalendářního roku.  Nejvýznamnějším zaměstnavatelem je rakouská společnost na výrobu kabelů a kabelových svazků Gebauer a GrillerKabeltechnik, která zaměstnává přes 1</w:t>
      </w:r>
      <w:r>
        <w:rPr>
          <w:rFonts w:ascii="Arial" w:hAnsi="Arial" w:cs="Arial"/>
          <w:sz w:val="22"/>
          <w:szCs w:val="22"/>
        </w:rPr>
        <w:t xml:space="preserve"> </w:t>
      </w:r>
      <w:r w:rsidRPr="00F50931">
        <w:rPr>
          <w:rFonts w:ascii="Arial" w:hAnsi="Arial" w:cs="Arial"/>
          <w:sz w:val="22"/>
          <w:szCs w:val="22"/>
        </w:rPr>
        <w:t xml:space="preserve">350 osob.  V roce 2014 </w:t>
      </w:r>
      <w:r>
        <w:rPr>
          <w:rFonts w:ascii="Arial" w:hAnsi="Arial" w:cs="Arial"/>
          <w:sz w:val="22"/>
          <w:szCs w:val="22"/>
        </w:rPr>
        <w:t>proběhla</w:t>
      </w:r>
      <w:r w:rsidRPr="00F50931">
        <w:rPr>
          <w:rFonts w:ascii="Arial" w:hAnsi="Arial" w:cs="Arial"/>
          <w:sz w:val="22"/>
          <w:szCs w:val="22"/>
        </w:rPr>
        <w:t xml:space="preserve"> výstavba </w:t>
      </w:r>
      <w:r>
        <w:rPr>
          <w:rFonts w:ascii="Arial" w:hAnsi="Arial" w:cs="Arial"/>
          <w:sz w:val="22"/>
          <w:szCs w:val="22"/>
        </w:rPr>
        <w:t xml:space="preserve">nové </w:t>
      </w:r>
      <w:r w:rsidRPr="00F50931">
        <w:rPr>
          <w:rFonts w:ascii="Arial" w:hAnsi="Arial" w:cs="Arial"/>
          <w:sz w:val="22"/>
          <w:szCs w:val="22"/>
        </w:rPr>
        <w:t xml:space="preserve">haly této společnosti pro cca 350 zaměstnanců </w:t>
      </w:r>
      <w:r>
        <w:rPr>
          <w:rFonts w:ascii="Arial" w:hAnsi="Arial" w:cs="Arial"/>
          <w:sz w:val="22"/>
          <w:szCs w:val="22"/>
        </w:rPr>
        <w:t>a</w:t>
      </w:r>
      <w:r w:rsidRPr="00F50931">
        <w:rPr>
          <w:rFonts w:ascii="Arial" w:hAnsi="Arial" w:cs="Arial"/>
          <w:sz w:val="22"/>
          <w:szCs w:val="22"/>
        </w:rPr>
        <w:t xml:space="preserve"> postupně dochází k naplňování její kapacity. K 31. 12. 2014 bylo v  mikroregionu evidováno celkem 1 </w:t>
      </w:r>
      <w:r>
        <w:rPr>
          <w:rFonts w:ascii="Arial" w:hAnsi="Arial" w:cs="Arial"/>
          <w:sz w:val="22"/>
          <w:szCs w:val="22"/>
        </w:rPr>
        <w:t>241</w:t>
      </w:r>
      <w:r w:rsidRPr="00F50931">
        <w:rPr>
          <w:rFonts w:ascii="Arial" w:hAnsi="Arial" w:cs="Arial"/>
          <w:sz w:val="22"/>
          <w:szCs w:val="22"/>
        </w:rPr>
        <w:t xml:space="preserve"> uchazečů o zaměstnání a p</w:t>
      </w:r>
      <w:r>
        <w:rPr>
          <w:rFonts w:ascii="Arial" w:hAnsi="Arial" w:cs="Arial"/>
          <w:sz w:val="22"/>
          <w:szCs w:val="22"/>
        </w:rPr>
        <w:t>odíl nezaměstnaných osob dosáhl</w:t>
      </w:r>
      <w:r w:rsidRPr="00F50931">
        <w:rPr>
          <w:rFonts w:ascii="Arial" w:hAnsi="Arial" w:cs="Arial"/>
          <w:sz w:val="22"/>
          <w:szCs w:val="22"/>
        </w:rPr>
        <w:t xml:space="preserve"> hodnoty </w:t>
      </w:r>
      <w:r>
        <w:rPr>
          <w:rFonts w:ascii="Arial" w:hAnsi="Arial" w:cs="Arial"/>
          <w:sz w:val="22"/>
          <w:szCs w:val="22"/>
        </w:rPr>
        <w:t>8</w:t>
      </w:r>
      <w:r w:rsidRPr="00F50931">
        <w:rPr>
          <w:rFonts w:ascii="Arial" w:hAnsi="Arial" w:cs="Arial"/>
          <w:sz w:val="22"/>
          <w:szCs w:val="22"/>
        </w:rPr>
        <w:t>,</w:t>
      </w:r>
      <w:r>
        <w:rPr>
          <w:rFonts w:ascii="Arial" w:hAnsi="Arial" w:cs="Arial"/>
          <w:sz w:val="22"/>
          <w:szCs w:val="22"/>
        </w:rPr>
        <w:t>9 %.</w:t>
      </w:r>
    </w:p>
    <w:p w:rsidR="00060EFF" w:rsidRDefault="00060EFF" w:rsidP="00060EFF">
      <w:pPr>
        <w:tabs>
          <w:tab w:val="left" w:pos="9214"/>
        </w:tabs>
        <w:autoSpaceDE w:val="0"/>
        <w:autoSpaceDN w:val="0"/>
        <w:adjustRightInd w:val="0"/>
        <w:jc w:val="both"/>
        <w:rPr>
          <w:b/>
        </w:rPr>
      </w:pPr>
    </w:p>
    <w:p w:rsidR="00F56D02" w:rsidRDefault="00F56D02" w:rsidP="00060EFF">
      <w:pPr>
        <w:tabs>
          <w:tab w:val="left" w:pos="9214"/>
        </w:tabs>
        <w:autoSpaceDE w:val="0"/>
        <w:autoSpaceDN w:val="0"/>
        <w:adjustRightInd w:val="0"/>
        <w:jc w:val="both"/>
        <w:rPr>
          <w:b/>
        </w:rPr>
      </w:pPr>
    </w:p>
    <w:p w:rsidR="00060EFF" w:rsidRPr="00F56D02" w:rsidRDefault="00060EFF" w:rsidP="00060EFF">
      <w:pPr>
        <w:tabs>
          <w:tab w:val="left" w:pos="9214"/>
        </w:tabs>
        <w:autoSpaceDE w:val="0"/>
        <w:autoSpaceDN w:val="0"/>
        <w:adjustRightInd w:val="0"/>
        <w:jc w:val="both"/>
        <w:rPr>
          <w:rFonts w:ascii="Arial" w:hAnsi="Arial" w:cs="Arial"/>
          <w:b/>
          <w:sz w:val="22"/>
          <w:szCs w:val="22"/>
          <w:u w:val="single"/>
        </w:rPr>
      </w:pPr>
      <w:r w:rsidRPr="00F56D02">
        <w:rPr>
          <w:rFonts w:ascii="Arial" w:hAnsi="Arial" w:cs="Arial"/>
          <w:b/>
          <w:sz w:val="22"/>
          <w:szCs w:val="22"/>
          <w:u w:val="single"/>
        </w:rPr>
        <w:t>Silné stránky okresu</w:t>
      </w:r>
    </w:p>
    <w:p w:rsidR="00060EFF" w:rsidRPr="004A741A" w:rsidRDefault="00060EFF" w:rsidP="00060EFF">
      <w:pPr>
        <w:tabs>
          <w:tab w:val="left" w:pos="9214"/>
        </w:tabs>
        <w:autoSpaceDE w:val="0"/>
        <w:autoSpaceDN w:val="0"/>
        <w:adjustRightInd w:val="0"/>
        <w:jc w:val="both"/>
        <w:rPr>
          <w:rFonts w:ascii="Arial" w:hAnsi="Arial" w:cs="Arial"/>
          <w:sz w:val="22"/>
          <w:szCs w:val="22"/>
        </w:rPr>
      </w:pPr>
    </w:p>
    <w:p w:rsidR="00060EFF" w:rsidRPr="004A741A" w:rsidRDefault="00060EFF" w:rsidP="00060EFF">
      <w:pPr>
        <w:pStyle w:val="Odstavecseseznamem"/>
        <w:numPr>
          <w:ilvl w:val="0"/>
          <w:numId w:val="6"/>
        </w:numPr>
        <w:tabs>
          <w:tab w:val="left" w:pos="9214"/>
        </w:tabs>
        <w:autoSpaceDE w:val="0"/>
        <w:autoSpaceDN w:val="0"/>
        <w:adjustRightInd w:val="0"/>
        <w:ind w:left="714" w:hanging="357"/>
        <w:jc w:val="both"/>
        <w:rPr>
          <w:rFonts w:ascii="Arial" w:hAnsi="Arial" w:cs="Arial"/>
          <w:sz w:val="22"/>
          <w:szCs w:val="22"/>
        </w:rPr>
      </w:pPr>
      <w:r w:rsidRPr="004A741A">
        <w:rPr>
          <w:rFonts w:ascii="Arial" w:hAnsi="Arial" w:cs="Arial"/>
          <w:sz w:val="22"/>
          <w:szCs w:val="22"/>
        </w:rPr>
        <w:t>fungující spolupráce mezi obcemi (mikroregiony)</w:t>
      </w:r>
    </w:p>
    <w:p w:rsidR="00060EFF" w:rsidRDefault="00060EFF" w:rsidP="00060EFF">
      <w:pPr>
        <w:numPr>
          <w:ilvl w:val="0"/>
          <w:numId w:val="6"/>
        </w:numPr>
        <w:ind w:left="714" w:hanging="357"/>
        <w:rPr>
          <w:rFonts w:ascii="Arial" w:hAnsi="Arial" w:cs="Arial"/>
          <w:sz w:val="22"/>
          <w:szCs w:val="22"/>
        </w:rPr>
      </w:pPr>
      <w:r w:rsidRPr="004A741A">
        <w:rPr>
          <w:rFonts w:ascii="Arial" w:hAnsi="Arial" w:cs="Arial"/>
          <w:sz w:val="22"/>
          <w:szCs w:val="22"/>
        </w:rPr>
        <w:t>existence nově vybudovaných průmyslových zón</w:t>
      </w:r>
    </w:p>
    <w:p w:rsidR="00060EFF" w:rsidRDefault="00060EFF" w:rsidP="00060EFF">
      <w:pPr>
        <w:numPr>
          <w:ilvl w:val="0"/>
          <w:numId w:val="6"/>
        </w:numPr>
        <w:ind w:left="714" w:hanging="357"/>
        <w:rPr>
          <w:rFonts w:ascii="Arial" w:hAnsi="Arial" w:cs="Arial"/>
          <w:sz w:val="22"/>
          <w:szCs w:val="22"/>
        </w:rPr>
      </w:pPr>
      <w:r>
        <w:rPr>
          <w:rFonts w:ascii="Arial" w:hAnsi="Arial" w:cs="Arial"/>
          <w:sz w:val="22"/>
          <w:szCs w:val="22"/>
        </w:rPr>
        <w:t>významný podíl malého a středního podnikání</w:t>
      </w:r>
    </w:p>
    <w:p w:rsidR="00060EFF" w:rsidRPr="004A741A" w:rsidRDefault="00060EFF" w:rsidP="00060EFF">
      <w:pPr>
        <w:numPr>
          <w:ilvl w:val="0"/>
          <w:numId w:val="6"/>
        </w:numPr>
        <w:ind w:left="714" w:hanging="357"/>
        <w:rPr>
          <w:rFonts w:ascii="Arial" w:hAnsi="Arial" w:cs="Arial"/>
          <w:sz w:val="22"/>
          <w:szCs w:val="22"/>
        </w:rPr>
      </w:pPr>
      <w:r>
        <w:rPr>
          <w:rFonts w:ascii="Arial" w:hAnsi="Arial" w:cs="Arial"/>
          <w:sz w:val="22"/>
          <w:szCs w:val="22"/>
        </w:rPr>
        <w:t>tradice vinařství a ovocnářství</w:t>
      </w:r>
    </w:p>
    <w:p w:rsidR="00060EFF" w:rsidRPr="00F56D02" w:rsidRDefault="00060EFF" w:rsidP="00060EFF">
      <w:pPr>
        <w:tabs>
          <w:tab w:val="left" w:pos="9214"/>
        </w:tabs>
        <w:autoSpaceDE w:val="0"/>
        <w:autoSpaceDN w:val="0"/>
        <w:adjustRightInd w:val="0"/>
        <w:jc w:val="both"/>
        <w:rPr>
          <w:rFonts w:ascii="Arial" w:hAnsi="Arial" w:cs="Arial"/>
          <w:b/>
          <w:sz w:val="22"/>
          <w:szCs w:val="22"/>
          <w:u w:val="single"/>
        </w:rPr>
      </w:pPr>
      <w:r w:rsidRPr="00F56D02">
        <w:rPr>
          <w:rFonts w:ascii="Arial" w:hAnsi="Arial" w:cs="Arial"/>
          <w:b/>
          <w:sz w:val="22"/>
          <w:szCs w:val="22"/>
          <w:u w:val="single"/>
        </w:rPr>
        <w:t>Slabé stránky okresu</w:t>
      </w:r>
    </w:p>
    <w:p w:rsidR="00060EFF" w:rsidRPr="004A741A" w:rsidRDefault="00060EFF" w:rsidP="00060EFF">
      <w:pPr>
        <w:tabs>
          <w:tab w:val="left" w:pos="9214"/>
        </w:tabs>
        <w:autoSpaceDE w:val="0"/>
        <w:autoSpaceDN w:val="0"/>
        <w:adjustRightInd w:val="0"/>
        <w:jc w:val="both"/>
        <w:rPr>
          <w:rFonts w:ascii="Arial" w:hAnsi="Arial" w:cs="Arial"/>
          <w:sz w:val="22"/>
          <w:szCs w:val="22"/>
        </w:rPr>
      </w:pPr>
    </w:p>
    <w:p w:rsidR="00060EFF" w:rsidRPr="004A741A" w:rsidRDefault="00060EFF" w:rsidP="00060EFF">
      <w:pPr>
        <w:pStyle w:val="Odstavecseseznamem"/>
        <w:numPr>
          <w:ilvl w:val="0"/>
          <w:numId w:val="6"/>
        </w:numPr>
        <w:tabs>
          <w:tab w:val="left" w:pos="9214"/>
        </w:tabs>
        <w:autoSpaceDE w:val="0"/>
        <w:autoSpaceDN w:val="0"/>
        <w:adjustRightInd w:val="0"/>
        <w:jc w:val="both"/>
        <w:rPr>
          <w:rFonts w:ascii="Arial" w:hAnsi="Arial" w:cs="Arial"/>
          <w:sz w:val="22"/>
          <w:szCs w:val="22"/>
        </w:rPr>
      </w:pPr>
      <w:r w:rsidRPr="004A741A">
        <w:rPr>
          <w:rFonts w:ascii="Arial" w:hAnsi="Arial" w:cs="Arial"/>
          <w:sz w:val="22"/>
          <w:szCs w:val="22"/>
        </w:rPr>
        <w:t>poměrně vysoká míra nezaměstnanosti, nedostatek volných pracovních míst, nesoulad mezi profesní kvalifikační strukturou nabídky a poptávky</w:t>
      </w:r>
    </w:p>
    <w:p w:rsidR="00060EFF" w:rsidRPr="004A741A" w:rsidRDefault="00060EFF" w:rsidP="00060EFF">
      <w:pPr>
        <w:pStyle w:val="Odstavecseseznamem"/>
        <w:numPr>
          <w:ilvl w:val="0"/>
          <w:numId w:val="6"/>
        </w:numPr>
        <w:tabs>
          <w:tab w:val="left" w:pos="9214"/>
        </w:tabs>
        <w:autoSpaceDE w:val="0"/>
        <w:autoSpaceDN w:val="0"/>
        <w:adjustRightInd w:val="0"/>
        <w:jc w:val="both"/>
        <w:rPr>
          <w:rFonts w:ascii="Arial" w:hAnsi="Arial" w:cs="Arial"/>
          <w:sz w:val="22"/>
          <w:szCs w:val="22"/>
        </w:rPr>
      </w:pPr>
      <w:r w:rsidRPr="004A741A">
        <w:rPr>
          <w:rFonts w:ascii="Arial" w:hAnsi="Arial" w:cs="Arial"/>
          <w:sz w:val="22"/>
          <w:szCs w:val="22"/>
        </w:rPr>
        <w:t>nízká klasifikace pracovních sil</w:t>
      </w:r>
    </w:p>
    <w:p w:rsidR="00060EFF" w:rsidRPr="004A741A" w:rsidRDefault="00060EFF" w:rsidP="00060EFF">
      <w:pPr>
        <w:pStyle w:val="Odstavecseseznamem"/>
        <w:numPr>
          <w:ilvl w:val="0"/>
          <w:numId w:val="6"/>
        </w:numPr>
        <w:tabs>
          <w:tab w:val="left" w:pos="9214"/>
        </w:tabs>
        <w:autoSpaceDE w:val="0"/>
        <w:autoSpaceDN w:val="0"/>
        <w:adjustRightInd w:val="0"/>
        <w:jc w:val="both"/>
        <w:rPr>
          <w:rFonts w:ascii="Arial" w:hAnsi="Arial" w:cs="Arial"/>
          <w:sz w:val="22"/>
          <w:szCs w:val="22"/>
        </w:rPr>
      </w:pPr>
      <w:r w:rsidRPr="004A741A">
        <w:rPr>
          <w:rFonts w:ascii="Arial" w:hAnsi="Arial" w:cs="Arial"/>
          <w:sz w:val="22"/>
          <w:szCs w:val="22"/>
        </w:rPr>
        <w:t>nízká úroveň vzdělanosti obyvatelstva</w:t>
      </w:r>
    </w:p>
    <w:p w:rsidR="00060EFF" w:rsidRPr="004A741A" w:rsidRDefault="00060EFF" w:rsidP="00060EFF">
      <w:pPr>
        <w:pStyle w:val="Odstavecseseznamem"/>
        <w:numPr>
          <w:ilvl w:val="0"/>
          <w:numId w:val="6"/>
        </w:numPr>
        <w:tabs>
          <w:tab w:val="left" w:pos="9214"/>
        </w:tabs>
        <w:autoSpaceDE w:val="0"/>
        <w:autoSpaceDN w:val="0"/>
        <w:adjustRightInd w:val="0"/>
        <w:jc w:val="both"/>
        <w:rPr>
          <w:rFonts w:ascii="Arial" w:hAnsi="Arial" w:cs="Arial"/>
          <w:sz w:val="22"/>
          <w:szCs w:val="22"/>
        </w:rPr>
      </w:pPr>
      <w:r w:rsidRPr="004A741A">
        <w:rPr>
          <w:rFonts w:ascii="Arial" w:hAnsi="Arial" w:cs="Arial"/>
          <w:sz w:val="22"/>
          <w:szCs w:val="22"/>
        </w:rPr>
        <w:t>nedostatečná dopravní síť a dopravní dostupnost mezi malými obcemi</w:t>
      </w:r>
    </w:p>
    <w:p w:rsidR="00060EFF" w:rsidRDefault="00060EFF" w:rsidP="00060EFF">
      <w:pPr>
        <w:jc w:val="both"/>
        <w:rPr>
          <w:rFonts w:ascii="Arial" w:hAnsi="Arial" w:cs="Arial"/>
          <w:b/>
        </w:rPr>
      </w:pPr>
    </w:p>
    <w:p w:rsidR="00F56D02" w:rsidRDefault="00F56D02" w:rsidP="00060EFF">
      <w:pPr>
        <w:jc w:val="both"/>
        <w:rPr>
          <w:rFonts w:ascii="Arial" w:hAnsi="Arial" w:cs="Arial"/>
          <w:b/>
        </w:rPr>
      </w:pPr>
    </w:p>
    <w:p w:rsidR="00060EFF" w:rsidRPr="00296A41" w:rsidRDefault="00060EFF" w:rsidP="00060EFF">
      <w:pPr>
        <w:jc w:val="both"/>
        <w:rPr>
          <w:rFonts w:ascii="Arial" w:hAnsi="Arial" w:cs="Arial"/>
        </w:rPr>
      </w:pPr>
      <w:r w:rsidRPr="00296A41">
        <w:rPr>
          <w:rFonts w:ascii="Arial" w:hAnsi="Arial" w:cs="Arial"/>
          <w:b/>
        </w:rPr>
        <w:t>Okres Hodonín</w:t>
      </w:r>
    </w:p>
    <w:p w:rsidR="00060EFF" w:rsidRDefault="00060EFF" w:rsidP="00060EFF">
      <w:pPr>
        <w:jc w:val="both"/>
        <w:rPr>
          <w:rFonts w:ascii="Arial" w:hAnsi="Arial" w:cs="Arial"/>
          <w:sz w:val="22"/>
          <w:szCs w:val="22"/>
        </w:rPr>
      </w:pPr>
    </w:p>
    <w:p w:rsidR="00060EFF" w:rsidRDefault="00060EFF" w:rsidP="00060EFF">
      <w:pPr>
        <w:jc w:val="both"/>
        <w:rPr>
          <w:rFonts w:ascii="Arial" w:hAnsi="Arial" w:cs="Arial"/>
          <w:sz w:val="22"/>
          <w:szCs w:val="22"/>
        </w:rPr>
      </w:pPr>
      <w:r w:rsidRPr="00C74AD3">
        <w:rPr>
          <w:rFonts w:ascii="Arial" w:hAnsi="Arial" w:cs="Arial"/>
          <w:sz w:val="22"/>
          <w:szCs w:val="22"/>
        </w:rPr>
        <w:t xml:space="preserve">Okres </w:t>
      </w:r>
      <w:r>
        <w:rPr>
          <w:rFonts w:ascii="Arial" w:hAnsi="Arial" w:cs="Arial"/>
          <w:sz w:val="22"/>
          <w:szCs w:val="22"/>
        </w:rPr>
        <w:t>Hodonín</w:t>
      </w:r>
      <w:r w:rsidRPr="00C74AD3">
        <w:rPr>
          <w:rFonts w:ascii="Arial" w:hAnsi="Arial" w:cs="Arial"/>
          <w:sz w:val="22"/>
          <w:szCs w:val="22"/>
        </w:rPr>
        <w:t xml:space="preserve"> je okresem s druhou nejvyšší hodnotou podílu nezaměstnaných osob v Jihomoravském kraji (10,</w:t>
      </w:r>
      <w:r>
        <w:rPr>
          <w:rFonts w:ascii="Arial" w:hAnsi="Arial" w:cs="Arial"/>
          <w:sz w:val="22"/>
          <w:szCs w:val="22"/>
        </w:rPr>
        <w:t>4</w:t>
      </w:r>
      <w:r w:rsidRPr="00C74AD3">
        <w:rPr>
          <w:rFonts w:ascii="Arial" w:hAnsi="Arial" w:cs="Arial"/>
          <w:sz w:val="22"/>
          <w:szCs w:val="22"/>
        </w:rPr>
        <w:t xml:space="preserve"> %)</w:t>
      </w:r>
      <w:r>
        <w:rPr>
          <w:rFonts w:ascii="Arial" w:hAnsi="Arial" w:cs="Arial"/>
          <w:sz w:val="22"/>
          <w:szCs w:val="22"/>
        </w:rPr>
        <w:t xml:space="preserve">, což je devátá nejvyšší úroveň nezaměstnanosti v rámci ČR. Okres Hodonín je zároveň charakterizován nízkým počtem </w:t>
      </w:r>
      <w:r w:rsidR="0024494D">
        <w:rPr>
          <w:rFonts w:ascii="Arial" w:hAnsi="Arial" w:cs="Arial"/>
          <w:sz w:val="22"/>
          <w:szCs w:val="22"/>
        </w:rPr>
        <w:t>vytvářených pracovních</w:t>
      </w:r>
      <w:r>
        <w:rPr>
          <w:rFonts w:ascii="Arial" w:hAnsi="Arial" w:cs="Arial"/>
          <w:sz w:val="22"/>
          <w:szCs w:val="22"/>
        </w:rPr>
        <w:t xml:space="preserve"> míst</w:t>
      </w:r>
      <w:r w:rsidR="0024494D">
        <w:rPr>
          <w:rFonts w:ascii="Arial" w:hAnsi="Arial" w:cs="Arial"/>
          <w:sz w:val="22"/>
          <w:szCs w:val="22"/>
        </w:rPr>
        <w:t>.</w:t>
      </w:r>
      <w:r w:rsidRPr="002B21A4">
        <w:rPr>
          <w:rFonts w:ascii="Arial" w:hAnsi="Arial" w:cs="Arial"/>
          <w:sz w:val="22"/>
          <w:szCs w:val="22"/>
        </w:rPr>
        <w:t xml:space="preserve"> </w:t>
      </w:r>
      <w:r w:rsidR="0024494D">
        <w:rPr>
          <w:rFonts w:ascii="Arial" w:hAnsi="Arial" w:cs="Arial"/>
          <w:sz w:val="22"/>
          <w:szCs w:val="22"/>
        </w:rPr>
        <w:br/>
      </w:r>
      <w:r w:rsidRPr="002B21A4">
        <w:rPr>
          <w:rFonts w:ascii="Arial" w:hAnsi="Arial" w:cs="Arial"/>
          <w:sz w:val="22"/>
          <w:szCs w:val="22"/>
        </w:rPr>
        <w:t xml:space="preserve">S tím souvisí vysoký počet uchazečů na jedno pracovní místo, </w:t>
      </w:r>
      <w:r>
        <w:rPr>
          <w:rFonts w:ascii="Arial" w:hAnsi="Arial" w:cs="Arial"/>
          <w:sz w:val="22"/>
          <w:szCs w:val="22"/>
        </w:rPr>
        <w:t>na konci roku 2014</w:t>
      </w:r>
      <w:r w:rsidRPr="002B21A4">
        <w:rPr>
          <w:rFonts w:ascii="Arial" w:hAnsi="Arial" w:cs="Arial"/>
          <w:sz w:val="22"/>
          <w:szCs w:val="22"/>
        </w:rPr>
        <w:t xml:space="preserve"> </w:t>
      </w:r>
      <w:r w:rsidR="0024494D">
        <w:rPr>
          <w:rFonts w:ascii="Arial" w:hAnsi="Arial" w:cs="Arial"/>
          <w:sz w:val="22"/>
          <w:szCs w:val="22"/>
        </w:rPr>
        <w:t>jich bylo</w:t>
      </w:r>
      <w:r w:rsidRPr="002B21A4">
        <w:rPr>
          <w:rFonts w:ascii="Arial" w:hAnsi="Arial" w:cs="Arial"/>
          <w:sz w:val="22"/>
          <w:szCs w:val="22"/>
        </w:rPr>
        <w:t xml:space="preserve"> </w:t>
      </w:r>
      <w:r>
        <w:rPr>
          <w:rFonts w:ascii="Arial" w:hAnsi="Arial" w:cs="Arial"/>
          <w:sz w:val="22"/>
          <w:szCs w:val="22"/>
        </w:rPr>
        <w:t>22</w:t>
      </w:r>
      <w:r w:rsidRPr="002B21A4">
        <w:rPr>
          <w:rFonts w:ascii="Arial" w:hAnsi="Arial" w:cs="Arial"/>
          <w:sz w:val="22"/>
          <w:szCs w:val="22"/>
        </w:rPr>
        <w:t>,</w:t>
      </w:r>
      <w:r>
        <w:rPr>
          <w:rFonts w:ascii="Arial" w:hAnsi="Arial" w:cs="Arial"/>
          <w:sz w:val="22"/>
          <w:szCs w:val="22"/>
        </w:rPr>
        <w:t>3</w:t>
      </w:r>
      <w:r w:rsidR="0094464A">
        <w:rPr>
          <w:rFonts w:ascii="Arial" w:hAnsi="Arial" w:cs="Arial"/>
          <w:sz w:val="22"/>
          <w:szCs w:val="22"/>
        </w:rPr>
        <w:t>, v předchozím roce se však tento ukazatel pohyboval na hodnotách 30-40</w:t>
      </w:r>
      <w:r w:rsidRPr="002B21A4">
        <w:rPr>
          <w:rFonts w:ascii="Arial" w:hAnsi="Arial" w:cs="Arial"/>
          <w:sz w:val="22"/>
          <w:szCs w:val="22"/>
        </w:rPr>
        <w:t xml:space="preserve"> </w:t>
      </w:r>
      <w:r w:rsidR="0094464A">
        <w:rPr>
          <w:rFonts w:ascii="Arial" w:hAnsi="Arial" w:cs="Arial"/>
          <w:sz w:val="22"/>
          <w:szCs w:val="22"/>
        </w:rPr>
        <w:t xml:space="preserve">uchazečů na jedno místo. </w:t>
      </w:r>
      <w:r>
        <w:rPr>
          <w:rFonts w:ascii="Arial" w:hAnsi="Arial" w:cs="Arial"/>
          <w:sz w:val="22"/>
          <w:szCs w:val="22"/>
        </w:rPr>
        <w:t xml:space="preserve">Úroveň nezaměstnanosti v okrese Hodonín je výrazně </w:t>
      </w:r>
      <w:r w:rsidRPr="008451B9">
        <w:rPr>
          <w:rFonts w:ascii="Arial" w:hAnsi="Arial" w:cs="Arial"/>
          <w:sz w:val="22"/>
          <w:szCs w:val="22"/>
        </w:rPr>
        <w:t xml:space="preserve">ovlivňována průběhem </w:t>
      </w:r>
      <w:r>
        <w:rPr>
          <w:rFonts w:ascii="Arial" w:hAnsi="Arial" w:cs="Arial"/>
          <w:sz w:val="22"/>
          <w:szCs w:val="22"/>
        </w:rPr>
        <w:t xml:space="preserve">sezónních prací v zemědělství. Nejvíce volných míst je hlášeno v letních měsících. </w:t>
      </w:r>
      <w:r w:rsidRPr="002B21A4">
        <w:rPr>
          <w:rFonts w:ascii="Arial" w:hAnsi="Arial" w:cs="Arial"/>
          <w:sz w:val="22"/>
          <w:szCs w:val="22"/>
        </w:rPr>
        <w:t>Krajská pobočka úřadu práce je v tomto okrese zastoupe</w:t>
      </w:r>
      <w:r>
        <w:rPr>
          <w:rFonts w:ascii="Arial" w:hAnsi="Arial" w:cs="Arial"/>
          <w:sz w:val="22"/>
          <w:szCs w:val="22"/>
        </w:rPr>
        <w:t xml:space="preserve">na třemi kontaktními pracovišti: </w:t>
      </w:r>
      <w:r w:rsidRPr="002B21A4">
        <w:rPr>
          <w:rFonts w:ascii="Arial" w:hAnsi="Arial" w:cs="Arial"/>
          <w:sz w:val="22"/>
          <w:szCs w:val="22"/>
        </w:rPr>
        <w:t>v Hodoníně, Kyjově a Veselí nad Moravou.</w:t>
      </w:r>
      <w:r>
        <w:rPr>
          <w:rFonts w:ascii="Arial" w:hAnsi="Arial" w:cs="Arial"/>
          <w:sz w:val="22"/>
          <w:szCs w:val="22"/>
        </w:rPr>
        <w:t xml:space="preserve"> </w:t>
      </w:r>
    </w:p>
    <w:p w:rsidR="00060EFF" w:rsidRDefault="00060EFF" w:rsidP="00060EFF">
      <w:pPr>
        <w:jc w:val="both"/>
        <w:rPr>
          <w:rFonts w:ascii="Arial" w:hAnsi="Arial" w:cs="Arial"/>
          <w:b/>
          <w:sz w:val="20"/>
          <w:szCs w:val="20"/>
        </w:rPr>
      </w:pPr>
    </w:p>
    <w:p w:rsidR="00060EFF" w:rsidRPr="007168E0" w:rsidRDefault="007168E0" w:rsidP="007168E0">
      <w:pPr>
        <w:pStyle w:val="Bezmezer"/>
        <w:spacing w:line="276" w:lineRule="auto"/>
        <w:rPr>
          <w:rFonts w:ascii="Arial" w:hAnsi="Arial" w:cs="Arial"/>
          <w:b/>
          <w:i/>
          <w:sz w:val="20"/>
          <w:szCs w:val="20"/>
        </w:rPr>
      </w:pPr>
      <w:r w:rsidRPr="007168E0">
        <w:rPr>
          <w:rFonts w:ascii="Arial" w:hAnsi="Arial" w:cs="Arial"/>
          <w:b/>
          <w:i/>
          <w:sz w:val="20"/>
          <w:szCs w:val="20"/>
        </w:rPr>
        <w:t xml:space="preserve">Tab. </w:t>
      </w:r>
      <w:r w:rsidRPr="007168E0">
        <w:rPr>
          <w:rFonts w:ascii="Arial" w:hAnsi="Arial" w:cs="Arial"/>
          <w:b/>
          <w:i/>
          <w:sz w:val="20"/>
          <w:szCs w:val="20"/>
        </w:rPr>
        <w:fldChar w:fldCharType="begin"/>
      </w:r>
      <w:r w:rsidRPr="007168E0">
        <w:rPr>
          <w:rFonts w:ascii="Arial" w:hAnsi="Arial" w:cs="Arial"/>
          <w:b/>
          <w:i/>
          <w:sz w:val="20"/>
          <w:szCs w:val="20"/>
        </w:rPr>
        <w:instrText xml:space="preserve"> SEQ Tab. \* ARABIC </w:instrText>
      </w:r>
      <w:r w:rsidRPr="007168E0">
        <w:rPr>
          <w:rFonts w:ascii="Arial" w:hAnsi="Arial" w:cs="Arial"/>
          <w:b/>
          <w:i/>
          <w:sz w:val="20"/>
          <w:szCs w:val="20"/>
        </w:rPr>
        <w:fldChar w:fldCharType="separate"/>
      </w:r>
      <w:r w:rsidR="004378F3">
        <w:rPr>
          <w:rFonts w:ascii="Arial" w:hAnsi="Arial" w:cs="Arial"/>
          <w:b/>
          <w:i/>
          <w:noProof/>
          <w:sz w:val="20"/>
          <w:szCs w:val="20"/>
        </w:rPr>
        <w:t>11</w:t>
      </w:r>
      <w:r w:rsidRPr="007168E0">
        <w:rPr>
          <w:rFonts w:ascii="Arial" w:hAnsi="Arial" w:cs="Arial"/>
          <w:b/>
          <w:i/>
          <w:sz w:val="20"/>
          <w:szCs w:val="20"/>
        </w:rPr>
        <w:fldChar w:fldCharType="end"/>
      </w:r>
      <w:r w:rsidR="00060EFF" w:rsidRPr="007168E0">
        <w:rPr>
          <w:rFonts w:ascii="Arial" w:hAnsi="Arial" w:cs="Arial"/>
          <w:b/>
          <w:i/>
          <w:sz w:val="20"/>
          <w:szCs w:val="20"/>
        </w:rPr>
        <w:t>: Charakteristika okresu Hodonín k 31. 12. 2014</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25"/>
        <w:gridCol w:w="1008"/>
        <w:gridCol w:w="1009"/>
        <w:gridCol w:w="1009"/>
        <w:gridCol w:w="1085"/>
        <w:gridCol w:w="1009"/>
        <w:gridCol w:w="1009"/>
        <w:gridCol w:w="1058"/>
      </w:tblGrid>
      <w:tr w:rsidR="00060EFF" w:rsidRPr="00BA1887" w:rsidTr="00060EFF">
        <w:trPr>
          <w:trHeight w:val="301"/>
        </w:trPr>
        <w:tc>
          <w:tcPr>
            <w:tcW w:w="1104" w:type="pct"/>
            <w:vMerge w:val="restart"/>
            <w:tcBorders>
              <w:top w:val="single" w:sz="12" w:space="0" w:color="auto"/>
              <w:bottom w:val="single" w:sz="12" w:space="0" w:color="auto"/>
              <w:right w:val="single" w:sz="12" w:space="0" w:color="auto"/>
            </w:tcBorders>
            <w:shd w:val="clear" w:color="auto" w:fill="D9D9D9" w:themeFill="background1" w:themeFillShade="D9"/>
            <w:vAlign w:val="center"/>
            <w:hideMark/>
          </w:tcPr>
          <w:p w:rsidR="00060EFF" w:rsidRPr="00BA1887" w:rsidRDefault="00060EFF" w:rsidP="00060EFF">
            <w:pPr>
              <w:spacing w:line="240" w:lineRule="auto"/>
              <w:jc w:val="center"/>
              <w:rPr>
                <w:rFonts w:asciiTheme="minorHAnsi" w:hAnsiTheme="minorHAnsi"/>
              </w:rPr>
            </w:pPr>
            <w:r w:rsidRPr="00BA1887">
              <w:rPr>
                <w:rFonts w:asciiTheme="minorHAnsi" w:hAnsiTheme="minorHAnsi"/>
                <w:sz w:val="22"/>
                <w:szCs w:val="22"/>
              </w:rPr>
              <w:t>Území</w:t>
            </w:r>
          </w:p>
        </w:tc>
        <w:tc>
          <w:tcPr>
            <w:tcW w:w="1656" w:type="pct"/>
            <w:gridSpan w:val="3"/>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hideMark/>
          </w:tcPr>
          <w:p w:rsidR="00060EFF" w:rsidRPr="00BA1887" w:rsidRDefault="00060EFF" w:rsidP="00060EFF">
            <w:pPr>
              <w:spacing w:line="240" w:lineRule="auto"/>
              <w:jc w:val="center"/>
              <w:rPr>
                <w:rFonts w:asciiTheme="minorHAnsi" w:hAnsiTheme="minorHAnsi"/>
              </w:rPr>
            </w:pPr>
            <w:r w:rsidRPr="00BA1887">
              <w:rPr>
                <w:rFonts w:asciiTheme="minorHAnsi" w:hAnsiTheme="minorHAnsi"/>
                <w:sz w:val="22"/>
                <w:szCs w:val="22"/>
              </w:rPr>
              <w:t>Počet nezaměstnaných</w:t>
            </w:r>
          </w:p>
        </w:tc>
        <w:tc>
          <w:tcPr>
            <w:tcW w:w="576" w:type="pct"/>
            <w:vMerge w:val="restart"/>
            <w:tcBorders>
              <w:top w:val="single" w:sz="12" w:space="0" w:color="auto"/>
              <w:left w:val="single" w:sz="8" w:space="0" w:color="auto"/>
              <w:bottom w:val="single" w:sz="12" w:space="0" w:color="auto"/>
            </w:tcBorders>
            <w:shd w:val="clear" w:color="auto" w:fill="D9D9D9" w:themeFill="background1" w:themeFillShade="D9"/>
            <w:vAlign w:val="center"/>
            <w:hideMark/>
          </w:tcPr>
          <w:p w:rsidR="00060EFF" w:rsidRPr="00BA1887" w:rsidRDefault="00060EFF" w:rsidP="00060EFF">
            <w:pPr>
              <w:spacing w:line="240" w:lineRule="auto"/>
              <w:jc w:val="center"/>
              <w:rPr>
                <w:rFonts w:asciiTheme="minorHAnsi" w:hAnsiTheme="minorHAnsi"/>
                <w:color w:val="000000"/>
              </w:rPr>
            </w:pPr>
            <w:r w:rsidRPr="00BA1887">
              <w:rPr>
                <w:rFonts w:asciiTheme="minorHAnsi" w:hAnsiTheme="minorHAnsi"/>
                <w:color w:val="000000"/>
                <w:sz w:val="22"/>
                <w:szCs w:val="22"/>
              </w:rPr>
              <w:t>Absolventi škol a mladiství</w:t>
            </w:r>
          </w:p>
        </w:tc>
        <w:tc>
          <w:tcPr>
            <w:tcW w:w="552" w:type="pct"/>
            <w:vMerge w:val="restart"/>
            <w:tcBorders>
              <w:top w:val="single" w:sz="12" w:space="0" w:color="auto"/>
              <w:bottom w:val="single" w:sz="12" w:space="0" w:color="auto"/>
            </w:tcBorders>
            <w:shd w:val="clear" w:color="auto" w:fill="D9D9D9" w:themeFill="background1" w:themeFillShade="D9"/>
            <w:vAlign w:val="center"/>
            <w:hideMark/>
          </w:tcPr>
          <w:p w:rsidR="00060EFF" w:rsidRPr="00BA1887" w:rsidRDefault="00060EFF" w:rsidP="00060EFF">
            <w:pPr>
              <w:spacing w:line="240" w:lineRule="auto"/>
              <w:jc w:val="center"/>
              <w:rPr>
                <w:rFonts w:asciiTheme="minorHAnsi" w:hAnsiTheme="minorHAnsi"/>
                <w:color w:val="000000"/>
              </w:rPr>
            </w:pPr>
            <w:r w:rsidRPr="00BA1887">
              <w:rPr>
                <w:rFonts w:asciiTheme="minorHAnsi" w:hAnsiTheme="minorHAnsi"/>
                <w:color w:val="000000"/>
                <w:sz w:val="22"/>
                <w:szCs w:val="22"/>
              </w:rPr>
              <w:t>Osoby se ZP</w:t>
            </w:r>
          </w:p>
        </w:tc>
        <w:tc>
          <w:tcPr>
            <w:tcW w:w="552" w:type="pct"/>
            <w:vMerge w:val="restart"/>
            <w:tcBorders>
              <w:top w:val="single" w:sz="12" w:space="0" w:color="auto"/>
              <w:bottom w:val="single" w:sz="12" w:space="0" w:color="auto"/>
            </w:tcBorders>
            <w:shd w:val="clear" w:color="auto" w:fill="D9D9D9" w:themeFill="background1" w:themeFillShade="D9"/>
            <w:vAlign w:val="center"/>
            <w:hideMark/>
          </w:tcPr>
          <w:p w:rsidR="00060EFF" w:rsidRPr="00BA1887" w:rsidRDefault="00060EFF" w:rsidP="00060EFF">
            <w:pPr>
              <w:spacing w:line="240" w:lineRule="auto"/>
              <w:jc w:val="center"/>
              <w:rPr>
                <w:rFonts w:asciiTheme="minorHAnsi" w:hAnsiTheme="minorHAnsi"/>
              </w:rPr>
            </w:pPr>
            <w:r w:rsidRPr="00BA1887">
              <w:rPr>
                <w:rFonts w:asciiTheme="minorHAnsi" w:hAnsiTheme="minorHAnsi"/>
                <w:sz w:val="22"/>
                <w:szCs w:val="22"/>
              </w:rPr>
              <w:t>Volná pracovní místa</w:t>
            </w:r>
          </w:p>
        </w:tc>
        <w:tc>
          <w:tcPr>
            <w:tcW w:w="561" w:type="pct"/>
            <w:vMerge w:val="restart"/>
            <w:tcBorders>
              <w:top w:val="single" w:sz="12" w:space="0" w:color="auto"/>
              <w:bottom w:val="single" w:sz="12" w:space="0" w:color="auto"/>
              <w:right w:val="single" w:sz="12" w:space="0" w:color="auto"/>
            </w:tcBorders>
            <w:shd w:val="clear" w:color="auto" w:fill="D9D9D9" w:themeFill="background1" w:themeFillShade="D9"/>
            <w:vAlign w:val="center"/>
            <w:hideMark/>
          </w:tcPr>
          <w:p w:rsidR="00060EFF" w:rsidRPr="00BA1887" w:rsidRDefault="00060EFF" w:rsidP="00060EFF">
            <w:pPr>
              <w:spacing w:line="240" w:lineRule="auto"/>
              <w:jc w:val="center"/>
              <w:rPr>
                <w:rFonts w:asciiTheme="minorHAnsi" w:hAnsiTheme="minorHAnsi"/>
              </w:rPr>
            </w:pPr>
            <w:r w:rsidRPr="00BA1887">
              <w:rPr>
                <w:rFonts w:asciiTheme="minorHAnsi" w:hAnsiTheme="minorHAnsi"/>
                <w:sz w:val="22"/>
                <w:szCs w:val="22"/>
              </w:rPr>
              <w:t>Podíl nezaměst. [%]</w:t>
            </w:r>
          </w:p>
        </w:tc>
      </w:tr>
      <w:tr w:rsidR="00060EFF" w:rsidRPr="00BA1887" w:rsidTr="00060EFF">
        <w:trPr>
          <w:trHeight w:val="301"/>
        </w:trPr>
        <w:tc>
          <w:tcPr>
            <w:tcW w:w="1104" w:type="pct"/>
            <w:vMerge/>
            <w:tcBorders>
              <w:top w:val="single" w:sz="8" w:space="0" w:color="auto"/>
              <w:bottom w:val="single" w:sz="12" w:space="0" w:color="auto"/>
              <w:right w:val="single" w:sz="12" w:space="0" w:color="auto"/>
            </w:tcBorders>
            <w:shd w:val="clear" w:color="auto" w:fill="D9D9D9" w:themeFill="background1" w:themeFillShade="D9"/>
            <w:vAlign w:val="center"/>
            <w:hideMark/>
          </w:tcPr>
          <w:p w:rsidR="00060EFF" w:rsidRPr="00BA1887" w:rsidRDefault="00060EFF" w:rsidP="00060EFF">
            <w:pPr>
              <w:spacing w:line="240" w:lineRule="auto"/>
              <w:rPr>
                <w:rFonts w:asciiTheme="minorHAnsi" w:hAnsiTheme="minorHAnsi"/>
              </w:rPr>
            </w:pPr>
          </w:p>
        </w:tc>
        <w:tc>
          <w:tcPr>
            <w:tcW w:w="552" w:type="pct"/>
            <w:vMerge w:val="restart"/>
            <w:tcBorders>
              <w:top w:val="single" w:sz="8" w:space="0" w:color="auto"/>
              <w:left w:val="single" w:sz="12" w:space="0" w:color="auto"/>
              <w:bottom w:val="single" w:sz="12" w:space="0" w:color="auto"/>
            </w:tcBorders>
            <w:shd w:val="clear" w:color="auto" w:fill="D9D9D9" w:themeFill="background1" w:themeFillShade="D9"/>
            <w:vAlign w:val="center"/>
            <w:hideMark/>
          </w:tcPr>
          <w:p w:rsidR="00060EFF" w:rsidRPr="00BA1887" w:rsidRDefault="00060EFF" w:rsidP="00060EFF">
            <w:pPr>
              <w:spacing w:line="240" w:lineRule="auto"/>
              <w:jc w:val="center"/>
              <w:rPr>
                <w:rFonts w:asciiTheme="minorHAnsi" w:hAnsiTheme="minorHAnsi"/>
              </w:rPr>
            </w:pPr>
            <w:r w:rsidRPr="00BA1887">
              <w:rPr>
                <w:rFonts w:asciiTheme="minorHAnsi" w:hAnsiTheme="minorHAnsi"/>
                <w:sz w:val="22"/>
                <w:szCs w:val="22"/>
              </w:rPr>
              <w:t>celkem</w:t>
            </w:r>
          </w:p>
        </w:tc>
        <w:tc>
          <w:tcPr>
            <w:tcW w:w="1104" w:type="pct"/>
            <w:gridSpan w:val="2"/>
            <w:tcBorders>
              <w:top w:val="single" w:sz="8" w:space="0" w:color="auto"/>
              <w:bottom w:val="single" w:sz="8" w:space="0" w:color="auto"/>
              <w:right w:val="single" w:sz="8" w:space="0" w:color="auto"/>
            </w:tcBorders>
            <w:shd w:val="clear" w:color="auto" w:fill="D9D9D9" w:themeFill="background1" w:themeFillShade="D9"/>
            <w:vAlign w:val="center"/>
            <w:hideMark/>
          </w:tcPr>
          <w:p w:rsidR="00060EFF" w:rsidRPr="00BA1887" w:rsidRDefault="00060EFF" w:rsidP="00060EFF">
            <w:pPr>
              <w:spacing w:line="240" w:lineRule="auto"/>
              <w:jc w:val="center"/>
              <w:rPr>
                <w:rFonts w:asciiTheme="minorHAnsi" w:hAnsiTheme="minorHAnsi"/>
              </w:rPr>
            </w:pPr>
            <w:r w:rsidRPr="00BA1887">
              <w:rPr>
                <w:rFonts w:asciiTheme="minorHAnsi" w:hAnsiTheme="minorHAnsi"/>
                <w:sz w:val="22"/>
                <w:szCs w:val="22"/>
              </w:rPr>
              <w:t>v tom</w:t>
            </w:r>
          </w:p>
        </w:tc>
        <w:tc>
          <w:tcPr>
            <w:tcW w:w="576" w:type="pct"/>
            <w:vMerge/>
            <w:tcBorders>
              <w:top w:val="single" w:sz="8" w:space="0" w:color="auto"/>
              <w:left w:val="single" w:sz="8" w:space="0" w:color="auto"/>
              <w:bottom w:val="single" w:sz="12" w:space="0" w:color="auto"/>
            </w:tcBorders>
            <w:vAlign w:val="center"/>
            <w:hideMark/>
          </w:tcPr>
          <w:p w:rsidR="00060EFF" w:rsidRPr="00BA1887" w:rsidRDefault="00060EFF" w:rsidP="00060EFF">
            <w:pPr>
              <w:spacing w:line="240" w:lineRule="auto"/>
              <w:rPr>
                <w:rFonts w:asciiTheme="minorHAnsi" w:hAnsiTheme="minorHAnsi"/>
                <w:color w:val="000000"/>
              </w:rPr>
            </w:pPr>
          </w:p>
        </w:tc>
        <w:tc>
          <w:tcPr>
            <w:tcW w:w="552" w:type="pct"/>
            <w:vMerge/>
            <w:tcBorders>
              <w:top w:val="single" w:sz="8" w:space="0" w:color="auto"/>
              <w:bottom w:val="single" w:sz="12" w:space="0" w:color="auto"/>
            </w:tcBorders>
            <w:vAlign w:val="center"/>
            <w:hideMark/>
          </w:tcPr>
          <w:p w:rsidR="00060EFF" w:rsidRPr="00BA1887" w:rsidRDefault="00060EFF" w:rsidP="00060EFF">
            <w:pPr>
              <w:spacing w:line="240" w:lineRule="auto"/>
              <w:rPr>
                <w:rFonts w:asciiTheme="minorHAnsi" w:hAnsiTheme="minorHAnsi"/>
                <w:color w:val="000000"/>
              </w:rPr>
            </w:pPr>
          </w:p>
        </w:tc>
        <w:tc>
          <w:tcPr>
            <w:tcW w:w="552" w:type="pct"/>
            <w:vMerge/>
            <w:tcBorders>
              <w:top w:val="single" w:sz="8" w:space="0" w:color="auto"/>
              <w:bottom w:val="single" w:sz="12" w:space="0" w:color="auto"/>
            </w:tcBorders>
            <w:vAlign w:val="center"/>
            <w:hideMark/>
          </w:tcPr>
          <w:p w:rsidR="00060EFF" w:rsidRPr="00BA1887" w:rsidRDefault="00060EFF" w:rsidP="00060EFF">
            <w:pPr>
              <w:spacing w:line="240" w:lineRule="auto"/>
              <w:rPr>
                <w:rFonts w:asciiTheme="minorHAnsi" w:hAnsiTheme="minorHAnsi"/>
              </w:rPr>
            </w:pPr>
          </w:p>
        </w:tc>
        <w:tc>
          <w:tcPr>
            <w:tcW w:w="561" w:type="pct"/>
            <w:vMerge/>
            <w:tcBorders>
              <w:top w:val="single" w:sz="8" w:space="0" w:color="auto"/>
              <w:bottom w:val="single" w:sz="12" w:space="0" w:color="auto"/>
            </w:tcBorders>
            <w:vAlign w:val="center"/>
            <w:hideMark/>
          </w:tcPr>
          <w:p w:rsidR="00060EFF" w:rsidRPr="00BA1887" w:rsidRDefault="00060EFF" w:rsidP="00060EFF">
            <w:pPr>
              <w:spacing w:line="240" w:lineRule="auto"/>
              <w:rPr>
                <w:rFonts w:asciiTheme="minorHAnsi" w:hAnsiTheme="minorHAnsi"/>
              </w:rPr>
            </w:pPr>
          </w:p>
        </w:tc>
      </w:tr>
      <w:tr w:rsidR="00060EFF" w:rsidRPr="00BA1887" w:rsidTr="00060EFF">
        <w:trPr>
          <w:trHeight w:val="315"/>
        </w:trPr>
        <w:tc>
          <w:tcPr>
            <w:tcW w:w="1104" w:type="pct"/>
            <w:vMerge/>
            <w:tcBorders>
              <w:top w:val="single" w:sz="8" w:space="0" w:color="auto"/>
              <w:bottom w:val="single" w:sz="12" w:space="0" w:color="auto"/>
              <w:right w:val="single" w:sz="12" w:space="0" w:color="auto"/>
            </w:tcBorders>
            <w:shd w:val="clear" w:color="auto" w:fill="D9D9D9" w:themeFill="background1" w:themeFillShade="D9"/>
            <w:vAlign w:val="center"/>
            <w:hideMark/>
          </w:tcPr>
          <w:p w:rsidR="00060EFF" w:rsidRPr="00BA1887" w:rsidRDefault="00060EFF" w:rsidP="00060EFF">
            <w:pPr>
              <w:spacing w:line="240" w:lineRule="auto"/>
              <w:rPr>
                <w:rFonts w:asciiTheme="minorHAnsi" w:hAnsiTheme="minorHAnsi"/>
              </w:rPr>
            </w:pPr>
          </w:p>
        </w:tc>
        <w:tc>
          <w:tcPr>
            <w:tcW w:w="552" w:type="pct"/>
            <w:vMerge/>
            <w:tcBorders>
              <w:top w:val="single" w:sz="8" w:space="0" w:color="auto"/>
              <w:left w:val="single" w:sz="12" w:space="0" w:color="auto"/>
              <w:bottom w:val="single" w:sz="12" w:space="0" w:color="auto"/>
            </w:tcBorders>
            <w:shd w:val="clear" w:color="auto" w:fill="D9D9D9" w:themeFill="background1" w:themeFillShade="D9"/>
            <w:vAlign w:val="center"/>
            <w:hideMark/>
          </w:tcPr>
          <w:p w:rsidR="00060EFF" w:rsidRPr="00BA1887" w:rsidRDefault="00060EFF" w:rsidP="00060EFF">
            <w:pPr>
              <w:spacing w:line="240" w:lineRule="auto"/>
              <w:rPr>
                <w:rFonts w:asciiTheme="minorHAnsi" w:hAnsiTheme="minorHAnsi"/>
              </w:rPr>
            </w:pPr>
          </w:p>
        </w:tc>
        <w:tc>
          <w:tcPr>
            <w:tcW w:w="552" w:type="pct"/>
            <w:tcBorders>
              <w:top w:val="single" w:sz="8" w:space="0" w:color="auto"/>
              <w:bottom w:val="single" w:sz="12" w:space="0" w:color="auto"/>
            </w:tcBorders>
            <w:shd w:val="clear" w:color="auto" w:fill="D9D9D9" w:themeFill="background1" w:themeFillShade="D9"/>
            <w:vAlign w:val="center"/>
            <w:hideMark/>
          </w:tcPr>
          <w:p w:rsidR="00060EFF" w:rsidRPr="00BA1887" w:rsidRDefault="00060EFF" w:rsidP="00060EFF">
            <w:pPr>
              <w:spacing w:line="240" w:lineRule="auto"/>
              <w:jc w:val="center"/>
              <w:rPr>
                <w:rFonts w:asciiTheme="minorHAnsi" w:hAnsiTheme="minorHAnsi"/>
              </w:rPr>
            </w:pPr>
            <w:r w:rsidRPr="00BA1887">
              <w:rPr>
                <w:rFonts w:asciiTheme="minorHAnsi" w:hAnsiTheme="minorHAnsi"/>
                <w:sz w:val="22"/>
                <w:szCs w:val="22"/>
              </w:rPr>
              <w:t>muži</w:t>
            </w:r>
          </w:p>
        </w:tc>
        <w:tc>
          <w:tcPr>
            <w:tcW w:w="552" w:type="pct"/>
            <w:tcBorders>
              <w:top w:val="single" w:sz="8" w:space="0" w:color="auto"/>
              <w:bottom w:val="single" w:sz="12" w:space="0" w:color="auto"/>
              <w:right w:val="single" w:sz="8" w:space="0" w:color="auto"/>
            </w:tcBorders>
            <w:shd w:val="clear" w:color="auto" w:fill="D9D9D9" w:themeFill="background1" w:themeFillShade="D9"/>
            <w:vAlign w:val="center"/>
            <w:hideMark/>
          </w:tcPr>
          <w:p w:rsidR="00060EFF" w:rsidRPr="00BA1887" w:rsidRDefault="00060EFF" w:rsidP="00060EFF">
            <w:pPr>
              <w:spacing w:line="240" w:lineRule="auto"/>
              <w:jc w:val="center"/>
              <w:rPr>
                <w:rFonts w:asciiTheme="minorHAnsi" w:hAnsiTheme="minorHAnsi"/>
              </w:rPr>
            </w:pPr>
            <w:r w:rsidRPr="00BA1887">
              <w:rPr>
                <w:rFonts w:asciiTheme="minorHAnsi" w:hAnsiTheme="minorHAnsi"/>
                <w:sz w:val="22"/>
                <w:szCs w:val="22"/>
              </w:rPr>
              <w:t>ženy</w:t>
            </w:r>
          </w:p>
        </w:tc>
        <w:tc>
          <w:tcPr>
            <w:tcW w:w="576" w:type="pct"/>
            <w:vMerge/>
            <w:tcBorders>
              <w:top w:val="single" w:sz="8" w:space="0" w:color="auto"/>
              <w:left w:val="single" w:sz="8" w:space="0" w:color="auto"/>
              <w:bottom w:val="single" w:sz="12" w:space="0" w:color="auto"/>
            </w:tcBorders>
            <w:vAlign w:val="center"/>
            <w:hideMark/>
          </w:tcPr>
          <w:p w:rsidR="00060EFF" w:rsidRPr="00BA1887" w:rsidRDefault="00060EFF" w:rsidP="00060EFF">
            <w:pPr>
              <w:spacing w:line="240" w:lineRule="auto"/>
              <w:rPr>
                <w:rFonts w:asciiTheme="minorHAnsi" w:hAnsiTheme="minorHAnsi"/>
                <w:color w:val="000000"/>
              </w:rPr>
            </w:pPr>
          </w:p>
        </w:tc>
        <w:tc>
          <w:tcPr>
            <w:tcW w:w="552" w:type="pct"/>
            <w:vMerge/>
            <w:tcBorders>
              <w:top w:val="single" w:sz="8" w:space="0" w:color="auto"/>
              <w:bottom w:val="single" w:sz="12" w:space="0" w:color="auto"/>
            </w:tcBorders>
            <w:vAlign w:val="center"/>
            <w:hideMark/>
          </w:tcPr>
          <w:p w:rsidR="00060EFF" w:rsidRPr="00BA1887" w:rsidRDefault="00060EFF" w:rsidP="00060EFF">
            <w:pPr>
              <w:spacing w:line="240" w:lineRule="auto"/>
              <w:rPr>
                <w:rFonts w:asciiTheme="minorHAnsi" w:hAnsiTheme="minorHAnsi"/>
                <w:color w:val="000000"/>
              </w:rPr>
            </w:pPr>
          </w:p>
        </w:tc>
        <w:tc>
          <w:tcPr>
            <w:tcW w:w="552" w:type="pct"/>
            <w:vMerge/>
            <w:tcBorders>
              <w:top w:val="single" w:sz="8" w:space="0" w:color="auto"/>
              <w:bottom w:val="single" w:sz="12" w:space="0" w:color="auto"/>
            </w:tcBorders>
            <w:vAlign w:val="center"/>
            <w:hideMark/>
          </w:tcPr>
          <w:p w:rsidR="00060EFF" w:rsidRPr="00BA1887" w:rsidRDefault="00060EFF" w:rsidP="00060EFF">
            <w:pPr>
              <w:spacing w:line="240" w:lineRule="auto"/>
              <w:rPr>
                <w:rFonts w:asciiTheme="minorHAnsi" w:hAnsiTheme="minorHAnsi"/>
              </w:rPr>
            </w:pPr>
          </w:p>
        </w:tc>
        <w:tc>
          <w:tcPr>
            <w:tcW w:w="561" w:type="pct"/>
            <w:vMerge/>
            <w:tcBorders>
              <w:top w:val="single" w:sz="8" w:space="0" w:color="auto"/>
              <w:bottom w:val="single" w:sz="12" w:space="0" w:color="auto"/>
            </w:tcBorders>
            <w:vAlign w:val="center"/>
            <w:hideMark/>
          </w:tcPr>
          <w:p w:rsidR="00060EFF" w:rsidRPr="00BA1887" w:rsidRDefault="00060EFF" w:rsidP="00060EFF">
            <w:pPr>
              <w:spacing w:line="240" w:lineRule="auto"/>
              <w:rPr>
                <w:rFonts w:asciiTheme="minorHAnsi" w:hAnsiTheme="minorHAnsi"/>
              </w:rPr>
            </w:pPr>
          </w:p>
        </w:tc>
      </w:tr>
      <w:tr w:rsidR="00060EFF" w:rsidRPr="00BA1887" w:rsidTr="00060EFF">
        <w:trPr>
          <w:trHeight w:val="301"/>
        </w:trPr>
        <w:tc>
          <w:tcPr>
            <w:tcW w:w="1104" w:type="pct"/>
            <w:tcBorders>
              <w:top w:val="single" w:sz="12" w:space="0" w:color="auto"/>
              <w:bottom w:val="single" w:sz="8" w:space="0" w:color="auto"/>
              <w:right w:val="single" w:sz="12" w:space="0" w:color="auto"/>
            </w:tcBorders>
            <w:shd w:val="clear" w:color="auto" w:fill="D9D9D9" w:themeFill="background1" w:themeFillShade="D9"/>
            <w:noWrap/>
            <w:vAlign w:val="center"/>
            <w:hideMark/>
          </w:tcPr>
          <w:p w:rsidR="00060EFF" w:rsidRPr="00BA1887" w:rsidRDefault="00060EFF" w:rsidP="00060EFF">
            <w:pPr>
              <w:spacing w:line="240" w:lineRule="auto"/>
              <w:rPr>
                <w:rFonts w:asciiTheme="minorHAnsi" w:hAnsiTheme="minorHAnsi"/>
              </w:rPr>
            </w:pPr>
            <w:r w:rsidRPr="00BA1887">
              <w:rPr>
                <w:rFonts w:asciiTheme="minorHAnsi" w:hAnsiTheme="minorHAnsi"/>
                <w:sz w:val="22"/>
                <w:szCs w:val="22"/>
              </w:rPr>
              <w:t>Bzenec</w:t>
            </w:r>
          </w:p>
        </w:tc>
        <w:tc>
          <w:tcPr>
            <w:tcW w:w="552" w:type="pct"/>
            <w:tcBorders>
              <w:top w:val="single" w:sz="12" w:space="0" w:color="auto"/>
              <w:left w:val="single" w:sz="12" w:space="0" w:color="auto"/>
            </w:tcBorders>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800</w:t>
            </w:r>
          </w:p>
        </w:tc>
        <w:tc>
          <w:tcPr>
            <w:tcW w:w="552" w:type="pct"/>
            <w:tcBorders>
              <w:top w:val="single" w:sz="12" w:space="0" w:color="auto"/>
            </w:tcBorders>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440</w:t>
            </w:r>
          </w:p>
        </w:tc>
        <w:tc>
          <w:tcPr>
            <w:tcW w:w="552" w:type="pct"/>
            <w:tcBorders>
              <w:top w:val="single" w:sz="12" w:space="0" w:color="auto"/>
            </w:tcBorders>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360</w:t>
            </w:r>
          </w:p>
        </w:tc>
        <w:tc>
          <w:tcPr>
            <w:tcW w:w="576" w:type="pct"/>
            <w:tcBorders>
              <w:top w:val="single" w:sz="12" w:space="0" w:color="auto"/>
            </w:tcBorders>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39</w:t>
            </w:r>
          </w:p>
        </w:tc>
        <w:tc>
          <w:tcPr>
            <w:tcW w:w="552" w:type="pct"/>
            <w:tcBorders>
              <w:top w:val="single" w:sz="12" w:space="0" w:color="auto"/>
            </w:tcBorders>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95</w:t>
            </w:r>
          </w:p>
        </w:tc>
        <w:tc>
          <w:tcPr>
            <w:tcW w:w="552" w:type="pct"/>
            <w:tcBorders>
              <w:top w:val="single" w:sz="12" w:space="0" w:color="auto"/>
            </w:tcBorders>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13</w:t>
            </w:r>
          </w:p>
        </w:tc>
        <w:tc>
          <w:tcPr>
            <w:tcW w:w="561" w:type="pct"/>
            <w:tcBorders>
              <w:top w:val="single" w:sz="12" w:space="0" w:color="auto"/>
            </w:tcBorders>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9,0</w:t>
            </w:r>
          </w:p>
        </w:tc>
      </w:tr>
      <w:tr w:rsidR="00060EFF" w:rsidRPr="00BA1887" w:rsidTr="00060EFF">
        <w:trPr>
          <w:trHeight w:val="301"/>
        </w:trPr>
        <w:tc>
          <w:tcPr>
            <w:tcW w:w="1104"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BA1887" w:rsidRDefault="00060EFF" w:rsidP="00060EFF">
            <w:pPr>
              <w:spacing w:line="240" w:lineRule="auto"/>
              <w:rPr>
                <w:rFonts w:asciiTheme="minorHAnsi" w:hAnsiTheme="minorHAnsi"/>
              </w:rPr>
            </w:pPr>
            <w:r w:rsidRPr="00BA1887">
              <w:rPr>
                <w:rFonts w:asciiTheme="minorHAnsi" w:hAnsiTheme="minorHAnsi"/>
                <w:sz w:val="22"/>
                <w:szCs w:val="22"/>
              </w:rPr>
              <w:t>Hodonín</w:t>
            </w:r>
          </w:p>
        </w:tc>
        <w:tc>
          <w:tcPr>
            <w:tcW w:w="552" w:type="pct"/>
            <w:tcBorders>
              <w:left w:val="single" w:sz="12" w:space="0" w:color="auto"/>
            </w:tcBorders>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5 10</w:t>
            </w:r>
            <w:r>
              <w:rPr>
                <w:rFonts w:asciiTheme="minorHAnsi" w:hAnsiTheme="minorHAnsi"/>
                <w:sz w:val="22"/>
                <w:szCs w:val="22"/>
              </w:rPr>
              <w:t>7</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Pr>
                <w:rFonts w:asciiTheme="minorHAnsi" w:hAnsiTheme="minorHAnsi"/>
                <w:sz w:val="22"/>
                <w:szCs w:val="22"/>
              </w:rPr>
              <w:t>2 742</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2 365</w:t>
            </w:r>
          </w:p>
        </w:tc>
        <w:tc>
          <w:tcPr>
            <w:tcW w:w="576"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264</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776</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244</w:t>
            </w:r>
          </w:p>
        </w:tc>
        <w:tc>
          <w:tcPr>
            <w:tcW w:w="561"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11,8</w:t>
            </w:r>
          </w:p>
        </w:tc>
      </w:tr>
      <w:tr w:rsidR="00060EFF" w:rsidRPr="00BA1887" w:rsidTr="00060EFF">
        <w:trPr>
          <w:trHeight w:val="301"/>
        </w:trPr>
        <w:tc>
          <w:tcPr>
            <w:tcW w:w="1104"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BA1887" w:rsidRDefault="00060EFF" w:rsidP="00060EFF">
            <w:pPr>
              <w:spacing w:line="240" w:lineRule="auto"/>
              <w:rPr>
                <w:rFonts w:asciiTheme="minorHAnsi" w:hAnsiTheme="minorHAnsi"/>
              </w:rPr>
            </w:pPr>
            <w:r w:rsidRPr="00BA1887">
              <w:rPr>
                <w:rFonts w:asciiTheme="minorHAnsi" w:hAnsiTheme="minorHAnsi"/>
                <w:sz w:val="22"/>
                <w:szCs w:val="22"/>
              </w:rPr>
              <w:t>Kyjov</w:t>
            </w:r>
          </w:p>
        </w:tc>
        <w:tc>
          <w:tcPr>
            <w:tcW w:w="552" w:type="pct"/>
            <w:tcBorders>
              <w:left w:val="single" w:sz="12" w:space="0" w:color="auto"/>
            </w:tcBorders>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2 391</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1 358</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1</w:t>
            </w:r>
            <w:r>
              <w:rPr>
                <w:rFonts w:asciiTheme="minorHAnsi" w:hAnsiTheme="minorHAnsi"/>
                <w:sz w:val="22"/>
                <w:szCs w:val="22"/>
              </w:rPr>
              <w:t xml:space="preserve"> </w:t>
            </w:r>
            <w:r w:rsidRPr="00BA1887">
              <w:rPr>
                <w:rFonts w:asciiTheme="minorHAnsi" w:hAnsiTheme="minorHAnsi"/>
                <w:sz w:val="22"/>
                <w:szCs w:val="22"/>
              </w:rPr>
              <w:t>032</w:t>
            </w:r>
          </w:p>
        </w:tc>
        <w:tc>
          <w:tcPr>
            <w:tcW w:w="576"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143</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366</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56</w:t>
            </w:r>
          </w:p>
        </w:tc>
        <w:tc>
          <w:tcPr>
            <w:tcW w:w="561"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9,3</w:t>
            </w:r>
          </w:p>
        </w:tc>
      </w:tr>
      <w:tr w:rsidR="00060EFF" w:rsidRPr="00BA1887" w:rsidTr="00060EFF">
        <w:trPr>
          <w:trHeight w:val="301"/>
        </w:trPr>
        <w:tc>
          <w:tcPr>
            <w:tcW w:w="1104"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BA1887" w:rsidRDefault="00060EFF" w:rsidP="00060EFF">
            <w:pPr>
              <w:spacing w:line="240" w:lineRule="auto"/>
              <w:rPr>
                <w:rFonts w:asciiTheme="minorHAnsi" w:hAnsiTheme="minorHAnsi"/>
              </w:rPr>
            </w:pPr>
            <w:r w:rsidRPr="00BA1887">
              <w:rPr>
                <w:rFonts w:asciiTheme="minorHAnsi" w:hAnsiTheme="minorHAnsi"/>
                <w:sz w:val="22"/>
                <w:szCs w:val="22"/>
              </w:rPr>
              <w:t>Strážnice</w:t>
            </w:r>
          </w:p>
        </w:tc>
        <w:tc>
          <w:tcPr>
            <w:tcW w:w="552" w:type="pct"/>
            <w:tcBorders>
              <w:left w:val="single" w:sz="12" w:space="0" w:color="auto"/>
            </w:tcBorders>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499</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272</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228</w:t>
            </w:r>
          </w:p>
        </w:tc>
        <w:tc>
          <w:tcPr>
            <w:tcW w:w="576"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30</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62</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28</w:t>
            </w:r>
          </w:p>
        </w:tc>
        <w:tc>
          <w:tcPr>
            <w:tcW w:w="561"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9,7</w:t>
            </w:r>
          </w:p>
        </w:tc>
      </w:tr>
      <w:tr w:rsidR="00060EFF" w:rsidRPr="00BA1887" w:rsidTr="00060EFF">
        <w:trPr>
          <w:trHeight w:val="301"/>
        </w:trPr>
        <w:tc>
          <w:tcPr>
            <w:tcW w:w="1104"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BA1887" w:rsidRDefault="00060EFF" w:rsidP="00060EFF">
            <w:pPr>
              <w:spacing w:line="240" w:lineRule="auto"/>
              <w:rPr>
                <w:rFonts w:asciiTheme="minorHAnsi" w:hAnsiTheme="minorHAnsi"/>
              </w:rPr>
            </w:pPr>
            <w:r w:rsidRPr="00BA1887">
              <w:rPr>
                <w:rFonts w:asciiTheme="minorHAnsi" w:hAnsiTheme="minorHAnsi"/>
                <w:sz w:val="22"/>
                <w:szCs w:val="22"/>
              </w:rPr>
              <w:t>Veselí nad Moravou</w:t>
            </w:r>
          </w:p>
        </w:tc>
        <w:tc>
          <w:tcPr>
            <w:tcW w:w="552" w:type="pct"/>
            <w:tcBorders>
              <w:left w:val="single" w:sz="12" w:space="0" w:color="auto"/>
            </w:tcBorders>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1 552</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854</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699</w:t>
            </w:r>
          </w:p>
        </w:tc>
        <w:tc>
          <w:tcPr>
            <w:tcW w:w="576"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66</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244</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129</w:t>
            </w:r>
          </w:p>
        </w:tc>
        <w:tc>
          <w:tcPr>
            <w:tcW w:w="561"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9,5</w:t>
            </w:r>
          </w:p>
        </w:tc>
      </w:tr>
      <w:tr w:rsidR="00060EFF" w:rsidRPr="00BA1887" w:rsidTr="00060EFF">
        <w:trPr>
          <w:trHeight w:val="301"/>
        </w:trPr>
        <w:tc>
          <w:tcPr>
            <w:tcW w:w="1104"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BA1887" w:rsidRDefault="00060EFF" w:rsidP="00060EFF">
            <w:pPr>
              <w:spacing w:line="240" w:lineRule="auto"/>
              <w:rPr>
                <w:rFonts w:asciiTheme="minorHAnsi" w:hAnsiTheme="minorHAnsi"/>
              </w:rPr>
            </w:pPr>
            <w:r w:rsidRPr="00BA1887">
              <w:rPr>
                <w:rFonts w:asciiTheme="minorHAnsi" w:hAnsiTheme="minorHAnsi"/>
                <w:sz w:val="22"/>
                <w:szCs w:val="22"/>
              </w:rPr>
              <w:t>Velká nad Veličkou</w:t>
            </w:r>
          </w:p>
        </w:tc>
        <w:tc>
          <w:tcPr>
            <w:tcW w:w="552" w:type="pct"/>
            <w:tcBorders>
              <w:left w:val="single" w:sz="12" w:space="0" w:color="auto"/>
            </w:tcBorders>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545</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301</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244</w:t>
            </w:r>
          </w:p>
        </w:tc>
        <w:tc>
          <w:tcPr>
            <w:tcW w:w="576"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25</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107</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23</w:t>
            </w:r>
          </w:p>
        </w:tc>
        <w:tc>
          <w:tcPr>
            <w:tcW w:w="561"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9,5</w:t>
            </w:r>
          </w:p>
        </w:tc>
      </w:tr>
      <w:tr w:rsidR="00060EFF" w:rsidRPr="00BA1887" w:rsidTr="00060EFF">
        <w:trPr>
          <w:trHeight w:val="301"/>
        </w:trPr>
        <w:tc>
          <w:tcPr>
            <w:tcW w:w="1104"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BA1887" w:rsidRDefault="00060EFF" w:rsidP="00060EFF">
            <w:pPr>
              <w:spacing w:line="240" w:lineRule="auto"/>
              <w:rPr>
                <w:rFonts w:asciiTheme="minorHAnsi" w:hAnsiTheme="minorHAnsi"/>
              </w:rPr>
            </w:pPr>
            <w:r w:rsidRPr="00BA1887">
              <w:rPr>
                <w:rFonts w:asciiTheme="minorHAnsi" w:hAnsiTheme="minorHAnsi"/>
                <w:sz w:val="22"/>
                <w:szCs w:val="22"/>
              </w:rPr>
              <w:t>Ždánice</w:t>
            </w:r>
          </w:p>
        </w:tc>
        <w:tc>
          <w:tcPr>
            <w:tcW w:w="552" w:type="pct"/>
            <w:tcBorders>
              <w:left w:val="single" w:sz="12" w:space="0" w:color="auto"/>
            </w:tcBorders>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502</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267</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rPr>
            </w:pPr>
            <w:r w:rsidRPr="00BA1887">
              <w:rPr>
                <w:rFonts w:asciiTheme="minorHAnsi" w:hAnsiTheme="minorHAnsi"/>
                <w:sz w:val="22"/>
                <w:szCs w:val="22"/>
              </w:rPr>
              <w:t>236</w:t>
            </w:r>
          </w:p>
        </w:tc>
        <w:tc>
          <w:tcPr>
            <w:tcW w:w="576"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37</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66</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19</w:t>
            </w:r>
          </w:p>
        </w:tc>
        <w:tc>
          <w:tcPr>
            <w:tcW w:w="561" w:type="pct"/>
            <w:shd w:val="clear" w:color="auto" w:fill="auto"/>
            <w:noWrap/>
            <w:vAlign w:val="center"/>
            <w:hideMark/>
          </w:tcPr>
          <w:p w:rsidR="00060EFF" w:rsidRPr="00BA1887" w:rsidRDefault="00060EFF" w:rsidP="00060EFF">
            <w:pPr>
              <w:spacing w:line="240" w:lineRule="auto"/>
              <w:jc w:val="right"/>
              <w:rPr>
                <w:rFonts w:asciiTheme="minorHAnsi" w:hAnsiTheme="minorHAnsi"/>
                <w:color w:val="000000"/>
              </w:rPr>
            </w:pPr>
            <w:r w:rsidRPr="00BA1887">
              <w:rPr>
                <w:rFonts w:asciiTheme="minorHAnsi" w:hAnsiTheme="minorHAnsi"/>
                <w:color w:val="000000"/>
                <w:sz w:val="22"/>
                <w:szCs w:val="22"/>
              </w:rPr>
              <w:t>8,1</w:t>
            </w:r>
          </w:p>
        </w:tc>
      </w:tr>
      <w:tr w:rsidR="00060EFF" w:rsidRPr="00BA1887" w:rsidTr="00060EFF">
        <w:trPr>
          <w:trHeight w:val="315"/>
        </w:trPr>
        <w:tc>
          <w:tcPr>
            <w:tcW w:w="1104" w:type="pct"/>
            <w:tcBorders>
              <w:top w:val="single" w:sz="8" w:space="0" w:color="auto"/>
              <w:bottom w:val="single" w:sz="12" w:space="0" w:color="auto"/>
              <w:right w:val="single" w:sz="12" w:space="0" w:color="auto"/>
            </w:tcBorders>
            <w:shd w:val="clear" w:color="auto" w:fill="D9D9D9" w:themeFill="background1" w:themeFillShade="D9"/>
            <w:noWrap/>
            <w:vAlign w:val="center"/>
            <w:hideMark/>
          </w:tcPr>
          <w:p w:rsidR="00060EFF" w:rsidRPr="00BA1887" w:rsidRDefault="00060EFF" w:rsidP="00060EFF">
            <w:pPr>
              <w:spacing w:line="240" w:lineRule="auto"/>
              <w:rPr>
                <w:rFonts w:asciiTheme="minorHAnsi" w:hAnsiTheme="minorHAnsi"/>
                <w:b/>
                <w:bCs/>
              </w:rPr>
            </w:pPr>
            <w:r w:rsidRPr="00BA1887">
              <w:rPr>
                <w:rFonts w:asciiTheme="minorHAnsi" w:hAnsiTheme="minorHAnsi"/>
                <w:b/>
                <w:bCs/>
                <w:sz w:val="22"/>
                <w:szCs w:val="22"/>
              </w:rPr>
              <w:t>Okres Hodonín</w:t>
            </w:r>
          </w:p>
        </w:tc>
        <w:tc>
          <w:tcPr>
            <w:tcW w:w="552" w:type="pct"/>
            <w:tcBorders>
              <w:left w:val="single" w:sz="12" w:space="0" w:color="auto"/>
            </w:tcBorders>
            <w:shd w:val="clear" w:color="000000" w:fill="FFFFFF"/>
            <w:noWrap/>
            <w:vAlign w:val="center"/>
            <w:hideMark/>
          </w:tcPr>
          <w:p w:rsidR="00060EFF" w:rsidRPr="00BA1887" w:rsidRDefault="00060EFF" w:rsidP="00060EFF">
            <w:pPr>
              <w:spacing w:line="240" w:lineRule="auto"/>
              <w:jc w:val="right"/>
              <w:rPr>
                <w:rFonts w:asciiTheme="minorHAnsi" w:hAnsiTheme="minorHAnsi"/>
                <w:b/>
                <w:bCs/>
              </w:rPr>
            </w:pPr>
            <w:r w:rsidRPr="00BA1887">
              <w:rPr>
                <w:rFonts w:asciiTheme="minorHAnsi" w:hAnsiTheme="minorHAnsi"/>
                <w:b/>
                <w:bCs/>
                <w:sz w:val="22"/>
                <w:szCs w:val="22"/>
              </w:rPr>
              <w:t>11</w:t>
            </w:r>
            <w:r>
              <w:rPr>
                <w:rFonts w:asciiTheme="minorHAnsi" w:hAnsiTheme="minorHAnsi"/>
                <w:b/>
                <w:bCs/>
                <w:sz w:val="22"/>
                <w:szCs w:val="22"/>
              </w:rPr>
              <w:t xml:space="preserve"> </w:t>
            </w:r>
            <w:r w:rsidRPr="00BA1887">
              <w:rPr>
                <w:rFonts w:asciiTheme="minorHAnsi" w:hAnsiTheme="minorHAnsi"/>
                <w:b/>
                <w:bCs/>
                <w:sz w:val="22"/>
                <w:szCs w:val="22"/>
              </w:rPr>
              <w:t>397</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b/>
                <w:bCs/>
              </w:rPr>
            </w:pPr>
            <w:r w:rsidRPr="00BA1887">
              <w:rPr>
                <w:rFonts w:asciiTheme="minorHAnsi" w:hAnsiTheme="minorHAnsi"/>
                <w:b/>
                <w:bCs/>
                <w:sz w:val="22"/>
                <w:szCs w:val="22"/>
              </w:rPr>
              <w:t>6 234</w:t>
            </w:r>
          </w:p>
        </w:tc>
        <w:tc>
          <w:tcPr>
            <w:tcW w:w="552" w:type="pct"/>
            <w:shd w:val="clear" w:color="000000" w:fill="FFFFFF"/>
            <w:noWrap/>
            <w:vAlign w:val="center"/>
            <w:hideMark/>
          </w:tcPr>
          <w:p w:rsidR="00060EFF" w:rsidRPr="00BA1887" w:rsidRDefault="00060EFF" w:rsidP="00060EFF">
            <w:pPr>
              <w:spacing w:line="240" w:lineRule="auto"/>
              <w:jc w:val="right"/>
              <w:rPr>
                <w:rFonts w:asciiTheme="minorHAnsi" w:hAnsiTheme="minorHAnsi"/>
                <w:b/>
                <w:bCs/>
              </w:rPr>
            </w:pPr>
            <w:r w:rsidRPr="00BA1887">
              <w:rPr>
                <w:rFonts w:asciiTheme="minorHAnsi" w:hAnsiTheme="minorHAnsi"/>
                <w:b/>
                <w:bCs/>
                <w:sz w:val="22"/>
                <w:szCs w:val="22"/>
              </w:rPr>
              <w:t>5 163</w:t>
            </w:r>
          </w:p>
        </w:tc>
        <w:tc>
          <w:tcPr>
            <w:tcW w:w="576" w:type="pct"/>
            <w:shd w:val="clear" w:color="auto" w:fill="auto"/>
            <w:noWrap/>
            <w:vAlign w:val="center"/>
            <w:hideMark/>
          </w:tcPr>
          <w:p w:rsidR="00060EFF" w:rsidRPr="00BA1887" w:rsidRDefault="00060EFF" w:rsidP="00060EFF">
            <w:pPr>
              <w:spacing w:line="240" w:lineRule="auto"/>
              <w:jc w:val="right"/>
              <w:rPr>
                <w:rFonts w:asciiTheme="minorHAnsi" w:hAnsiTheme="minorHAnsi"/>
                <w:b/>
                <w:bCs/>
                <w:color w:val="000000"/>
              </w:rPr>
            </w:pPr>
            <w:r w:rsidRPr="00BA1887">
              <w:rPr>
                <w:rFonts w:asciiTheme="minorHAnsi" w:hAnsiTheme="minorHAnsi"/>
                <w:b/>
                <w:bCs/>
                <w:color w:val="000000"/>
                <w:sz w:val="22"/>
                <w:szCs w:val="22"/>
              </w:rPr>
              <w:t>604</w:t>
            </w:r>
          </w:p>
        </w:tc>
        <w:tc>
          <w:tcPr>
            <w:tcW w:w="552" w:type="pct"/>
            <w:shd w:val="clear" w:color="auto" w:fill="auto"/>
            <w:noWrap/>
            <w:vAlign w:val="center"/>
            <w:hideMark/>
          </w:tcPr>
          <w:p w:rsidR="00060EFF" w:rsidRPr="00BA1887" w:rsidRDefault="00060EFF" w:rsidP="00060EFF">
            <w:pPr>
              <w:spacing w:line="240" w:lineRule="auto"/>
              <w:jc w:val="right"/>
              <w:rPr>
                <w:rFonts w:asciiTheme="minorHAnsi" w:hAnsiTheme="minorHAnsi"/>
                <w:b/>
                <w:bCs/>
                <w:color w:val="000000"/>
              </w:rPr>
            </w:pPr>
            <w:r w:rsidRPr="00BA1887">
              <w:rPr>
                <w:rFonts w:asciiTheme="minorHAnsi" w:hAnsiTheme="minorHAnsi"/>
                <w:b/>
                <w:bCs/>
                <w:color w:val="000000"/>
                <w:sz w:val="22"/>
                <w:szCs w:val="22"/>
              </w:rPr>
              <w:t>1716</w:t>
            </w:r>
          </w:p>
        </w:tc>
        <w:tc>
          <w:tcPr>
            <w:tcW w:w="552" w:type="pct"/>
            <w:shd w:val="clear" w:color="C0C0C0" w:fill="FFFFFF"/>
            <w:noWrap/>
            <w:vAlign w:val="center"/>
            <w:hideMark/>
          </w:tcPr>
          <w:p w:rsidR="00060EFF" w:rsidRPr="00BA1887" w:rsidRDefault="00060EFF" w:rsidP="00060EFF">
            <w:pPr>
              <w:spacing w:line="240" w:lineRule="auto"/>
              <w:jc w:val="right"/>
              <w:rPr>
                <w:rFonts w:asciiTheme="minorHAnsi" w:hAnsiTheme="minorHAnsi"/>
                <w:b/>
                <w:bCs/>
              </w:rPr>
            </w:pPr>
            <w:r w:rsidRPr="00BA1887">
              <w:rPr>
                <w:rFonts w:asciiTheme="minorHAnsi" w:hAnsiTheme="minorHAnsi"/>
                <w:b/>
                <w:bCs/>
                <w:sz w:val="22"/>
                <w:szCs w:val="22"/>
              </w:rPr>
              <w:t>512</w:t>
            </w:r>
          </w:p>
        </w:tc>
        <w:tc>
          <w:tcPr>
            <w:tcW w:w="561" w:type="pct"/>
            <w:shd w:val="clear" w:color="000000" w:fill="FFFFFF"/>
            <w:noWrap/>
            <w:vAlign w:val="center"/>
            <w:hideMark/>
          </w:tcPr>
          <w:p w:rsidR="00060EFF" w:rsidRPr="00BA1887" w:rsidRDefault="00060EFF" w:rsidP="00060EFF">
            <w:pPr>
              <w:spacing w:line="240" w:lineRule="auto"/>
              <w:jc w:val="right"/>
              <w:rPr>
                <w:rFonts w:asciiTheme="minorHAnsi" w:hAnsiTheme="minorHAnsi"/>
                <w:b/>
                <w:bCs/>
              </w:rPr>
            </w:pPr>
            <w:r w:rsidRPr="00BA1887">
              <w:rPr>
                <w:rFonts w:asciiTheme="minorHAnsi" w:hAnsiTheme="minorHAnsi"/>
                <w:b/>
                <w:bCs/>
                <w:sz w:val="22"/>
                <w:szCs w:val="22"/>
              </w:rPr>
              <w:t>10,4</w:t>
            </w:r>
          </w:p>
        </w:tc>
      </w:tr>
    </w:tbl>
    <w:p w:rsidR="00060EFF" w:rsidRPr="000D0280" w:rsidRDefault="00060EFF" w:rsidP="00060EFF">
      <w:pPr>
        <w:pStyle w:val="Normlnweb"/>
        <w:spacing w:line="276" w:lineRule="auto"/>
        <w:jc w:val="both"/>
        <w:rPr>
          <w:rFonts w:ascii="Arial" w:hAnsi="Arial" w:cs="Arial"/>
          <w:noProof/>
          <w:sz w:val="20"/>
          <w:szCs w:val="20"/>
        </w:rPr>
      </w:pPr>
      <w:r w:rsidRPr="000D0280">
        <w:rPr>
          <w:rFonts w:ascii="Arial" w:hAnsi="Arial" w:cs="Arial"/>
          <w:b/>
          <w:noProof/>
          <w:sz w:val="20"/>
          <w:szCs w:val="20"/>
        </w:rPr>
        <w:t>Pramen</w:t>
      </w:r>
      <w:r w:rsidRPr="000D0280">
        <w:rPr>
          <w:rFonts w:ascii="Arial" w:hAnsi="Arial" w:cs="Arial"/>
          <w:noProof/>
          <w:sz w:val="20"/>
          <w:szCs w:val="20"/>
        </w:rPr>
        <w:t>: MPSV,ČR, GIS Prostorová analýza, 2014</w:t>
      </w:r>
    </w:p>
    <w:p w:rsidR="00060EFF" w:rsidRDefault="00060EFF" w:rsidP="00060EFF">
      <w:pPr>
        <w:jc w:val="both"/>
        <w:rPr>
          <w:rFonts w:ascii="Arial" w:hAnsi="Arial" w:cs="Arial"/>
          <w:b/>
          <w:sz w:val="22"/>
          <w:szCs w:val="22"/>
        </w:rPr>
      </w:pPr>
      <w:r>
        <w:rPr>
          <w:rFonts w:ascii="Arial" w:hAnsi="Arial" w:cs="Arial"/>
          <w:b/>
          <w:sz w:val="22"/>
          <w:szCs w:val="22"/>
        </w:rPr>
        <w:t>Bzenecko</w:t>
      </w:r>
    </w:p>
    <w:p w:rsidR="00060EFF" w:rsidRDefault="00060EFF" w:rsidP="00060EFF">
      <w:pPr>
        <w:jc w:val="both"/>
        <w:rPr>
          <w:rFonts w:ascii="Arial" w:hAnsi="Arial" w:cs="Arial"/>
          <w:b/>
          <w:sz w:val="22"/>
          <w:szCs w:val="22"/>
        </w:rPr>
      </w:pPr>
    </w:p>
    <w:p w:rsidR="00060EFF" w:rsidRDefault="00060EFF" w:rsidP="00060EFF">
      <w:pPr>
        <w:jc w:val="both"/>
        <w:rPr>
          <w:rFonts w:ascii="Arial" w:hAnsi="Arial" w:cs="Arial"/>
          <w:b/>
          <w:sz w:val="22"/>
          <w:szCs w:val="22"/>
        </w:rPr>
      </w:pPr>
      <w:r>
        <w:rPr>
          <w:rFonts w:ascii="Arial" w:hAnsi="Arial" w:cs="Arial"/>
          <w:sz w:val="22"/>
          <w:szCs w:val="22"/>
        </w:rPr>
        <w:t xml:space="preserve">Bzenecko vykazuje druhou nejnižší nezaměstnanost v rámci okresu Hodonín. V Mikroregionu </w:t>
      </w:r>
      <w:r w:rsidRPr="00A311BE">
        <w:rPr>
          <w:rFonts w:ascii="Arial" w:hAnsi="Arial" w:cs="Arial"/>
          <w:sz w:val="22"/>
          <w:szCs w:val="22"/>
        </w:rPr>
        <w:t xml:space="preserve">je soustředěno několik </w:t>
      </w:r>
      <w:r>
        <w:rPr>
          <w:rFonts w:ascii="Arial" w:hAnsi="Arial" w:cs="Arial"/>
          <w:sz w:val="22"/>
          <w:szCs w:val="22"/>
        </w:rPr>
        <w:t>středně velkých i velkých firem. Mezi nejvýznamnější zaměstnavatele v mikroregionu patří konzervárenská společnost</w:t>
      </w:r>
      <w:r w:rsidRPr="00F50931">
        <w:rPr>
          <w:rFonts w:ascii="Arial" w:hAnsi="Arial" w:cs="Arial"/>
          <w:sz w:val="22"/>
          <w:szCs w:val="22"/>
        </w:rPr>
        <w:t xml:space="preserve"> </w:t>
      </w:r>
      <w:r>
        <w:rPr>
          <w:rFonts w:ascii="Arial" w:hAnsi="Arial" w:cs="Arial"/>
          <w:sz w:val="22"/>
          <w:szCs w:val="22"/>
        </w:rPr>
        <w:t>PIKA a.s.</w:t>
      </w:r>
      <w:r w:rsidRPr="00F50931">
        <w:rPr>
          <w:rFonts w:ascii="Arial" w:hAnsi="Arial" w:cs="Arial"/>
          <w:sz w:val="22"/>
          <w:szCs w:val="22"/>
        </w:rPr>
        <w:t>,</w:t>
      </w:r>
      <w:r>
        <w:rPr>
          <w:rFonts w:ascii="Arial" w:hAnsi="Arial" w:cs="Arial"/>
          <w:sz w:val="22"/>
          <w:szCs w:val="22"/>
        </w:rPr>
        <w:t xml:space="preserve"> výrobce plastových výrobků společnost WMW a.s. a výrobce zahradního kovového nábytku společnost UNIKOv Steel s.r.o. </w:t>
      </w:r>
      <w:r w:rsidRPr="00F50931">
        <w:rPr>
          <w:rFonts w:ascii="Arial" w:hAnsi="Arial" w:cs="Arial"/>
          <w:sz w:val="22"/>
          <w:szCs w:val="22"/>
        </w:rPr>
        <w:t xml:space="preserve">K 31. 12. 2014 bylo v  mikroregionu evidováno celkem </w:t>
      </w:r>
      <w:r>
        <w:rPr>
          <w:rFonts w:ascii="Arial" w:hAnsi="Arial" w:cs="Arial"/>
          <w:sz w:val="22"/>
          <w:szCs w:val="22"/>
        </w:rPr>
        <w:t>800</w:t>
      </w:r>
      <w:r w:rsidRPr="00F50931">
        <w:rPr>
          <w:rFonts w:ascii="Arial" w:hAnsi="Arial" w:cs="Arial"/>
          <w:sz w:val="22"/>
          <w:szCs w:val="22"/>
        </w:rPr>
        <w:t xml:space="preserve"> uchazečů o zaměstnání a p</w:t>
      </w:r>
      <w:r>
        <w:rPr>
          <w:rFonts w:ascii="Arial" w:hAnsi="Arial" w:cs="Arial"/>
          <w:sz w:val="22"/>
          <w:szCs w:val="22"/>
        </w:rPr>
        <w:t>odíl nezaměstnaných osob dosáhl</w:t>
      </w:r>
      <w:r w:rsidRPr="00F50931">
        <w:rPr>
          <w:rFonts w:ascii="Arial" w:hAnsi="Arial" w:cs="Arial"/>
          <w:sz w:val="22"/>
          <w:szCs w:val="22"/>
        </w:rPr>
        <w:t xml:space="preserve"> hodnoty </w:t>
      </w:r>
      <w:r>
        <w:rPr>
          <w:rFonts w:ascii="Arial" w:hAnsi="Arial" w:cs="Arial"/>
          <w:sz w:val="22"/>
          <w:szCs w:val="22"/>
        </w:rPr>
        <w:t>9</w:t>
      </w:r>
      <w:r w:rsidRPr="00F50931">
        <w:rPr>
          <w:rFonts w:ascii="Arial" w:hAnsi="Arial" w:cs="Arial"/>
          <w:sz w:val="22"/>
          <w:szCs w:val="22"/>
        </w:rPr>
        <w:t>,</w:t>
      </w:r>
      <w:r>
        <w:rPr>
          <w:rFonts w:ascii="Arial" w:hAnsi="Arial" w:cs="Arial"/>
          <w:sz w:val="22"/>
          <w:szCs w:val="22"/>
        </w:rPr>
        <w:t>0 %.</w:t>
      </w:r>
    </w:p>
    <w:p w:rsidR="00F56D02" w:rsidRDefault="00F56D02" w:rsidP="00060EFF">
      <w:pPr>
        <w:jc w:val="both"/>
        <w:rPr>
          <w:rFonts w:ascii="Arial" w:hAnsi="Arial" w:cs="Arial"/>
          <w:b/>
          <w:sz w:val="22"/>
          <w:szCs w:val="22"/>
        </w:rPr>
      </w:pPr>
    </w:p>
    <w:p w:rsidR="00060EFF" w:rsidRDefault="00060EFF" w:rsidP="00060EFF">
      <w:pPr>
        <w:jc w:val="both"/>
        <w:rPr>
          <w:rFonts w:ascii="Arial" w:hAnsi="Arial" w:cs="Arial"/>
          <w:b/>
          <w:sz w:val="22"/>
          <w:szCs w:val="22"/>
        </w:rPr>
      </w:pPr>
      <w:r w:rsidRPr="00EE4D14">
        <w:rPr>
          <w:rFonts w:ascii="Arial" w:hAnsi="Arial" w:cs="Arial"/>
          <w:b/>
          <w:sz w:val="22"/>
          <w:szCs w:val="22"/>
        </w:rPr>
        <w:t>Hodonínsko</w:t>
      </w:r>
    </w:p>
    <w:p w:rsidR="00060EFF" w:rsidRPr="00EE4D14" w:rsidRDefault="00060EFF" w:rsidP="00060EFF">
      <w:pPr>
        <w:jc w:val="both"/>
        <w:rPr>
          <w:rFonts w:ascii="Arial" w:hAnsi="Arial" w:cs="Arial"/>
          <w:b/>
          <w:sz w:val="22"/>
          <w:szCs w:val="22"/>
        </w:rPr>
      </w:pPr>
    </w:p>
    <w:p w:rsidR="00060EFF" w:rsidRPr="00A311BE" w:rsidRDefault="00060EFF" w:rsidP="00060EFF">
      <w:pPr>
        <w:jc w:val="both"/>
        <w:rPr>
          <w:rFonts w:ascii="Arial" w:hAnsi="Arial" w:cs="Arial"/>
          <w:sz w:val="22"/>
          <w:szCs w:val="22"/>
        </w:rPr>
      </w:pPr>
      <w:r>
        <w:rPr>
          <w:rFonts w:ascii="Arial" w:hAnsi="Arial" w:cs="Arial"/>
          <w:sz w:val="22"/>
          <w:szCs w:val="22"/>
        </w:rPr>
        <w:t xml:space="preserve">Hodonínsko </w:t>
      </w:r>
      <w:r w:rsidRPr="00775A05">
        <w:rPr>
          <w:rFonts w:ascii="Arial" w:hAnsi="Arial" w:cs="Arial"/>
          <w:sz w:val="22"/>
          <w:szCs w:val="22"/>
        </w:rPr>
        <w:t>je</w:t>
      </w:r>
      <w:r>
        <w:rPr>
          <w:rFonts w:ascii="Arial" w:hAnsi="Arial" w:cs="Arial"/>
          <w:sz w:val="22"/>
          <w:szCs w:val="22"/>
        </w:rPr>
        <w:t xml:space="preserve"> </w:t>
      </w:r>
      <w:r w:rsidR="00F56D02">
        <w:rPr>
          <w:rFonts w:ascii="Arial" w:hAnsi="Arial" w:cs="Arial"/>
          <w:sz w:val="22"/>
          <w:szCs w:val="22"/>
        </w:rPr>
        <w:t>průmyslový</w:t>
      </w:r>
      <w:r w:rsidRPr="00A311BE">
        <w:rPr>
          <w:rFonts w:ascii="Arial" w:hAnsi="Arial" w:cs="Arial"/>
          <w:sz w:val="22"/>
          <w:szCs w:val="22"/>
        </w:rPr>
        <w:t xml:space="preserve"> </w:t>
      </w:r>
      <w:r>
        <w:rPr>
          <w:rFonts w:ascii="Arial" w:hAnsi="Arial" w:cs="Arial"/>
          <w:sz w:val="22"/>
          <w:szCs w:val="22"/>
        </w:rPr>
        <w:t>mikro</w:t>
      </w:r>
      <w:r w:rsidRPr="00A311BE">
        <w:rPr>
          <w:rFonts w:ascii="Arial" w:hAnsi="Arial" w:cs="Arial"/>
          <w:sz w:val="22"/>
          <w:szCs w:val="22"/>
        </w:rPr>
        <w:t>region s</w:t>
      </w:r>
      <w:r w:rsidR="00F56D02">
        <w:rPr>
          <w:rFonts w:ascii="Arial" w:hAnsi="Arial" w:cs="Arial"/>
          <w:sz w:val="22"/>
          <w:szCs w:val="22"/>
        </w:rPr>
        <w:t> významnou zemědělskou produkcí a</w:t>
      </w:r>
      <w:r w:rsidRPr="00A311BE">
        <w:rPr>
          <w:rFonts w:ascii="Arial" w:hAnsi="Arial" w:cs="Arial"/>
          <w:sz w:val="22"/>
          <w:szCs w:val="22"/>
        </w:rPr>
        <w:t xml:space="preserve"> vysokou hustotou zalidnění. Pro sídelní strukturu je typický častý výskyt městysů a velkých obcí s několika tisíci obyvateli. Hodonínsko bylo ze všech regionů v okrese nejvíce postiženo restrukturalizací hospodářství. V  Hodoníně a okolí byla v minulosti nezvykle vysoká koncentrace zaměstnavatelů s několika stovkami, příp. i více než tisícem zaměstnanců. Tyto podniky však během poměrně krátké doby buď zanikly, nebo prošly radikálním snížením stavů zaměstnanosti a do dnešní doby za ně nevznikla adekvátní náhrada vytvořením obdobného počtu volných míst v jiných odvětvích. V současné době mezi nejvýznamnější zaměstnavatele v </w:t>
      </w:r>
      <w:r>
        <w:rPr>
          <w:rFonts w:ascii="Arial" w:hAnsi="Arial" w:cs="Arial"/>
          <w:sz w:val="22"/>
          <w:szCs w:val="22"/>
        </w:rPr>
        <w:t>mikroregionu</w:t>
      </w:r>
      <w:r w:rsidRPr="00A311BE">
        <w:rPr>
          <w:rFonts w:ascii="Arial" w:hAnsi="Arial" w:cs="Arial"/>
          <w:sz w:val="22"/>
          <w:szCs w:val="22"/>
        </w:rPr>
        <w:t xml:space="preserve"> Hodonín patří společnost Jihomoravská armaturka, Jednota spotřební družstvo Hodonín, Nemocnice TGM Hodonín, Delimax</w:t>
      </w:r>
      <w:r>
        <w:rPr>
          <w:rFonts w:ascii="Arial" w:hAnsi="Arial" w:cs="Arial"/>
          <w:sz w:val="22"/>
          <w:szCs w:val="22"/>
        </w:rPr>
        <w:t>, a.s.</w:t>
      </w:r>
      <w:r w:rsidRPr="00A311BE">
        <w:rPr>
          <w:rFonts w:ascii="Arial" w:hAnsi="Arial" w:cs="Arial"/>
          <w:sz w:val="22"/>
          <w:szCs w:val="22"/>
        </w:rPr>
        <w:t xml:space="preserve"> a </w:t>
      </w:r>
      <w:r w:rsidRPr="00B54CB3">
        <w:rPr>
          <w:rFonts w:ascii="Arial" w:hAnsi="Arial" w:cs="Arial"/>
          <w:sz w:val="22"/>
          <w:szCs w:val="22"/>
          <w:lang w:eastAsia="en-US"/>
        </w:rPr>
        <w:t>MND Drilling</w:t>
      </w:r>
      <w:r>
        <w:rPr>
          <w:rFonts w:ascii="Arial" w:eastAsiaTheme="minorHAnsi" w:hAnsi="Arial" w:cs="Arial"/>
          <w:sz w:val="22"/>
          <w:szCs w:val="22"/>
          <w:lang w:eastAsia="en-US"/>
        </w:rPr>
        <w:t xml:space="preserve">&amp;Services, </w:t>
      </w:r>
      <w:r w:rsidRPr="00B54CB3">
        <w:rPr>
          <w:rFonts w:ascii="Arial" w:eastAsiaTheme="minorHAnsi" w:hAnsi="Arial" w:cs="Arial"/>
          <w:sz w:val="22"/>
          <w:szCs w:val="22"/>
          <w:lang w:eastAsia="en-US"/>
        </w:rPr>
        <w:t>a.s.</w:t>
      </w:r>
      <w:r>
        <w:rPr>
          <w:rFonts w:ascii="Arial" w:eastAsiaTheme="minorHAnsi" w:hAnsi="Arial" w:cs="Arial"/>
          <w:sz w:val="22"/>
          <w:szCs w:val="22"/>
          <w:lang w:eastAsia="en-US"/>
        </w:rPr>
        <w:t xml:space="preserve"> </w:t>
      </w:r>
      <w:r w:rsidRPr="00F50931">
        <w:rPr>
          <w:rFonts w:ascii="Arial" w:hAnsi="Arial" w:cs="Arial"/>
          <w:sz w:val="22"/>
          <w:szCs w:val="22"/>
        </w:rPr>
        <w:t xml:space="preserve">K 31. 12. 2014 bylo v  mikroregionu evidováno celkem </w:t>
      </w:r>
      <w:r>
        <w:rPr>
          <w:rFonts w:ascii="Arial" w:hAnsi="Arial" w:cs="Arial"/>
          <w:sz w:val="22"/>
          <w:szCs w:val="22"/>
        </w:rPr>
        <w:t>5</w:t>
      </w:r>
      <w:r w:rsidRPr="00F50931">
        <w:rPr>
          <w:rFonts w:ascii="Arial" w:hAnsi="Arial" w:cs="Arial"/>
          <w:sz w:val="22"/>
          <w:szCs w:val="22"/>
        </w:rPr>
        <w:t xml:space="preserve"> </w:t>
      </w:r>
      <w:r>
        <w:rPr>
          <w:rFonts w:ascii="Arial" w:hAnsi="Arial" w:cs="Arial"/>
          <w:sz w:val="22"/>
          <w:szCs w:val="22"/>
        </w:rPr>
        <w:t>108</w:t>
      </w:r>
      <w:r w:rsidRPr="00F50931">
        <w:rPr>
          <w:rFonts w:ascii="Arial" w:hAnsi="Arial" w:cs="Arial"/>
          <w:sz w:val="22"/>
          <w:szCs w:val="22"/>
        </w:rPr>
        <w:t xml:space="preserve"> uchazečů o zaměstnání a p</w:t>
      </w:r>
      <w:r>
        <w:rPr>
          <w:rFonts w:ascii="Arial" w:hAnsi="Arial" w:cs="Arial"/>
          <w:sz w:val="22"/>
          <w:szCs w:val="22"/>
        </w:rPr>
        <w:t>odíl nezaměstnaných osob dosáhl</w:t>
      </w:r>
      <w:r w:rsidRPr="00F50931">
        <w:rPr>
          <w:rFonts w:ascii="Arial" w:hAnsi="Arial" w:cs="Arial"/>
          <w:sz w:val="22"/>
          <w:szCs w:val="22"/>
        </w:rPr>
        <w:t xml:space="preserve"> hodnoty </w:t>
      </w:r>
      <w:r>
        <w:rPr>
          <w:rFonts w:ascii="Arial" w:hAnsi="Arial" w:cs="Arial"/>
          <w:sz w:val="22"/>
          <w:szCs w:val="22"/>
        </w:rPr>
        <w:t>11</w:t>
      </w:r>
      <w:r w:rsidRPr="00F50931">
        <w:rPr>
          <w:rFonts w:ascii="Arial" w:hAnsi="Arial" w:cs="Arial"/>
          <w:sz w:val="22"/>
          <w:szCs w:val="22"/>
        </w:rPr>
        <w:t>,</w:t>
      </w:r>
      <w:r>
        <w:rPr>
          <w:rFonts w:ascii="Arial" w:hAnsi="Arial" w:cs="Arial"/>
          <w:sz w:val="22"/>
          <w:szCs w:val="22"/>
        </w:rPr>
        <w:t>8 %, což je nejvíc v rámci celého okresu Hodonín.</w:t>
      </w:r>
    </w:p>
    <w:p w:rsidR="00060EFF" w:rsidRDefault="00060EFF" w:rsidP="00060EFF">
      <w:pPr>
        <w:jc w:val="both"/>
        <w:rPr>
          <w:rFonts w:ascii="Arial" w:hAnsi="Arial" w:cs="Arial"/>
          <w:b/>
          <w:noProof/>
          <w:sz w:val="20"/>
          <w:szCs w:val="20"/>
        </w:rPr>
      </w:pPr>
    </w:p>
    <w:p w:rsidR="00060EFF" w:rsidRPr="007168E0" w:rsidRDefault="007168E0" w:rsidP="007168E0">
      <w:pPr>
        <w:pStyle w:val="Titulek"/>
        <w:rPr>
          <w:rFonts w:ascii="Arial" w:hAnsi="Arial" w:cs="Arial"/>
          <w:noProof/>
          <w:color w:val="auto"/>
          <w:sz w:val="20"/>
          <w:szCs w:val="20"/>
        </w:rPr>
      </w:pPr>
      <w:r w:rsidRPr="007168E0">
        <w:rPr>
          <w:rFonts w:ascii="Arial" w:hAnsi="Arial" w:cs="Arial"/>
          <w:color w:val="auto"/>
          <w:sz w:val="20"/>
          <w:szCs w:val="20"/>
        </w:rPr>
        <w:t xml:space="preserve">Obr. </w:t>
      </w:r>
      <w:r w:rsidRPr="007168E0">
        <w:rPr>
          <w:rFonts w:ascii="Arial" w:hAnsi="Arial" w:cs="Arial"/>
          <w:color w:val="auto"/>
          <w:sz w:val="20"/>
          <w:szCs w:val="20"/>
        </w:rPr>
        <w:fldChar w:fldCharType="begin"/>
      </w:r>
      <w:r w:rsidRPr="007168E0">
        <w:rPr>
          <w:rFonts w:ascii="Arial" w:hAnsi="Arial" w:cs="Arial"/>
          <w:color w:val="auto"/>
          <w:sz w:val="20"/>
          <w:szCs w:val="20"/>
        </w:rPr>
        <w:instrText xml:space="preserve"> SEQ Obr. \* ARABIC </w:instrText>
      </w:r>
      <w:r w:rsidRPr="007168E0">
        <w:rPr>
          <w:rFonts w:ascii="Arial" w:hAnsi="Arial" w:cs="Arial"/>
          <w:color w:val="auto"/>
          <w:sz w:val="20"/>
          <w:szCs w:val="20"/>
        </w:rPr>
        <w:fldChar w:fldCharType="separate"/>
      </w:r>
      <w:r w:rsidR="009E38FD">
        <w:rPr>
          <w:rFonts w:ascii="Arial" w:hAnsi="Arial" w:cs="Arial"/>
          <w:noProof/>
          <w:color w:val="auto"/>
          <w:sz w:val="20"/>
          <w:szCs w:val="20"/>
        </w:rPr>
        <w:t>18</w:t>
      </w:r>
      <w:r w:rsidRPr="007168E0">
        <w:rPr>
          <w:rFonts w:ascii="Arial" w:hAnsi="Arial" w:cs="Arial"/>
          <w:color w:val="auto"/>
          <w:sz w:val="20"/>
          <w:szCs w:val="20"/>
        </w:rPr>
        <w:fldChar w:fldCharType="end"/>
      </w:r>
      <w:r w:rsidR="00060EFF" w:rsidRPr="007168E0">
        <w:rPr>
          <w:rFonts w:ascii="Arial" w:hAnsi="Arial" w:cs="Arial"/>
          <w:noProof/>
          <w:color w:val="auto"/>
          <w:sz w:val="20"/>
          <w:szCs w:val="20"/>
        </w:rPr>
        <w:t xml:space="preserve">: Podíl nezaměstnaných osob na </w:t>
      </w:r>
      <w:r w:rsidRPr="007168E0">
        <w:rPr>
          <w:rFonts w:ascii="Arial" w:hAnsi="Arial" w:cs="Arial"/>
          <w:noProof/>
          <w:color w:val="auto"/>
          <w:sz w:val="20"/>
          <w:szCs w:val="20"/>
        </w:rPr>
        <w:t>obyvatelstvu</w:t>
      </w:r>
      <w:r w:rsidR="00060EFF" w:rsidRPr="007168E0">
        <w:rPr>
          <w:rFonts w:ascii="Arial" w:hAnsi="Arial" w:cs="Arial"/>
          <w:noProof/>
          <w:color w:val="auto"/>
          <w:sz w:val="20"/>
          <w:szCs w:val="20"/>
        </w:rPr>
        <w:t xml:space="preserve"> 15-64 </w:t>
      </w:r>
      <w:r>
        <w:rPr>
          <w:rFonts w:ascii="Arial" w:hAnsi="Arial" w:cs="Arial"/>
          <w:noProof/>
          <w:color w:val="auto"/>
          <w:sz w:val="20"/>
          <w:szCs w:val="20"/>
        </w:rPr>
        <w:t>v okrese Hodonín</w:t>
      </w:r>
      <w:r w:rsidR="00060EFF" w:rsidRPr="007168E0">
        <w:rPr>
          <w:rFonts w:ascii="Arial" w:hAnsi="Arial" w:cs="Arial"/>
          <w:noProof/>
          <w:color w:val="auto"/>
          <w:sz w:val="20"/>
          <w:szCs w:val="20"/>
        </w:rPr>
        <w:t xml:space="preserve"> k 31.12.2014</w:t>
      </w:r>
    </w:p>
    <w:p w:rsidR="00060EFF" w:rsidRDefault="00060EFF" w:rsidP="00060EFF">
      <w:pPr>
        <w:jc w:val="both"/>
        <w:rPr>
          <w:rFonts w:ascii="Arial" w:hAnsi="Arial" w:cs="Arial"/>
          <w:b/>
          <w:sz w:val="22"/>
          <w:szCs w:val="22"/>
        </w:rPr>
      </w:pPr>
      <w:r>
        <w:rPr>
          <w:rFonts w:ascii="Arial" w:hAnsi="Arial" w:cs="Arial"/>
          <w:b/>
          <w:noProof/>
          <w:sz w:val="22"/>
          <w:szCs w:val="22"/>
        </w:rPr>
        <w:drawing>
          <wp:inline distT="0" distB="0" distL="0" distR="0" wp14:anchorId="544AE366" wp14:editId="5802A7AE">
            <wp:extent cx="5447489" cy="3849030"/>
            <wp:effectExtent l="0" t="0" r="127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oní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9330" cy="3850331"/>
                    </a:xfrm>
                    <a:prstGeom prst="rect">
                      <a:avLst/>
                    </a:prstGeom>
                  </pic:spPr>
                </pic:pic>
              </a:graphicData>
            </a:graphic>
          </wp:inline>
        </w:drawing>
      </w:r>
    </w:p>
    <w:p w:rsidR="00060EFF" w:rsidRPr="00EE4D14" w:rsidRDefault="00060EFF" w:rsidP="00060EFF">
      <w:pPr>
        <w:rPr>
          <w:rFonts w:ascii="Arial" w:hAnsi="Arial" w:cs="Arial"/>
          <w:b/>
          <w:sz w:val="22"/>
          <w:szCs w:val="22"/>
        </w:rPr>
      </w:pPr>
      <w:r w:rsidRPr="00EE4D14">
        <w:rPr>
          <w:rFonts w:ascii="Arial" w:hAnsi="Arial" w:cs="Arial"/>
          <w:b/>
          <w:sz w:val="22"/>
          <w:szCs w:val="22"/>
        </w:rPr>
        <w:t>Kyjovsko</w:t>
      </w:r>
    </w:p>
    <w:p w:rsidR="00060EFF" w:rsidRDefault="00060EFF" w:rsidP="00060EFF">
      <w:pPr>
        <w:jc w:val="both"/>
        <w:rPr>
          <w:rFonts w:ascii="Arial" w:hAnsi="Arial" w:cs="Arial"/>
          <w:sz w:val="22"/>
          <w:szCs w:val="22"/>
        </w:rPr>
      </w:pPr>
    </w:p>
    <w:p w:rsidR="00060EFF" w:rsidRDefault="00060EFF" w:rsidP="00060EFF">
      <w:pPr>
        <w:jc w:val="both"/>
        <w:rPr>
          <w:rFonts w:ascii="Arial" w:hAnsi="Arial" w:cs="Arial"/>
          <w:b/>
          <w:sz w:val="22"/>
          <w:szCs w:val="22"/>
        </w:rPr>
      </w:pPr>
      <w:r w:rsidRPr="00B61805">
        <w:rPr>
          <w:rFonts w:ascii="Arial" w:hAnsi="Arial" w:cs="Arial"/>
          <w:sz w:val="22"/>
          <w:szCs w:val="22"/>
        </w:rPr>
        <w:t>Kyjovsko je průmyslově</w:t>
      </w:r>
      <w:r>
        <w:rPr>
          <w:rFonts w:ascii="Arial" w:hAnsi="Arial" w:cs="Arial"/>
          <w:sz w:val="22"/>
          <w:szCs w:val="22"/>
        </w:rPr>
        <w:t xml:space="preserve"> </w:t>
      </w:r>
      <w:r w:rsidRPr="00A311BE">
        <w:rPr>
          <w:rFonts w:ascii="Arial" w:hAnsi="Arial" w:cs="Arial"/>
          <w:sz w:val="22"/>
          <w:szCs w:val="22"/>
        </w:rPr>
        <w:t>-</w:t>
      </w:r>
      <w:r>
        <w:rPr>
          <w:rFonts w:ascii="Arial" w:hAnsi="Arial" w:cs="Arial"/>
          <w:sz w:val="22"/>
          <w:szCs w:val="22"/>
        </w:rPr>
        <w:t xml:space="preserve"> </w:t>
      </w:r>
      <w:r w:rsidRPr="00A311BE">
        <w:rPr>
          <w:rFonts w:ascii="Arial" w:hAnsi="Arial" w:cs="Arial"/>
          <w:sz w:val="22"/>
          <w:szCs w:val="22"/>
        </w:rPr>
        <w:t xml:space="preserve">zemědělský region vyplňující severní část okresu. Většina ekonomických aktivit je soustředěna do osy Kyjov </w:t>
      </w:r>
      <w:r>
        <w:rPr>
          <w:rFonts w:ascii="Arial" w:hAnsi="Arial" w:cs="Arial"/>
          <w:sz w:val="22"/>
          <w:szCs w:val="22"/>
        </w:rPr>
        <w:t>-</w:t>
      </w:r>
      <w:r w:rsidRPr="00A311BE">
        <w:rPr>
          <w:rFonts w:ascii="Arial" w:hAnsi="Arial" w:cs="Arial"/>
          <w:sz w:val="22"/>
          <w:szCs w:val="22"/>
        </w:rPr>
        <w:t xml:space="preserve"> Bzenec podél hlavní silnice protínající tento region. Kyjovsko jako celek je po </w:t>
      </w:r>
      <w:r>
        <w:rPr>
          <w:rFonts w:ascii="Arial" w:hAnsi="Arial" w:cs="Arial"/>
          <w:sz w:val="22"/>
          <w:szCs w:val="22"/>
        </w:rPr>
        <w:t>Ždánicku a Bzenecku</w:t>
      </w:r>
      <w:r w:rsidRPr="00A311BE">
        <w:rPr>
          <w:rFonts w:ascii="Arial" w:hAnsi="Arial" w:cs="Arial"/>
          <w:sz w:val="22"/>
          <w:szCs w:val="22"/>
        </w:rPr>
        <w:t xml:space="preserve"> </w:t>
      </w:r>
      <w:r>
        <w:rPr>
          <w:rFonts w:ascii="Arial" w:hAnsi="Arial" w:cs="Arial"/>
          <w:sz w:val="22"/>
          <w:szCs w:val="22"/>
        </w:rPr>
        <w:t>mikro</w:t>
      </w:r>
      <w:r w:rsidRPr="00A311BE">
        <w:rPr>
          <w:rFonts w:ascii="Arial" w:hAnsi="Arial" w:cs="Arial"/>
          <w:sz w:val="22"/>
          <w:szCs w:val="22"/>
        </w:rPr>
        <w:t>regionem s </w:t>
      </w:r>
      <w:r>
        <w:rPr>
          <w:rFonts w:ascii="Arial" w:hAnsi="Arial" w:cs="Arial"/>
          <w:sz w:val="22"/>
          <w:szCs w:val="22"/>
        </w:rPr>
        <w:t>třetí</w:t>
      </w:r>
      <w:r w:rsidRPr="00A311BE">
        <w:rPr>
          <w:rFonts w:ascii="Arial" w:hAnsi="Arial" w:cs="Arial"/>
          <w:sz w:val="22"/>
          <w:szCs w:val="22"/>
        </w:rPr>
        <w:t xml:space="preserve"> nejvyšší nezaměstnaností v okrese. Na okresní poměry relativně nízkou nezaměstnanost vykazuje i samotné město Kyjov.</w:t>
      </w:r>
      <w:r>
        <w:rPr>
          <w:rFonts w:ascii="Arial" w:hAnsi="Arial" w:cs="Arial"/>
          <w:sz w:val="22"/>
          <w:szCs w:val="22"/>
        </w:rPr>
        <w:t xml:space="preserve"> Na druhou stranu na území mikroregionu se nachází obce, kde podíl nezaměstnaných osob dosahuje </w:t>
      </w:r>
      <w:r w:rsidR="007168E0">
        <w:rPr>
          <w:rFonts w:ascii="Arial" w:hAnsi="Arial" w:cs="Arial"/>
          <w:sz w:val="22"/>
          <w:szCs w:val="22"/>
        </w:rPr>
        <w:t xml:space="preserve">15 </w:t>
      </w:r>
      <w:r>
        <w:rPr>
          <w:rFonts w:ascii="Arial" w:hAnsi="Arial" w:cs="Arial"/>
          <w:sz w:val="22"/>
          <w:szCs w:val="22"/>
        </w:rPr>
        <w:t xml:space="preserve">% (Ostrovánky, Nenkovice, Nechvalín a Hýsly). </w:t>
      </w:r>
      <w:r w:rsidRPr="00A311BE">
        <w:rPr>
          <w:rFonts w:ascii="Arial" w:hAnsi="Arial" w:cs="Arial"/>
          <w:sz w:val="22"/>
          <w:szCs w:val="22"/>
        </w:rPr>
        <w:t xml:space="preserve"> Nejvýznamnější zaměstnavatel regionu je Nemocnice Kyjov. Významným zaměstnavatelem je také spo</w:t>
      </w:r>
      <w:r>
        <w:rPr>
          <w:rFonts w:ascii="Arial" w:hAnsi="Arial" w:cs="Arial"/>
          <w:sz w:val="22"/>
          <w:szCs w:val="22"/>
        </w:rPr>
        <w:t>lečnost Vetropack Moravia Glass, a.s.</w:t>
      </w:r>
      <w:r w:rsidRPr="00E971F4">
        <w:rPr>
          <w:rFonts w:ascii="Arial" w:hAnsi="Arial" w:cs="Arial"/>
          <w:sz w:val="22"/>
          <w:szCs w:val="22"/>
        </w:rPr>
        <w:t xml:space="preserve"> </w:t>
      </w:r>
      <w:r w:rsidRPr="00F50931">
        <w:rPr>
          <w:rFonts w:ascii="Arial" w:hAnsi="Arial" w:cs="Arial"/>
          <w:sz w:val="22"/>
          <w:szCs w:val="22"/>
        </w:rPr>
        <w:t xml:space="preserve">K 31. 12. 2014 bylo v  mikroregionu evidováno celkem </w:t>
      </w:r>
      <w:r>
        <w:rPr>
          <w:rFonts w:ascii="Arial" w:hAnsi="Arial" w:cs="Arial"/>
          <w:sz w:val="22"/>
          <w:szCs w:val="22"/>
        </w:rPr>
        <w:t>2 391</w:t>
      </w:r>
      <w:r w:rsidRPr="00F50931">
        <w:rPr>
          <w:rFonts w:ascii="Arial" w:hAnsi="Arial" w:cs="Arial"/>
          <w:sz w:val="22"/>
          <w:szCs w:val="22"/>
        </w:rPr>
        <w:t xml:space="preserve"> uchazečů o zaměstnání a p</w:t>
      </w:r>
      <w:r>
        <w:rPr>
          <w:rFonts w:ascii="Arial" w:hAnsi="Arial" w:cs="Arial"/>
          <w:sz w:val="22"/>
          <w:szCs w:val="22"/>
        </w:rPr>
        <w:t>odíl nezaměstnaných osob dosáhl</w:t>
      </w:r>
      <w:r w:rsidRPr="00F50931">
        <w:rPr>
          <w:rFonts w:ascii="Arial" w:hAnsi="Arial" w:cs="Arial"/>
          <w:sz w:val="22"/>
          <w:szCs w:val="22"/>
        </w:rPr>
        <w:t xml:space="preserve"> hodnoty </w:t>
      </w:r>
      <w:r>
        <w:rPr>
          <w:rFonts w:ascii="Arial" w:hAnsi="Arial" w:cs="Arial"/>
          <w:sz w:val="22"/>
          <w:szCs w:val="22"/>
        </w:rPr>
        <w:t>9</w:t>
      </w:r>
      <w:r w:rsidRPr="00F50931">
        <w:rPr>
          <w:rFonts w:ascii="Arial" w:hAnsi="Arial" w:cs="Arial"/>
          <w:sz w:val="22"/>
          <w:szCs w:val="22"/>
        </w:rPr>
        <w:t>,</w:t>
      </w:r>
      <w:r>
        <w:rPr>
          <w:rFonts w:ascii="Arial" w:hAnsi="Arial" w:cs="Arial"/>
          <w:sz w:val="22"/>
          <w:szCs w:val="22"/>
        </w:rPr>
        <w:t>3 %.</w:t>
      </w:r>
    </w:p>
    <w:p w:rsidR="00060EFF" w:rsidRDefault="00060EFF" w:rsidP="00060EFF">
      <w:pPr>
        <w:rPr>
          <w:rFonts w:ascii="Arial" w:hAnsi="Arial" w:cs="Arial"/>
          <w:sz w:val="22"/>
          <w:szCs w:val="22"/>
          <w:u w:val="single"/>
        </w:rPr>
      </w:pPr>
    </w:p>
    <w:p w:rsidR="00060EFF" w:rsidRPr="00C3333C" w:rsidRDefault="00060EFF" w:rsidP="00060EFF">
      <w:pPr>
        <w:rPr>
          <w:rFonts w:ascii="Arial" w:hAnsi="Arial" w:cs="Arial"/>
          <w:b/>
          <w:sz w:val="22"/>
          <w:szCs w:val="22"/>
        </w:rPr>
      </w:pPr>
      <w:r w:rsidRPr="00C3333C">
        <w:rPr>
          <w:rFonts w:ascii="Arial" w:hAnsi="Arial" w:cs="Arial"/>
          <w:b/>
          <w:sz w:val="22"/>
          <w:szCs w:val="22"/>
        </w:rPr>
        <w:t>Strážnicko</w:t>
      </w:r>
    </w:p>
    <w:p w:rsidR="00060EFF" w:rsidRDefault="00060EFF" w:rsidP="00060EFF">
      <w:pPr>
        <w:spacing w:line="23" w:lineRule="atLeast"/>
        <w:rPr>
          <w:rFonts w:ascii="Arial" w:hAnsi="Arial" w:cs="Arial"/>
          <w:sz w:val="22"/>
          <w:szCs w:val="22"/>
        </w:rPr>
      </w:pPr>
    </w:p>
    <w:p w:rsidR="00060EFF" w:rsidRPr="0069063C" w:rsidRDefault="00060EFF" w:rsidP="00060EFF">
      <w:pPr>
        <w:pStyle w:val="FormtovanvHTML"/>
        <w:spacing w:line="276" w:lineRule="auto"/>
        <w:jc w:val="both"/>
        <w:rPr>
          <w:rFonts w:ascii="Arial" w:hAnsi="Arial" w:cs="Arial"/>
          <w:sz w:val="22"/>
          <w:szCs w:val="22"/>
        </w:rPr>
      </w:pPr>
      <w:r w:rsidRPr="0069063C">
        <w:rPr>
          <w:rFonts w:ascii="Arial" w:hAnsi="Arial" w:cs="Arial"/>
          <w:sz w:val="22"/>
          <w:szCs w:val="22"/>
        </w:rPr>
        <w:t>Strážnicko je mikroregionem</w:t>
      </w:r>
      <w:r w:rsidR="00F56D02">
        <w:rPr>
          <w:rFonts w:ascii="Arial" w:hAnsi="Arial" w:cs="Arial"/>
          <w:sz w:val="22"/>
          <w:szCs w:val="22"/>
        </w:rPr>
        <w:t xml:space="preserve"> s relativně významným zastoupením </w:t>
      </w:r>
      <w:r w:rsidRPr="0069063C">
        <w:rPr>
          <w:rFonts w:ascii="Arial" w:hAnsi="Arial" w:cs="Arial"/>
          <w:sz w:val="22"/>
          <w:szCs w:val="22"/>
        </w:rPr>
        <w:t>zeměděls</w:t>
      </w:r>
      <w:r w:rsidR="00F56D02">
        <w:rPr>
          <w:rFonts w:ascii="Arial" w:hAnsi="Arial" w:cs="Arial"/>
          <w:sz w:val="22"/>
          <w:szCs w:val="22"/>
        </w:rPr>
        <w:t>tví</w:t>
      </w:r>
      <w:r w:rsidRPr="0069063C">
        <w:rPr>
          <w:rFonts w:ascii="Arial" w:hAnsi="Arial" w:cs="Arial"/>
          <w:sz w:val="22"/>
          <w:szCs w:val="22"/>
        </w:rPr>
        <w:t>. Význam zemědělství je však v posledních letech menší, než tomu bývalo dříve. Ekonomickým centrem je město Strážnice. Sídlí zde největší podniky. Největším zaměstnavatelem na Strážnicku je Šohaj Strážnice, a. s., který působí</w:t>
      </w:r>
      <w:r>
        <w:rPr>
          <w:rFonts w:ascii="Arial" w:hAnsi="Arial" w:cs="Arial"/>
          <w:sz w:val="22"/>
          <w:szCs w:val="22"/>
        </w:rPr>
        <w:t xml:space="preserve"> </w:t>
      </w:r>
      <w:r w:rsidRPr="0069063C">
        <w:rPr>
          <w:rFonts w:ascii="Arial" w:hAnsi="Arial" w:cs="Arial"/>
          <w:sz w:val="22"/>
          <w:szCs w:val="22"/>
        </w:rPr>
        <w:t>v oblasti textilnictví a zaměstnává 303 zaměstnanců. Také druhý největší zaměstnavatel, Žerotín, a.s., sídlí ve Strážnici.</w:t>
      </w:r>
      <w:r>
        <w:rPr>
          <w:rFonts w:ascii="Arial" w:hAnsi="Arial" w:cs="Arial"/>
          <w:sz w:val="22"/>
          <w:szCs w:val="22"/>
        </w:rPr>
        <w:t xml:space="preserve"> </w:t>
      </w:r>
      <w:r w:rsidRPr="0069063C">
        <w:rPr>
          <w:rFonts w:ascii="Arial" w:hAnsi="Arial" w:cs="Arial"/>
          <w:sz w:val="22"/>
          <w:szCs w:val="22"/>
        </w:rPr>
        <w:t xml:space="preserve">V Mikroregionu se nachází pouze 3 obce – Radějov, Strážnice, Tvarožná Lhota.  Strážnicko je </w:t>
      </w:r>
      <w:r w:rsidR="007168E0" w:rsidRPr="007168E0">
        <w:rPr>
          <w:rFonts w:ascii="Arial" w:hAnsi="Arial" w:cs="Arial"/>
          <w:sz w:val="22"/>
          <w:szCs w:val="22"/>
        </w:rPr>
        <w:t>mikro</w:t>
      </w:r>
      <w:r w:rsidRPr="007168E0">
        <w:rPr>
          <w:rFonts w:ascii="Arial" w:hAnsi="Arial" w:cs="Arial"/>
          <w:sz w:val="22"/>
          <w:szCs w:val="22"/>
        </w:rPr>
        <w:t>regionem</w:t>
      </w:r>
      <w:r w:rsidRPr="0069063C">
        <w:rPr>
          <w:rFonts w:ascii="Arial" w:hAnsi="Arial" w:cs="Arial"/>
          <w:sz w:val="22"/>
          <w:szCs w:val="22"/>
        </w:rPr>
        <w:t xml:space="preserve"> s druhou nejvyšší hodnotou podílu nezaměstnaných osob v okrese Hodonín. K 31. 12. 2014 bylo v  mikroregionu evidováno celkem 499 uchazečů o zaměstnání a podíl nezaměstnaných osob dosáhl hodnoty 9,7 %. </w:t>
      </w:r>
    </w:p>
    <w:p w:rsidR="00060EFF" w:rsidRPr="00A311BE" w:rsidRDefault="00060EFF" w:rsidP="00060EFF">
      <w:pPr>
        <w:rPr>
          <w:rFonts w:ascii="Arial" w:hAnsi="Arial" w:cs="Arial"/>
          <w:sz w:val="22"/>
          <w:szCs w:val="22"/>
        </w:rPr>
      </w:pPr>
    </w:p>
    <w:p w:rsidR="00060EFF" w:rsidRPr="00D676E9" w:rsidRDefault="00060EFF" w:rsidP="00060EFF">
      <w:pPr>
        <w:jc w:val="both"/>
        <w:rPr>
          <w:rFonts w:ascii="Arial" w:hAnsi="Arial" w:cs="Arial"/>
          <w:b/>
          <w:sz w:val="22"/>
          <w:szCs w:val="22"/>
        </w:rPr>
      </w:pPr>
      <w:r w:rsidRPr="00D676E9">
        <w:rPr>
          <w:rFonts w:ascii="Arial" w:hAnsi="Arial" w:cs="Arial"/>
          <w:b/>
          <w:sz w:val="22"/>
          <w:szCs w:val="22"/>
        </w:rPr>
        <w:t>Veselsko</w:t>
      </w:r>
    </w:p>
    <w:p w:rsidR="00060EFF" w:rsidRDefault="00060EFF" w:rsidP="00060EFF">
      <w:pPr>
        <w:jc w:val="both"/>
        <w:rPr>
          <w:rFonts w:ascii="Arial" w:hAnsi="Arial" w:cs="Arial"/>
          <w:sz w:val="22"/>
          <w:szCs w:val="22"/>
        </w:rPr>
      </w:pPr>
    </w:p>
    <w:p w:rsidR="00060EFF" w:rsidRDefault="00060EFF" w:rsidP="00060EFF">
      <w:pPr>
        <w:jc w:val="both"/>
        <w:rPr>
          <w:rFonts w:ascii="Arial" w:hAnsi="Arial" w:cs="Arial"/>
          <w:sz w:val="22"/>
          <w:szCs w:val="22"/>
        </w:rPr>
      </w:pPr>
      <w:r w:rsidRPr="00B61805">
        <w:rPr>
          <w:rFonts w:ascii="Arial" w:hAnsi="Arial" w:cs="Arial"/>
          <w:sz w:val="22"/>
          <w:szCs w:val="22"/>
        </w:rPr>
        <w:t>Veselí nad Moravou je také</w:t>
      </w:r>
      <w:r>
        <w:rPr>
          <w:rFonts w:ascii="Arial" w:hAnsi="Arial" w:cs="Arial"/>
          <w:sz w:val="22"/>
          <w:szCs w:val="22"/>
        </w:rPr>
        <w:t xml:space="preserve"> průmyslov</w:t>
      </w:r>
      <w:r w:rsidR="00C73A67">
        <w:rPr>
          <w:rFonts w:ascii="Arial" w:hAnsi="Arial" w:cs="Arial"/>
          <w:sz w:val="22"/>
          <w:szCs w:val="22"/>
        </w:rPr>
        <w:t>ý</w:t>
      </w:r>
      <w:r w:rsidRPr="00A311BE">
        <w:rPr>
          <w:rFonts w:ascii="Arial" w:hAnsi="Arial" w:cs="Arial"/>
          <w:sz w:val="22"/>
          <w:szCs w:val="22"/>
        </w:rPr>
        <w:t xml:space="preserve"> </w:t>
      </w:r>
      <w:r w:rsidR="00C73A67">
        <w:rPr>
          <w:rFonts w:ascii="Arial" w:hAnsi="Arial" w:cs="Arial"/>
          <w:sz w:val="22"/>
          <w:szCs w:val="22"/>
        </w:rPr>
        <w:t>mikro</w:t>
      </w:r>
      <w:r w:rsidRPr="00A311BE">
        <w:rPr>
          <w:rFonts w:ascii="Arial" w:hAnsi="Arial" w:cs="Arial"/>
          <w:sz w:val="22"/>
          <w:szCs w:val="22"/>
        </w:rPr>
        <w:t>re</w:t>
      </w:r>
      <w:r>
        <w:rPr>
          <w:rFonts w:ascii="Arial" w:hAnsi="Arial" w:cs="Arial"/>
          <w:sz w:val="22"/>
          <w:szCs w:val="22"/>
        </w:rPr>
        <w:t>gion</w:t>
      </w:r>
      <w:r w:rsidR="00C73A67">
        <w:rPr>
          <w:rFonts w:ascii="Arial" w:hAnsi="Arial" w:cs="Arial"/>
          <w:sz w:val="22"/>
          <w:szCs w:val="22"/>
        </w:rPr>
        <w:t xml:space="preserve"> s relativně významným zastoupení zemědělství. Mikroregion se nachází</w:t>
      </w:r>
      <w:r>
        <w:rPr>
          <w:rFonts w:ascii="Arial" w:hAnsi="Arial" w:cs="Arial"/>
          <w:sz w:val="22"/>
          <w:szCs w:val="22"/>
        </w:rPr>
        <w:t xml:space="preserve"> </w:t>
      </w:r>
      <w:r w:rsidRPr="00A311BE">
        <w:rPr>
          <w:rFonts w:ascii="Arial" w:hAnsi="Arial" w:cs="Arial"/>
          <w:sz w:val="22"/>
          <w:szCs w:val="22"/>
        </w:rPr>
        <w:t xml:space="preserve">ve východní části okresu, do něhož zasahuje horská část Bílých Karpat. Žije zde ze všech tří regionů nejméně obyvatel a je zde zaznamenávána poněkud paradoxně nejnižší nezaměstnanost. Jako výhoda se projevuje existující přirozená spádovost obcí na sousední hospodářsky silnější Uherskohradišťsko. Na Veselsku je většina hospodářských aktivit soustředěna do samotného města Veselí nad Moravou a do </w:t>
      </w:r>
      <w:r>
        <w:rPr>
          <w:rFonts w:ascii="Arial" w:hAnsi="Arial" w:cs="Arial"/>
          <w:sz w:val="22"/>
          <w:szCs w:val="22"/>
        </w:rPr>
        <w:t xml:space="preserve">dvou významnějších sídel – do </w:t>
      </w:r>
      <w:r w:rsidRPr="00A311BE">
        <w:rPr>
          <w:rFonts w:ascii="Arial" w:hAnsi="Arial" w:cs="Arial"/>
          <w:sz w:val="22"/>
          <w:szCs w:val="22"/>
        </w:rPr>
        <w:t>Moravského Písku a Blatnice.</w:t>
      </w:r>
      <w:r w:rsidRPr="00D676E9">
        <w:rPr>
          <w:rFonts w:ascii="Arial" w:hAnsi="Arial" w:cs="Arial"/>
          <w:sz w:val="22"/>
          <w:szCs w:val="22"/>
        </w:rPr>
        <w:t xml:space="preserve"> </w:t>
      </w:r>
      <w:r w:rsidRPr="00A311BE">
        <w:rPr>
          <w:rFonts w:ascii="Arial" w:hAnsi="Arial" w:cs="Arial"/>
          <w:sz w:val="22"/>
          <w:szCs w:val="22"/>
        </w:rPr>
        <w:t>V současné době mezi nejvýznamnější zaměstnavatele v </w:t>
      </w:r>
      <w:r>
        <w:rPr>
          <w:rFonts w:ascii="Arial" w:hAnsi="Arial" w:cs="Arial"/>
          <w:sz w:val="22"/>
          <w:szCs w:val="22"/>
        </w:rPr>
        <w:t>mikroregionu</w:t>
      </w:r>
      <w:r w:rsidRPr="00A311BE">
        <w:rPr>
          <w:rFonts w:ascii="Arial" w:hAnsi="Arial" w:cs="Arial"/>
          <w:sz w:val="22"/>
          <w:szCs w:val="22"/>
        </w:rPr>
        <w:t xml:space="preserve"> Hodonín patří společnost</w:t>
      </w:r>
      <w:r w:rsidRPr="00F50931">
        <w:rPr>
          <w:rFonts w:ascii="Arial" w:hAnsi="Arial" w:cs="Arial"/>
          <w:sz w:val="22"/>
          <w:szCs w:val="22"/>
        </w:rPr>
        <w:t xml:space="preserve"> </w:t>
      </w:r>
      <w:r w:rsidRPr="00D676E9">
        <w:rPr>
          <w:rFonts w:ascii="Arial" w:hAnsi="Arial" w:cs="Arial"/>
          <w:sz w:val="22"/>
          <w:szCs w:val="22"/>
        </w:rPr>
        <w:t>Z-Group Steel Holding, a. s.</w:t>
      </w:r>
      <w:r>
        <w:rPr>
          <w:rFonts w:ascii="Arial" w:hAnsi="Arial" w:cs="Arial"/>
          <w:sz w:val="22"/>
          <w:szCs w:val="22"/>
        </w:rPr>
        <w:t xml:space="preserve">, </w:t>
      </w:r>
      <w:r w:rsidRPr="00D676E9">
        <w:rPr>
          <w:rFonts w:ascii="Arial" w:hAnsi="Arial" w:cs="Arial"/>
          <w:sz w:val="22"/>
          <w:szCs w:val="22"/>
        </w:rPr>
        <w:t>Artech Moravia spol. s.r.o.</w:t>
      </w:r>
      <w:r>
        <w:rPr>
          <w:rFonts w:ascii="Arial" w:hAnsi="Arial" w:cs="Arial"/>
          <w:sz w:val="22"/>
          <w:szCs w:val="22"/>
        </w:rPr>
        <w:t xml:space="preserve"> a </w:t>
      </w:r>
      <w:r w:rsidRPr="005B3973">
        <w:rPr>
          <w:rFonts w:ascii="Arial" w:hAnsi="Arial" w:cs="Arial"/>
          <w:sz w:val="22"/>
          <w:szCs w:val="22"/>
        </w:rPr>
        <w:t>STIVAL Automotive s.r.o</w:t>
      </w:r>
      <w:r>
        <w:rPr>
          <w:rFonts w:ascii="Arial" w:hAnsi="Arial" w:cs="Arial"/>
          <w:sz w:val="22"/>
          <w:szCs w:val="22"/>
        </w:rPr>
        <w:t xml:space="preserve">. </w:t>
      </w:r>
      <w:r w:rsidRPr="00F50931">
        <w:rPr>
          <w:rFonts w:ascii="Arial" w:hAnsi="Arial" w:cs="Arial"/>
          <w:sz w:val="22"/>
          <w:szCs w:val="22"/>
        </w:rPr>
        <w:t xml:space="preserve">K 31. 12. 2014 bylo v  mikroregionu evidováno celkem </w:t>
      </w:r>
      <w:r>
        <w:rPr>
          <w:rFonts w:ascii="Arial" w:hAnsi="Arial" w:cs="Arial"/>
          <w:sz w:val="22"/>
          <w:szCs w:val="22"/>
        </w:rPr>
        <w:t>1 552</w:t>
      </w:r>
      <w:r w:rsidRPr="00F50931">
        <w:rPr>
          <w:rFonts w:ascii="Arial" w:hAnsi="Arial" w:cs="Arial"/>
          <w:sz w:val="22"/>
          <w:szCs w:val="22"/>
        </w:rPr>
        <w:t xml:space="preserve"> uchazečů o zaměstnání a p</w:t>
      </w:r>
      <w:r>
        <w:rPr>
          <w:rFonts w:ascii="Arial" w:hAnsi="Arial" w:cs="Arial"/>
          <w:sz w:val="22"/>
          <w:szCs w:val="22"/>
        </w:rPr>
        <w:t>odíl nezaměstnaných osob dosáhl</w:t>
      </w:r>
      <w:r w:rsidRPr="00F50931">
        <w:rPr>
          <w:rFonts w:ascii="Arial" w:hAnsi="Arial" w:cs="Arial"/>
          <w:sz w:val="22"/>
          <w:szCs w:val="22"/>
        </w:rPr>
        <w:t xml:space="preserve"> hodnoty </w:t>
      </w:r>
      <w:r>
        <w:rPr>
          <w:rFonts w:ascii="Arial" w:hAnsi="Arial" w:cs="Arial"/>
          <w:sz w:val="22"/>
          <w:szCs w:val="22"/>
        </w:rPr>
        <w:t>9</w:t>
      </w:r>
      <w:r w:rsidRPr="00F50931">
        <w:rPr>
          <w:rFonts w:ascii="Arial" w:hAnsi="Arial" w:cs="Arial"/>
          <w:sz w:val="22"/>
          <w:szCs w:val="22"/>
        </w:rPr>
        <w:t>,</w:t>
      </w:r>
      <w:r>
        <w:rPr>
          <w:rFonts w:ascii="Arial" w:hAnsi="Arial" w:cs="Arial"/>
          <w:sz w:val="22"/>
          <w:szCs w:val="22"/>
        </w:rPr>
        <w:t>5 %.</w:t>
      </w:r>
    </w:p>
    <w:p w:rsidR="00060EFF" w:rsidRDefault="00060EFF" w:rsidP="00060EFF">
      <w:pPr>
        <w:jc w:val="both"/>
        <w:rPr>
          <w:rFonts w:ascii="Arial" w:hAnsi="Arial" w:cs="Arial"/>
          <w:sz w:val="22"/>
          <w:szCs w:val="22"/>
        </w:rPr>
      </w:pPr>
    </w:p>
    <w:p w:rsidR="00060EFF" w:rsidRPr="00D676E9" w:rsidRDefault="00060EFF" w:rsidP="00060EFF">
      <w:pPr>
        <w:jc w:val="both"/>
        <w:rPr>
          <w:rFonts w:ascii="Arial" w:hAnsi="Arial" w:cs="Arial"/>
          <w:b/>
          <w:sz w:val="22"/>
          <w:szCs w:val="22"/>
        </w:rPr>
      </w:pPr>
      <w:r w:rsidRPr="00D676E9">
        <w:rPr>
          <w:rFonts w:ascii="Arial" w:hAnsi="Arial" w:cs="Arial"/>
          <w:b/>
          <w:sz w:val="22"/>
          <w:szCs w:val="22"/>
        </w:rPr>
        <w:t>Veličsko</w:t>
      </w:r>
    </w:p>
    <w:p w:rsidR="00060EFF" w:rsidRDefault="00060EFF" w:rsidP="00060EFF">
      <w:pPr>
        <w:jc w:val="both"/>
        <w:rPr>
          <w:rFonts w:ascii="Arial" w:hAnsi="Arial" w:cs="Arial"/>
          <w:sz w:val="22"/>
          <w:szCs w:val="22"/>
        </w:rPr>
      </w:pPr>
    </w:p>
    <w:p w:rsidR="00060EFF" w:rsidRDefault="00C73A67" w:rsidP="00060EFF">
      <w:pPr>
        <w:jc w:val="both"/>
        <w:rPr>
          <w:rFonts w:ascii="Arial" w:hAnsi="Arial" w:cs="Arial"/>
          <w:sz w:val="22"/>
          <w:szCs w:val="22"/>
        </w:rPr>
      </w:pPr>
      <w:r>
        <w:rPr>
          <w:rFonts w:ascii="Arial" w:hAnsi="Arial" w:cs="Arial"/>
          <w:sz w:val="22"/>
          <w:szCs w:val="22"/>
        </w:rPr>
        <w:t xml:space="preserve">Veličsko je </w:t>
      </w:r>
      <w:r w:rsidR="00060EFF">
        <w:rPr>
          <w:rFonts w:ascii="Arial" w:hAnsi="Arial" w:cs="Arial"/>
          <w:sz w:val="22"/>
          <w:szCs w:val="22"/>
        </w:rPr>
        <w:t>mikroregion</w:t>
      </w:r>
      <w:r>
        <w:rPr>
          <w:rFonts w:ascii="Arial" w:hAnsi="Arial" w:cs="Arial"/>
          <w:sz w:val="22"/>
          <w:szCs w:val="22"/>
        </w:rPr>
        <w:t>em</w:t>
      </w:r>
      <w:r w:rsidR="00060EFF">
        <w:rPr>
          <w:rFonts w:ascii="Arial" w:hAnsi="Arial" w:cs="Arial"/>
          <w:sz w:val="22"/>
          <w:szCs w:val="22"/>
        </w:rPr>
        <w:t xml:space="preserve"> ležící v nejvýchodnější části okresu Hodonín, </w:t>
      </w:r>
      <w:r w:rsidR="00060EFF" w:rsidRPr="00A311BE">
        <w:rPr>
          <w:rFonts w:ascii="Arial" w:hAnsi="Arial" w:cs="Arial"/>
          <w:sz w:val="22"/>
          <w:szCs w:val="22"/>
        </w:rPr>
        <w:t>do něhož zasahuje horská část Bílých Karpat.</w:t>
      </w:r>
      <w:r w:rsidR="00060EFF">
        <w:rPr>
          <w:rFonts w:ascii="Arial" w:hAnsi="Arial" w:cs="Arial"/>
          <w:sz w:val="22"/>
          <w:szCs w:val="22"/>
        </w:rPr>
        <w:t xml:space="preserve">  </w:t>
      </w:r>
      <w:r w:rsidR="00060EFF" w:rsidRPr="00A311BE">
        <w:rPr>
          <w:rFonts w:ascii="Arial" w:hAnsi="Arial" w:cs="Arial"/>
          <w:sz w:val="22"/>
          <w:szCs w:val="22"/>
        </w:rPr>
        <w:t xml:space="preserve">Veličsko díky své odlehlosti a částečně i velké závislosti na </w:t>
      </w:r>
      <w:r w:rsidR="0094464A">
        <w:rPr>
          <w:rFonts w:ascii="Arial" w:hAnsi="Arial" w:cs="Arial"/>
          <w:sz w:val="22"/>
          <w:szCs w:val="22"/>
        </w:rPr>
        <w:t>jednom</w:t>
      </w:r>
      <w:r w:rsidR="00060EFF" w:rsidRPr="00A311BE">
        <w:rPr>
          <w:rFonts w:ascii="Arial" w:hAnsi="Arial" w:cs="Arial"/>
          <w:sz w:val="22"/>
          <w:szCs w:val="22"/>
        </w:rPr>
        <w:t xml:space="preserve"> zaměstnavateli (Kordárna Plus), mívá spolu s Hodonínskem největší problémy </w:t>
      </w:r>
      <w:r w:rsidR="0094464A">
        <w:rPr>
          <w:rFonts w:ascii="Arial" w:hAnsi="Arial" w:cs="Arial"/>
          <w:sz w:val="22"/>
          <w:szCs w:val="22"/>
        </w:rPr>
        <w:br/>
      </w:r>
      <w:r w:rsidR="00060EFF" w:rsidRPr="00A311BE">
        <w:rPr>
          <w:rFonts w:ascii="Arial" w:hAnsi="Arial" w:cs="Arial"/>
          <w:sz w:val="22"/>
          <w:szCs w:val="22"/>
        </w:rPr>
        <w:t xml:space="preserve">s nezaměstnaností. </w:t>
      </w:r>
      <w:r w:rsidR="00060EFF" w:rsidRPr="00F50931">
        <w:rPr>
          <w:rFonts w:ascii="Arial" w:hAnsi="Arial" w:cs="Arial"/>
          <w:sz w:val="22"/>
          <w:szCs w:val="22"/>
        </w:rPr>
        <w:t xml:space="preserve">K 31. 12. 2014 bylo v  mikroregionu evidováno celkem </w:t>
      </w:r>
      <w:r w:rsidR="00060EFF">
        <w:rPr>
          <w:rFonts w:ascii="Arial" w:hAnsi="Arial" w:cs="Arial"/>
          <w:sz w:val="22"/>
          <w:szCs w:val="22"/>
        </w:rPr>
        <w:t>545</w:t>
      </w:r>
      <w:r w:rsidR="00060EFF" w:rsidRPr="00F50931">
        <w:rPr>
          <w:rFonts w:ascii="Arial" w:hAnsi="Arial" w:cs="Arial"/>
          <w:sz w:val="22"/>
          <w:szCs w:val="22"/>
        </w:rPr>
        <w:t xml:space="preserve"> uchazečů </w:t>
      </w:r>
      <w:r w:rsidR="0094464A">
        <w:rPr>
          <w:rFonts w:ascii="Arial" w:hAnsi="Arial" w:cs="Arial"/>
          <w:sz w:val="22"/>
          <w:szCs w:val="22"/>
        </w:rPr>
        <w:br/>
      </w:r>
      <w:r w:rsidR="00060EFF" w:rsidRPr="00F50931">
        <w:rPr>
          <w:rFonts w:ascii="Arial" w:hAnsi="Arial" w:cs="Arial"/>
          <w:sz w:val="22"/>
          <w:szCs w:val="22"/>
        </w:rPr>
        <w:t>o zaměstnání a p</w:t>
      </w:r>
      <w:r w:rsidR="00060EFF">
        <w:rPr>
          <w:rFonts w:ascii="Arial" w:hAnsi="Arial" w:cs="Arial"/>
          <w:sz w:val="22"/>
          <w:szCs w:val="22"/>
        </w:rPr>
        <w:t>odíl nezaměstnaných osob dosáhl</w:t>
      </w:r>
      <w:r w:rsidR="00060EFF" w:rsidRPr="00F50931">
        <w:rPr>
          <w:rFonts w:ascii="Arial" w:hAnsi="Arial" w:cs="Arial"/>
          <w:sz w:val="22"/>
          <w:szCs w:val="22"/>
        </w:rPr>
        <w:t xml:space="preserve"> hodnoty </w:t>
      </w:r>
      <w:r w:rsidR="00060EFF">
        <w:rPr>
          <w:rFonts w:ascii="Arial" w:hAnsi="Arial" w:cs="Arial"/>
          <w:sz w:val="22"/>
          <w:szCs w:val="22"/>
        </w:rPr>
        <w:t>9</w:t>
      </w:r>
      <w:r w:rsidR="00060EFF" w:rsidRPr="00F50931">
        <w:rPr>
          <w:rFonts w:ascii="Arial" w:hAnsi="Arial" w:cs="Arial"/>
          <w:sz w:val="22"/>
          <w:szCs w:val="22"/>
        </w:rPr>
        <w:t>,</w:t>
      </w:r>
      <w:r w:rsidR="00060EFF">
        <w:rPr>
          <w:rFonts w:ascii="Arial" w:hAnsi="Arial" w:cs="Arial"/>
          <w:sz w:val="22"/>
          <w:szCs w:val="22"/>
        </w:rPr>
        <w:t>5 %</w:t>
      </w:r>
    </w:p>
    <w:p w:rsidR="00060EFF" w:rsidRDefault="00060EFF" w:rsidP="00060EFF">
      <w:pPr>
        <w:jc w:val="both"/>
        <w:rPr>
          <w:rFonts w:ascii="Arial" w:hAnsi="Arial" w:cs="Arial"/>
          <w:sz w:val="22"/>
          <w:szCs w:val="22"/>
        </w:rPr>
      </w:pPr>
    </w:p>
    <w:p w:rsidR="00060EFF" w:rsidRDefault="00060EFF" w:rsidP="00060EFF">
      <w:pPr>
        <w:jc w:val="both"/>
        <w:rPr>
          <w:rFonts w:ascii="Arial" w:hAnsi="Arial" w:cs="Arial"/>
          <w:b/>
          <w:sz w:val="22"/>
          <w:szCs w:val="22"/>
        </w:rPr>
      </w:pPr>
      <w:r w:rsidRPr="0060679A">
        <w:rPr>
          <w:rFonts w:ascii="Arial" w:hAnsi="Arial" w:cs="Arial"/>
          <w:b/>
          <w:sz w:val="22"/>
          <w:szCs w:val="22"/>
        </w:rPr>
        <w:t>Ždánicko</w:t>
      </w:r>
    </w:p>
    <w:p w:rsidR="00060EFF" w:rsidRDefault="00060EFF" w:rsidP="00060EFF">
      <w:pPr>
        <w:jc w:val="both"/>
        <w:rPr>
          <w:rFonts w:ascii="Arial" w:hAnsi="Arial" w:cs="Arial"/>
          <w:b/>
          <w:sz w:val="22"/>
          <w:szCs w:val="22"/>
        </w:rPr>
      </w:pPr>
    </w:p>
    <w:p w:rsidR="00060EFF" w:rsidRPr="0060679A" w:rsidRDefault="00060EFF" w:rsidP="00060EFF">
      <w:pPr>
        <w:jc w:val="both"/>
        <w:rPr>
          <w:rFonts w:ascii="Arial" w:hAnsi="Arial" w:cs="Arial"/>
          <w:b/>
          <w:sz w:val="22"/>
          <w:szCs w:val="22"/>
          <w:u w:val="single"/>
        </w:rPr>
      </w:pPr>
      <w:r>
        <w:rPr>
          <w:rFonts w:ascii="Arial" w:hAnsi="Arial" w:cs="Arial"/>
          <w:sz w:val="22"/>
          <w:szCs w:val="22"/>
        </w:rPr>
        <w:t xml:space="preserve">Nejnižší nezaměstnanost v rámci okresu vykazuje mikroregion </w:t>
      </w:r>
      <w:r w:rsidRPr="00E971F4">
        <w:rPr>
          <w:rFonts w:ascii="Arial" w:hAnsi="Arial" w:cs="Arial"/>
          <w:sz w:val="22"/>
          <w:szCs w:val="22"/>
        </w:rPr>
        <w:t>Ždánicko</w:t>
      </w:r>
      <w:r w:rsidRPr="0060679A">
        <w:rPr>
          <w:rFonts w:ascii="Arial" w:hAnsi="Arial" w:cs="Arial"/>
          <w:sz w:val="22"/>
          <w:szCs w:val="22"/>
        </w:rPr>
        <w:t>, kde pouze jediná obec (Násedlovice) dosahuje 10</w:t>
      </w:r>
      <w:r>
        <w:rPr>
          <w:rFonts w:ascii="Arial" w:hAnsi="Arial" w:cs="Arial"/>
          <w:sz w:val="22"/>
          <w:szCs w:val="22"/>
        </w:rPr>
        <w:t xml:space="preserve">,0 </w:t>
      </w:r>
      <w:r w:rsidRPr="0060679A">
        <w:rPr>
          <w:rFonts w:ascii="Arial" w:hAnsi="Arial" w:cs="Arial"/>
          <w:sz w:val="22"/>
          <w:szCs w:val="22"/>
        </w:rPr>
        <w:t>% podílu nezaměstnaných osob. Tato situace je z větší m</w:t>
      </w:r>
      <w:r>
        <w:rPr>
          <w:rFonts w:ascii="Arial" w:hAnsi="Arial" w:cs="Arial"/>
          <w:sz w:val="22"/>
          <w:szCs w:val="22"/>
        </w:rPr>
        <w:t xml:space="preserve">íry způsobena </w:t>
      </w:r>
      <w:r w:rsidR="00F56D02">
        <w:rPr>
          <w:rFonts w:ascii="Arial" w:hAnsi="Arial" w:cs="Arial"/>
          <w:sz w:val="22"/>
          <w:szCs w:val="22"/>
        </w:rPr>
        <w:t xml:space="preserve">vyjížďkou pracovní síly do </w:t>
      </w:r>
      <w:r>
        <w:rPr>
          <w:rFonts w:ascii="Arial" w:hAnsi="Arial" w:cs="Arial"/>
          <w:sz w:val="22"/>
          <w:szCs w:val="22"/>
        </w:rPr>
        <w:t>měst</w:t>
      </w:r>
      <w:r w:rsidR="00F56D02">
        <w:rPr>
          <w:rFonts w:ascii="Arial" w:hAnsi="Arial" w:cs="Arial"/>
          <w:sz w:val="22"/>
          <w:szCs w:val="22"/>
        </w:rPr>
        <w:t>a</w:t>
      </w:r>
      <w:r>
        <w:rPr>
          <w:rFonts w:ascii="Arial" w:hAnsi="Arial" w:cs="Arial"/>
          <w:sz w:val="22"/>
          <w:szCs w:val="22"/>
        </w:rPr>
        <w:t xml:space="preserve"> Brn</w:t>
      </w:r>
      <w:r w:rsidR="00F56D02">
        <w:rPr>
          <w:rFonts w:ascii="Arial" w:hAnsi="Arial" w:cs="Arial"/>
          <w:sz w:val="22"/>
          <w:szCs w:val="22"/>
        </w:rPr>
        <w:t>a</w:t>
      </w:r>
      <w:r>
        <w:rPr>
          <w:rFonts w:ascii="Arial" w:hAnsi="Arial" w:cs="Arial"/>
          <w:sz w:val="22"/>
          <w:szCs w:val="22"/>
        </w:rPr>
        <w:t>. Občané</w:t>
      </w:r>
      <w:r w:rsidRPr="0060679A">
        <w:rPr>
          <w:rFonts w:ascii="Arial" w:hAnsi="Arial" w:cs="Arial"/>
          <w:sz w:val="22"/>
          <w:szCs w:val="22"/>
        </w:rPr>
        <w:t xml:space="preserve"> z tohoto mikroregionu </w:t>
      </w:r>
      <w:r w:rsidR="00F56D02">
        <w:rPr>
          <w:rFonts w:ascii="Arial" w:hAnsi="Arial" w:cs="Arial"/>
          <w:sz w:val="22"/>
          <w:szCs w:val="22"/>
        </w:rPr>
        <w:t>tradičně</w:t>
      </w:r>
      <w:r w:rsidRPr="0060679A">
        <w:rPr>
          <w:rFonts w:ascii="Arial" w:hAnsi="Arial" w:cs="Arial"/>
          <w:sz w:val="22"/>
          <w:szCs w:val="22"/>
        </w:rPr>
        <w:t xml:space="preserve"> ve velké míře denně dojíždějí za prací do krajského města.</w:t>
      </w:r>
      <w:r w:rsidRPr="00E971F4">
        <w:rPr>
          <w:rFonts w:ascii="Arial" w:hAnsi="Arial" w:cs="Arial"/>
          <w:sz w:val="22"/>
          <w:szCs w:val="22"/>
        </w:rPr>
        <w:t xml:space="preserve"> </w:t>
      </w:r>
      <w:r w:rsidRPr="00F50931">
        <w:rPr>
          <w:rFonts w:ascii="Arial" w:hAnsi="Arial" w:cs="Arial"/>
          <w:sz w:val="22"/>
          <w:szCs w:val="22"/>
        </w:rPr>
        <w:t xml:space="preserve">K 31. 12. 2014 bylo v  mikroregionu evidováno celkem </w:t>
      </w:r>
      <w:r>
        <w:rPr>
          <w:rFonts w:ascii="Arial" w:hAnsi="Arial" w:cs="Arial"/>
          <w:sz w:val="22"/>
          <w:szCs w:val="22"/>
        </w:rPr>
        <w:t>502</w:t>
      </w:r>
      <w:r w:rsidRPr="00F50931">
        <w:rPr>
          <w:rFonts w:ascii="Arial" w:hAnsi="Arial" w:cs="Arial"/>
          <w:sz w:val="22"/>
          <w:szCs w:val="22"/>
        </w:rPr>
        <w:t xml:space="preserve"> uchazečů o zaměstnání a p</w:t>
      </w:r>
      <w:r>
        <w:rPr>
          <w:rFonts w:ascii="Arial" w:hAnsi="Arial" w:cs="Arial"/>
          <w:sz w:val="22"/>
          <w:szCs w:val="22"/>
        </w:rPr>
        <w:t>odíl nezaměstnaných osob dosáhl</w:t>
      </w:r>
      <w:r w:rsidRPr="00F50931">
        <w:rPr>
          <w:rFonts w:ascii="Arial" w:hAnsi="Arial" w:cs="Arial"/>
          <w:sz w:val="22"/>
          <w:szCs w:val="22"/>
        </w:rPr>
        <w:t xml:space="preserve"> hodnoty </w:t>
      </w:r>
      <w:r>
        <w:rPr>
          <w:rFonts w:ascii="Arial" w:hAnsi="Arial" w:cs="Arial"/>
          <w:sz w:val="22"/>
          <w:szCs w:val="22"/>
        </w:rPr>
        <w:t>8</w:t>
      </w:r>
      <w:r w:rsidRPr="00F50931">
        <w:rPr>
          <w:rFonts w:ascii="Arial" w:hAnsi="Arial" w:cs="Arial"/>
          <w:sz w:val="22"/>
          <w:szCs w:val="22"/>
        </w:rPr>
        <w:t>,</w:t>
      </w:r>
      <w:r>
        <w:rPr>
          <w:rFonts w:ascii="Arial" w:hAnsi="Arial" w:cs="Arial"/>
          <w:sz w:val="22"/>
          <w:szCs w:val="22"/>
        </w:rPr>
        <w:t>1 %.</w:t>
      </w:r>
      <w:r w:rsidRPr="00E971F4">
        <w:rPr>
          <w:rFonts w:ascii="Arial" w:hAnsi="Arial" w:cs="Arial"/>
          <w:sz w:val="22"/>
          <w:szCs w:val="22"/>
        </w:rPr>
        <w:t xml:space="preserve"> </w:t>
      </w:r>
      <w:r w:rsidRPr="00A311BE">
        <w:rPr>
          <w:rFonts w:ascii="Arial" w:hAnsi="Arial" w:cs="Arial"/>
          <w:sz w:val="22"/>
          <w:szCs w:val="22"/>
        </w:rPr>
        <w:t xml:space="preserve">Nejvýznamnější zaměstnavatel regionu je </w:t>
      </w:r>
      <w:r>
        <w:rPr>
          <w:rFonts w:ascii="Arial" w:hAnsi="Arial" w:cs="Arial"/>
          <w:sz w:val="22"/>
          <w:szCs w:val="22"/>
        </w:rPr>
        <w:t>společnost NAREX Ždánice.</w:t>
      </w:r>
    </w:p>
    <w:p w:rsidR="00060EFF" w:rsidRPr="00E971F4" w:rsidRDefault="00060EFF" w:rsidP="00060EFF">
      <w:pPr>
        <w:jc w:val="both"/>
        <w:rPr>
          <w:rFonts w:ascii="Arial" w:hAnsi="Arial" w:cs="Arial"/>
          <w:b/>
          <w:sz w:val="22"/>
          <w:szCs w:val="22"/>
        </w:rPr>
      </w:pPr>
    </w:p>
    <w:p w:rsidR="00060EFF" w:rsidRPr="00E971F4" w:rsidRDefault="00060EFF" w:rsidP="00060EFF">
      <w:pPr>
        <w:tabs>
          <w:tab w:val="left" w:pos="9214"/>
        </w:tabs>
        <w:autoSpaceDE w:val="0"/>
        <w:autoSpaceDN w:val="0"/>
        <w:adjustRightInd w:val="0"/>
        <w:jc w:val="both"/>
        <w:rPr>
          <w:rFonts w:ascii="Arial" w:hAnsi="Arial" w:cs="Arial"/>
          <w:sz w:val="22"/>
          <w:szCs w:val="22"/>
          <w:u w:val="single"/>
        </w:rPr>
      </w:pPr>
      <w:r w:rsidRPr="00E971F4">
        <w:rPr>
          <w:rFonts w:ascii="Arial" w:hAnsi="Arial" w:cs="Arial"/>
          <w:sz w:val="22"/>
          <w:szCs w:val="22"/>
        </w:rPr>
        <w:t>Důvody vysokého podílu nezaměstnaných v</w:t>
      </w:r>
      <w:r>
        <w:rPr>
          <w:rFonts w:ascii="Arial" w:hAnsi="Arial" w:cs="Arial"/>
          <w:sz w:val="22"/>
          <w:szCs w:val="22"/>
        </w:rPr>
        <w:t>e výše</w:t>
      </w:r>
      <w:r w:rsidRPr="00E971F4">
        <w:rPr>
          <w:rFonts w:ascii="Arial" w:hAnsi="Arial" w:cs="Arial"/>
          <w:sz w:val="22"/>
          <w:szCs w:val="22"/>
        </w:rPr>
        <w:t xml:space="preserve"> uvedených regionech </w:t>
      </w:r>
      <w:r w:rsidR="00C73A67">
        <w:rPr>
          <w:rFonts w:ascii="Arial" w:hAnsi="Arial" w:cs="Arial"/>
          <w:sz w:val="22"/>
          <w:szCs w:val="22"/>
        </w:rPr>
        <w:t xml:space="preserve">lze nejspíše spatřovat v jejich relativně </w:t>
      </w:r>
      <w:r w:rsidR="00F56D02">
        <w:rPr>
          <w:rFonts w:ascii="Arial" w:hAnsi="Arial" w:cs="Arial"/>
          <w:sz w:val="22"/>
          <w:szCs w:val="22"/>
        </w:rPr>
        <w:t>významné</w:t>
      </w:r>
      <w:r w:rsidR="00C73A67">
        <w:rPr>
          <w:rFonts w:ascii="Arial" w:hAnsi="Arial" w:cs="Arial"/>
          <w:sz w:val="22"/>
          <w:szCs w:val="22"/>
        </w:rPr>
        <w:t xml:space="preserve">m zastoupení zemědělství ve struktuře národního hospodářství </w:t>
      </w:r>
      <w:r w:rsidRPr="00E971F4">
        <w:rPr>
          <w:rFonts w:ascii="Arial" w:hAnsi="Arial" w:cs="Arial"/>
          <w:sz w:val="22"/>
          <w:szCs w:val="22"/>
        </w:rPr>
        <w:t xml:space="preserve">– toto provází víceméně všechny výše citované regiony. Dalším důvodem je </w:t>
      </w:r>
      <w:r w:rsidRPr="007168E0">
        <w:rPr>
          <w:rFonts w:ascii="Arial" w:hAnsi="Arial" w:cs="Arial"/>
          <w:sz w:val="22"/>
          <w:szCs w:val="22"/>
        </w:rPr>
        <w:t>značný</w:t>
      </w:r>
      <w:r w:rsidR="007168E0">
        <w:rPr>
          <w:rFonts w:ascii="Arial" w:hAnsi="Arial" w:cs="Arial"/>
          <w:sz w:val="22"/>
          <w:szCs w:val="22"/>
        </w:rPr>
        <w:t xml:space="preserve"> </w:t>
      </w:r>
      <w:r w:rsidRPr="00E971F4">
        <w:rPr>
          <w:rFonts w:ascii="Arial" w:hAnsi="Arial" w:cs="Arial"/>
          <w:sz w:val="22"/>
          <w:szCs w:val="22"/>
        </w:rPr>
        <w:t>úbytek pracovních příležitostí v souvislosti s restrukturalizací hospodářských odvětví sahající do devadesátých let minulého století, a to především ve spádových centrech – Kyjově (úbytek míst např. ve sklářském a šroubárenském průmyslu) a zejména Hodoníně, kam byli obyvatelé z mikroregionů léta zvyklí dojíždět za prací.</w:t>
      </w:r>
    </w:p>
    <w:p w:rsidR="00060EFF" w:rsidRDefault="00060EFF" w:rsidP="00060EFF">
      <w:pPr>
        <w:tabs>
          <w:tab w:val="left" w:pos="9214"/>
        </w:tabs>
        <w:autoSpaceDE w:val="0"/>
        <w:autoSpaceDN w:val="0"/>
        <w:adjustRightInd w:val="0"/>
        <w:jc w:val="both"/>
        <w:rPr>
          <w:rFonts w:ascii="Arial" w:hAnsi="Arial" w:cs="Arial"/>
          <w:sz w:val="22"/>
          <w:szCs w:val="22"/>
          <w:u w:val="single"/>
        </w:rPr>
      </w:pPr>
    </w:p>
    <w:p w:rsidR="00C112A9" w:rsidRDefault="00C112A9" w:rsidP="00060EFF">
      <w:pPr>
        <w:tabs>
          <w:tab w:val="left" w:pos="9214"/>
        </w:tabs>
        <w:autoSpaceDE w:val="0"/>
        <w:autoSpaceDN w:val="0"/>
        <w:adjustRightInd w:val="0"/>
        <w:jc w:val="both"/>
        <w:rPr>
          <w:rFonts w:ascii="Arial" w:hAnsi="Arial" w:cs="Arial"/>
          <w:sz w:val="22"/>
          <w:szCs w:val="22"/>
          <w:u w:val="single"/>
        </w:rPr>
      </w:pPr>
    </w:p>
    <w:p w:rsidR="00060EFF" w:rsidRPr="00C73A67" w:rsidRDefault="00060EFF" w:rsidP="00060EFF">
      <w:pPr>
        <w:tabs>
          <w:tab w:val="left" w:pos="9214"/>
        </w:tabs>
        <w:autoSpaceDE w:val="0"/>
        <w:autoSpaceDN w:val="0"/>
        <w:adjustRightInd w:val="0"/>
        <w:jc w:val="both"/>
        <w:rPr>
          <w:rFonts w:ascii="Arial" w:hAnsi="Arial" w:cs="Arial"/>
          <w:b/>
          <w:sz w:val="22"/>
          <w:szCs w:val="22"/>
          <w:u w:val="single"/>
        </w:rPr>
      </w:pPr>
      <w:r w:rsidRPr="00C73A67">
        <w:rPr>
          <w:rFonts w:ascii="Arial" w:hAnsi="Arial" w:cs="Arial"/>
          <w:b/>
          <w:sz w:val="22"/>
          <w:szCs w:val="22"/>
          <w:u w:val="single"/>
        </w:rPr>
        <w:t>Silné stránky okresu</w:t>
      </w:r>
    </w:p>
    <w:p w:rsidR="00060EFF" w:rsidRPr="00B61805" w:rsidRDefault="00060EFF" w:rsidP="00060EFF">
      <w:pPr>
        <w:rPr>
          <w:rFonts w:ascii="Arial" w:hAnsi="Arial" w:cs="Arial"/>
          <w:sz w:val="22"/>
          <w:szCs w:val="22"/>
        </w:rPr>
      </w:pPr>
    </w:p>
    <w:p w:rsidR="00060EFF" w:rsidRPr="00B61805" w:rsidRDefault="00060EFF" w:rsidP="00060EFF">
      <w:pPr>
        <w:pStyle w:val="Odstavecseseznamem"/>
        <w:numPr>
          <w:ilvl w:val="0"/>
          <w:numId w:val="7"/>
        </w:numPr>
        <w:spacing w:after="200"/>
        <w:contextualSpacing/>
        <w:rPr>
          <w:rFonts w:ascii="Arial" w:hAnsi="Arial" w:cs="Arial"/>
          <w:sz w:val="22"/>
          <w:szCs w:val="22"/>
        </w:rPr>
      </w:pPr>
      <w:r w:rsidRPr="00B61805">
        <w:rPr>
          <w:rFonts w:ascii="Arial" w:hAnsi="Arial" w:cs="Arial"/>
          <w:sz w:val="22"/>
          <w:szCs w:val="22"/>
        </w:rPr>
        <w:t>blízkost dálnice D2 a hustá síť dopravní infrastruktury</w:t>
      </w:r>
    </w:p>
    <w:p w:rsidR="00060EFF" w:rsidRPr="00B61805" w:rsidRDefault="00060EFF" w:rsidP="00060EFF">
      <w:pPr>
        <w:pStyle w:val="Odstavecseseznamem"/>
        <w:numPr>
          <w:ilvl w:val="0"/>
          <w:numId w:val="7"/>
        </w:numPr>
        <w:spacing w:after="200"/>
        <w:contextualSpacing/>
        <w:rPr>
          <w:rFonts w:ascii="Arial" w:hAnsi="Arial" w:cs="Arial"/>
          <w:sz w:val="22"/>
          <w:szCs w:val="22"/>
        </w:rPr>
      </w:pPr>
      <w:r w:rsidRPr="00B61805">
        <w:rPr>
          <w:rFonts w:ascii="Arial" w:hAnsi="Arial" w:cs="Arial"/>
          <w:sz w:val="22"/>
          <w:szCs w:val="22"/>
        </w:rPr>
        <w:t>vysoká podpora zaměstnávání z národních i evropských zdrojů</w:t>
      </w:r>
    </w:p>
    <w:p w:rsidR="00060EFF" w:rsidRPr="00B61805" w:rsidRDefault="00060EFF" w:rsidP="00060EFF">
      <w:pPr>
        <w:pStyle w:val="Odstavecseseznamem"/>
        <w:numPr>
          <w:ilvl w:val="0"/>
          <w:numId w:val="7"/>
        </w:numPr>
        <w:spacing w:after="200"/>
        <w:contextualSpacing/>
        <w:rPr>
          <w:rFonts w:ascii="Arial" w:hAnsi="Arial" w:cs="Arial"/>
          <w:sz w:val="22"/>
          <w:szCs w:val="22"/>
        </w:rPr>
      </w:pPr>
      <w:r w:rsidRPr="00B61805">
        <w:rPr>
          <w:rFonts w:ascii="Arial" w:hAnsi="Arial" w:cs="Arial"/>
          <w:sz w:val="22"/>
          <w:szCs w:val="22"/>
        </w:rPr>
        <w:t>příhodné podmínky pro zemědělství</w:t>
      </w:r>
    </w:p>
    <w:p w:rsidR="00060EFF" w:rsidRPr="00B61805" w:rsidRDefault="00060EFF" w:rsidP="00060EFF">
      <w:pPr>
        <w:pStyle w:val="Odstavecseseznamem"/>
        <w:numPr>
          <w:ilvl w:val="0"/>
          <w:numId w:val="7"/>
        </w:numPr>
        <w:spacing w:after="200"/>
        <w:contextualSpacing/>
        <w:rPr>
          <w:rFonts w:ascii="Arial" w:hAnsi="Arial" w:cs="Arial"/>
          <w:sz w:val="22"/>
          <w:szCs w:val="22"/>
        </w:rPr>
      </w:pPr>
      <w:r w:rsidRPr="00B61805">
        <w:rPr>
          <w:rFonts w:ascii="Arial" w:hAnsi="Arial" w:cs="Arial"/>
          <w:sz w:val="22"/>
          <w:szCs w:val="22"/>
        </w:rPr>
        <w:t>tradice průmyslové výroby</w:t>
      </w:r>
    </w:p>
    <w:p w:rsidR="00060EFF" w:rsidRPr="00B61805" w:rsidRDefault="00060EFF" w:rsidP="00060EFF">
      <w:pPr>
        <w:rPr>
          <w:rFonts w:ascii="Arial" w:hAnsi="Arial" w:cs="Arial"/>
          <w:sz w:val="22"/>
          <w:szCs w:val="22"/>
        </w:rPr>
      </w:pPr>
    </w:p>
    <w:p w:rsidR="00060EFF" w:rsidRPr="00C73A67" w:rsidRDefault="00060EFF" w:rsidP="00060EFF">
      <w:pPr>
        <w:tabs>
          <w:tab w:val="left" w:pos="9214"/>
        </w:tabs>
        <w:autoSpaceDE w:val="0"/>
        <w:autoSpaceDN w:val="0"/>
        <w:adjustRightInd w:val="0"/>
        <w:jc w:val="both"/>
        <w:rPr>
          <w:rFonts w:ascii="Arial" w:hAnsi="Arial" w:cs="Arial"/>
          <w:b/>
          <w:sz w:val="22"/>
          <w:szCs w:val="22"/>
          <w:u w:val="single"/>
        </w:rPr>
      </w:pPr>
      <w:r w:rsidRPr="00C73A67">
        <w:rPr>
          <w:rFonts w:ascii="Arial" w:hAnsi="Arial" w:cs="Arial"/>
          <w:b/>
          <w:sz w:val="22"/>
          <w:szCs w:val="22"/>
          <w:u w:val="single"/>
        </w:rPr>
        <w:t>Slabé stránky okresu</w:t>
      </w:r>
    </w:p>
    <w:p w:rsidR="00060EFF" w:rsidRPr="00B61805" w:rsidRDefault="00060EFF" w:rsidP="00060EFF">
      <w:pPr>
        <w:rPr>
          <w:rFonts w:ascii="Arial" w:hAnsi="Arial" w:cs="Arial"/>
          <w:sz w:val="22"/>
          <w:szCs w:val="22"/>
        </w:rPr>
      </w:pPr>
    </w:p>
    <w:p w:rsidR="00060EFF" w:rsidRPr="00B61805" w:rsidRDefault="00060EFF" w:rsidP="00060EFF">
      <w:pPr>
        <w:pStyle w:val="Odstavecseseznamem"/>
        <w:numPr>
          <w:ilvl w:val="0"/>
          <w:numId w:val="8"/>
        </w:numPr>
        <w:spacing w:after="200"/>
        <w:contextualSpacing/>
        <w:rPr>
          <w:rFonts w:ascii="Arial" w:hAnsi="Arial" w:cs="Arial"/>
          <w:sz w:val="22"/>
          <w:szCs w:val="22"/>
        </w:rPr>
      </w:pPr>
      <w:r w:rsidRPr="00B61805">
        <w:rPr>
          <w:rFonts w:ascii="Arial" w:hAnsi="Arial" w:cs="Arial"/>
          <w:sz w:val="22"/>
          <w:szCs w:val="22"/>
        </w:rPr>
        <w:t>nadprůměrná nezaměstnanost</w:t>
      </w:r>
    </w:p>
    <w:p w:rsidR="00060EFF" w:rsidRPr="00B61805" w:rsidRDefault="00060EFF" w:rsidP="00060EFF">
      <w:pPr>
        <w:pStyle w:val="Odstavecseseznamem"/>
        <w:numPr>
          <w:ilvl w:val="0"/>
          <w:numId w:val="8"/>
        </w:numPr>
        <w:spacing w:after="200"/>
        <w:contextualSpacing/>
        <w:rPr>
          <w:rFonts w:ascii="Arial" w:hAnsi="Arial" w:cs="Arial"/>
          <w:sz w:val="22"/>
          <w:szCs w:val="22"/>
        </w:rPr>
      </w:pPr>
      <w:r w:rsidRPr="00B61805">
        <w:rPr>
          <w:rFonts w:ascii="Arial" w:hAnsi="Arial" w:cs="Arial"/>
          <w:sz w:val="22"/>
          <w:szCs w:val="22"/>
        </w:rPr>
        <w:t>na rozlohu okresu atypicky vysoký počet obyvatel, a tudíž i vysoká pracovní síla, pro kterou v okrajovém regionu republiky trh práce negeneruje dostatek pracovních příležitostí.</w:t>
      </w:r>
    </w:p>
    <w:p w:rsidR="00060EFF" w:rsidRPr="00B61805" w:rsidRDefault="00060EFF" w:rsidP="00060EFF">
      <w:pPr>
        <w:pStyle w:val="Odstavecseseznamem"/>
        <w:numPr>
          <w:ilvl w:val="0"/>
          <w:numId w:val="8"/>
        </w:numPr>
        <w:spacing w:after="200"/>
        <w:contextualSpacing/>
        <w:rPr>
          <w:rFonts w:ascii="Arial" w:hAnsi="Arial" w:cs="Arial"/>
          <w:sz w:val="22"/>
          <w:szCs w:val="22"/>
        </w:rPr>
      </w:pPr>
      <w:r w:rsidRPr="00B61805">
        <w:rPr>
          <w:rFonts w:ascii="Arial" w:hAnsi="Arial" w:cs="Arial"/>
          <w:sz w:val="22"/>
          <w:szCs w:val="22"/>
        </w:rPr>
        <w:t xml:space="preserve">sezónnost trhu práce </w:t>
      </w:r>
    </w:p>
    <w:p w:rsidR="00060EFF" w:rsidRPr="00B61805" w:rsidRDefault="00060EFF" w:rsidP="00060EFF">
      <w:pPr>
        <w:pStyle w:val="Odstavecseseznamem"/>
        <w:numPr>
          <w:ilvl w:val="0"/>
          <w:numId w:val="8"/>
        </w:numPr>
        <w:tabs>
          <w:tab w:val="left" w:pos="9214"/>
        </w:tabs>
        <w:autoSpaceDE w:val="0"/>
        <w:autoSpaceDN w:val="0"/>
        <w:adjustRightInd w:val="0"/>
        <w:jc w:val="both"/>
        <w:rPr>
          <w:rFonts w:ascii="Arial" w:hAnsi="Arial" w:cs="Arial"/>
          <w:sz w:val="22"/>
          <w:szCs w:val="22"/>
        </w:rPr>
      </w:pPr>
      <w:r w:rsidRPr="00B61805">
        <w:rPr>
          <w:rFonts w:ascii="Arial" w:hAnsi="Arial" w:cs="Arial"/>
          <w:sz w:val="22"/>
          <w:szCs w:val="22"/>
        </w:rPr>
        <w:t>nízká úroveň vzdělanosti obyvatelstva</w:t>
      </w:r>
    </w:p>
    <w:p w:rsidR="00060EFF" w:rsidRPr="00C10408" w:rsidRDefault="00060EFF" w:rsidP="00060EFF">
      <w:pPr>
        <w:pStyle w:val="Odstavecseseznamem"/>
        <w:numPr>
          <w:ilvl w:val="0"/>
          <w:numId w:val="8"/>
        </w:numPr>
        <w:spacing w:after="200"/>
        <w:contextualSpacing/>
        <w:jc w:val="both"/>
        <w:rPr>
          <w:rFonts w:ascii="Arial" w:hAnsi="Arial" w:cs="Arial"/>
          <w:b/>
          <w:sz w:val="22"/>
          <w:szCs w:val="22"/>
        </w:rPr>
      </w:pPr>
      <w:r w:rsidRPr="00B61805">
        <w:rPr>
          <w:rFonts w:ascii="Arial" w:hAnsi="Arial" w:cs="Arial"/>
          <w:sz w:val="22"/>
          <w:szCs w:val="22"/>
        </w:rPr>
        <w:t xml:space="preserve">nízká úroveň mezd </w:t>
      </w:r>
    </w:p>
    <w:p w:rsidR="00060EFF" w:rsidRDefault="0094464A" w:rsidP="00060EFF">
      <w:pPr>
        <w:jc w:val="both"/>
        <w:rPr>
          <w:rFonts w:ascii="Arial" w:hAnsi="Arial" w:cs="Arial"/>
          <w:b/>
        </w:rPr>
      </w:pPr>
      <w:r>
        <w:rPr>
          <w:rFonts w:ascii="Arial" w:hAnsi="Arial" w:cs="Arial"/>
          <w:b/>
        </w:rPr>
        <w:t>¨</w:t>
      </w:r>
    </w:p>
    <w:p w:rsidR="0094464A" w:rsidRDefault="0094464A" w:rsidP="00060EFF">
      <w:pPr>
        <w:jc w:val="both"/>
        <w:rPr>
          <w:rFonts w:ascii="Arial" w:hAnsi="Arial" w:cs="Arial"/>
          <w:b/>
        </w:rPr>
      </w:pPr>
    </w:p>
    <w:p w:rsidR="00060EFF" w:rsidRPr="00296A41" w:rsidRDefault="00060EFF" w:rsidP="00060EFF">
      <w:pPr>
        <w:jc w:val="both"/>
        <w:rPr>
          <w:rFonts w:ascii="Arial" w:hAnsi="Arial" w:cs="Arial"/>
        </w:rPr>
      </w:pPr>
      <w:r w:rsidRPr="00296A41">
        <w:rPr>
          <w:rFonts w:ascii="Arial" w:hAnsi="Arial" w:cs="Arial"/>
          <w:b/>
        </w:rPr>
        <w:t>Okres Vyškov</w:t>
      </w:r>
    </w:p>
    <w:p w:rsidR="00060EFF" w:rsidRPr="007168E0" w:rsidRDefault="00060EFF" w:rsidP="00060EFF">
      <w:pPr>
        <w:jc w:val="both"/>
        <w:rPr>
          <w:rFonts w:ascii="Arial" w:hAnsi="Arial" w:cs="Arial"/>
          <w:sz w:val="22"/>
          <w:szCs w:val="22"/>
        </w:rPr>
      </w:pPr>
    </w:p>
    <w:p w:rsidR="00060EFF" w:rsidRDefault="00060EFF" w:rsidP="00060EFF">
      <w:pPr>
        <w:jc w:val="both"/>
        <w:rPr>
          <w:rFonts w:ascii="Arial" w:hAnsi="Arial" w:cs="Arial"/>
          <w:sz w:val="22"/>
          <w:szCs w:val="22"/>
        </w:rPr>
      </w:pPr>
      <w:r w:rsidRPr="007168E0">
        <w:rPr>
          <w:rFonts w:ascii="Arial" w:hAnsi="Arial" w:cs="Arial"/>
          <w:sz w:val="22"/>
          <w:szCs w:val="22"/>
        </w:rPr>
        <w:t>Okres Vyškov je okresem s </w:t>
      </w:r>
      <w:r w:rsidR="0094464A">
        <w:rPr>
          <w:rFonts w:ascii="Arial" w:hAnsi="Arial" w:cs="Arial"/>
          <w:sz w:val="22"/>
          <w:szCs w:val="22"/>
        </w:rPr>
        <w:t>dlouhodobě</w:t>
      </w:r>
      <w:r w:rsidRPr="007168E0">
        <w:rPr>
          <w:rFonts w:ascii="Arial" w:hAnsi="Arial" w:cs="Arial"/>
          <w:sz w:val="22"/>
          <w:szCs w:val="22"/>
        </w:rPr>
        <w:t xml:space="preserve"> nejnižší hodnotou podílu nezaměstnaných osob v Jihomoravském kraji (</w:t>
      </w:r>
      <w:r w:rsidR="0094464A">
        <w:rPr>
          <w:rFonts w:ascii="Arial" w:hAnsi="Arial" w:cs="Arial"/>
          <w:sz w:val="22"/>
          <w:szCs w:val="22"/>
        </w:rPr>
        <w:t xml:space="preserve">ke 31.12.2014 </w:t>
      </w:r>
      <w:r w:rsidRPr="007168E0">
        <w:rPr>
          <w:rFonts w:ascii="Arial" w:hAnsi="Arial" w:cs="Arial"/>
          <w:sz w:val="22"/>
          <w:szCs w:val="22"/>
        </w:rPr>
        <w:t>6,0 %).</w:t>
      </w:r>
      <w:r w:rsidR="008866F3">
        <w:rPr>
          <w:rFonts w:ascii="Arial" w:hAnsi="Arial" w:cs="Arial"/>
          <w:sz w:val="22"/>
          <w:szCs w:val="22"/>
        </w:rPr>
        <w:t xml:space="preserve"> Okres těží z relativní blízkosti a dobré dopravní dostupnosti krajského města, kam řada obyvatel dojíždí za praci. </w:t>
      </w:r>
      <w:r w:rsidRPr="007168E0">
        <w:rPr>
          <w:rFonts w:ascii="Arial" w:hAnsi="Arial" w:cs="Arial"/>
          <w:sz w:val="22"/>
          <w:szCs w:val="22"/>
        </w:rPr>
        <w:t xml:space="preserve"> Počet uchazečů na jedno pracovní místo </w:t>
      </w:r>
      <w:r w:rsidR="007168E0" w:rsidRPr="007168E0">
        <w:rPr>
          <w:rFonts w:ascii="Arial" w:hAnsi="Arial" w:cs="Arial"/>
          <w:sz w:val="22"/>
          <w:szCs w:val="22"/>
        </w:rPr>
        <w:t>dosahoval</w:t>
      </w:r>
      <w:r w:rsidRPr="007168E0">
        <w:rPr>
          <w:rFonts w:ascii="Arial" w:hAnsi="Arial" w:cs="Arial"/>
          <w:sz w:val="22"/>
          <w:szCs w:val="22"/>
        </w:rPr>
        <w:t xml:space="preserve"> </w:t>
      </w:r>
      <w:r w:rsidR="0094464A">
        <w:rPr>
          <w:rFonts w:ascii="Arial" w:hAnsi="Arial" w:cs="Arial"/>
          <w:sz w:val="22"/>
          <w:szCs w:val="22"/>
        </w:rPr>
        <w:t>ke konci roku</w:t>
      </w:r>
      <w:r w:rsidR="007168E0" w:rsidRPr="007168E0">
        <w:rPr>
          <w:rFonts w:ascii="Arial" w:hAnsi="Arial" w:cs="Arial"/>
          <w:sz w:val="22"/>
          <w:szCs w:val="22"/>
        </w:rPr>
        <w:t xml:space="preserve"> 2014</w:t>
      </w:r>
      <w:r w:rsidRPr="007168E0">
        <w:rPr>
          <w:rFonts w:ascii="Arial" w:hAnsi="Arial" w:cs="Arial"/>
          <w:sz w:val="22"/>
          <w:szCs w:val="22"/>
        </w:rPr>
        <w:t xml:space="preserve"> hodnoty 12,9. Krajská pobočka úřadu práce je v tomto okrese zastoupena dvěma kontaktními pracovišti: v Bučovicích, Slavkově a Vyškově.</w:t>
      </w:r>
    </w:p>
    <w:p w:rsidR="00C73A67" w:rsidRDefault="00C73A67" w:rsidP="00060EFF">
      <w:pPr>
        <w:jc w:val="both"/>
        <w:rPr>
          <w:rFonts w:ascii="Arial" w:hAnsi="Arial" w:cs="Arial"/>
          <w:sz w:val="22"/>
          <w:szCs w:val="22"/>
        </w:rPr>
      </w:pPr>
    </w:p>
    <w:p w:rsidR="0094464A" w:rsidRDefault="0094464A" w:rsidP="00060EFF">
      <w:pPr>
        <w:jc w:val="both"/>
        <w:rPr>
          <w:rFonts w:ascii="Arial" w:hAnsi="Arial" w:cs="Arial"/>
          <w:sz w:val="22"/>
          <w:szCs w:val="22"/>
        </w:rPr>
      </w:pPr>
    </w:p>
    <w:p w:rsidR="00060EFF" w:rsidRPr="007168E0" w:rsidRDefault="007168E0" w:rsidP="007168E0">
      <w:pPr>
        <w:pStyle w:val="Bezmezer"/>
        <w:spacing w:line="276" w:lineRule="auto"/>
        <w:rPr>
          <w:rFonts w:ascii="Arial" w:hAnsi="Arial" w:cs="Arial"/>
          <w:b/>
          <w:i/>
          <w:sz w:val="20"/>
          <w:szCs w:val="20"/>
        </w:rPr>
      </w:pPr>
      <w:r w:rsidRPr="007168E0">
        <w:rPr>
          <w:rFonts w:ascii="Arial" w:hAnsi="Arial" w:cs="Arial"/>
          <w:b/>
          <w:i/>
          <w:sz w:val="20"/>
          <w:szCs w:val="20"/>
        </w:rPr>
        <w:t xml:space="preserve">Tab. </w:t>
      </w:r>
      <w:r w:rsidRPr="007168E0">
        <w:rPr>
          <w:rFonts w:ascii="Arial" w:hAnsi="Arial" w:cs="Arial"/>
          <w:b/>
          <w:i/>
          <w:sz w:val="20"/>
          <w:szCs w:val="20"/>
        </w:rPr>
        <w:fldChar w:fldCharType="begin"/>
      </w:r>
      <w:r w:rsidRPr="007168E0">
        <w:rPr>
          <w:rFonts w:ascii="Arial" w:hAnsi="Arial" w:cs="Arial"/>
          <w:b/>
          <w:i/>
          <w:sz w:val="20"/>
          <w:szCs w:val="20"/>
        </w:rPr>
        <w:instrText xml:space="preserve"> SEQ Tab. \* ARABIC </w:instrText>
      </w:r>
      <w:r w:rsidRPr="007168E0">
        <w:rPr>
          <w:rFonts w:ascii="Arial" w:hAnsi="Arial" w:cs="Arial"/>
          <w:b/>
          <w:i/>
          <w:sz w:val="20"/>
          <w:szCs w:val="20"/>
        </w:rPr>
        <w:fldChar w:fldCharType="separate"/>
      </w:r>
      <w:r w:rsidR="004378F3">
        <w:rPr>
          <w:rFonts w:ascii="Arial" w:hAnsi="Arial" w:cs="Arial"/>
          <w:b/>
          <w:i/>
          <w:noProof/>
          <w:sz w:val="20"/>
          <w:szCs w:val="20"/>
        </w:rPr>
        <w:t>12</w:t>
      </w:r>
      <w:r w:rsidRPr="007168E0">
        <w:rPr>
          <w:rFonts w:ascii="Arial" w:hAnsi="Arial" w:cs="Arial"/>
          <w:b/>
          <w:i/>
          <w:sz w:val="20"/>
          <w:szCs w:val="20"/>
        </w:rPr>
        <w:fldChar w:fldCharType="end"/>
      </w:r>
      <w:r w:rsidR="00060EFF" w:rsidRPr="007168E0">
        <w:rPr>
          <w:rFonts w:ascii="Arial" w:hAnsi="Arial" w:cs="Arial"/>
          <w:b/>
          <w:i/>
          <w:sz w:val="20"/>
          <w:szCs w:val="20"/>
        </w:rPr>
        <w:t>: Charakteristika okresu Vyškov k 31. 12. 2014</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24"/>
        <w:gridCol w:w="1007"/>
        <w:gridCol w:w="1009"/>
        <w:gridCol w:w="1009"/>
        <w:gridCol w:w="1085"/>
        <w:gridCol w:w="1010"/>
        <w:gridCol w:w="1010"/>
        <w:gridCol w:w="1058"/>
      </w:tblGrid>
      <w:tr w:rsidR="00060EFF" w:rsidRPr="00444047" w:rsidTr="00060EFF">
        <w:trPr>
          <w:trHeight w:val="301"/>
        </w:trPr>
        <w:tc>
          <w:tcPr>
            <w:tcW w:w="1099" w:type="pct"/>
            <w:vMerge w:val="restart"/>
            <w:tcBorders>
              <w:top w:val="single" w:sz="12" w:space="0" w:color="auto"/>
              <w:bottom w:val="single" w:sz="8" w:space="0" w:color="auto"/>
              <w:right w:val="single" w:sz="12" w:space="0" w:color="auto"/>
            </w:tcBorders>
            <w:shd w:val="clear" w:color="auto" w:fill="D9D9D9" w:themeFill="background1" w:themeFillShade="D9"/>
            <w:vAlign w:val="center"/>
            <w:hideMark/>
          </w:tcPr>
          <w:p w:rsidR="00060EFF" w:rsidRPr="00444047" w:rsidRDefault="00060EFF" w:rsidP="00060EFF">
            <w:pPr>
              <w:spacing w:line="240" w:lineRule="auto"/>
              <w:jc w:val="center"/>
              <w:rPr>
                <w:rFonts w:asciiTheme="minorHAnsi" w:hAnsiTheme="minorHAnsi"/>
              </w:rPr>
            </w:pPr>
            <w:r w:rsidRPr="00444047">
              <w:rPr>
                <w:rFonts w:asciiTheme="minorHAnsi" w:hAnsiTheme="minorHAnsi"/>
                <w:sz w:val="22"/>
                <w:szCs w:val="22"/>
              </w:rPr>
              <w:t>Území</w:t>
            </w:r>
          </w:p>
        </w:tc>
        <w:tc>
          <w:tcPr>
            <w:tcW w:w="1642" w:type="pct"/>
            <w:gridSpan w:val="3"/>
            <w:tcBorders>
              <w:top w:val="single" w:sz="8" w:space="0" w:color="auto"/>
              <w:left w:val="single" w:sz="12" w:space="0" w:color="auto"/>
              <w:bottom w:val="single" w:sz="8" w:space="0" w:color="auto"/>
            </w:tcBorders>
            <w:shd w:val="clear" w:color="auto" w:fill="D9D9D9" w:themeFill="background1" w:themeFillShade="D9"/>
            <w:vAlign w:val="center"/>
            <w:hideMark/>
          </w:tcPr>
          <w:p w:rsidR="00060EFF" w:rsidRPr="00444047" w:rsidRDefault="00060EFF" w:rsidP="00060EFF">
            <w:pPr>
              <w:spacing w:line="240" w:lineRule="auto"/>
              <w:jc w:val="center"/>
              <w:rPr>
                <w:rFonts w:asciiTheme="minorHAnsi" w:hAnsiTheme="minorHAnsi"/>
              </w:rPr>
            </w:pPr>
            <w:r w:rsidRPr="00444047">
              <w:rPr>
                <w:rFonts w:asciiTheme="minorHAnsi" w:hAnsiTheme="minorHAnsi"/>
                <w:sz w:val="22"/>
                <w:szCs w:val="22"/>
              </w:rPr>
              <w:t>Počet nezaměstnaných</w:t>
            </w:r>
          </w:p>
        </w:tc>
        <w:tc>
          <w:tcPr>
            <w:tcW w:w="589" w:type="pct"/>
            <w:vMerge w:val="restart"/>
            <w:tcBorders>
              <w:top w:val="single" w:sz="8" w:space="0" w:color="auto"/>
              <w:bottom w:val="single" w:sz="12" w:space="0" w:color="auto"/>
            </w:tcBorders>
            <w:shd w:val="clear" w:color="auto" w:fill="D9D9D9" w:themeFill="background1" w:themeFillShade="D9"/>
            <w:vAlign w:val="center"/>
            <w:hideMark/>
          </w:tcPr>
          <w:p w:rsidR="00060EFF" w:rsidRPr="00444047" w:rsidRDefault="00060EFF" w:rsidP="00060EFF">
            <w:pPr>
              <w:spacing w:line="240" w:lineRule="auto"/>
              <w:jc w:val="center"/>
              <w:rPr>
                <w:rFonts w:asciiTheme="minorHAnsi" w:hAnsiTheme="minorHAnsi"/>
                <w:color w:val="000000"/>
              </w:rPr>
            </w:pPr>
            <w:r w:rsidRPr="00444047">
              <w:rPr>
                <w:rFonts w:asciiTheme="minorHAnsi" w:hAnsiTheme="minorHAnsi"/>
                <w:color w:val="000000"/>
                <w:sz w:val="22"/>
                <w:szCs w:val="22"/>
              </w:rPr>
              <w:t>Absolventi škol a mladiství</w:t>
            </w:r>
          </w:p>
        </w:tc>
        <w:tc>
          <w:tcPr>
            <w:tcW w:w="548" w:type="pct"/>
            <w:vMerge w:val="restart"/>
            <w:tcBorders>
              <w:top w:val="single" w:sz="8" w:space="0" w:color="auto"/>
              <w:bottom w:val="single" w:sz="12" w:space="0" w:color="auto"/>
            </w:tcBorders>
            <w:shd w:val="clear" w:color="auto" w:fill="D9D9D9" w:themeFill="background1" w:themeFillShade="D9"/>
            <w:vAlign w:val="center"/>
            <w:hideMark/>
          </w:tcPr>
          <w:p w:rsidR="00060EFF" w:rsidRPr="00444047" w:rsidRDefault="00060EFF" w:rsidP="00060EFF">
            <w:pPr>
              <w:spacing w:line="240" w:lineRule="auto"/>
              <w:jc w:val="center"/>
              <w:rPr>
                <w:rFonts w:asciiTheme="minorHAnsi" w:hAnsiTheme="minorHAnsi"/>
                <w:color w:val="000000"/>
              </w:rPr>
            </w:pPr>
            <w:r w:rsidRPr="00444047">
              <w:rPr>
                <w:rFonts w:asciiTheme="minorHAnsi" w:hAnsiTheme="minorHAnsi"/>
                <w:color w:val="000000"/>
                <w:sz w:val="22"/>
                <w:szCs w:val="22"/>
              </w:rPr>
              <w:t>Osoby se ZP</w:t>
            </w:r>
          </w:p>
        </w:tc>
        <w:tc>
          <w:tcPr>
            <w:tcW w:w="548" w:type="pct"/>
            <w:vMerge w:val="restart"/>
            <w:tcBorders>
              <w:top w:val="single" w:sz="8" w:space="0" w:color="auto"/>
              <w:bottom w:val="single" w:sz="12" w:space="0" w:color="auto"/>
            </w:tcBorders>
            <w:shd w:val="clear" w:color="auto" w:fill="D9D9D9" w:themeFill="background1" w:themeFillShade="D9"/>
            <w:vAlign w:val="center"/>
            <w:hideMark/>
          </w:tcPr>
          <w:p w:rsidR="00060EFF" w:rsidRPr="00444047" w:rsidRDefault="00060EFF" w:rsidP="00060EFF">
            <w:pPr>
              <w:spacing w:line="240" w:lineRule="auto"/>
              <w:jc w:val="center"/>
              <w:rPr>
                <w:rFonts w:asciiTheme="minorHAnsi" w:hAnsiTheme="minorHAnsi"/>
              </w:rPr>
            </w:pPr>
            <w:r w:rsidRPr="00444047">
              <w:rPr>
                <w:rFonts w:asciiTheme="minorHAnsi" w:hAnsiTheme="minorHAnsi"/>
                <w:sz w:val="22"/>
                <w:szCs w:val="22"/>
              </w:rPr>
              <w:t>Volná pracovní místa</w:t>
            </w:r>
          </w:p>
        </w:tc>
        <w:tc>
          <w:tcPr>
            <w:tcW w:w="574" w:type="pct"/>
            <w:vMerge w:val="restart"/>
            <w:tcBorders>
              <w:top w:val="single" w:sz="8" w:space="0" w:color="auto"/>
              <w:bottom w:val="single" w:sz="12" w:space="0" w:color="auto"/>
              <w:right w:val="single" w:sz="8" w:space="0" w:color="auto"/>
            </w:tcBorders>
            <w:shd w:val="clear" w:color="auto" w:fill="D9D9D9" w:themeFill="background1" w:themeFillShade="D9"/>
            <w:vAlign w:val="center"/>
            <w:hideMark/>
          </w:tcPr>
          <w:p w:rsidR="00060EFF" w:rsidRPr="00444047" w:rsidRDefault="00060EFF" w:rsidP="00060EFF">
            <w:pPr>
              <w:spacing w:line="240" w:lineRule="auto"/>
              <w:jc w:val="center"/>
              <w:rPr>
                <w:rFonts w:asciiTheme="minorHAnsi" w:hAnsiTheme="minorHAnsi"/>
              </w:rPr>
            </w:pPr>
            <w:r w:rsidRPr="00444047">
              <w:rPr>
                <w:rFonts w:asciiTheme="minorHAnsi" w:hAnsiTheme="minorHAnsi"/>
                <w:sz w:val="22"/>
                <w:szCs w:val="22"/>
              </w:rPr>
              <w:t>Podíl nezaměst. [%]</w:t>
            </w:r>
          </w:p>
        </w:tc>
      </w:tr>
      <w:tr w:rsidR="00060EFF" w:rsidRPr="00444047" w:rsidTr="00060EFF">
        <w:trPr>
          <w:trHeight w:val="301"/>
        </w:trPr>
        <w:tc>
          <w:tcPr>
            <w:tcW w:w="1099" w:type="pct"/>
            <w:vMerge/>
            <w:tcBorders>
              <w:top w:val="single" w:sz="8" w:space="0" w:color="auto"/>
              <w:bottom w:val="single" w:sz="8" w:space="0" w:color="auto"/>
              <w:right w:val="single" w:sz="12" w:space="0" w:color="auto"/>
            </w:tcBorders>
            <w:shd w:val="clear" w:color="auto" w:fill="D9D9D9" w:themeFill="background1" w:themeFillShade="D9"/>
            <w:vAlign w:val="center"/>
            <w:hideMark/>
          </w:tcPr>
          <w:p w:rsidR="00060EFF" w:rsidRPr="00444047" w:rsidRDefault="00060EFF" w:rsidP="00060EFF">
            <w:pPr>
              <w:spacing w:line="240" w:lineRule="auto"/>
              <w:rPr>
                <w:rFonts w:asciiTheme="minorHAnsi" w:hAnsiTheme="minorHAnsi"/>
              </w:rPr>
            </w:pPr>
          </w:p>
        </w:tc>
        <w:tc>
          <w:tcPr>
            <w:tcW w:w="547" w:type="pct"/>
            <w:vMerge w:val="restart"/>
            <w:tcBorders>
              <w:top w:val="single" w:sz="8" w:space="0" w:color="auto"/>
              <w:left w:val="single" w:sz="12" w:space="0" w:color="auto"/>
              <w:bottom w:val="single" w:sz="8" w:space="0" w:color="auto"/>
            </w:tcBorders>
            <w:shd w:val="clear" w:color="auto" w:fill="D9D9D9" w:themeFill="background1" w:themeFillShade="D9"/>
            <w:vAlign w:val="center"/>
            <w:hideMark/>
          </w:tcPr>
          <w:p w:rsidR="00060EFF" w:rsidRPr="00444047" w:rsidRDefault="00060EFF" w:rsidP="00060EFF">
            <w:pPr>
              <w:spacing w:line="240" w:lineRule="auto"/>
              <w:jc w:val="center"/>
              <w:rPr>
                <w:rFonts w:asciiTheme="minorHAnsi" w:hAnsiTheme="minorHAnsi"/>
              </w:rPr>
            </w:pPr>
            <w:r w:rsidRPr="00444047">
              <w:rPr>
                <w:rFonts w:asciiTheme="minorHAnsi" w:hAnsiTheme="minorHAnsi"/>
                <w:sz w:val="22"/>
                <w:szCs w:val="22"/>
              </w:rPr>
              <w:t>celkem</w:t>
            </w:r>
          </w:p>
        </w:tc>
        <w:tc>
          <w:tcPr>
            <w:tcW w:w="1095" w:type="pct"/>
            <w:gridSpan w:val="2"/>
            <w:tcBorders>
              <w:top w:val="single" w:sz="8" w:space="0" w:color="auto"/>
              <w:bottom w:val="single" w:sz="8" w:space="0" w:color="auto"/>
            </w:tcBorders>
            <w:shd w:val="clear" w:color="auto" w:fill="D9D9D9" w:themeFill="background1" w:themeFillShade="D9"/>
            <w:vAlign w:val="center"/>
            <w:hideMark/>
          </w:tcPr>
          <w:p w:rsidR="00060EFF" w:rsidRPr="00444047" w:rsidRDefault="00060EFF" w:rsidP="00060EFF">
            <w:pPr>
              <w:spacing w:line="240" w:lineRule="auto"/>
              <w:jc w:val="center"/>
              <w:rPr>
                <w:rFonts w:asciiTheme="minorHAnsi" w:hAnsiTheme="minorHAnsi"/>
              </w:rPr>
            </w:pPr>
            <w:r w:rsidRPr="00444047">
              <w:rPr>
                <w:rFonts w:asciiTheme="minorHAnsi" w:hAnsiTheme="minorHAnsi"/>
                <w:sz w:val="22"/>
                <w:szCs w:val="22"/>
              </w:rPr>
              <w:t>v tom</w:t>
            </w:r>
          </w:p>
        </w:tc>
        <w:tc>
          <w:tcPr>
            <w:tcW w:w="589" w:type="pct"/>
            <w:vMerge/>
            <w:tcBorders>
              <w:top w:val="single" w:sz="8" w:space="0" w:color="auto"/>
              <w:bottom w:val="single" w:sz="12" w:space="0" w:color="auto"/>
            </w:tcBorders>
            <w:vAlign w:val="center"/>
            <w:hideMark/>
          </w:tcPr>
          <w:p w:rsidR="00060EFF" w:rsidRPr="00444047" w:rsidRDefault="00060EFF" w:rsidP="00060EFF">
            <w:pPr>
              <w:spacing w:line="240" w:lineRule="auto"/>
              <w:rPr>
                <w:rFonts w:asciiTheme="minorHAnsi" w:hAnsiTheme="minorHAnsi"/>
                <w:color w:val="000000"/>
              </w:rPr>
            </w:pPr>
          </w:p>
        </w:tc>
        <w:tc>
          <w:tcPr>
            <w:tcW w:w="548" w:type="pct"/>
            <w:vMerge/>
            <w:tcBorders>
              <w:top w:val="single" w:sz="8" w:space="0" w:color="auto"/>
              <w:bottom w:val="single" w:sz="12" w:space="0" w:color="auto"/>
            </w:tcBorders>
            <w:vAlign w:val="center"/>
            <w:hideMark/>
          </w:tcPr>
          <w:p w:rsidR="00060EFF" w:rsidRPr="00444047" w:rsidRDefault="00060EFF" w:rsidP="00060EFF">
            <w:pPr>
              <w:spacing w:line="240" w:lineRule="auto"/>
              <w:rPr>
                <w:rFonts w:asciiTheme="minorHAnsi" w:hAnsiTheme="minorHAnsi"/>
                <w:color w:val="000000"/>
              </w:rPr>
            </w:pPr>
          </w:p>
        </w:tc>
        <w:tc>
          <w:tcPr>
            <w:tcW w:w="548" w:type="pct"/>
            <w:vMerge/>
            <w:tcBorders>
              <w:top w:val="single" w:sz="8" w:space="0" w:color="auto"/>
              <w:bottom w:val="single" w:sz="12" w:space="0" w:color="auto"/>
            </w:tcBorders>
            <w:vAlign w:val="center"/>
            <w:hideMark/>
          </w:tcPr>
          <w:p w:rsidR="00060EFF" w:rsidRPr="00444047" w:rsidRDefault="00060EFF" w:rsidP="00060EFF">
            <w:pPr>
              <w:spacing w:line="240" w:lineRule="auto"/>
              <w:rPr>
                <w:rFonts w:asciiTheme="minorHAnsi" w:hAnsiTheme="minorHAnsi"/>
              </w:rPr>
            </w:pPr>
          </w:p>
        </w:tc>
        <w:tc>
          <w:tcPr>
            <w:tcW w:w="574" w:type="pct"/>
            <w:vMerge/>
            <w:tcBorders>
              <w:top w:val="single" w:sz="8" w:space="0" w:color="auto"/>
              <w:bottom w:val="single" w:sz="12" w:space="0" w:color="auto"/>
              <w:right w:val="single" w:sz="8" w:space="0" w:color="auto"/>
            </w:tcBorders>
            <w:vAlign w:val="center"/>
            <w:hideMark/>
          </w:tcPr>
          <w:p w:rsidR="00060EFF" w:rsidRPr="00444047" w:rsidRDefault="00060EFF" w:rsidP="00060EFF">
            <w:pPr>
              <w:spacing w:line="240" w:lineRule="auto"/>
              <w:rPr>
                <w:rFonts w:asciiTheme="minorHAnsi" w:hAnsiTheme="minorHAnsi"/>
              </w:rPr>
            </w:pPr>
          </w:p>
        </w:tc>
      </w:tr>
      <w:tr w:rsidR="00060EFF" w:rsidRPr="00444047" w:rsidTr="00060EFF">
        <w:trPr>
          <w:trHeight w:val="315"/>
        </w:trPr>
        <w:tc>
          <w:tcPr>
            <w:tcW w:w="1099" w:type="pct"/>
            <w:vMerge/>
            <w:tcBorders>
              <w:top w:val="single" w:sz="8" w:space="0" w:color="auto"/>
              <w:bottom w:val="single" w:sz="8" w:space="0" w:color="auto"/>
              <w:right w:val="single" w:sz="12" w:space="0" w:color="auto"/>
            </w:tcBorders>
            <w:shd w:val="clear" w:color="auto" w:fill="D9D9D9" w:themeFill="background1" w:themeFillShade="D9"/>
            <w:vAlign w:val="center"/>
            <w:hideMark/>
          </w:tcPr>
          <w:p w:rsidR="00060EFF" w:rsidRPr="00444047" w:rsidRDefault="00060EFF" w:rsidP="00060EFF">
            <w:pPr>
              <w:spacing w:line="240" w:lineRule="auto"/>
              <w:rPr>
                <w:rFonts w:asciiTheme="minorHAnsi" w:hAnsiTheme="minorHAnsi"/>
              </w:rPr>
            </w:pPr>
          </w:p>
        </w:tc>
        <w:tc>
          <w:tcPr>
            <w:tcW w:w="547" w:type="pct"/>
            <w:vMerge/>
            <w:tcBorders>
              <w:top w:val="single" w:sz="8" w:space="0" w:color="auto"/>
              <w:left w:val="single" w:sz="12" w:space="0" w:color="auto"/>
              <w:bottom w:val="single" w:sz="12" w:space="0" w:color="auto"/>
            </w:tcBorders>
            <w:shd w:val="clear" w:color="auto" w:fill="D9D9D9" w:themeFill="background1" w:themeFillShade="D9"/>
            <w:vAlign w:val="center"/>
            <w:hideMark/>
          </w:tcPr>
          <w:p w:rsidR="00060EFF" w:rsidRPr="00444047" w:rsidRDefault="00060EFF" w:rsidP="00060EFF">
            <w:pPr>
              <w:spacing w:line="240" w:lineRule="auto"/>
              <w:rPr>
                <w:rFonts w:asciiTheme="minorHAnsi" w:hAnsiTheme="minorHAnsi"/>
              </w:rPr>
            </w:pPr>
          </w:p>
        </w:tc>
        <w:tc>
          <w:tcPr>
            <w:tcW w:w="548" w:type="pct"/>
            <w:tcBorders>
              <w:top w:val="single" w:sz="8" w:space="0" w:color="auto"/>
              <w:bottom w:val="single" w:sz="12" w:space="0" w:color="auto"/>
            </w:tcBorders>
            <w:shd w:val="clear" w:color="auto" w:fill="D9D9D9" w:themeFill="background1" w:themeFillShade="D9"/>
            <w:vAlign w:val="center"/>
            <w:hideMark/>
          </w:tcPr>
          <w:p w:rsidR="00060EFF" w:rsidRPr="00444047" w:rsidRDefault="00060EFF" w:rsidP="00060EFF">
            <w:pPr>
              <w:spacing w:line="240" w:lineRule="auto"/>
              <w:jc w:val="center"/>
              <w:rPr>
                <w:rFonts w:asciiTheme="minorHAnsi" w:hAnsiTheme="minorHAnsi"/>
              </w:rPr>
            </w:pPr>
            <w:r w:rsidRPr="00444047">
              <w:rPr>
                <w:rFonts w:asciiTheme="minorHAnsi" w:hAnsiTheme="minorHAnsi"/>
                <w:sz w:val="22"/>
                <w:szCs w:val="22"/>
              </w:rPr>
              <w:t>muži</w:t>
            </w:r>
          </w:p>
        </w:tc>
        <w:tc>
          <w:tcPr>
            <w:tcW w:w="548" w:type="pct"/>
            <w:tcBorders>
              <w:top w:val="single" w:sz="8" w:space="0" w:color="auto"/>
              <w:bottom w:val="single" w:sz="12" w:space="0" w:color="auto"/>
            </w:tcBorders>
            <w:shd w:val="clear" w:color="auto" w:fill="D9D9D9" w:themeFill="background1" w:themeFillShade="D9"/>
            <w:vAlign w:val="center"/>
            <w:hideMark/>
          </w:tcPr>
          <w:p w:rsidR="00060EFF" w:rsidRPr="00444047" w:rsidRDefault="00060EFF" w:rsidP="00060EFF">
            <w:pPr>
              <w:spacing w:line="240" w:lineRule="auto"/>
              <w:jc w:val="center"/>
              <w:rPr>
                <w:rFonts w:asciiTheme="minorHAnsi" w:hAnsiTheme="minorHAnsi"/>
              </w:rPr>
            </w:pPr>
            <w:r w:rsidRPr="00444047">
              <w:rPr>
                <w:rFonts w:asciiTheme="minorHAnsi" w:hAnsiTheme="minorHAnsi"/>
                <w:sz w:val="22"/>
                <w:szCs w:val="22"/>
              </w:rPr>
              <w:t>ženy</w:t>
            </w:r>
          </w:p>
        </w:tc>
        <w:tc>
          <w:tcPr>
            <w:tcW w:w="589" w:type="pct"/>
            <w:vMerge/>
            <w:tcBorders>
              <w:top w:val="single" w:sz="8" w:space="0" w:color="auto"/>
              <w:bottom w:val="single" w:sz="12" w:space="0" w:color="auto"/>
            </w:tcBorders>
            <w:vAlign w:val="center"/>
            <w:hideMark/>
          </w:tcPr>
          <w:p w:rsidR="00060EFF" w:rsidRPr="00444047" w:rsidRDefault="00060EFF" w:rsidP="00060EFF">
            <w:pPr>
              <w:spacing w:line="240" w:lineRule="auto"/>
              <w:rPr>
                <w:rFonts w:asciiTheme="minorHAnsi" w:hAnsiTheme="minorHAnsi"/>
                <w:color w:val="000000"/>
              </w:rPr>
            </w:pPr>
          </w:p>
        </w:tc>
        <w:tc>
          <w:tcPr>
            <w:tcW w:w="548" w:type="pct"/>
            <w:vMerge/>
            <w:tcBorders>
              <w:top w:val="single" w:sz="8" w:space="0" w:color="auto"/>
              <w:bottom w:val="single" w:sz="12" w:space="0" w:color="auto"/>
            </w:tcBorders>
            <w:vAlign w:val="center"/>
            <w:hideMark/>
          </w:tcPr>
          <w:p w:rsidR="00060EFF" w:rsidRPr="00444047" w:rsidRDefault="00060EFF" w:rsidP="00060EFF">
            <w:pPr>
              <w:spacing w:line="240" w:lineRule="auto"/>
              <w:rPr>
                <w:rFonts w:asciiTheme="minorHAnsi" w:hAnsiTheme="minorHAnsi"/>
                <w:color w:val="000000"/>
              </w:rPr>
            </w:pPr>
          </w:p>
        </w:tc>
        <w:tc>
          <w:tcPr>
            <w:tcW w:w="548" w:type="pct"/>
            <w:vMerge/>
            <w:tcBorders>
              <w:top w:val="single" w:sz="8" w:space="0" w:color="auto"/>
              <w:bottom w:val="single" w:sz="12" w:space="0" w:color="auto"/>
            </w:tcBorders>
            <w:vAlign w:val="center"/>
            <w:hideMark/>
          </w:tcPr>
          <w:p w:rsidR="00060EFF" w:rsidRPr="00444047" w:rsidRDefault="00060EFF" w:rsidP="00060EFF">
            <w:pPr>
              <w:spacing w:line="240" w:lineRule="auto"/>
              <w:rPr>
                <w:rFonts w:asciiTheme="minorHAnsi" w:hAnsiTheme="minorHAnsi"/>
              </w:rPr>
            </w:pPr>
          </w:p>
        </w:tc>
        <w:tc>
          <w:tcPr>
            <w:tcW w:w="574" w:type="pct"/>
            <w:vMerge/>
            <w:tcBorders>
              <w:top w:val="single" w:sz="8" w:space="0" w:color="auto"/>
              <w:bottom w:val="single" w:sz="12" w:space="0" w:color="auto"/>
              <w:right w:val="single" w:sz="8" w:space="0" w:color="auto"/>
            </w:tcBorders>
            <w:vAlign w:val="center"/>
            <w:hideMark/>
          </w:tcPr>
          <w:p w:rsidR="00060EFF" w:rsidRPr="00444047" w:rsidRDefault="00060EFF" w:rsidP="00060EFF">
            <w:pPr>
              <w:spacing w:line="240" w:lineRule="auto"/>
              <w:rPr>
                <w:rFonts w:asciiTheme="minorHAnsi" w:hAnsiTheme="minorHAnsi"/>
              </w:rPr>
            </w:pPr>
          </w:p>
        </w:tc>
      </w:tr>
      <w:tr w:rsidR="00060EFF" w:rsidRPr="00444047" w:rsidTr="00060EFF">
        <w:trPr>
          <w:trHeight w:val="301"/>
        </w:trPr>
        <w:tc>
          <w:tcPr>
            <w:tcW w:w="1099"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444047" w:rsidRDefault="00060EFF" w:rsidP="00060EFF">
            <w:pPr>
              <w:spacing w:line="240" w:lineRule="auto"/>
              <w:rPr>
                <w:rFonts w:asciiTheme="minorHAnsi" w:hAnsiTheme="minorHAnsi"/>
              </w:rPr>
            </w:pPr>
            <w:r w:rsidRPr="00444047">
              <w:rPr>
                <w:rFonts w:asciiTheme="minorHAnsi" w:hAnsiTheme="minorHAnsi"/>
                <w:sz w:val="22"/>
                <w:szCs w:val="22"/>
              </w:rPr>
              <w:t>Bučovice</w:t>
            </w:r>
          </w:p>
        </w:tc>
        <w:tc>
          <w:tcPr>
            <w:tcW w:w="547" w:type="pct"/>
            <w:tcBorders>
              <w:top w:val="single" w:sz="12" w:space="0" w:color="auto"/>
              <w:left w:val="single" w:sz="12" w:space="0" w:color="auto"/>
            </w:tcBorders>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805</w:t>
            </w:r>
          </w:p>
        </w:tc>
        <w:tc>
          <w:tcPr>
            <w:tcW w:w="548" w:type="pct"/>
            <w:tcBorders>
              <w:top w:val="single" w:sz="12" w:space="0" w:color="auto"/>
            </w:tcBorders>
            <w:shd w:val="clear" w:color="000000" w:fill="FFFFFF"/>
            <w:noWrap/>
            <w:vAlign w:val="center"/>
            <w:hideMark/>
          </w:tcPr>
          <w:p w:rsidR="00060EFF" w:rsidRPr="00444047" w:rsidRDefault="00060EFF" w:rsidP="00060EFF">
            <w:pPr>
              <w:spacing w:line="240" w:lineRule="auto"/>
              <w:jc w:val="right"/>
              <w:rPr>
                <w:rFonts w:asciiTheme="minorHAnsi" w:hAnsiTheme="minorHAnsi"/>
              </w:rPr>
            </w:pPr>
            <w:r w:rsidRPr="00444047">
              <w:rPr>
                <w:rFonts w:asciiTheme="minorHAnsi" w:hAnsiTheme="minorHAnsi"/>
                <w:sz w:val="22"/>
                <w:szCs w:val="22"/>
              </w:rPr>
              <w:t>407</w:t>
            </w:r>
          </w:p>
        </w:tc>
        <w:tc>
          <w:tcPr>
            <w:tcW w:w="548" w:type="pct"/>
            <w:tcBorders>
              <w:top w:val="single" w:sz="12" w:space="0" w:color="auto"/>
            </w:tcBorders>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398</w:t>
            </w:r>
          </w:p>
        </w:tc>
        <w:tc>
          <w:tcPr>
            <w:tcW w:w="589" w:type="pct"/>
            <w:tcBorders>
              <w:top w:val="single" w:sz="12" w:space="0" w:color="auto"/>
            </w:tcBorders>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54</w:t>
            </w:r>
          </w:p>
        </w:tc>
        <w:tc>
          <w:tcPr>
            <w:tcW w:w="548" w:type="pct"/>
            <w:tcBorders>
              <w:top w:val="single" w:sz="12" w:space="0" w:color="auto"/>
            </w:tcBorders>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88</w:t>
            </w:r>
          </w:p>
        </w:tc>
        <w:tc>
          <w:tcPr>
            <w:tcW w:w="548" w:type="pct"/>
            <w:tcBorders>
              <w:top w:val="single" w:sz="12" w:space="0" w:color="auto"/>
            </w:tcBorders>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168</w:t>
            </w:r>
          </w:p>
        </w:tc>
        <w:tc>
          <w:tcPr>
            <w:tcW w:w="574" w:type="pct"/>
            <w:tcBorders>
              <w:top w:val="single" w:sz="12" w:space="0" w:color="auto"/>
            </w:tcBorders>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7,2</w:t>
            </w:r>
          </w:p>
        </w:tc>
      </w:tr>
      <w:tr w:rsidR="00060EFF" w:rsidRPr="00444047" w:rsidTr="00060EFF">
        <w:trPr>
          <w:trHeight w:val="301"/>
        </w:trPr>
        <w:tc>
          <w:tcPr>
            <w:tcW w:w="1099"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444047" w:rsidRDefault="00060EFF" w:rsidP="00060EFF">
            <w:pPr>
              <w:spacing w:line="240" w:lineRule="auto"/>
              <w:rPr>
                <w:rFonts w:asciiTheme="minorHAnsi" w:hAnsiTheme="minorHAnsi"/>
              </w:rPr>
            </w:pPr>
            <w:r w:rsidRPr="00444047">
              <w:rPr>
                <w:rFonts w:asciiTheme="minorHAnsi" w:hAnsiTheme="minorHAnsi"/>
                <w:sz w:val="22"/>
                <w:szCs w:val="22"/>
              </w:rPr>
              <w:t>Ivanovice na Hané</w:t>
            </w:r>
          </w:p>
        </w:tc>
        <w:tc>
          <w:tcPr>
            <w:tcW w:w="547" w:type="pct"/>
            <w:tcBorders>
              <w:left w:val="single" w:sz="12" w:space="0" w:color="auto"/>
            </w:tcBorders>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229</w:t>
            </w:r>
          </w:p>
        </w:tc>
        <w:tc>
          <w:tcPr>
            <w:tcW w:w="548" w:type="pct"/>
            <w:shd w:val="clear" w:color="000000" w:fill="FFFFFF"/>
            <w:noWrap/>
            <w:vAlign w:val="center"/>
            <w:hideMark/>
          </w:tcPr>
          <w:p w:rsidR="00060EFF" w:rsidRPr="00444047" w:rsidRDefault="00060EFF" w:rsidP="00060EFF">
            <w:pPr>
              <w:spacing w:line="240" w:lineRule="auto"/>
              <w:jc w:val="right"/>
              <w:rPr>
                <w:rFonts w:asciiTheme="minorHAnsi" w:hAnsiTheme="minorHAnsi"/>
              </w:rPr>
            </w:pPr>
            <w:r w:rsidRPr="00444047">
              <w:rPr>
                <w:rFonts w:asciiTheme="minorHAnsi" w:hAnsiTheme="minorHAnsi"/>
                <w:sz w:val="22"/>
                <w:szCs w:val="22"/>
              </w:rPr>
              <w:t>137</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91</w:t>
            </w:r>
          </w:p>
        </w:tc>
        <w:tc>
          <w:tcPr>
            <w:tcW w:w="589"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14</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34</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37</w:t>
            </w:r>
          </w:p>
        </w:tc>
        <w:tc>
          <w:tcPr>
            <w:tcW w:w="574"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5,5</w:t>
            </w:r>
          </w:p>
        </w:tc>
      </w:tr>
      <w:tr w:rsidR="00060EFF" w:rsidRPr="00444047" w:rsidTr="00060EFF">
        <w:trPr>
          <w:trHeight w:val="301"/>
        </w:trPr>
        <w:tc>
          <w:tcPr>
            <w:tcW w:w="1099"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444047" w:rsidRDefault="00060EFF" w:rsidP="00060EFF">
            <w:pPr>
              <w:spacing w:line="240" w:lineRule="auto"/>
              <w:rPr>
                <w:rFonts w:asciiTheme="minorHAnsi" w:hAnsiTheme="minorHAnsi"/>
              </w:rPr>
            </w:pPr>
            <w:r w:rsidRPr="00444047">
              <w:rPr>
                <w:rFonts w:asciiTheme="minorHAnsi" w:hAnsiTheme="minorHAnsi"/>
                <w:sz w:val="22"/>
                <w:szCs w:val="22"/>
              </w:rPr>
              <w:t>Rousínov</w:t>
            </w:r>
          </w:p>
        </w:tc>
        <w:tc>
          <w:tcPr>
            <w:tcW w:w="547" w:type="pct"/>
            <w:tcBorders>
              <w:left w:val="single" w:sz="12" w:space="0" w:color="auto"/>
            </w:tcBorders>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311</w:t>
            </w:r>
          </w:p>
        </w:tc>
        <w:tc>
          <w:tcPr>
            <w:tcW w:w="548" w:type="pct"/>
            <w:shd w:val="clear" w:color="000000" w:fill="FFFFFF"/>
            <w:noWrap/>
            <w:vAlign w:val="center"/>
            <w:hideMark/>
          </w:tcPr>
          <w:p w:rsidR="00060EFF" w:rsidRPr="00444047" w:rsidRDefault="00060EFF" w:rsidP="00060EFF">
            <w:pPr>
              <w:spacing w:line="240" w:lineRule="auto"/>
              <w:jc w:val="right"/>
              <w:rPr>
                <w:rFonts w:asciiTheme="minorHAnsi" w:hAnsiTheme="minorHAnsi"/>
              </w:rPr>
            </w:pPr>
            <w:r w:rsidRPr="00444047">
              <w:rPr>
                <w:rFonts w:asciiTheme="minorHAnsi" w:hAnsiTheme="minorHAnsi"/>
                <w:sz w:val="22"/>
                <w:szCs w:val="22"/>
              </w:rPr>
              <w:t>151</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160</w:t>
            </w:r>
          </w:p>
        </w:tc>
        <w:tc>
          <w:tcPr>
            <w:tcW w:w="589"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17</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37</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33</w:t>
            </w:r>
          </w:p>
        </w:tc>
        <w:tc>
          <w:tcPr>
            <w:tcW w:w="574"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5,0</w:t>
            </w:r>
          </w:p>
        </w:tc>
      </w:tr>
      <w:tr w:rsidR="00060EFF" w:rsidRPr="00444047" w:rsidTr="00060EFF">
        <w:trPr>
          <w:trHeight w:val="301"/>
        </w:trPr>
        <w:tc>
          <w:tcPr>
            <w:tcW w:w="1099"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444047" w:rsidRDefault="00060EFF" w:rsidP="00060EFF">
            <w:pPr>
              <w:spacing w:line="240" w:lineRule="auto"/>
              <w:rPr>
                <w:rFonts w:asciiTheme="minorHAnsi" w:hAnsiTheme="minorHAnsi"/>
              </w:rPr>
            </w:pPr>
            <w:r w:rsidRPr="00444047">
              <w:rPr>
                <w:rFonts w:asciiTheme="minorHAnsi" w:hAnsiTheme="minorHAnsi"/>
                <w:sz w:val="22"/>
                <w:szCs w:val="22"/>
              </w:rPr>
              <w:t>Slavkov u Brna</w:t>
            </w:r>
          </w:p>
        </w:tc>
        <w:tc>
          <w:tcPr>
            <w:tcW w:w="547" w:type="pct"/>
            <w:tcBorders>
              <w:left w:val="single" w:sz="12" w:space="0" w:color="auto"/>
            </w:tcBorders>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806</w:t>
            </w:r>
          </w:p>
        </w:tc>
        <w:tc>
          <w:tcPr>
            <w:tcW w:w="548" w:type="pct"/>
            <w:shd w:val="clear" w:color="000000" w:fill="FFFFFF"/>
            <w:noWrap/>
            <w:vAlign w:val="center"/>
            <w:hideMark/>
          </w:tcPr>
          <w:p w:rsidR="00060EFF" w:rsidRPr="00444047" w:rsidRDefault="00060EFF" w:rsidP="00060EFF">
            <w:pPr>
              <w:spacing w:line="240" w:lineRule="auto"/>
              <w:jc w:val="right"/>
              <w:rPr>
                <w:rFonts w:asciiTheme="minorHAnsi" w:hAnsiTheme="minorHAnsi"/>
              </w:rPr>
            </w:pPr>
            <w:r w:rsidRPr="00444047">
              <w:rPr>
                <w:rFonts w:asciiTheme="minorHAnsi" w:hAnsiTheme="minorHAnsi"/>
                <w:sz w:val="22"/>
                <w:szCs w:val="22"/>
              </w:rPr>
              <w:t>386</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420</w:t>
            </w:r>
          </w:p>
        </w:tc>
        <w:tc>
          <w:tcPr>
            <w:tcW w:w="589"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61</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120</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2</w:t>
            </w:r>
          </w:p>
        </w:tc>
        <w:tc>
          <w:tcPr>
            <w:tcW w:w="574"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5,2</w:t>
            </w:r>
          </w:p>
        </w:tc>
      </w:tr>
      <w:tr w:rsidR="00060EFF" w:rsidRPr="00444047" w:rsidTr="00060EFF">
        <w:trPr>
          <w:trHeight w:val="301"/>
        </w:trPr>
        <w:tc>
          <w:tcPr>
            <w:tcW w:w="1099" w:type="pct"/>
            <w:tcBorders>
              <w:top w:val="single" w:sz="8" w:space="0" w:color="auto"/>
              <w:bottom w:val="single" w:sz="8" w:space="0" w:color="auto"/>
              <w:right w:val="single" w:sz="12" w:space="0" w:color="auto"/>
            </w:tcBorders>
            <w:shd w:val="clear" w:color="auto" w:fill="D9D9D9" w:themeFill="background1" w:themeFillShade="D9"/>
            <w:noWrap/>
            <w:vAlign w:val="center"/>
            <w:hideMark/>
          </w:tcPr>
          <w:p w:rsidR="00060EFF" w:rsidRPr="00444047" w:rsidRDefault="00060EFF" w:rsidP="00060EFF">
            <w:pPr>
              <w:spacing w:line="240" w:lineRule="auto"/>
              <w:rPr>
                <w:rFonts w:asciiTheme="minorHAnsi" w:hAnsiTheme="minorHAnsi"/>
              </w:rPr>
            </w:pPr>
            <w:r w:rsidRPr="00444047">
              <w:rPr>
                <w:rFonts w:asciiTheme="minorHAnsi" w:hAnsiTheme="minorHAnsi"/>
                <w:sz w:val="22"/>
                <w:szCs w:val="22"/>
              </w:rPr>
              <w:t>Vyškov</w:t>
            </w:r>
          </w:p>
        </w:tc>
        <w:tc>
          <w:tcPr>
            <w:tcW w:w="547" w:type="pct"/>
            <w:tcBorders>
              <w:left w:val="single" w:sz="12" w:space="0" w:color="auto"/>
            </w:tcBorders>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1 665</w:t>
            </w:r>
          </w:p>
        </w:tc>
        <w:tc>
          <w:tcPr>
            <w:tcW w:w="548" w:type="pct"/>
            <w:shd w:val="clear" w:color="000000" w:fill="FFFFFF"/>
            <w:noWrap/>
            <w:vAlign w:val="center"/>
            <w:hideMark/>
          </w:tcPr>
          <w:p w:rsidR="00060EFF" w:rsidRPr="00444047" w:rsidRDefault="00060EFF" w:rsidP="00060EFF">
            <w:pPr>
              <w:spacing w:line="240" w:lineRule="auto"/>
              <w:jc w:val="right"/>
              <w:rPr>
                <w:rFonts w:asciiTheme="minorHAnsi" w:hAnsiTheme="minorHAnsi"/>
              </w:rPr>
            </w:pPr>
            <w:r w:rsidRPr="00444047">
              <w:rPr>
                <w:rFonts w:asciiTheme="minorHAnsi" w:hAnsiTheme="minorHAnsi"/>
                <w:sz w:val="22"/>
                <w:szCs w:val="22"/>
              </w:rPr>
              <w:t>854</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811</w:t>
            </w:r>
          </w:p>
        </w:tc>
        <w:tc>
          <w:tcPr>
            <w:tcW w:w="589"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111</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226</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56</w:t>
            </w:r>
          </w:p>
        </w:tc>
        <w:tc>
          <w:tcPr>
            <w:tcW w:w="574" w:type="pct"/>
            <w:shd w:val="clear" w:color="auto" w:fill="auto"/>
            <w:noWrap/>
            <w:vAlign w:val="center"/>
            <w:hideMark/>
          </w:tcPr>
          <w:p w:rsidR="00060EFF" w:rsidRPr="00444047" w:rsidRDefault="00060EFF" w:rsidP="00060EFF">
            <w:pPr>
              <w:spacing w:line="240" w:lineRule="auto"/>
              <w:jc w:val="right"/>
              <w:rPr>
                <w:rFonts w:asciiTheme="minorHAnsi" w:hAnsiTheme="minorHAnsi"/>
                <w:color w:val="000000"/>
              </w:rPr>
            </w:pPr>
            <w:r w:rsidRPr="00444047">
              <w:rPr>
                <w:rFonts w:asciiTheme="minorHAnsi" w:hAnsiTheme="minorHAnsi"/>
                <w:color w:val="000000"/>
                <w:sz w:val="22"/>
                <w:szCs w:val="22"/>
              </w:rPr>
              <w:t>6,1</w:t>
            </w:r>
          </w:p>
        </w:tc>
      </w:tr>
      <w:tr w:rsidR="00060EFF" w:rsidRPr="00444047" w:rsidTr="00060EFF">
        <w:trPr>
          <w:trHeight w:val="315"/>
        </w:trPr>
        <w:tc>
          <w:tcPr>
            <w:tcW w:w="1099" w:type="pct"/>
            <w:tcBorders>
              <w:top w:val="single" w:sz="8" w:space="0" w:color="auto"/>
              <w:bottom w:val="single" w:sz="12" w:space="0" w:color="auto"/>
              <w:right w:val="single" w:sz="12" w:space="0" w:color="auto"/>
            </w:tcBorders>
            <w:shd w:val="clear" w:color="auto" w:fill="D9D9D9" w:themeFill="background1" w:themeFillShade="D9"/>
            <w:noWrap/>
            <w:vAlign w:val="center"/>
            <w:hideMark/>
          </w:tcPr>
          <w:p w:rsidR="00060EFF" w:rsidRPr="00444047" w:rsidRDefault="00060EFF" w:rsidP="00060EFF">
            <w:pPr>
              <w:spacing w:line="240" w:lineRule="auto"/>
              <w:rPr>
                <w:rFonts w:asciiTheme="minorHAnsi" w:hAnsiTheme="minorHAnsi"/>
                <w:b/>
                <w:bCs/>
              </w:rPr>
            </w:pPr>
            <w:r w:rsidRPr="00444047">
              <w:rPr>
                <w:rFonts w:asciiTheme="minorHAnsi" w:hAnsiTheme="minorHAnsi"/>
                <w:b/>
                <w:bCs/>
                <w:sz w:val="22"/>
                <w:szCs w:val="22"/>
              </w:rPr>
              <w:t xml:space="preserve">Okres </w:t>
            </w:r>
            <w:r>
              <w:rPr>
                <w:rFonts w:asciiTheme="minorHAnsi" w:hAnsiTheme="minorHAnsi"/>
                <w:b/>
                <w:bCs/>
                <w:sz w:val="22"/>
                <w:szCs w:val="22"/>
              </w:rPr>
              <w:t>Vyškov</w:t>
            </w:r>
          </w:p>
        </w:tc>
        <w:tc>
          <w:tcPr>
            <w:tcW w:w="547" w:type="pct"/>
            <w:tcBorders>
              <w:left w:val="single" w:sz="12" w:space="0" w:color="auto"/>
            </w:tcBorders>
            <w:shd w:val="clear" w:color="000000" w:fill="FFFFFF"/>
            <w:noWrap/>
            <w:vAlign w:val="center"/>
            <w:hideMark/>
          </w:tcPr>
          <w:p w:rsidR="00060EFF" w:rsidRPr="00444047" w:rsidRDefault="00060EFF" w:rsidP="00060EFF">
            <w:pPr>
              <w:spacing w:line="240" w:lineRule="auto"/>
              <w:jc w:val="right"/>
              <w:rPr>
                <w:rFonts w:asciiTheme="minorHAnsi" w:hAnsiTheme="minorHAnsi"/>
                <w:b/>
                <w:bCs/>
              </w:rPr>
            </w:pPr>
            <w:r w:rsidRPr="00444047">
              <w:rPr>
                <w:rFonts w:asciiTheme="minorHAnsi" w:hAnsiTheme="minorHAnsi"/>
                <w:b/>
                <w:bCs/>
                <w:sz w:val="22"/>
                <w:szCs w:val="22"/>
              </w:rPr>
              <w:t>3 816</w:t>
            </w:r>
          </w:p>
        </w:tc>
        <w:tc>
          <w:tcPr>
            <w:tcW w:w="548" w:type="pct"/>
            <w:shd w:val="clear" w:color="000000" w:fill="FFFFFF"/>
            <w:noWrap/>
            <w:vAlign w:val="center"/>
            <w:hideMark/>
          </w:tcPr>
          <w:p w:rsidR="00060EFF" w:rsidRPr="00444047" w:rsidRDefault="00060EFF" w:rsidP="00060EFF">
            <w:pPr>
              <w:spacing w:line="240" w:lineRule="auto"/>
              <w:jc w:val="right"/>
              <w:rPr>
                <w:rFonts w:asciiTheme="minorHAnsi" w:hAnsiTheme="minorHAnsi"/>
                <w:b/>
                <w:bCs/>
              </w:rPr>
            </w:pPr>
            <w:r w:rsidRPr="00444047">
              <w:rPr>
                <w:rFonts w:asciiTheme="minorHAnsi" w:hAnsiTheme="minorHAnsi"/>
                <w:b/>
                <w:bCs/>
                <w:sz w:val="22"/>
                <w:szCs w:val="22"/>
              </w:rPr>
              <w:t>1 936</w:t>
            </w:r>
          </w:p>
        </w:tc>
        <w:tc>
          <w:tcPr>
            <w:tcW w:w="548" w:type="pct"/>
            <w:shd w:val="clear" w:color="000000" w:fill="FFFFFF"/>
            <w:noWrap/>
            <w:vAlign w:val="center"/>
            <w:hideMark/>
          </w:tcPr>
          <w:p w:rsidR="00060EFF" w:rsidRPr="00444047" w:rsidRDefault="00060EFF" w:rsidP="00060EFF">
            <w:pPr>
              <w:spacing w:line="240" w:lineRule="auto"/>
              <w:jc w:val="right"/>
              <w:rPr>
                <w:rFonts w:asciiTheme="minorHAnsi" w:hAnsiTheme="minorHAnsi"/>
                <w:b/>
                <w:bCs/>
              </w:rPr>
            </w:pPr>
            <w:r w:rsidRPr="00444047">
              <w:rPr>
                <w:rFonts w:asciiTheme="minorHAnsi" w:hAnsiTheme="minorHAnsi"/>
                <w:b/>
                <w:bCs/>
                <w:sz w:val="22"/>
                <w:szCs w:val="22"/>
              </w:rPr>
              <w:t>1 880</w:t>
            </w:r>
          </w:p>
        </w:tc>
        <w:tc>
          <w:tcPr>
            <w:tcW w:w="589" w:type="pct"/>
            <w:shd w:val="clear" w:color="auto" w:fill="auto"/>
            <w:noWrap/>
            <w:vAlign w:val="center"/>
            <w:hideMark/>
          </w:tcPr>
          <w:p w:rsidR="00060EFF" w:rsidRPr="00444047" w:rsidRDefault="00060EFF" w:rsidP="00060EFF">
            <w:pPr>
              <w:spacing w:line="240" w:lineRule="auto"/>
              <w:jc w:val="right"/>
              <w:rPr>
                <w:rFonts w:asciiTheme="minorHAnsi" w:hAnsiTheme="minorHAnsi"/>
                <w:b/>
                <w:bCs/>
                <w:color w:val="000000"/>
              </w:rPr>
            </w:pPr>
            <w:r w:rsidRPr="00444047">
              <w:rPr>
                <w:rFonts w:asciiTheme="minorHAnsi" w:hAnsiTheme="minorHAnsi"/>
                <w:b/>
                <w:bCs/>
                <w:color w:val="000000"/>
                <w:sz w:val="22"/>
                <w:szCs w:val="22"/>
              </w:rPr>
              <w:t>258</w:t>
            </w:r>
          </w:p>
        </w:tc>
        <w:tc>
          <w:tcPr>
            <w:tcW w:w="548" w:type="pct"/>
            <w:shd w:val="clear" w:color="auto" w:fill="auto"/>
            <w:noWrap/>
            <w:vAlign w:val="center"/>
            <w:hideMark/>
          </w:tcPr>
          <w:p w:rsidR="00060EFF" w:rsidRPr="00444047" w:rsidRDefault="00060EFF" w:rsidP="00060EFF">
            <w:pPr>
              <w:spacing w:line="240" w:lineRule="auto"/>
              <w:jc w:val="right"/>
              <w:rPr>
                <w:rFonts w:asciiTheme="minorHAnsi" w:hAnsiTheme="minorHAnsi"/>
                <w:b/>
                <w:bCs/>
                <w:color w:val="000000"/>
              </w:rPr>
            </w:pPr>
            <w:r w:rsidRPr="00444047">
              <w:rPr>
                <w:rFonts w:asciiTheme="minorHAnsi" w:hAnsiTheme="minorHAnsi"/>
                <w:b/>
                <w:bCs/>
                <w:color w:val="000000"/>
                <w:sz w:val="22"/>
                <w:szCs w:val="22"/>
              </w:rPr>
              <w:t>505</w:t>
            </w:r>
          </w:p>
        </w:tc>
        <w:tc>
          <w:tcPr>
            <w:tcW w:w="548" w:type="pct"/>
            <w:shd w:val="clear" w:color="C0C0C0" w:fill="FFFFFF"/>
            <w:noWrap/>
            <w:vAlign w:val="center"/>
            <w:hideMark/>
          </w:tcPr>
          <w:p w:rsidR="00060EFF" w:rsidRPr="00444047" w:rsidRDefault="00060EFF" w:rsidP="00060EFF">
            <w:pPr>
              <w:spacing w:line="240" w:lineRule="auto"/>
              <w:jc w:val="right"/>
              <w:rPr>
                <w:rFonts w:asciiTheme="minorHAnsi" w:hAnsiTheme="minorHAnsi"/>
                <w:b/>
                <w:bCs/>
              </w:rPr>
            </w:pPr>
            <w:r w:rsidRPr="00444047">
              <w:rPr>
                <w:rFonts w:asciiTheme="minorHAnsi" w:hAnsiTheme="minorHAnsi"/>
                <w:b/>
                <w:bCs/>
                <w:sz w:val="22"/>
                <w:szCs w:val="22"/>
              </w:rPr>
              <w:t>296</w:t>
            </w:r>
          </w:p>
        </w:tc>
        <w:tc>
          <w:tcPr>
            <w:tcW w:w="574" w:type="pct"/>
            <w:shd w:val="clear" w:color="000000" w:fill="FFFFFF"/>
            <w:noWrap/>
            <w:vAlign w:val="center"/>
            <w:hideMark/>
          </w:tcPr>
          <w:p w:rsidR="00060EFF" w:rsidRPr="00444047" w:rsidRDefault="00060EFF" w:rsidP="00060EFF">
            <w:pPr>
              <w:spacing w:line="240" w:lineRule="auto"/>
              <w:jc w:val="right"/>
              <w:rPr>
                <w:rFonts w:asciiTheme="minorHAnsi" w:hAnsiTheme="minorHAnsi"/>
                <w:b/>
                <w:bCs/>
              </w:rPr>
            </w:pPr>
            <w:r w:rsidRPr="00444047">
              <w:rPr>
                <w:rFonts w:asciiTheme="minorHAnsi" w:hAnsiTheme="minorHAnsi"/>
                <w:b/>
                <w:bCs/>
                <w:sz w:val="22"/>
                <w:szCs w:val="22"/>
              </w:rPr>
              <w:t>6,0</w:t>
            </w:r>
          </w:p>
        </w:tc>
      </w:tr>
    </w:tbl>
    <w:p w:rsidR="00060EFF" w:rsidRPr="00444047" w:rsidRDefault="00060EFF" w:rsidP="00060EFF">
      <w:pPr>
        <w:pStyle w:val="Normlnweb"/>
        <w:spacing w:line="276" w:lineRule="auto"/>
        <w:jc w:val="both"/>
        <w:rPr>
          <w:rFonts w:ascii="Arial" w:hAnsi="Arial" w:cs="Arial"/>
          <w:noProof/>
          <w:sz w:val="20"/>
          <w:szCs w:val="20"/>
        </w:rPr>
      </w:pPr>
      <w:r w:rsidRPr="00444047">
        <w:rPr>
          <w:rFonts w:ascii="Arial" w:hAnsi="Arial" w:cs="Arial"/>
          <w:b/>
          <w:noProof/>
          <w:sz w:val="20"/>
          <w:szCs w:val="20"/>
        </w:rPr>
        <w:t>Pramen</w:t>
      </w:r>
      <w:r w:rsidRPr="00444047">
        <w:rPr>
          <w:rFonts w:ascii="Arial" w:hAnsi="Arial" w:cs="Arial"/>
          <w:noProof/>
          <w:sz w:val="20"/>
          <w:szCs w:val="20"/>
        </w:rPr>
        <w:t>: MPSV,ČR, GIS Prostorová analýza, 2014</w:t>
      </w:r>
    </w:p>
    <w:p w:rsidR="00060EFF" w:rsidRPr="007168E0" w:rsidRDefault="007168E0" w:rsidP="007168E0">
      <w:pPr>
        <w:pStyle w:val="Bezmezer"/>
        <w:spacing w:line="276" w:lineRule="auto"/>
        <w:rPr>
          <w:rFonts w:ascii="Arial" w:hAnsi="Arial" w:cs="Arial"/>
          <w:b/>
          <w:i/>
          <w:color w:val="000000"/>
          <w:sz w:val="22"/>
          <w:szCs w:val="22"/>
        </w:rPr>
      </w:pPr>
      <w:bookmarkStart w:id="26" w:name="_Toc285955407"/>
      <w:bookmarkStart w:id="27" w:name="_Toc286138757"/>
      <w:bookmarkStart w:id="28" w:name="_Toc286138902"/>
      <w:bookmarkStart w:id="29" w:name="_Toc286139000"/>
      <w:bookmarkStart w:id="30" w:name="_Toc286139773"/>
      <w:r w:rsidRPr="007168E0">
        <w:rPr>
          <w:rFonts w:ascii="Arial" w:hAnsi="Arial" w:cs="Arial"/>
          <w:b/>
          <w:i/>
          <w:sz w:val="22"/>
          <w:szCs w:val="22"/>
        </w:rPr>
        <w:t xml:space="preserve">Obr. </w:t>
      </w:r>
      <w:r w:rsidRPr="007168E0">
        <w:rPr>
          <w:rFonts w:ascii="Arial" w:hAnsi="Arial" w:cs="Arial"/>
          <w:b/>
          <w:i/>
          <w:sz w:val="22"/>
          <w:szCs w:val="22"/>
        </w:rPr>
        <w:fldChar w:fldCharType="begin"/>
      </w:r>
      <w:r w:rsidRPr="007168E0">
        <w:rPr>
          <w:rFonts w:ascii="Arial" w:hAnsi="Arial" w:cs="Arial"/>
          <w:b/>
          <w:i/>
          <w:sz w:val="22"/>
          <w:szCs w:val="22"/>
        </w:rPr>
        <w:instrText xml:space="preserve"> SEQ Obr. \* ARABIC </w:instrText>
      </w:r>
      <w:r w:rsidRPr="007168E0">
        <w:rPr>
          <w:rFonts w:ascii="Arial" w:hAnsi="Arial" w:cs="Arial"/>
          <w:b/>
          <w:i/>
          <w:sz w:val="22"/>
          <w:szCs w:val="22"/>
        </w:rPr>
        <w:fldChar w:fldCharType="separate"/>
      </w:r>
      <w:r w:rsidR="009E38FD">
        <w:rPr>
          <w:rFonts w:ascii="Arial" w:hAnsi="Arial" w:cs="Arial"/>
          <w:b/>
          <w:i/>
          <w:noProof/>
          <w:sz w:val="22"/>
          <w:szCs w:val="22"/>
        </w:rPr>
        <w:t>19</w:t>
      </w:r>
      <w:r w:rsidRPr="007168E0">
        <w:rPr>
          <w:rFonts w:ascii="Arial" w:hAnsi="Arial" w:cs="Arial"/>
          <w:b/>
          <w:i/>
          <w:sz w:val="22"/>
          <w:szCs w:val="22"/>
        </w:rPr>
        <w:fldChar w:fldCharType="end"/>
      </w:r>
      <w:r w:rsidR="00060EFF" w:rsidRPr="007168E0">
        <w:rPr>
          <w:rFonts w:ascii="Arial" w:hAnsi="Arial" w:cs="Arial"/>
          <w:b/>
          <w:i/>
          <w:noProof/>
          <w:sz w:val="22"/>
          <w:szCs w:val="22"/>
        </w:rPr>
        <w:t>: Podíl nezaměstnaných osob na obyvatelstvu 15-64 v okrese Vyškov k 31.12.2014</w:t>
      </w:r>
    </w:p>
    <w:p w:rsidR="00060EFF" w:rsidRDefault="00060EFF" w:rsidP="00060EFF">
      <w:pPr>
        <w:spacing w:before="120"/>
        <w:jc w:val="center"/>
        <w:rPr>
          <w:rFonts w:ascii="Arial" w:hAnsi="Arial" w:cs="Arial"/>
          <w:b/>
          <w:color w:val="000000"/>
          <w:sz w:val="22"/>
          <w:szCs w:val="22"/>
        </w:rPr>
      </w:pPr>
      <w:r>
        <w:rPr>
          <w:rFonts w:ascii="Arial" w:hAnsi="Arial" w:cs="Arial"/>
          <w:b/>
          <w:noProof/>
          <w:color w:val="000000"/>
          <w:sz w:val="22"/>
          <w:szCs w:val="22"/>
        </w:rPr>
        <w:drawing>
          <wp:inline distT="0" distB="0" distL="0" distR="0" wp14:anchorId="78E7A010" wp14:editId="68F48E8E">
            <wp:extent cx="3782291" cy="4638502"/>
            <wp:effectExtent l="0" t="0" r="889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yškov.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80000" cy="4635692"/>
                    </a:xfrm>
                    <a:prstGeom prst="rect">
                      <a:avLst/>
                    </a:prstGeom>
                  </pic:spPr>
                </pic:pic>
              </a:graphicData>
            </a:graphic>
          </wp:inline>
        </w:drawing>
      </w:r>
    </w:p>
    <w:p w:rsidR="0094464A" w:rsidRDefault="0094464A" w:rsidP="0094464A">
      <w:pPr>
        <w:spacing w:before="120"/>
        <w:jc w:val="both"/>
        <w:rPr>
          <w:rFonts w:ascii="Arial" w:hAnsi="Arial" w:cs="Arial"/>
          <w:b/>
          <w:color w:val="000000"/>
          <w:sz w:val="22"/>
          <w:szCs w:val="22"/>
        </w:rPr>
      </w:pPr>
      <w:r>
        <w:rPr>
          <w:rFonts w:ascii="Arial" w:hAnsi="Arial" w:cs="Arial"/>
          <w:b/>
          <w:color w:val="000000"/>
          <w:sz w:val="22"/>
          <w:szCs w:val="22"/>
        </w:rPr>
        <w:t>Bučovicko</w:t>
      </w:r>
    </w:p>
    <w:p w:rsidR="0094464A" w:rsidRDefault="0094464A" w:rsidP="0094464A">
      <w:pPr>
        <w:spacing w:before="120"/>
        <w:jc w:val="both"/>
        <w:rPr>
          <w:rFonts w:ascii="Arial" w:hAnsi="Arial" w:cs="Arial"/>
          <w:b/>
          <w:color w:val="000000"/>
          <w:sz w:val="22"/>
          <w:szCs w:val="22"/>
        </w:rPr>
      </w:pPr>
    </w:p>
    <w:p w:rsidR="0094464A" w:rsidRDefault="0094464A" w:rsidP="0094464A">
      <w:pPr>
        <w:jc w:val="both"/>
        <w:rPr>
          <w:rFonts w:ascii="Arial" w:hAnsi="Arial" w:cs="Arial"/>
          <w:sz w:val="22"/>
          <w:szCs w:val="22"/>
        </w:rPr>
      </w:pPr>
      <w:r w:rsidRPr="008C697C">
        <w:rPr>
          <w:rFonts w:ascii="Arial" w:hAnsi="Arial" w:cs="Arial"/>
          <w:color w:val="000000"/>
          <w:sz w:val="22"/>
          <w:szCs w:val="22"/>
        </w:rPr>
        <w:t>K dlouhodobě problematickým částem okresu patř</w:t>
      </w:r>
      <w:r>
        <w:rPr>
          <w:rFonts w:ascii="Arial" w:hAnsi="Arial" w:cs="Arial"/>
          <w:color w:val="000000"/>
          <w:sz w:val="22"/>
          <w:szCs w:val="22"/>
        </w:rPr>
        <w:t>í obce v mikroregionu Bučovicko.</w:t>
      </w:r>
      <w:r w:rsidRPr="008C697C">
        <w:rPr>
          <w:rFonts w:ascii="Arial" w:hAnsi="Arial" w:cs="Arial"/>
          <w:color w:val="000000"/>
          <w:sz w:val="22"/>
          <w:szCs w:val="22"/>
        </w:rPr>
        <w:t xml:space="preserve"> Za hlavní příčinu tohoto stavu je možno označit minimum středních a velkých</w:t>
      </w:r>
      <w:r w:rsidR="008866F3">
        <w:rPr>
          <w:rFonts w:ascii="Arial" w:hAnsi="Arial" w:cs="Arial"/>
          <w:color w:val="000000"/>
          <w:sz w:val="22"/>
          <w:szCs w:val="22"/>
        </w:rPr>
        <w:t xml:space="preserve"> </w:t>
      </w:r>
      <w:r w:rsidRPr="008C697C">
        <w:rPr>
          <w:rFonts w:ascii="Arial" w:hAnsi="Arial" w:cs="Arial"/>
          <w:color w:val="000000"/>
          <w:sz w:val="22"/>
          <w:szCs w:val="22"/>
        </w:rPr>
        <w:t xml:space="preserve">zaměstnavatelských subjektů v této části okresu a dále pak kvalifikační struktura uchazečů </w:t>
      </w:r>
      <w:r>
        <w:rPr>
          <w:rFonts w:ascii="Arial" w:hAnsi="Arial" w:cs="Arial"/>
          <w:color w:val="000000"/>
          <w:sz w:val="22"/>
          <w:szCs w:val="22"/>
        </w:rPr>
        <w:br/>
      </w:r>
      <w:r w:rsidRPr="008C697C">
        <w:rPr>
          <w:rFonts w:ascii="Arial" w:hAnsi="Arial" w:cs="Arial"/>
          <w:color w:val="000000"/>
          <w:sz w:val="22"/>
          <w:szCs w:val="22"/>
        </w:rPr>
        <w:t>o zaměstnání.</w:t>
      </w:r>
      <w:r w:rsidRPr="008C697C">
        <w:rPr>
          <w:rFonts w:ascii="Arial" w:hAnsi="Arial" w:cs="Arial"/>
          <w:sz w:val="22"/>
          <w:szCs w:val="22"/>
        </w:rPr>
        <w:t xml:space="preserve"> </w:t>
      </w:r>
      <w:r w:rsidRPr="00F50931">
        <w:rPr>
          <w:rFonts w:ascii="Arial" w:hAnsi="Arial" w:cs="Arial"/>
          <w:sz w:val="22"/>
          <w:szCs w:val="22"/>
        </w:rPr>
        <w:t xml:space="preserve">K 31. 12. 2014 bylo v  mikroregionu evidováno celkem </w:t>
      </w:r>
      <w:r>
        <w:rPr>
          <w:rFonts w:ascii="Arial" w:hAnsi="Arial" w:cs="Arial"/>
          <w:sz w:val="22"/>
          <w:szCs w:val="22"/>
        </w:rPr>
        <w:t>805</w:t>
      </w:r>
      <w:r w:rsidRPr="00F50931">
        <w:rPr>
          <w:rFonts w:ascii="Arial" w:hAnsi="Arial" w:cs="Arial"/>
          <w:sz w:val="22"/>
          <w:szCs w:val="22"/>
        </w:rPr>
        <w:t xml:space="preserve"> uchazečů </w:t>
      </w:r>
      <w:r>
        <w:rPr>
          <w:rFonts w:ascii="Arial" w:hAnsi="Arial" w:cs="Arial"/>
          <w:sz w:val="22"/>
          <w:szCs w:val="22"/>
        </w:rPr>
        <w:br/>
      </w:r>
      <w:r w:rsidRPr="00F50931">
        <w:rPr>
          <w:rFonts w:ascii="Arial" w:hAnsi="Arial" w:cs="Arial"/>
          <w:sz w:val="22"/>
          <w:szCs w:val="22"/>
        </w:rPr>
        <w:t>o zaměstnání a p</w:t>
      </w:r>
      <w:r>
        <w:rPr>
          <w:rFonts w:ascii="Arial" w:hAnsi="Arial" w:cs="Arial"/>
          <w:sz w:val="22"/>
          <w:szCs w:val="22"/>
        </w:rPr>
        <w:t>odíl nezaměstnaných osob dosáhl</w:t>
      </w:r>
      <w:r w:rsidRPr="00F50931">
        <w:rPr>
          <w:rFonts w:ascii="Arial" w:hAnsi="Arial" w:cs="Arial"/>
          <w:sz w:val="22"/>
          <w:szCs w:val="22"/>
        </w:rPr>
        <w:t xml:space="preserve"> hodnoty </w:t>
      </w:r>
      <w:r>
        <w:rPr>
          <w:rFonts w:ascii="Arial" w:hAnsi="Arial" w:cs="Arial"/>
          <w:sz w:val="22"/>
          <w:szCs w:val="22"/>
        </w:rPr>
        <w:t>7</w:t>
      </w:r>
      <w:r w:rsidRPr="00F50931">
        <w:rPr>
          <w:rFonts w:ascii="Arial" w:hAnsi="Arial" w:cs="Arial"/>
          <w:sz w:val="22"/>
          <w:szCs w:val="22"/>
        </w:rPr>
        <w:t>,</w:t>
      </w:r>
      <w:r>
        <w:rPr>
          <w:rFonts w:ascii="Arial" w:hAnsi="Arial" w:cs="Arial"/>
          <w:sz w:val="22"/>
          <w:szCs w:val="22"/>
        </w:rPr>
        <w:t>5 %.</w:t>
      </w:r>
      <w:r w:rsidRPr="00E971F4">
        <w:rPr>
          <w:rFonts w:ascii="Arial" w:hAnsi="Arial" w:cs="Arial"/>
          <w:sz w:val="22"/>
          <w:szCs w:val="22"/>
        </w:rPr>
        <w:t xml:space="preserve"> </w:t>
      </w:r>
      <w:r>
        <w:rPr>
          <w:rFonts w:ascii="Arial" w:hAnsi="Arial" w:cs="Arial"/>
          <w:sz w:val="22"/>
          <w:szCs w:val="22"/>
        </w:rPr>
        <w:t>V</w:t>
      </w:r>
      <w:r w:rsidRPr="00C74AD3">
        <w:rPr>
          <w:rFonts w:ascii="Arial" w:hAnsi="Arial" w:cs="Arial"/>
          <w:color w:val="000000"/>
          <w:sz w:val="22"/>
          <w:szCs w:val="22"/>
        </w:rPr>
        <w:t>ýznamným zaměstnavatel</w:t>
      </w:r>
      <w:r>
        <w:rPr>
          <w:rFonts w:ascii="Arial" w:hAnsi="Arial" w:cs="Arial"/>
          <w:color w:val="000000"/>
          <w:sz w:val="22"/>
          <w:szCs w:val="22"/>
        </w:rPr>
        <w:t>em</w:t>
      </w:r>
      <w:r w:rsidRPr="00C74AD3">
        <w:rPr>
          <w:rFonts w:ascii="Arial" w:hAnsi="Arial" w:cs="Arial"/>
          <w:color w:val="000000"/>
          <w:sz w:val="22"/>
          <w:szCs w:val="22"/>
        </w:rPr>
        <w:t xml:space="preserve"> v této části okresu patří </w:t>
      </w:r>
      <w:r>
        <w:rPr>
          <w:rFonts w:ascii="Arial" w:hAnsi="Arial" w:cs="Arial"/>
          <w:sz w:val="22"/>
          <w:szCs w:val="22"/>
        </w:rPr>
        <w:t>textilní výrobce</w:t>
      </w:r>
      <w:r w:rsidRPr="00C74AD3">
        <w:rPr>
          <w:rFonts w:ascii="Arial" w:hAnsi="Arial" w:cs="Arial"/>
          <w:sz w:val="22"/>
          <w:szCs w:val="22"/>
        </w:rPr>
        <w:t xml:space="preserve"> </w:t>
      </w:r>
      <w:r w:rsidRPr="008C697C">
        <w:rPr>
          <w:rFonts w:ascii="Arial" w:hAnsi="Arial" w:cs="Arial"/>
          <w:sz w:val="22"/>
          <w:szCs w:val="22"/>
        </w:rPr>
        <w:t xml:space="preserve">DINA </w:t>
      </w:r>
      <w:r>
        <w:rPr>
          <w:rFonts w:ascii="Arial" w:hAnsi="Arial" w:cs="Arial"/>
          <w:sz w:val="22"/>
          <w:szCs w:val="22"/>
        </w:rPr>
        <w:t>–</w:t>
      </w:r>
      <w:r w:rsidRPr="008C697C">
        <w:rPr>
          <w:rFonts w:ascii="Arial" w:hAnsi="Arial" w:cs="Arial"/>
          <w:sz w:val="22"/>
          <w:szCs w:val="22"/>
        </w:rPr>
        <w:t xml:space="preserve"> HITEX</w:t>
      </w:r>
      <w:r w:rsidRPr="00C74AD3">
        <w:rPr>
          <w:rFonts w:ascii="Arial" w:hAnsi="Arial" w:cs="Arial"/>
          <w:sz w:val="22"/>
          <w:szCs w:val="22"/>
        </w:rPr>
        <w:t>, spol. s</w:t>
      </w:r>
      <w:r>
        <w:rPr>
          <w:rFonts w:ascii="Arial" w:hAnsi="Arial" w:cs="Arial"/>
          <w:sz w:val="22"/>
          <w:szCs w:val="22"/>
        </w:rPr>
        <w:t xml:space="preserve"> </w:t>
      </w:r>
      <w:r w:rsidRPr="00C74AD3">
        <w:rPr>
          <w:rFonts w:ascii="Arial" w:hAnsi="Arial" w:cs="Arial"/>
          <w:sz w:val="22"/>
          <w:szCs w:val="22"/>
        </w:rPr>
        <w:t>r.o</w:t>
      </w:r>
      <w:r>
        <w:rPr>
          <w:rFonts w:ascii="Arial" w:hAnsi="Arial" w:cs="Arial"/>
          <w:sz w:val="22"/>
          <w:szCs w:val="22"/>
        </w:rPr>
        <w:t xml:space="preserve">. v Bučovicích. Další významní zaměstnavatelé sídlí v průmyslové zóně v Brankovicích, a to výrobce bezpečnostních komponentů do automobilů </w:t>
      </w:r>
      <w:r w:rsidRPr="00C74AD3">
        <w:rPr>
          <w:rFonts w:ascii="Arial" w:hAnsi="Arial" w:cs="Arial"/>
          <w:color w:val="000000"/>
          <w:sz w:val="22"/>
          <w:szCs w:val="22"/>
        </w:rPr>
        <w:t xml:space="preserve"> </w:t>
      </w:r>
      <w:r w:rsidRPr="00C74AD3">
        <w:rPr>
          <w:rFonts w:ascii="Arial" w:hAnsi="Arial" w:cs="Arial"/>
          <w:sz w:val="22"/>
          <w:szCs w:val="22"/>
        </w:rPr>
        <w:t>EMS-PATVAG s.r.o</w:t>
      </w:r>
      <w:r>
        <w:rPr>
          <w:rFonts w:ascii="Arial" w:hAnsi="Arial" w:cs="Arial"/>
          <w:sz w:val="22"/>
          <w:szCs w:val="22"/>
        </w:rPr>
        <w:t>. a výrobce lahůdek společnost KOKR BRANKOVICE, s.</w:t>
      </w:r>
      <w:r w:rsidRPr="0079334C">
        <w:rPr>
          <w:rFonts w:ascii="Arial" w:hAnsi="Arial" w:cs="Arial"/>
          <w:sz w:val="22"/>
          <w:szCs w:val="22"/>
        </w:rPr>
        <w:t xml:space="preserve">r.o. </w:t>
      </w:r>
      <w:r w:rsidRPr="00F50931">
        <w:rPr>
          <w:rFonts w:ascii="Arial" w:hAnsi="Arial" w:cs="Arial"/>
          <w:sz w:val="22"/>
          <w:szCs w:val="22"/>
        </w:rPr>
        <w:t xml:space="preserve">K 31. 12. 2014 bylo v  mikroregionu evidováno celkem </w:t>
      </w:r>
      <w:r>
        <w:rPr>
          <w:rFonts w:ascii="Arial" w:hAnsi="Arial" w:cs="Arial"/>
          <w:sz w:val="22"/>
          <w:szCs w:val="22"/>
        </w:rPr>
        <w:t>805</w:t>
      </w:r>
      <w:r w:rsidRPr="00F50931">
        <w:rPr>
          <w:rFonts w:ascii="Arial" w:hAnsi="Arial" w:cs="Arial"/>
          <w:sz w:val="22"/>
          <w:szCs w:val="22"/>
        </w:rPr>
        <w:t xml:space="preserve"> uchazečů o zaměstnání a p</w:t>
      </w:r>
      <w:r>
        <w:rPr>
          <w:rFonts w:ascii="Arial" w:hAnsi="Arial" w:cs="Arial"/>
          <w:sz w:val="22"/>
          <w:szCs w:val="22"/>
        </w:rPr>
        <w:t>odíl nezaměstnaných osob dosáhl</w:t>
      </w:r>
      <w:r w:rsidRPr="00F50931">
        <w:rPr>
          <w:rFonts w:ascii="Arial" w:hAnsi="Arial" w:cs="Arial"/>
          <w:sz w:val="22"/>
          <w:szCs w:val="22"/>
        </w:rPr>
        <w:t xml:space="preserve"> hodnoty </w:t>
      </w:r>
      <w:r>
        <w:rPr>
          <w:rFonts w:ascii="Arial" w:hAnsi="Arial" w:cs="Arial"/>
          <w:sz w:val="22"/>
          <w:szCs w:val="22"/>
        </w:rPr>
        <w:t>7</w:t>
      </w:r>
      <w:r w:rsidRPr="00F50931">
        <w:rPr>
          <w:rFonts w:ascii="Arial" w:hAnsi="Arial" w:cs="Arial"/>
          <w:sz w:val="22"/>
          <w:szCs w:val="22"/>
        </w:rPr>
        <w:t>,</w:t>
      </w:r>
      <w:r>
        <w:rPr>
          <w:rFonts w:ascii="Arial" w:hAnsi="Arial" w:cs="Arial"/>
          <w:sz w:val="22"/>
          <w:szCs w:val="22"/>
        </w:rPr>
        <w:t>5 %.</w:t>
      </w:r>
    </w:p>
    <w:p w:rsidR="0094464A" w:rsidRPr="007168E0" w:rsidRDefault="0094464A" w:rsidP="0094464A">
      <w:pPr>
        <w:jc w:val="both"/>
        <w:rPr>
          <w:rFonts w:ascii="Arial" w:hAnsi="Arial" w:cs="Arial"/>
          <w:sz w:val="22"/>
          <w:szCs w:val="22"/>
        </w:rPr>
      </w:pPr>
    </w:p>
    <w:p w:rsidR="00060EFF" w:rsidRDefault="00060EFF" w:rsidP="00060EFF">
      <w:pPr>
        <w:spacing w:before="120"/>
        <w:jc w:val="both"/>
        <w:rPr>
          <w:rFonts w:ascii="Arial" w:hAnsi="Arial" w:cs="Arial"/>
          <w:b/>
          <w:color w:val="000000"/>
          <w:sz w:val="22"/>
          <w:szCs w:val="22"/>
        </w:rPr>
      </w:pPr>
      <w:r>
        <w:rPr>
          <w:rFonts w:ascii="Arial" w:hAnsi="Arial" w:cs="Arial"/>
          <w:b/>
          <w:color w:val="000000"/>
          <w:sz w:val="22"/>
          <w:szCs w:val="22"/>
        </w:rPr>
        <w:t>Ivanovicko</w:t>
      </w:r>
    </w:p>
    <w:p w:rsidR="00060EFF" w:rsidRPr="00711913" w:rsidRDefault="00060EFF" w:rsidP="00060EFF">
      <w:pPr>
        <w:spacing w:before="120"/>
        <w:jc w:val="both"/>
        <w:rPr>
          <w:rFonts w:ascii="Arial" w:hAnsi="Arial" w:cs="Arial"/>
          <w:sz w:val="22"/>
          <w:szCs w:val="22"/>
        </w:rPr>
      </w:pPr>
      <w:r w:rsidRPr="00711913">
        <w:rPr>
          <w:rFonts w:ascii="Arial" w:hAnsi="Arial" w:cs="Arial"/>
          <w:sz w:val="22"/>
          <w:szCs w:val="22"/>
        </w:rPr>
        <w:t>K 31. 12. 2014 bylo v  mikroregionu evidováno celkem 229 uchazečů o zaměstnání a podíl nezaměstnaných osob dosáhl hodnoty 5,5 %. Mezi nejvýznamnější</w:t>
      </w:r>
      <w:r>
        <w:rPr>
          <w:rFonts w:ascii="Arial" w:hAnsi="Arial" w:cs="Arial"/>
          <w:sz w:val="22"/>
          <w:szCs w:val="22"/>
        </w:rPr>
        <w:t xml:space="preserve"> </w:t>
      </w:r>
      <w:r w:rsidRPr="00711913">
        <w:rPr>
          <w:rFonts w:ascii="Arial" w:hAnsi="Arial" w:cs="Arial"/>
          <w:sz w:val="22"/>
          <w:szCs w:val="22"/>
        </w:rPr>
        <w:t xml:space="preserve">zaměstnavatele v mikroregionu patří výrobce veterinárních výrobků společnost Bioveta, a.s. a výrobce komponentů do motorových vozidel společnost </w:t>
      </w:r>
      <w:r w:rsidRPr="00711913">
        <w:rPr>
          <w:rFonts w:ascii="Arial" w:hAnsi="Arial" w:cs="Arial"/>
          <w:color w:val="000000"/>
          <w:sz w:val="22"/>
          <w:szCs w:val="22"/>
          <w:lang w:eastAsia="en-US"/>
        </w:rPr>
        <w:t>Fischer automotive systems s.r.o., která v loňském navýšila počet zaměstnanců o 100 osob.</w:t>
      </w:r>
      <w:r w:rsidRPr="00711913">
        <w:rPr>
          <w:rFonts w:ascii="Arial" w:hAnsi="Arial" w:cs="Arial"/>
          <w:sz w:val="22"/>
          <w:szCs w:val="22"/>
        </w:rPr>
        <w:t xml:space="preserve">  </w:t>
      </w:r>
    </w:p>
    <w:p w:rsidR="00C73A67" w:rsidRDefault="00C73A67" w:rsidP="00060EFF">
      <w:pPr>
        <w:spacing w:before="120"/>
        <w:jc w:val="both"/>
        <w:rPr>
          <w:rFonts w:ascii="Arial" w:hAnsi="Arial" w:cs="Arial"/>
          <w:b/>
          <w:color w:val="000000"/>
          <w:sz w:val="22"/>
          <w:szCs w:val="22"/>
        </w:rPr>
      </w:pPr>
    </w:p>
    <w:p w:rsidR="00060EFF" w:rsidRPr="00C73A67" w:rsidRDefault="00060EFF" w:rsidP="00C73A67">
      <w:pPr>
        <w:pStyle w:val="Bezmezer"/>
        <w:spacing w:line="276" w:lineRule="auto"/>
        <w:jc w:val="both"/>
        <w:rPr>
          <w:rFonts w:ascii="Arial" w:hAnsi="Arial" w:cs="Arial"/>
          <w:b/>
          <w:sz w:val="22"/>
          <w:szCs w:val="22"/>
        </w:rPr>
      </w:pPr>
      <w:r w:rsidRPr="00C73A67">
        <w:rPr>
          <w:rFonts w:ascii="Arial" w:hAnsi="Arial" w:cs="Arial"/>
          <w:b/>
          <w:sz w:val="22"/>
          <w:szCs w:val="22"/>
        </w:rPr>
        <w:t>Rousínov</w:t>
      </w:r>
      <w:r w:rsidR="00B0094B" w:rsidRPr="00C73A67">
        <w:rPr>
          <w:rFonts w:ascii="Arial" w:hAnsi="Arial" w:cs="Arial"/>
          <w:b/>
          <w:sz w:val="22"/>
          <w:szCs w:val="22"/>
        </w:rPr>
        <w:t>sko</w:t>
      </w:r>
    </w:p>
    <w:p w:rsidR="00060EFF" w:rsidRPr="00C73A67" w:rsidRDefault="00060EFF" w:rsidP="00C73A67">
      <w:pPr>
        <w:pStyle w:val="Bezmezer"/>
        <w:spacing w:line="276" w:lineRule="auto"/>
        <w:jc w:val="both"/>
        <w:rPr>
          <w:rFonts w:ascii="Arial" w:hAnsi="Arial" w:cs="Arial"/>
          <w:sz w:val="22"/>
          <w:szCs w:val="22"/>
        </w:rPr>
      </w:pPr>
    </w:p>
    <w:p w:rsidR="00060EFF" w:rsidRPr="00C73A67" w:rsidRDefault="00060EFF" w:rsidP="00C73A67">
      <w:pPr>
        <w:pStyle w:val="Bezmezer"/>
        <w:spacing w:line="276" w:lineRule="auto"/>
        <w:jc w:val="both"/>
        <w:rPr>
          <w:rFonts w:ascii="Arial" w:hAnsi="Arial" w:cs="Arial"/>
          <w:sz w:val="22"/>
          <w:szCs w:val="22"/>
        </w:rPr>
      </w:pPr>
      <w:r w:rsidRPr="00C73A67">
        <w:rPr>
          <w:rFonts w:ascii="Arial" w:eastAsiaTheme="minorHAnsi" w:hAnsi="Arial" w:cs="Arial"/>
          <w:sz w:val="22"/>
          <w:szCs w:val="22"/>
          <w:lang w:eastAsia="en-US"/>
        </w:rPr>
        <w:t xml:space="preserve">Hospodářské aktivity na území mikroregionu Rousínov jsou do značné míry podmíněny charakterem a socioekonomickými podmínkami zdejšího území. V mikroregionu má sídlo vedle malých a středních firem (tj. podniku do 250 pracovníku) i nejvýznamnější zaměstnavatel okresu Vyškov společnost European Data Project, která na konci roku 2014 zaměstnávala 1 180 osob. Dalším </w:t>
      </w:r>
      <w:r w:rsidR="00C73A67">
        <w:rPr>
          <w:rFonts w:ascii="Arial" w:eastAsiaTheme="minorHAnsi" w:hAnsi="Arial" w:cs="Arial"/>
          <w:sz w:val="22"/>
          <w:szCs w:val="22"/>
          <w:lang w:eastAsia="en-US"/>
        </w:rPr>
        <w:t>důvodem</w:t>
      </w:r>
      <w:r w:rsidRPr="00C73A67">
        <w:rPr>
          <w:rFonts w:ascii="Arial" w:eastAsiaTheme="minorHAnsi" w:hAnsi="Arial" w:cs="Arial"/>
          <w:sz w:val="22"/>
          <w:szCs w:val="22"/>
          <w:lang w:eastAsia="en-US"/>
        </w:rPr>
        <w:t xml:space="preserve"> nízké nezaměstnanosti mikroregionu je jeho dobrá poloha v rámci Jihomoravského kraje.</w:t>
      </w:r>
      <w:r w:rsidRPr="00C73A67">
        <w:rPr>
          <w:rFonts w:ascii="Arial" w:hAnsi="Arial" w:cs="Arial"/>
          <w:sz w:val="22"/>
          <w:szCs w:val="22"/>
        </w:rPr>
        <w:t xml:space="preserve"> K 31. 12. 2014 bylo v  mikroregionu evidováno celkem 311 uchazečů o zaměstnání a podíl nezaměstnaných osob dosáhl hodnoty 5,0 %, což jen nejnižší hodnota podílu nezaměstnaných osob v rámci Jihomoravského kraje.</w:t>
      </w:r>
    </w:p>
    <w:p w:rsidR="00060EFF" w:rsidRPr="006A31DE" w:rsidRDefault="00060EFF" w:rsidP="00060EFF">
      <w:pPr>
        <w:autoSpaceDE w:val="0"/>
        <w:autoSpaceDN w:val="0"/>
        <w:adjustRightInd w:val="0"/>
        <w:jc w:val="both"/>
        <w:rPr>
          <w:rFonts w:ascii="Arial" w:hAnsi="Arial" w:cs="Arial"/>
          <w:color w:val="000000"/>
          <w:sz w:val="22"/>
          <w:szCs w:val="22"/>
        </w:rPr>
      </w:pPr>
    </w:p>
    <w:p w:rsidR="00060EFF" w:rsidRPr="00C73A67" w:rsidRDefault="00060EFF" w:rsidP="00C73A67">
      <w:pPr>
        <w:rPr>
          <w:rFonts w:ascii="Arial" w:hAnsi="Arial" w:cs="Arial"/>
          <w:b/>
          <w:sz w:val="22"/>
          <w:szCs w:val="22"/>
        </w:rPr>
      </w:pPr>
      <w:r w:rsidRPr="00C73A67">
        <w:rPr>
          <w:rFonts w:ascii="Arial" w:hAnsi="Arial" w:cs="Arial"/>
          <w:b/>
          <w:sz w:val="22"/>
          <w:szCs w:val="22"/>
        </w:rPr>
        <w:t>Slavkovsko</w:t>
      </w:r>
    </w:p>
    <w:p w:rsidR="00C73A67" w:rsidRPr="00C73A67" w:rsidRDefault="00C73A67" w:rsidP="00C73A67">
      <w:pPr>
        <w:rPr>
          <w:rFonts w:ascii="Arial" w:hAnsi="Arial" w:cs="Arial"/>
          <w:sz w:val="22"/>
          <w:szCs w:val="22"/>
        </w:rPr>
      </w:pPr>
    </w:p>
    <w:p w:rsidR="00060EFF" w:rsidRPr="00C73A67" w:rsidRDefault="00060EFF" w:rsidP="00C73A67">
      <w:pPr>
        <w:jc w:val="both"/>
        <w:rPr>
          <w:rFonts w:ascii="Arial" w:hAnsi="Arial" w:cs="Arial"/>
          <w:sz w:val="22"/>
          <w:szCs w:val="22"/>
        </w:rPr>
      </w:pPr>
      <w:r w:rsidRPr="00C73A67">
        <w:rPr>
          <w:rFonts w:ascii="Arial" w:hAnsi="Arial" w:cs="Arial"/>
          <w:sz w:val="22"/>
          <w:szCs w:val="22"/>
        </w:rPr>
        <w:t>Slav</w:t>
      </w:r>
      <w:r w:rsidR="00C73A67" w:rsidRPr="00C73A67">
        <w:rPr>
          <w:rFonts w:ascii="Arial" w:hAnsi="Arial" w:cs="Arial"/>
          <w:sz w:val="22"/>
          <w:szCs w:val="22"/>
        </w:rPr>
        <w:t xml:space="preserve">kovsko je průmyslový mikroregion s relativně výrazným zastoupením zemědělství. Mikroregion  se nachází v </w:t>
      </w:r>
      <w:r w:rsidRPr="00C73A67">
        <w:rPr>
          <w:rFonts w:ascii="Arial" w:hAnsi="Arial" w:cs="Arial"/>
          <w:sz w:val="22"/>
          <w:szCs w:val="22"/>
        </w:rPr>
        <w:t>jižní část okresu. Většina ekonomických aktivit je soustředěna do města Slavkov u Brna. Na stabilizaci zaměstnanosti se i nadále podílejí společnost Lohmann &amp; Rauscher, s.r.o., Liko-S, a.s., Pegas - Gonda s.r.o., Cutisin a.s., ViskoTeepak, s.r.o., Auto-Bayer, s.r.o., E-COM s.r.o., Chemis engine a.s. a EMP s.r.o. K 31. 12. 2014 bylo v  mikroregionu evidováno celkem 806 uchazečů o zaměstnání a podíl nezaměstnaných osob dosáhl hodnoty 5,2 %, což je třetí nejnižší úroveň nezaměstnanosti v rámci Jihomoravského kraje.</w:t>
      </w:r>
    </w:p>
    <w:p w:rsidR="00C73A67" w:rsidRPr="00C73A67" w:rsidRDefault="00C73A67" w:rsidP="00C73A67">
      <w:pPr>
        <w:rPr>
          <w:rFonts w:ascii="Arial" w:hAnsi="Arial" w:cs="Arial"/>
          <w:sz w:val="22"/>
          <w:szCs w:val="22"/>
        </w:rPr>
      </w:pPr>
    </w:p>
    <w:p w:rsidR="00060EFF" w:rsidRDefault="00060EFF" w:rsidP="00C73A67">
      <w:pPr>
        <w:rPr>
          <w:rFonts w:ascii="Arial" w:hAnsi="Arial" w:cs="Arial"/>
          <w:b/>
          <w:sz w:val="22"/>
          <w:szCs w:val="22"/>
        </w:rPr>
      </w:pPr>
      <w:r w:rsidRPr="00C73A67">
        <w:rPr>
          <w:rFonts w:ascii="Arial" w:hAnsi="Arial" w:cs="Arial"/>
          <w:b/>
          <w:sz w:val="22"/>
          <w:szCs w:val="22"/>
        </w:rPr>
        <w:t>Vyškovsko</w:t>
      </w:r>
    </w:p>
    <w:p w:rsidR="00C73A67" w:rsidRPr="00C73A67" w:rsidRDefault="00C73A67" w:rsidP="00C73A67">
      <w:pPr>
        <w:rPr>
          <w:rFonts w:ascii="Arial" w:hAnsi="Arial" w:cs="Arial"/>
          <w:b/>
          <w:sz w:val="22"/>
          <w:szCs w:val="22"/>
        </w:rPr>
      </w:pPr>
    </w:p>
    <w:p w:rsidR="00060EFF" w:rsidRDefault="00060EFF" w:rsidP="00C73A67">
      <w:pPr>
        <w:jc w:val="both"/>
        <w:rPr>
          <w:rFonts w:ascii="Arial" w:hAnsi="Arial" w:cs="Arial"/>
          <w:sz w:val="22"/>
          <w:szCs w:val="22"/>
        </w:rPr>
      </w:pPr>
      <w:r w:rsidRPr="00C73A67">
        <w:rPr>
          <w:rFonts w:ascii="Arial" w:hAnsi="Arial" w:cs="Arial"/>
          <w:sz w:val="22"/>
          <w:szCs w:val="22"/>
        </w:rPr>
        <w:t xml:space="preserve">Největším zaměstnavatelským subjektem na Vyškovsku je European Data Project s.r.o., výrobce elektronických zařízení, s výrobním závodem v Komořanech. Tato společnost byla v průběhu minulého roku největším výrobním zaměstnavatelem v rámci celého Jihomoravského kraje. K největším zaměstnavatelům v okrese Vyškov v nevýrobní sféře stále patří Nemocnice s poliklinikou ve Vyškově a Ministerstvo obrany ČR – vojenské útvary se sídlem ve Vyškově - Dědicích.  </w:t>
      </w:r>
    </w:p>
    <w:p w:rsidR="00C10408" w:rsidRPr="00C73A67" w:rsidRDefault="00C10408" w:rsidP="00C73A67">
      <w:pPr>
        <w:jc w:val="both"/>
        <w:rPr>
          <w:rFonts w:ascii="Arial" w:hAnsi="Arial" w:cs="Arial"/>
          <w:sz w:val="22"/>
          <w:szCs w:val="22"/>
        </w:rPr>
      </w:pPr>
    </w:p>
    <w:p w:rsidR="00060EFF" w:rsidRPr="00C73A67" w:rsidRDefault="00060EFF" w:rsidP="00C73A67">
      <w:pPr>
        <w:jc w:val="both"/>
        <w:rPr>
          <w:rFonts w:ascii="Arial" w:hAnsi="Arial" w:cs="Arial"/>
          <w:sz w:val="22"/>
          <w:szCs w:val="22"/>
        </w:rPr>
      </w:pPr>
      <w:r w:rsidRPr="00C73A67">
        <w:rPr>
          <w:rFonts w:ascii="Arial" w:hAnsi="Arial" w:cs="Arial"/>
          <w:sz w:val="22"/>
          <w:szCs w:val="22"/>
        </w:rPr>
        <w:t>V mikroregionu Vyškov se nachází několik průmyslových zón. Ve městě Vyškov se nacházejí tři průmyslové zóny, kde mají svá sídla následující společnosti: Lear Corporation Czech Republic s.r.o., Fritzmeier s.r.o., BKR ČR s.r.o, STAEG, spol. s r.o., Böttcher ČR, k. s., SMC Industrial Automation CZ, s.r.o. K 31. 12. 2014 bylo v  mikroregionu evidováno celkem 1 665 uchazečů o zaměstnání a podíl nezaměstnaných osob dosáhl hodnoty 6,1 %.</w:t>
      </w:r>
    </w:p>
    <w:p w:rsidR="00060EFF" w:rsidRDefault="00060EFF" w:rsidP="00B0094B">
      <w:pPr>
        <w:jc w:val="both"/>
        <w:rPr>
          <w:rFonts w:ascii="Arial" w:hAnsi="Arial" w:cs="Arial"/>
          <w:sz w:val="22"/>
          <w:szCs w:val="22"/>
        </w:rPr>
      </w:pPr>
    </w:p>
    <w:p w:rsidR="00060EFF" w:rsidRDefault="00060EFF" w:rsidP="00B0094B">
      <w:pPr>
        <w:rPr>
          <w:rFonts w:ascii="Arial" w:hAnsi="Arial" w:cs="Arial"/>
          <w:b/>
          <w:sz w:val="22"/>
          <w:szCs w:val="22"/>
          <w:u w:val="single"/>
        </w:rPr>
      </w:pPr>
      <w:bookmarkStart w:id="31" w:name="_Toc381372887"/>
      <w:r w:rsidRPr="00C73A67">
        <w:rPr>
          <w:rFonts w:ascii="Arial" w:hAnsi="Arial" w:cs="Arial"/>
          <w:b/>
          <w:sz w:val="22"/>
          <w:szCs w:val="22"/>
          <w:u w:val="single"/>
        </w:rPr>
        <w:t>Silné stránky okresu</w:t>
      </w:r>
      <w:bookmarkEnd w:id="26"/>
      <w:bookmarkEnd w:id="27"/>
      <w:bookmarkEnd w:id="28"/>
      <w:bookmarkEnd w:id="29"/>
      <w:bookmarkEnd w:id="30"/>
      <w:bookmarkEnd w:id="31"/>
    </w:p>
    <w:p w:rsidR="00C73A67" w:rsidRPr="00C73A67" w:rsidRDefault="00C73A67" w:rsidP="00B0094B">
      <w:pPr>
        <w:rPr>
          <w:rFonts w:ascii="Arial" w:hAnsi="Arial" w:cs="Arial"/>
          <w:b/>
          <w:sz w:val="22"/>
          <w:szCs w:val="22"/>
          <w:u w:val="single"/>
        </w:rPr>
      </w:pPr>
    </w:p>
    <w:p w:rsidR="00060EFF" w:rsidRDefault="00060EFF" w:rsidP="00B0094B">
      <w:pPr>
        <w:pStyle w:val="Odstavecseseznamem"/>
        <w:numPr>
          <w:ilvl w:val="0"/>
          <w:numId w:val="9"/>
        </w:numPr>
        <w:tabs>
          <w:tab w:val="num" w:pos="1260"/>
        </w:tabs>
        <w:ind w:left="714" w:hanging="357"/>
        <w:jc w:val="both"/>
        <w:rPr>
          <w:rFonts w:ascii="Arial" w:hAnsi="Arial" w:cs="Arial"/>
          <w:sz w:val="22"/>
          <w:szCs w:val="22"/>
        </w:rPr>
      </w:pPr>
      <w:r w:rsidRPr="00191411">
        <w:rPr>
          <w:rFonts w:ascii="Arial" w:hAnsi="Arial" w:cs="Arial"/>
          <w:sz w:val="22"/>
          <w:szCs w:val="22"/>
        </w:rPr>
        <w:t xml:space="preserve">ve struktuře zaměstnavatelů </w:t>
      </w:r>
      <w:r w:rsidR="00E95176">
        <w:rPr>
          <w:rFonts w:ascii="Arial" w:hAnsi="Arial" w:cs="Arial"/>
          <w:sz w:val="22"/>
          <w:szCs w:val="22"/>
        </w:rPr>
        <w:t>nepřevažuje výrazně jeden obor</w:t>
      </w:r>
    </w:p>
    <w:p w:rsidR="00060EFF" w:rsidRDefault="00060EFF" w:rsidP="00B0094B">
      <w:pPr>
        <w:pStyle w:val="Odstavecseseznamem"/>
        <w:numPr>
          <w:ilvl w:val="0"/>
          <w:numId w:val="9"/>
        </w:numPr>
        <w:tabs>
          <w:tab w:val="num" w:pos="1260"/>
        </w:tabs>
        <w:ind w:left="714" w:hanging="357"/>
        <w:jc w:val="both"/>
        <w:rPr>
          <w:rFonts w:ascii="Arial" w:hAnsi="Arial" w:cs="Arial"/>
          <w:sz w:val="22"/>
          <w:szCs w:val="22"/>
        </w:rPr>
      </w:pPr>
      <w:r>
        <w:rPr>
          <w:rFonts w:ascii="Arial" w:hAnsi="Arial" w:cs="Arial"/>
          <w:sz w:val="22"/>
          <w:szCs w:val="22"/>
        </w:rPr>
        <w:t>n</w:t>
      </w:r>
      <w:r w:rsidRPr="00191411">
        <w:rPr>
          <w:rFonts w:ascii="Arial" w:hAnsi="Arial" w:cs="Arial"/>
          <w:sz w:val="22"/>
          <w:szCs w:val="22"/>
        </w:rPr>
        <w:t>a zaměstnanosti v okrese Vyškov se podílejí předevší</w:t>
      </w:r>
      <w:r w:rsidR="00E95176">
        <w:rPr>
          <w:rFonts w:ascii="Arial" w:hAnsi="Arial" w:cs="Arial"/>
          <w:sz w:val="22"/>
          <w:szCs w:val="22"/>
        </w:rPr>
        <w:t>m drobné a středně velké firmy</w:t>
      </w:r>
    </w:p>
    <w:p w:rsidR="00060EFF" w:rsidRPr="00191411" w:rsidRDefault="00060EFF" w:rsidP="00B0094B">
      <w:pPr>
        <w:pStyle w:val="Odstavecseseznamem"/>
        <w:numPr>
          <w:ilvl w:val="0"/>
          <w:numId w:val="9"/>
        </w:numPr>
        <w:tabs>
          <w:tab w:val="num" w:pos="1260"/>
        </w:tabs>
        <w:ind w:left="714" w:hanging="357"/>
        <w:jc w:val="both"/>
        <w:rPr>
          <w:rFonts w:ascii="Arial" w:hAnsi="Arial" w:cs="Arial"/>
          <w:sz w:val="22"/>
          <w:szCs w:val="22"/>
        </w:rPr>
      </w:pPr>
      <w:r>
        <w:rPr>
          <w:rFonts w:ascii="Arial" w:hAnsi="Arial" w:cs="Arial"/>
          <w:sz w:val="22"/>
          <w:szCs w:val="22"/>
        </w:rPr>
        <w:t>v</w:t>
      </w:r>
      <w:r w:rsidRPr="00191411">
        <w:rPr>
          <w:rFonts w:ascii="Arial" w:hAnsi="Arial" w:cs="Arial"/>
          <w:sz w:val="22"/>
          <w:szCs w:val="22"/>
        </w:rPr>
        <w:t xml:space="preserve">ýborná poloha okresu, kterým </w:t>
      </w:r>
      <w:r w:rsidR="00E95176">
        <w:rPr>
          <w:rFonts w:ascii="Arial" w:hAnsi="Arial" w:cs="Arial"/>
          <w:sz w:val="22"/>
          <w:szCs w:val="22"/>
        </w:rPr>
        <w:t>prochází páteřní komunikace D1</w:t>
      </w:r>
    </w:p>
    <w:p w:rsidR="00060EFF" w:rsidRPr="00191411" w:rsidRDefault="00060EFF" w:rsidP="00B0094B">
      <w:pPr>
        <w:rPr>
          <w:rFonts w:ascii="Arial" w:hAnsi="Arial" w:cs="Arial"/>
          <w:sz w:val="22"/>
          <w:szCs w:val="22"/>
          <w:highlight w:val="yellow"/>
        </w:rPr>
      </w:pPr>
    </w:p>
    <w:p w:rsidR="00060EFF" w:rsidRPr="00C73A67" w:rsidRDefault="00060EFF" w:rsidP="00B0094B">
      <w:pPr>
        <w:rPr>
          <w:rFonts w:ascii="Arial" w:hAnsi="Arial" w:cs="Arial"/>
          <w:b/>
          <w:sz w:val="22"/>
          <w:szCs w:val="22"/>
          <w:u w:val="single"/>
        </w:rPr>
      </w:pPr>
      <w:bookmarkStart w:id="32" w:name="_Toc285955408"/>
      <w:bookmarkStart w:id="33" w:name="_Toc286138758"/>
      <w:bookmarkStart w:id="34" w:name="_Toc286138903"/>
      <w:bookmarkStart w:id="35" w:name="_Toc286139001"/>
      <w:bookmarkStart w:id="36" w:name="_Toc286139774"/>
      <w:bookmarkStart w:id="37" w:name="_Toc381372888"/>
      <w:r w:rsidRPr="00C73A67">
        <w:rPr>
          <w:rFonts w:ascii="Arial" w:hAnsi="Arial" w:cs="Arial"/>
          <w:b/>
          <w:sz w:val="22"/>
          <w:szCs w:val="22"/>
          <w:u w:val="single"/>
        </w:rPr>
        <w:t>Slabé stránky okres</w:t>
      </w:r>
      <w:bookmarkEnd w:id="32"/>
      <w:bookmarkEnd w:id="33"/>
      <w:bookmarkEnd w:id="34"/>
      <w:bookmarkEnd w:id="35"/>
      <w:bookmarkEnd w:id="36"/>
      <w:r w:rsidRPr="00C73A67">
        <w:rPr>
          <w:rFonts w:ascii="Arial" w:hAnsi="Arial" w:cs="Arial"/>
          <w:b/>
          <w:sz w:val="22"/>
          <w:szCs w:val="22"/>
          <w:u w:val="single"/>
        </w:rPr>
        <w:t>u</w:t>
      </w:r>
      <w:bookmarkEnd w:id="37"/>
    </w:p>
    <w:p w:rsidR="00C73A67" w:rsidRPr="00B0094B" w:rsidRDefault="00C73A67" w:rsidP="00B0094B">
      <w:pPr>
        <w:rPr>
          <w:rFonts w:ascii="Arial" w:hAnsi="Arial" w:cs="Arial"/>
          <w:sz w:val="22"/>
          <w:szCs w:val="22"/>
          <w:u w:val="single"/>
        </w:rPr>
      </w:pPr>
    </w:p>
    <w:p w:rsidR="00060EFF" w:rsidRDefault="00060EFF" w:rsidP="00B0094B">
      <w:pPr>
        <w:pStyle w:val="Odstavecseseznamem"/>
        <w:numPr>
          <w:ilvl w:val="0"/>
          <w:numId w:val="10"/>
        </w:numPr>
        <w:tabs>
          <w:tab w:val="num" w:pos="1260"/>
        </w:tabs>
        <w:ind w:left="714" w:hanging="357"/>
        <w:jc w:val="both"/>
        <w:rPr>
          <w:rFonts w:ascii="Arial" w:hAnsi="Arial" w:cs="Arial"/>
          <w:sz w:val="22"/>
          <w:szCs w:val="22"/>
        </w:rPr>
      </w:pPr>
      <w:r>
        <w:rPr>
          <w:rFonts w:ascii="Arial" w:hAnsi="Arial" w:cs="Arial"/>
          <w:sz w:val="22"/>
          <w:szCs w:val="22"/>
        </w:rPr>
        <w:t>n</w:t>
      </w:r>
      <w:r w:rsidRPr="00191411">
        <w:rPr>
          <w:rFonts w:ascii="Arial" w:hAnsi="Arial" w:cs="Arial"/>
          <w:sz w:val="22"/>
          <w:szCs w:val="22"/>
        </w:rPr>
        <w:t>edostatek pracovních míst a to jak obecně v absolutním počtu, tak i dle struktury pro jednotlivé sociální skupiny</w:t>
      </w:r>
    </w:p>
    <w:p w:rsidR="00060EFF" w:rsidRPr="00B61805" w:rsidRDefault="00060EFF" w:rsidP="00B0094B">
      <w:pPr>
        <w:pStyle w:val="Odstavecseseznamem"/>
        <w:numPr>
          <w:ilvl w:val="0"/>
          <w:numId w:val="10"/>
        </w:numPr>
        <w:spacing w:after="200"/>
        <w:ind w:left="714" w:hanging="357"/>
        <w:contextualSpacing/>
        <w:jc w:val="both"/>
        <w:rPr>
          <w:rFonts w:ascii="Arial" w:hAnsi="Arial" w:cs="Arial"/>
          <w:b/>
          <w:sz w:val="22"/>
          <w:szCs w:val="22"/>
        </w:rPr>
      </w:pPr>
      <w:r w:rsidRPr="00B61805">
        <w:rPr>
          <w:rFonts w:ascii="Arial" w:hAnsi="Arial" w:cs="Arial"/>
          <w:sz w:val="22"/>
          <w:szCs w:val="22"/>
        </w:rPr>
        <w:t xml:space="preserve">nízká úroveň mezd </w:t>
      </w:r>
    </w:p>
    <w:p w:rsidR="00B0094B" w:rsidRDefault="00B0094B" w:rsidP="00060EFF">
      <w:pPr>
        <w:jc w:val="both"/>
        <w:rPr>
          <w:rFonts w:ascii="Arial" w:hAnsi="Arial" w:cs="Arial"/>
          <w:b/>
        </w:rPr>
      </w:pPr>
    </w:p>
    <w:p w:rsidR="00060EFF" w:rsidRPr="00296A41" w:rsidRDefault="00060EFF" w:rsidP="00060EFF">
      <w:pPr>
        <w:jc w:val="both"/>
        <w:rPr>
          <w:rFonts w:ascii="Arial" w:hAnsi="Arial" w:cs="Arial"/>
          <w:b/>
        </w:rPr>
      </w:pPr>
      <w:r w:rsidRPr="00296A41">
        <w:rPr>
          <w:rFonts w:ascii="Arial" w:hAnsi="Arial" w:cs="Arial"/>
          <w:b/>
        </w:rPr>
        <w:t>Okres Znojmo</w:t>
      </w:r>
    </w:p>
    <w:p w:rsidR="00060EFF" w:rsidRPr="00A311BE" w:rsidRDefault="00060EFF" w:rsidP="00060EFF">
      <w:pPr>
        <w:jc w:val="both"/>
        <w:rPr>
          <w:rFonts w:ascii="Arial" w:hAnsi="Arial" w:cs="Arial"/>
          <w:b/>
          <w:sz w:val="22"/>
          <w:szCs w:val="22"/>
        </w:rPr>
      </w:pPr>
    </w:p>
    <w:p w:rsidR="00060EFF" w:rsidRDefault="00060EFF" w:rsidP="00060EFF">
      <w:pPr>
        <w:pStyle w:val="Normlnweb"/>
        <w:spacing w:line="276" w:lineRule="auto"/>
        <w:jc w:val="both"/>
        <w:rPr>
          <w:rFonts w:ascii="Arial" w:hAnsi="Arial" w:cs="Arial"/>
          <w:sz w:val="22"/>
          <w:szCs w:val="22"/>
        </w:rPr>
      </w:pPr>
      <w:r w:rsidRPr="002B21A4">
        <w:rPr>
          <w:rFonts w:ascii="Arial" w:hAnsi="Arial" w:cs="Arial"/>
          <w:sz w:val="22"/>
          <w:szCs w:val="22"/>
        </w:rPr>
        <w:t xml:space="preserve">Okres </w:t>
      </w:r>
      <w:r>
        <w:rPr>
          <w:rFonts w:ascii="Arial" w:hAnsi="Arial" w:cs="Arial"/>
          <w:sz w:val="22"/>
          <w:szCs w:val="22"/>
        </w:rPr>
        <w:t>Znojmo</w:t>
      </w:r>
      <w:r w:rsidRPr="002B21A4">
        <w:rPr>
          <w:rFonts w:ascii="Arial" w:hAnsi="Arial" w:cs="Arial"/>
          <w:sz w:val="22"/>
          <w:szCs w:val="22"/>
        </w:rPr>
        <w:t xml:space="preserve"> je okresem s nejvyšší hodnotou podílu nezaměstnaných osob v Jihomoravském </w:t>
      </w:r>
      <w:r w:rsidRPr="00E95176">
        <w:rPr>
          <w:rFonts w:ascii="Arial" w:hAnsi="Arial" w:cs="Arial"/>
          <w:sz w:val="22"/>
          <w:szCs w:val="22"/>
        </w:rPr>
        <w:t xml:space="preserve">kraji </w:t>
      </w:r>
      <w:r w:rsidR="00E95176" w:rsidRPr="00E95176">
        <w:rPr>
          <w:rFonts w:ascii="Arial" w:hAnsi="Arial" w:cs="Arial"/>
          <w:sz w:val="22"/>
          <w:szCs w:val="22"/>
        </w:rPr>
        <w:t>(10,9 %</w:t>
      </w:r>
      <w:r w:rsidR="008866F3">
        <w:rPr>
          <w:rFonts w:ascii="Arial" w:hAnsi="Arial" w:cs="Arial"/>
          <w:sz w:val="22"/>
          <w:szCs w:val="22"/>
        </w:rPr>
        <w:t xml:space="preserve"> k 31.12.2014</w:t>
      </w:r>
      <w:r w:rsidR="00E95176" w:rsidRPr="00E95176">
        <w:rPr>
          <w:rFonts w:ascii="Arial" w:hAnsi="Arial" w:cs="Arial"/>
          <w:sz w:val="22"/>
          <w:szCs w:val="22"/>
        </w:rPr>
        <w:t>)</w:t>
      </w:r>
      <w:r w:rsidRPr="00E95176">
        <w:rPr>
          <w:rFonts w:ascii="Arial" w:hAnsi="Arial" w:cs="Arial"/>
          <w:sz w:val="22"/>
          <w:szCs w:val="22"/>
        </w:rPr>
        <w:t xml:space="preserve">, </w:t>
      </w:r>
      <w:r>
        <w:rPr>
          <w:rFonts w:ascii="Arial" w:hAnsi="Arial" w:cs="Arial"/>
          <w:sz w:val="22"/>
          <w:szCs w:val="22"/>
        </w:rPr>
        <w:t>což je sedmá nejvyšší úroveň nezaměstnanosti v rámci ČR. Okres Znojmo je zároveň charakterizován</w:t>
      </w:r>
      <w:r w:rsidRPr="00C74AD3">
        <w:rPr>
          <w:rFonts w:ascii="Arial" w:hAnsi="Arial" w:cs="Arial"/>
          <w:sz w:val="22"/>
          <w:szCs w:val="22"/>
        </w:rPr>
        <w:t xml:space="preserve"> </w:t>
      </w:r>
      <w:r w:rsidRPr="00267B77">
        <w:rPr>
          <w:rFonts w:ascii="Arial" w:hAnsi="Arial" w:cs="Arial"/>
          <w:sz w:val="22"/>
          <w:szCs w:val="22"/>
        </w:rPr>
        <w:t>na svou rozlohu</w:t>
      </w:r>
      <w:r w:rsidRPr="009225EF">
        <w:rPr>
          <w:rFonts w:ascii="Arial" w:hAnsi="Arial" w:cs="Arial"/>
          <w:color w:val="FF0000"/>
          <w:sz w:val="22"/>
          <w:szCs w:val="22"/>
        </w:rPr>
        <w:t xml:space="preserve"> </w:t>
      </w:r>
      <w:r w:rsidRPr="00C74AD3">
        <w:rPr>
          <w:rFonts w:ascii="Arial" w:hAnsi="Arial" w:cs="Arial"/>
          <w:sz w:val="22"/>
          <w:szCs w:val="22"/>
        </w:rPr>
        <w:t>s nízkým počtem volných míst. Počet uchazečů na jedno pracovní místo v okrese Znojmo dosahoval</w:t>
      </w:r>
      <w:r>
        <w:rPr>
          <w:rFonts w:ascii="Arial" w:hAnsi="Arial" w:cs="Arial"/>
          <w:sz w:val="22"/>
          <w:szCs w:val="22"/>
        </w:rPr>
        <w:t xml:space="preserve"> k 31. 12. 2014</w:t>
      </w:r>
      <w:r w:rsidRPr="00C74AD3">
        <w:rPr>
          <w:rFonts w:ascii="Arial" w:hAnsi="Arial" w:cs="Arial"/>
          <w:sz w:val="22"/>
          <w:szCs w:val="22"/>
        </w:rPr>
        <w:t xml:space="preserve"> hodnoty </w:t>
      </w:r>
      <w:r>
        <w:rPr>
          <w:rFonts w:ascii="Arial" w:hAnsi="Arial" w:cs="Arial"/>
          <w:sz w:val="22"/>
          <w:szCs w:val="22"/>
        </w:rPr>
        <w:t>18</w:t>
      </w:r>
      <w:r w:rsidRPr="00C74AD3">
        <w:rPr>
          <w:rFonts w:ascii="Arial" w:hAnsi="Arial" w:cs="Arial"/>
          <w:sz w:val="22"/>
          <w:szCs w:val="22"/>
        </w:rPr>
        <w:t>,</w:t>
      </w:r>
      <w:r>
        <w:rPr>
          <w:rFonts w:ascii="Arial" w:hAnsi="Arial" w:cs="Arial"/>
          <w:sz w:val="22"/>
          <w:szCs w:val="22"/>
        </w:rPr>
        <w:t>4</w:t>
      </w:r>
      <w:r w:rsidRPr="00C74AD3">
        <w:rPr>
          <w:rFonts w:ascii="Arial" w:hAnsi="Arial" w:cs="Arial"/>
          <w:sz w:val="22"/>
          <w:szCs w:val="22"/>
        </w:rPr>
        <w:t xml:space="preserve">. Úroveň nezaměstnanosti v okrese Znojmo je </w:t>
      </w:r>
      <w:r w:rsidR="008866F3">
        <w:rPr>
          <w:rFonts w:ascii="Arial" w:hAnsi="Arial" w:cs="Arial"/>
          <w:sz w:val="22"/>
          <w:szCs w:val="22"/>
        </w:rPr>
        <w:t xml:space="preserve">ze všech okresů kraje nejvíce </w:t>
      </w:r>
      <w:r w:rsidRPr="00C74AD3">
        <w:rPr>
          <w:rFonts w:ascii="Arial" w:hAnsi="Arial" w:cs="Arial"/>
          <w:sz w:val="22"/>
          <w:szCs w:val="22"/>
        </w:rPr>
        <w:t xml:space="preserve">ovlivněna </w:t>
      </w:r>
      <w:r w:rsidR="008866F3">
        <w:rPr>
          <w:rFonts w:ascii="Arial" w:hAnsi="Arial" w:cs="Arial"/>
          <w:sz w:val="22"/>
          <w:szCs w:val="22"/>
        </w:rPr>
        <w:t>průběhem</w:t>
      </w:r>
      <w:r w:rsidRPr="00C74AD3">
        <w:rPr>
          <w:rFonts w:ascii="Arial" w:hAnsi="Arial" w:cs="Arial"/>
          <w:sz w:val="22"/>
          <w:szCs w:val="22"/>
        </w:rPr>
        <w:t xml:space="preserve"> sezónních prací v </w:t>
      </w:r>
      <w:r w:rsidRPr="00D0549A">
        <w:rPr>
          <w:rFonts w:ascii="Arial" w:hAnsi="Arial" w:cs="Arial"/>
          <w:sz w:val="22"/>
          <w:szCs w:val="22"/>
        </w:rPr>
        <w:t xml:space="preserve">zemědělství. </w:t>
      </w:r>
    </w:p>
    <w:p w:rsidR="00060EFF" w:rsidRPr="00267B77" w:rsidRDefault="00267B77" w:rsidP="00267B77">
      <w:pPr>
        <w:pStyle w:val="Bezmezer"/>
        <w:spacing w:line="276" w:lineRule="auto"/>
        <w:rPr>
          <w:rFonts w:ascii="Arial" w:hAnsi="Arial" w:cs="Arial"/>
          <w:b/>
          <w:i/>
          <w:sz w:val="20"/>
          <w:szCs w:val="20"/>
        </w:rPr>
      </w:pPr>
      <w:r w:rsidRPr="00267B77">
        <w:rPr>
          <w:rFonts w:ascii="Arial" w:hAnsi="Arial" w:cs="Arial"/>
          <w:b/>
          <w:i/>
          <w:sz w:val="20"/>
          <w:szCs w:val="20"/>
        </w:rPr>
        <w:t xml:space="preserve">Tab. </w:t>
      </w:r>
      <w:r w:rsidRPr="00267B77">
        <w:rPr>
          <w:rFonts w:ascii="Arial" w:hAnsi="Arial" w:cs="Arial"/>
          <w:b/>
          <w:i/>
          <w:sz w:val="20"/>
          <w:szCs w:val="20"/>
        </w:rPr>
        <w:fldChar w:fldCharType="begin"/>
      </w:r>
      <w:r w:rsidRPr="00267B77">
        <w:rPr>
          <w:rFonts w:ascii="Arial" w:hAnsi="Arial" w:cs="Arial"/>
          <w:b/>
          <w:i/>
          <w:sz w:val="20"/>
          <w:szCs w:val="20"/>
        </w:rPr>
        <w:instrText xml:space="preserve"> SEQ Tab. \* ARABIC </w:instrText>
      </w:r>
      <w:r w:rsidRPr="00267B77">
        <w:rPr>
          <w:rFonts w:ascii="Arial" w:hAnsi="Arial" w:cs="Arial"/>
          <w:b/>
          <w:i/>
          <w:sz w:val="20"/>
          <w:szCs w:val="20"/>
        </w:rPr>
        <w:fldChar w:fldCharType="separate"/>
      </w:r>
      <w:r w:rsidR="004378F3">
        <w:rPr>
          <w:rFonts w:ascii="Arial" w:hAnsi="Arial" w:cs="Arial"/>
          <w:b/>
          <w:i/>
          <w:noProof/>
          <w:sz w:val="20"/>
          <w:szCs w:val="20"/>
        </w:rPr>
        <w:t>13</w:t>
      </w:r>
      <w:r w:rsidRPr="00267B77">
        <w:rPr>
          <w:rFonts w:ascii="Arial" w:hAnsi="Arial" w:cs="Arial"/>
          <w:b/>
          <w:i/>
          <w:sz w:val="20"/>
          <w:szCs w:val="20"/>
        </w:rPr>
        <w:fldChar w:fldCharType="end"/>
      </w:r>
      <w:r w:rsidR="00060EFF" w:rsidRPr="00267B77">
        <w:rPr>
          <w:rFonts w:ascii="Arial" w:hAnsi="Arial" w:cs="Arial"/>
          <w:b/>
          <w:i/>
          <w:sz w:val="20"/>
          <w:szCs w:val="20"/>
        </w:rPr>
        <w:t>: Charakteristika okresu Znojmo k 31. 12. 2014</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25"/>
        <w:gridCol w:w="954"/>
        <w:gridCol w:w="936"/>
        <w:gridCol w:w="936"/>
        <w:gridCol w:w="1085"/>
        <w:gridCol w:w="945"/>
        <w:gridCol w:w="973"/>
        <w:gridCol w:w="1058"/>
      </w:tblGrid>
      <w:tr w:rsidR="00060EFF" w:rsidRPr="00F91686" w:rsidTr="00060EFF">
        <w:trPr>
          <w:trHeight w:val="301"/>
        </w:trPr>
        <w:tc>
          <w:tcPr>
            <w:tcW w:w="1261" w:type="pct"/>
            <w:vMerge w:val="restart"/>
            <w:tcBorders>
              <w:top w:val="single" w:sz="12" w:space="0" w:color="auto"/>
              <w:bottom w:val="single" w:sz="12" w:space="0" w:color="auto"/>
              <w:right w:val="single" w:sz="12" w:space="0" w:color="auto"/>
            </w:tcBorders>
            <w:shd w:val="clear" w:color="000000" w:fill="F2F2F2"/>
            <w:vAlign w:val="center"/>
            <w:hideMark/>
          </w:tcPr>
          <w:p w:rsidR="00060EFF" w:rsidRPr="00F91686" w:rsidRDefault="00060EFF" w:rsidP="00060EFF">
            <w:pPr>
              <w:spacing w:line="240" w:lineRule="auto"/>
              <w:jc w:val="center"/>
              <w:rPr>
                <w:rFonts w:asciiTheme="minorHAnsi" w:hAnsiTheme="minorHAnsi"/>
              </w:rPr>
            </w:pPr>
            <w:r w:rsidRPr="00F91686">
              <w:rPr>
                <w:rFonts w:asciiTheme="minorHAnsi" w:hAnsiTheme="minorHAnsi"/>
                <w:sz w:val="22"/>
                <w:szCs w:val="22"/>
              </w:rPr>
              <w:t>Území</w:t>
            </w:r>
          </w:p>
        </w:tc>
        <w:tc>
          <w:tcPr>
            <w:tcW w:w="1552" w:type="pct"/>
            <w:gridSpan w:val="3"/>
            <w:tcBorders>
              <w:left w:val="single" w:sz="12" w:space="0" w:color="auto"/>
              <w:bottom w:val="single" w:sz="8" w:space="0" w:color="auto"/>
            </w:tcBorders>
            <w:shd w:val="clear" w:color="000000" w:fill="F2F2F2"/>
            <w:vAlign w:val="center"/>
            <w:hideMark/>
          </w:tcPr>
          <w:p w:rsidR="00060EFF" w:rsidRPr="00F91686" w:rsidRDefault="00060EFF" w:rsidP="00060EFF">
            <w:pPr>
              <w:spacing w:line="240" w:lineRule="auto"/>
              <w:jc w:val="center"/>
              <w:rPr>
                <w:rFonts w:asciiTheme="minorHAnsi" w:hAnsiTheme="minorHAnsi"/>
              </w:rPr>
            </w:pPr>
            <w:r w:rsidRPr="00F91686">
              <w:rPr>
                <w:rFonts w:asciiTheme="minorHAnsi" w:hAnsiTheme="minorHAnsi"/>
                <w:sz w:val="22"/>
                <w:szCs w:val="22"/>
              </w:rPr>
              <w:t>Počet nezaměstnaných</w:t>
            </w:r>
          </w:p>
        </w:tc>
        <w:tc>
          <w:tcPr>
            <w:tcW w:w="574" w:type="pct"/>
            <w:vMerge w:val="restart"/>
            <w:tcBorders>
              <w:top w:val="single" w:sz="12" w:space="0" w:color="auto"/>
              <w:bottom w:val="single" w:sz="12" w:space="0" w:color="auto"/>
            </w:tcBorders>
            <w:shd w:val="clear" w:color="000000" w:fill="F2F2F2"/>
            <w:vAlign w:val="center"/>
            <w:hideMark/>
          </w:tcPr>
          <w:p w:rsidR="00060EFF" w:rsidRPr="00F91686" w:rsidRDefault="00060EFF" w:rsidP="00060EFF">
            <w:pPr>
              <w:spacing w:line="240" w:lineRule="auto"/>
              <w:jc w:val="center"/>
              <w:rPr>
                <w:rFonts w:asciiTheme="minorHAnsi" w:hAnsiTheme="minorHAnsi"/>
                <w:color w:val="000000"/>
              </w:rPr>
            </w:pPr>
            <w:r w:rsidRPr="00F91686">
              <w:rPr>
                <w:rFonts w:asciiTheme="minorHAnsi" w:hAnsiTheme="minorHAnsi"/>
                <w:color w:val="000000"/>
                <w:sz w:val="22"/>
                <w:szCs w:val="22"/>
              </w:rPr>
              <w:t>Absolventi škol a mladiství</w:t>
            </w:r>
          </w:p>
        </w:tc>
        <w:tc>
          <w:tcPr>
            <w:tcW w:w="519" w:type="pct"/>
            <w:vMerge w:val="restart"/>
            <w:tcBorders>
              <w:top w:val="single" w:sz="12" w:space="0" w:color="auto"/>
              <w:bottom w:val="single" w:sz="12" w:space="0" w:color="auto"/>
            </w:tcBorders>
            <w:shd w:val="clear" w:color="000000" w:fill="F2F2F2"/>
            <w:vAlign w:val="center"/>
            <w:hideMark/>
          </w:tcPr>
          <w:p w:rsidR="00060EFF" w:rsidRPr="00F91686" w:rsidRDefault="00060EFF" w:rsidP="00060EFF">
            <w:pPr>
              <w:spacing w:line="240" w:lineRule="auto"/>
              <w:jc w:val="center"/>
              <w:rPr>
                <w:rFonts w:asciiTheme="minorHAnsi" w:hAnsiTheme="minorHAnsi"/>
                <w:color w:val="000000"/>
              </w:rPr>
            </w:pPr>
            <w:r w:rsidRPr="00F91686">
              <w:rPr>
                <w:rFonts w:asciiTheme="minorHAnsi" w:hAnsiTheme="minorHAnsi"/>
                <w:color w:val="000000"/>
                <w:sz w:val="22"/>
                <w:szCs w:val="22"/>
              </w:rPr>
              <w:t>Osoby se ZP</w:t>
            </w:r>
          </w:p>
        </w:tc>
        <w:tc>
          <w:tcPr>
            <w:tcW w:w="534" w:type="pct"/>
            <w:vMerge w:val="restart"/>
            <w:tcBorders>
              <w:top w:val="single" w:sz="12" w:space="0" w:color="auto"/>
              <w:bottom w:val="single" w:sz="12" w:space="0" w:color="auto"/>
            </w:tcBorders>
            <w:shd w:val="clear" w:color="000000" w:fill="F2F2F2"/>
            <w:vAlign w:val="center"/>
            <w:hideMark/>
          </w:tcPr>
          <w:p w:rsidR="00060EFF" w:rsidRPr="00F91686" w:rsidRDefault="00060EFF" w:rsidP="00060EFF">
            <w:pPr>
              <w:spacing w:line="240" w:lineRule="auto"/>
              <w:jc w:val="center"/>
              <w:rPr>
                <w:rFonts w:asciiTheme="minorHAnsi" w:hAnsiTheme="minorHAnsi"/>
              </w:rPr>
            </w:pPr>
            <w:r w:rsidRPr="00F91686">
              <w:rPr>
                <w:rFonts w:asciiTheme="minorHAnsi" w:hAnsiTheme="minorHAnsi"/>
                <w:sz w:val="22"/>
                <w:szCs w:val="22"/>
              </w:rPr>
              <w:t>Volná pracovní místa</w:t>
            </w:r>
          </w:p>
        </w:tc>
        <w:tc>
          <w:tcPr>
            <w:tcW w:w="560" w:type="pct"/>
            <w:vMerge w:val="restart"/>
            <w:tcBorders>
              <w:top w:val="single" w:sz="12" w:space="0" w:color="auto"/>
              <w:bottom w:val="single" w:sz="12" w:space="0" w:color="auto"/>
            </w:tcBorders>
            <w:shd w:val="clear" w:color="000000" w:fill="F2F2F2"/>
            <w:vAlign w:val="center"/>
            <w:hideMark/>
          </w:tcPr>
          <w:p w:rsidR="00060EFF" w:rsidRPr="00F91686" w:rsidRDefault="00060EFF" w:rsidP="00060EFF">
            <w:pPr>
              <w:spacing w:line="240" w:lineRule="auto"/>
              <w:jc w:val="center"/>
              <w:rPr>
                <w:rFonts w:asciiTheme="minorHAnsi" w:hAnsiTheme="minorHAnsi"/>
              </w:rPr>
            </w:pPr>
            <w:r w:rsidRPr="00F91686">
              <w:rPr>
                <w:rFonts w:asciiTheme="minorHAnsi" w:hAnsiTheme="minorHAnsi"/>
                <w:sz w:val="22"/>
                <w:szCs w:val="22"/>
              </w:rPr>
              <w:t>Podíl nezaměst. [%]</w:t>
            </w:r>
          </w:p>
        </w:tc>
      </w:tr>
      <w:tr w:rsidR="00060EFF" w:rsidRPr="00F91686" w:rsidTr="00060EFF">
        <w:trPr>
          <w:trHeight w:val="301"/>
        </w:trPr>
        <w:tc>
          <w:tcPr>
            <w:tcW w:w="1261" w:type="pct"/>
            <w:vMerge/>
            <w:tcBorders>
              <w:top w:val="single" w:sz="8" w:space="0" w:color="auto"/>
              <w:bottom w:val="single" w:sz="12" w:space="0" w:color="auto"/>
              <w:right w:val="single" w:sz="12" w:space="0" w:color="auto"/>
            </w:tcBorders>
            <w:vAlign w:val="center"/>
            <w:hideMark/>
          </w:tcPr>
          <w:p w:rsidR="00060EFF" w:rsidRPr="00F91686" w:rsidRDefault="00060EFF" w:rsidP="00060EFF">
            <w:pPr>
              <w:spacing w:line="240" w:lineRule="auto"/>
              <w:rPr>
                <w:rFonts w:asciiTheme="minorHAnsi" w:hAnsiTheme="minorHAnsi"/>
              </w:rPr>
            </w:pPr>
          </w:p>
        </w:tc>
        <w:tc>
          <w:tcPr>
            <w:tcW w:w="524" w:type="pct"/>
            <w:vMerge w:val="restart"/>
            <w:tcBorders>
              <w:top w:val="single" w:sz="8" w:space="0" w:color="auto"/>
              <w:left w:val="single" w:sz="12" w:space="0" w:color="auto"/>
              <w:bottom w:val="single" w:sz="8" w:space="0" w:color="auto"/>
            </w:tcBorders>
            <w:shd w:val="clear" w:color="000000" w:fill="F2F2F2"/>
            <w:vAlign w:val="center"/>
            <w:hideMark/>
          </w:tcPr>
          <w:p w:rsidR="00060EFF" w:rsidRPr="00F91686" w:rsidRDefault="00060EFF" w:rsidP="00060EFF">
            <w:pPr>
              <w:spacing w:line="240" w:lineRule="auto"/>
              <w:jc w:val="center"/>
              <w:rPr>
                <w:rFonts w:asciiTheme="minorHAnsi" w:hAnsiTheme="minorHAnsi"/>
              </w:rPr>
            </w:pPr>
            <w:r w:rsidRPr="00F91686">
              <w:rPr>
                <w:rFonts w:asciiTheme="minorHAnsi" w:hAnsiTheme="minorHAnsi"/>
                <w:sz w:val="22"/>
                <w:szCs w:val="22"/>
              </w:rPr>
              <w:t>celkem</w:t>
            </w:r>
          </w:p>
        </w:tc>
        <w:tc>
          <w:tcPr>
            <w:tcW w:w="1028" w:type="pct"/>
            <w:gridSpan w:val="2"/>
            <w:tcBorders>
              <w:top w:val="single" w:sz="8" w:space="0" w:color="auto"/>
              <w:bottom w:val="single" w:sz="8" w:space="0" w:color="auto"/>
            </w:tcBorders>
            <w:shd w:val="clear" w:color="000000" w:fill="F2F2F2"/>
            <w:vAlign w:val="center"/>
            <w:hideMark/>
          </w:tcPr>
          <w:p w:rsidR="00060EFF" w:rsidRPr="00F91686" w:rsidRDefault="00060EFF" w:rsidP="00060EFF">
            <w:pPr>
              <w:spacing w:line="240" w:lineRule="auto"/>
              <w:jc w:val="center"/>
              <w:rPr>
                <w:rFonts w:asciiTheme="minorHAnsi" w:hAnsiTheme="minorHAnsi"/>
              </w:rPr>
            </w:pPr>
            <w:r w:rsidRPr="00F91686">
              <w:rPr>
                <w:rFonts w:asciiTheme="minorHAnsi" w:hAnsiTheme="minorHAnsi"/>
                <w:sz w:val="22"/>
                <w:szCs w:val="22"/>
              </w:rPr>
              <w:t>v tom</w:t>
            </w:r>
          </w:p>
        </w:tc>
        <w:tc>
          <w:tcPr>
            <w:tcW w:w="574" w:type="pct"/>
            <w:vMerge/>
            <w:tcBorders>
              <w:top w:val="single" w:sz="8" w:space="0" w:color="auto"/>
              <w:bottom w:val="single" w:sz="12" w:space="0" w:color="auto"/>
            </w:tcBorders>
            <w:vAlign w:val="center"/>
            <w:hideMark/>
          </w:tcPr>
          <w:p w:rsidR="00060EFF" w:rsidRPr="00F91686" w:rsidRDefault="00060EFF" w:rsidP="00060EFF">
            <w:pPr>
              <w:spacing w:line="240" w:lineRule="auto"/>
              <w:rPr>
                <w:rFonts w:asciiTheme="minorHAnsi" w:hAnsiTheme="minorHAnsi"/>
                <w:color w:val="000000"/>
              </w:rPr>
            </w:pPr>
          </w:p>
        </w:tc>
        <w:tc>
          <w:tcPr>
            <w:tcW w:w="519" w:type="pct"/>
            <w:vMerge/>
            <w:tcBorders>
              <w:top w:val="single" w:sz="8" w:space="0" w:color="auto"/>
              <w:bottom w:val="single" w:sz="12" w:space="0" w:color="auto"/>
            </w:tcBorders>
            <w:vAlign w:val="center"/>
            <w:hideMark/>
          </w:tcPr>
          <w:p w:rsidR="00060EFF" w:rsidRPr="00F91686" w:rsidRDefault="00060EFF" w:rsidP="00060EFF">
            <w:pPr>
              <w:spacing w:line="240" w:lineRule="auto"/>
              <w:rPr>
                <w:rFonts w:asciiTheme="minorHAnsi" w:hAnsiTheme="minorHAnsi"/>
                <w:color w:val="000000"/>
              </w:rPr>
            </w:pPr>
          </w:p>
        </w:tc>
        <w:tc>
          <w:tcPr>
            <w:tcW w:w="534" w:type="pct"/>
            <w:vMerge/>
            <w:tcBorders>
              <w:top w:val="single" w:sz="8" w:space="0" w:color="auto"/>
              <w:bottom w:val="single" w:sz="12" w:space="0" w:color="auto"/>
            </w:tcBorders>
            <w:vAlign w:val="center"/>
            <w:hideMark/>
          </w:tcPr>
          <w:p w:rsidR="00060EFF" w:rsidRPr="00F91686" w:rsidRDefault="00060EFF" w:rsidP="00060EFF">
            <w:pPr>
              <w:spacing w:line="240" w:lineRule="auto"/>
              <w:rPr>
                <w:rFonts w:asciiTheme="minorHAnsi" w:hAnsiTheme="minorHAnsi"/>
              </w:rPr>
            </w:pPr>
          </w:p>
        </w:tc>
        <w:tc>
          <w:tcPr>
            <w:tcW w:w="560" w:type="pct"/>
            <w:vMerge/>
            <w:tcBorders>
              <w:top w:val="single" w:sz="8" w:space="0" w:color="auto"/>
              <w:bottom w:val="single" w:sz="12" w:space="0" w:color="auto"/>
            </w:tcBorders>
            <w:vAlign w:val="center"/>
            <w:hideMark/>
          </w:tcPr>
          <w:p w:rsidR="00060EFF" w:rsidRPr="00F91686" w:rsidRDefault="00060EFF" w:rsidP="00060EFF">
            <w:pPr>
              <w:spacing w:line="240" w:lineRule="auto"/>
              <w:rPr>
                <w:rFonts w:asciiTheme="minorHAnsi" w:hAnsiTheme="minorHAnsi"/>
              </w:rPr>
            </w:pPr>
          </w:p>
        </w:tc>
      </w:tr>
      <w:tr w:rsidR="00060EFF" w:rsidRPr="00F91686" w:rsidTr="00060EFF">
        <w:trPr>
          <w:trHeight w:val="315"/>
        </w:trPr>
        <w:tc>
          <w:tcPr>
            <w:tcW w:w="1261" w:type="pct"/>
            <w:vMerge/>
            <w:tcBorders>
              <w:top w:val="single" w:sz="8" w:space="0" w:color="auto"/>
              <w:bottom w:val="single" w:sz="12" w:space="0" w:color="auto"/>
              <w:right w:val="single" w:sz="12" w:space="0" w:color="auto"/>
            </w:tcBorders>
            <w:vAlign w:val="center"/>
            <w:hideMark/>
          </w:tcPr>
          <w:p w:rsidR="00060EFF" w:rsidRPr="00F91686" w:rsidRDefault="00060EFF" w:rsidP="00060EFF">
            <w:pPr>
              <w:spacing w:line="240" w:lineRule="auto"/>
              <w:rPr>
                <w:rFonts w:asciiTheme="minorHAnsi" w:hAnsiTheme="minorHAnsi"/>
              </w:rPr>
            </w:pPr>
          </w:p>
        </w:tc>
        <w:tc>
          <w:tcPr>
            <w:tcW w:w="524" w:type="pct"/>
            <w:vMerge/>
            <w:tcBorders>
              <w:top w:val="single" w:sz="8" w:space="0" w:color="auto"/>
              <w:left w:val="single" w:sz="12" w:space="0" w:color="auto"/>
              <w:bottom w:val="single" w:sz="12" w:space="0" w:color="auto"/>
            </w:tcBorders>
            <w:vAlign w:val="center"/>
            <w:hideMark/>
          </w:tcPr>
          <w:p w:rsidR="00060EFF" w:rsidRPr="00F91686" w:rsidRDefault="00060EFF" w:rsidP="00060EFF">
            <w:pPr>
              <w:spacing w:line="240" w:lineRule="auto"/>
              <w:rPr>
                <w:rFonts w:asciiTheme="minorHAnsi" w:hAnsiTheme="minorHAnsi"/>
              </w:rPr>
            </w:pPr>
          </w:p>
        </w:tc>
        <w:tc>
          <w:tcPr>
            <w:tcW w:w="514" w:type="pct"/>
            <w:tcBorders>
              <w:top w:val="single" w:sz="8" w:space="0" w:color="auto"/>
              <w:bottom w:val="single" w:sz="12" w:space="0" w:color="auto"/>
            </w:tcBorders>
            <w:shd w:val="clear" w:color="000000" w:fill="F2F2F2"/>
            <w:vAlign w:val="center"/>
            <w:hideMark/>
          </w:tcPr>
          <w:p w:rsidR="00060EFF" w:rsidRPr="00F91686" w:rsidRDefault="00060EFF" w:rsidP="00060EFF">
            <w:pPr>
              <w:spacing w:line="240" w:lineRule="auto"/>
              <w:jc w:val="center"/>
              <w:rPr>
                <w:rFonts w:asciiTheme="minorHAnsi" w:hAnsiTheme="minorHAnsi"/>
              </w:rPr>
            </w:pPr>
            <w:r w:rsidRPr="00F91686">
              <w:rPr>
                <w:rFonts w:asciiTheme="minorHAnsi" w:hAnsiTheme="minorHAnsi"/>
                <w:sz w:val="22"/>
                <w:szCs w:val="22"/>
              </w:rPr>
              <w:t>muži</w:t>
            </w:r>
          </w:p>
        </w:tc>
        <w:tc>
          <w:tcPr>
            <w:tcW w:w="514" w:type="pct"/>
            <w:tcBorders>
              <w:top w:val="single" w:sz="8" w:space="0" w:color="auto"/>
              <w:bottom w:val="single" w:sz="12" w:space="0" w:color="auto"/>
            </w:tcBorders>
            <w:shd w:val="clear" w:color="000000" w:fill="F2F2F2"/>
            <w:vAlign w:val="center"/>
            <w:hideMark/>
          </w:tcPr>
          <w:p w:rsidR="00060EFF" w:rsidRPr="00F91686" w:rsidRDefault="00060EFF" w:rsidP="00060EFF">
            <w:pPr>
              <w:spacing w:line="240" w:lineRule="auto"/>
              <w:jc w:val="center"/>
              <w:rPr>
                <w:rFonts w:asciiTheme="minorHAnsi" w:hAnsiTheme="minorHAnsi"/>
              </w:rPr>
            </w:pPr>
            <w:r w:rsidRPr="00F91686">
              <w:rPr>
                <w:rFonts w:asciiTheme="minorHAnsi" w:hAnsiTheme="minorHAnsi"/>
                <w:sz w:val="22"/>
                <w:szCs w:val="22"/>
              </w:rPr>
              <w:t>ženy</w:t>
            </w:r>
          </w:p>
        </w:tc>
        <w:tc>
          <w:tcPr>
            <w:tcW w:w="574" w:type="pct"/>
            <w:vMerge/>
            <w:tcBorders>
              <w:top w:val="single" w:sz="8" w:space="0" w:color="auto"/>
              <w:bottom w:val="single" w:sz="12" w:space="0" w:color="auto"/>
            </w:tcBorders>
            <w:vAlign w:val="center"/>
            <w:hideMark/>
          </w:tcPr>
          <w:p w:rsidR="00060EFF" w:rsidRPr="00F91686" w:rsidRDefault="00060EFF" w:rsidP="00060EFF">
            <w:pPr>
              <w:spacing w:line="240" w:lineRule="auto"/>
              <w:rPr>
                <w:rFonts w:asciiTheme="minorHAnsi" w:hAnsiTheme="minorHAnsi"/>
                <w:color w:val="000000"/>
              </w:rPr>
            </w:pPr>
          </w:p>
        </w:tc>
        <w:tc>
          <w:tcPr>
            <w:tcW w:w="519" w:type="pct"/>
            <w:vMerge/>
            <w:tcBorders>
              <w:top w:val="single" w:sz="8" w:space="0" w:color="auto"/>
              <w:bottom w:val="single" w:sz="12" w:space="0" w:color="auto"/>
            </w:tcBorders>
            <w:vAlign w:val="center"/>
            <w:hideMark/>
          </w:tcPr>
          <w:p w:rsidR="00060EFF" w:rsidRPr="00F91686" w:rsidRDefault="00060EFF" w:rsidP="00060EFF">
            <w:pPr>
              <w:spacing w:line="240" w:lineRule="auto"/>
              <w:rPr>
                <w:rFonts w:asciiTheme="minorHAnsi" w:hAnsiTheme="minorHAnsi"/>
                <w:color w:val="000000"/>
              </w:rPr>
            </w:pPr>
          </w:p>
        </w:tc>
        <w:tc>
          <w:tcPr>
            <w:tcW w:w="534" w:type="pct"/>
            <w:vMerge/>
            <w:tcBorders>
              <w:top w:val="single" w:sz="8" w:space="0" w:color="auto"/>
              <w:bottom w:val="single" w:sz="12" w:space="0" w:color="auto"/>
            </w:tcBorders>
            <w:vAlign w:val="center"/>
            <w:hideMark/>
          </w:tcPr>
          <w:p w:rsidR="00060EFF" w:rsidRPr="00F91686" w:rsidRDefault="00060EFF" w:rsidP="00060EFF">
            <w:pPr>
              <w:spacing w:line="240" w:lineRule="auto"/>
              <w:rPr>
                <w:rFonts w:asciiTheme="minorHAnsi" w:hAnsiTheme="minorHAnsi"/>
              </w:rPr>
            </w:pPr>
          </w:p>
        </w:tc>
        <w:tc>
          <w:tcPr>
            <w:tcW w:w="560" w:type="pct"/>
            <w:vMerge/>
            <w:tcBorders>
              <w:top w:val="single" w:sz="8" w:space="0" w:color="auto"/>
              <w:bottom w:val="single" w:sz="12" w:space="0" w:color="auto"/>
            </w:tcBorders>
            <w:vAlign w:val="center"/>
            <w:hideMark/>
          </w:tcPr>
          <w:p w:rsidR="00060EFF" w:rsidRPr="00F91686" w:rsidRDefault="00060EFF" w:rsidP="00060EFF">
            <w:pPr>
              <w:spacing w:line="240" w:lineRule="auto"/>
              <w:rPr>
                <w:rFonts w:asciiTheme="minorHAnsi" w:hAnsiTheme="minorHAnsi"/>
              </w:rPr>
            </w:pPr>
          </w:p>
        </w:tc>
      </w:tr>
      <w:tr w:rsidR="00060EFF" w:rsidRPr="00F91686" w:rsidTr="00060EFF">
        <w:trPr>
          <w:trHeight w:val="301"/>
        </w:trPr>
        <w:tc>
          <w:tcPr>
            <w:tcW w:w="1261" w:type="pct"/>
            <w:tcBorders>
              <w:top w:val="single" w:sz="12" w:space="0" w:color="auto"/>
              <w:bottom w:val="single" w:sz="8" w:space="0" w:color="auto"/>
              <w:right w:val="single" w:sz="12" w:space="0" w:color="auto"/>
            </w:tcBorders>
            <w:shd w:val="clear" w:color="000000" w:fill="F2F2F2"/>
            <w:noWrap/>
            <w:vAlign w:val="center"/>
            <w:hideMark/>
          </w:tcPr>
          <w:p w:rsidR="00060EFF" w:rsidRPr="00F91686" w:rsidRDefault="00060EFF" w:rsidP="00060EFF">
            <w:pPr>
              <w:spacing w:line="240" w:lineRule="auto"/>
              <w:rPr>
                <w:rFonts w:asciiTheme="minorHAnsi" w:hAnsiTheme="minorHAnsi"/>
              </w:rPr>
            </w:pPr>
            <w:r w:rsidRPr="00F91686">
              <w:rPr>
                <w:rFonts w:asciiTheme="minorHAnsi" w:hAnsiTheme="minorHAnsi"/>
                <w:sz w:val="22"/>
                <w:szCs w:val="22"/>
              </w:rPr>
              <w:t>Hrušovany n. Jevišovkou</w:t>
            </w:r>
          </w:p>
        </w:tc>
        <w:tc>
          <w:tcPr>
            <w:tcW w:w="524" w:type="pct"/>
            <w:tcBorders>
              <w:top w:val="single" w:sz="12" w:space="0" w:color="auto"/>
              <w:left w:val="single" w:sz="12" w:space="0" w:color="auto"/>
            </w:tcBorders>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876</w:t>
            </w:r>
          </w:p>
        </w:tc>
        <w:tc>
          <w:tcPr>
            <w:tcW w:w="514" w:type="pct"/>
            <w:tcBorders>
              <w:top w:val="single" w:sz="12" w:space="0" w:color="auto"/>
            </w:tcBorders>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466</w:t>
            </w:r>
          </w:p>
        </w:tc>
        <w:tc>
          <w:tcPr>
            <w:tcW w:w="514" w:type="pct"/>
            <w:tcBorders>
              <w:top w:val="single" w:sz="12" w:space="0" w:color="auto"/>
            </w:tcBorders>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410</w:t>
            </w:r>
          </w:p>
        </w:tc>
        <w:tc>
          <w:tcPr>
            <w:tcW w:w="574" w:type="pct"/>
            <w:tcBorders>
              <w:top w:val="single" w:sz="12" w:space="0" w:color="auto"/>
            </w:tcBorders>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46</w:t>
            </w:r>
          </w:p>
        </w:tc>
        <w:tc>
          <w:tcPr>
            <w:tcW w:w="519" w:type="pct"/>
            <w:tcBorders>
              <w:top w:val="single" w:sz="12" w:space="0" w:color="auto"/>
            </w:tcBorders>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79</w:t>
            </w:r>
          </w:p>
        </w:tc>
        <w:tc>
          <w:tcPr>
            <w:tcW w:w="534" w:type="pct"/>
            <w:tcBorders>
              <w:top w:val="single" w:sz="12" w:space="0" w:color="auto"/>
            </w:tcBorders>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13</w:t>
            </w:r>
          </w:p>
        </w:tc>
        <w:tc>
          <w:tcPr>
            <w:tcW w:w="560" w:type="pct"/>
            <w:tcBorders>
              <w:top w:val="single" w:sz="12" w:space="0" w:color="auto"/>
            </w:tcBorders>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10,8</w:t>
            </w:r>
          </w:p>
        </w:tc>
      </w:tr>
      <w:tr w:rsidR="00060EFF" w:rsidRPr="00F91686" w:rsidTr="00060EFF">
        <w:trPr>
          <w:trHeight w:val="301"/>
        </w:trPr>
        <w:tc>
          <w:tcPr>
            <w:tcW w:w="1261" w:type="pct"/>
            <w:tcBorders>
              <w:top w:val="single" w:sz="8" w:space="0" w:color="auto"/>
              <w:bottom w:val="single" w:sz="8" w:space="0" w:color="auto"/>
              <w:right w:val="single" w:sz="12" w:space="0" w:color="auto"/>
            </w:tcBorders>
            <w:shd w:val="clear" w:color="000000" w:fill="F2F2F2"/>
            <w:noWrap/>
            <w:vAlign w:val="center"/>
            <w:hideMark/>
          </w:tcPr>
          <w:p w:rsidR="00060EFF" w:rsidRPr="00F91686" w:rsidRDefault="00060EFF" w:rsidP="00060EFF">
            <w:pPr>
              <w:spacing w:line="240" w:lineRule="auto"/>
              <w:rPr>
                <w:rFonts w:asciiTheme="minorHAnsi" w:hAnsiTheme="minorHAnsi"/>
              </w:rPr>
            </w:pPr>
            <w:r w:rsidRPr="00F91686">
              <w:rPr>
                <w:rFonts w:asciiTheme="minorHAnsi" w:hAnsiTheme="minorHAnsi"/>
                <w:sz w:val="22"/>
                <w:szCs w:val="22"/>
              </w:rPr>
              <w:t>Miroslav</w:t>
            </w:r>
          </w:p>
        </w:tc>
        <w:tc>
          <w:tcPr>
            <w:tcW w:w="524" w:type="pct"/>
            <w:tcBorders>
              <w:left w:val="single" w:sz="12" w:space="0" w:color="auto"/>
            </w:tcBorders>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477</w:t>
            </w:r>
          </w:p>
        </w:tc>
        <w:tc>
          <w:tcPr>
            <w:tcW w:w="514" w:type="pct"/>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226</w:t>
            </w:r>
          </w:p>
        </w:tc>
        <w:tc>
          <w:tcPr>
            <w:tcW w:w="514" w:type="pct"/>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251</w:t>
            </w:r>
          </w:p>
        </w:tc>
        <w:tc>
          <w:tcPr>
            <w:tcW w:w="574"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27</w:t>
            </w:r>
          </w:p>
        </w:tc>
        <w:tc>
          <w:tcPr>
            <w:tcW w:w="519"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67</w:t>
            </w:r>
          </w:p>
        </w:tc>
        <w:tc>
          <w:tcPr>
            <w:tcW w:w="534"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8</w:t>
            </w:r>
          </w:p>
        </w:tc>
        <w:tc>
          <w:tcPr>
            <w:tcW w:w="560"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10,0</w:t>
            </w:r>
          </w:p>
        </w:tc>
      </w:tr>
      <w:tr w:rsidR="00060EFF" w:rsidRPr="00F91686" w:rsidTr="00060EFF">
        <w:trPr>
          <w:trHeight w:val="301"/>
        </w:trPr>
        <w:tc>
          <w:tcPr>
            <w:tcW w:w="1261" w:type="pct"/>
            <w:tcBorders>
              <w:top w:val="single" w:sz="8" w:space="0" w:color="auto"/>
              <w:bottom w:val="single" w:sz="8" w:space="0" w:color="auto"/>
              <w:right w:val="single" w:sz="12" w:space="0" w:color="auto"/>
            </w:tcBorders>
            <w:shd w:val="clear" w:color="000000" w:fill="F2F2F2"/>
            <w:noWrap/>
            <w:vAlign w:val="center"/>
            <w:hideMark/>
          </w:tcPr>
          <w:p w:rsidR="00060EFF" w:rsidRPr="00F91686" w:rsidRDefault="00060EFF" w:rsidP="00060EFF">
            <w:pPr>
              <w:spacing w:line="240" w:lineRule="auto"/>
              <w:rPr>
                <w:rFonts w:asciiTheme="minorHAnsi" w:hAnsiTheme="minorHAnsi"/>
              </w:rPr>
            </w:pPr>
            <w:r w:rsidRPr="00F91686">
              <w:rPr>
                <w:rFonts w:asciiTheme="minorHAnsi" w:hAnsiTheme="minorHAnsi"/>
                <w:sz w:val="22"/>
                <w:szCs w:val="22"/>
              </w:rPr>
              <w:t>Moravský Krumlov</w:t>
            </w:r>
          </w:p>
        </w:tc>
        <w:tc>
          <w:tcPr>
            <w:tcW w:w="524" w:type="pct"/>
            <w:tcBorders>
              <w:left w:val="single" w:sz="12" w:space="0" w:color="auto"/>
            </w:tcBorders>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967</w:t>
            </w:r>
          </w:p>
        </w:tc>
        <w:tc>
          <w:tcPr>
            <w:tcW w:w="514" w:type="pct"/>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437</w:t>
            </w:r>
          </w:p>
        </w:tc>
        <w:tc>
          <w:tcPr>
            <w:tcW w:w="514" w:type="pct"/>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530</w:t>
            </w:r>
          </w:p>
        </w:tc>
        <w:tc>
          <w:tcPr>
            <w:tcW w:w="574"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72</w:t>
            </w:r>
          </w:p>
        </w:tc>
        <w:tc>
          <w:tcPr>
            <w:tcW w:w="519"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117</w:t>
            </w:r>
          </w:p>
        </w:tc>
        <w:tc>
          <w:tcPr>
            <w:tcW w:w="534"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17</w:t>
            </w:r>
          </w:p>
        </w:tc>
        <w:tc>
          <w:tcPr>
            <w:tcW w:w="560"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9,1</w:t>
            </w:r>
          </w:p>
        </w:tc>
      </w:tr>
      <w:tr w:rsidR="00060EFF" w:rsidRPr="00F91686" w:rsidTr="00060EFF">
        <w:trPr>
          <w:trHeight w:val="301"/>
        </w:trPr>
        <w:tc>
          <w:tcPr>
            <w:tcW w:w="1261" w:type="pct"/>
            <w:tcBorders>
              <w:top w:val="single" w:sz="8" w:space="0" w:color="auto"/>
              <w:bottom w:val="single" w:sz="8" w:space="0" w:color="auto"/>
              <w:right w:val="single" w:sz="12" w:space="0" w:color="auto"/>
            </w:tcBorders>
            <w:shd w:val="clear" w:color="000000" w:fill="F2F2F2"/>
            <w:noWrap/>
            <w:vAlign w:val="center"/>
            <w:hideMark/>
          </w:tcPr>
          <w:p w:rsidR="00060EFF" w:rsidRPr="00F91686" w:rsidRDefault="00060EFF" w:rsidP="00060EFF">
            <w:pPr>
              <w:spacing w:line="240" w:lineRule="auto"/>
              <w:rPr>
                <w:rFonts w:asciiTheme="minorHAnsi" w:hAnsiTheme="minorHAnsi"/>
              </w:rPr>
            </w:pPr>
            <w:r w:rsidRPr="00F91686">
              <w:rPr>
                <w:rFonts w:asciiTheme="minorHAnsi" w:hAnsiTheme="minorHAnsi"/>
                <w:sz w:val="22"/>
                <w:szCs w:val="22"/>
              </w:rPr>
              <w:t>Vranov nad Dyjí</w:t>
            </w:r>
          </w:p>
        </w:tc>
        <w:tc>
          <w:tcPr>
            <w:tcW w:w="524" w:type="pct"/>
            <w:tcBorders>
              <w:left w:val="single" w:sz="12" w:space="0" w:color="auto"/>
            </w:tcBorders>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554</w:t>
            </w:r>
          </w:p>
        </w:tc>
        <w:tc>
          <w:tcPr>
            <w:tcW w:w="514" w:type="pct"/>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260</w:t>
            </w:r>
          </w:p>
        </w:tc>
        <w:tc>
          <w:tcPr>
            <w:tcW w:w="514" w:type="pct"/>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294</w:t>
            </w:r>
          </w:p>
        </w:tc>
        <w:tc>
          <w:tcPr>
            <w:tcW w:w="574"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26</w:t>
            </w:r>
          </w:p>
        </w:tc>
        <w:tc>
          <w:tcPr>
            <w:tcW w:w="519"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51</w:t>
            </w:r>
          </w:p>
        </w:tc>
        <w:tc>
          <w:tcPr>
            <w:tcW w:w="534"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20</w:t>
            </w:r>
          </w:p>
        </w:tc>
        <w:tc>
          <w:tcPr>
            <w:tcW w:w="560"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15,3</w:t>
            </w:r>
          </w:p>
        </w:tc>
      </w:tr>
      <w:tr w:rsidR="00060EFF" w:rsidRPr="00F91686" w:rsidTr="00060EFF">
        <w:trPr>
          <w:trHeight w:val="301"/>
        </w:trPr>
        <w:tc>
          <w:tcPr>
            <w:tcW w:w="1261" w:type="pct"/>
            <w:tcBorders>
              <w:top w:val="single" w:sz="8" w:space="0" w:color="auto"/>
              <w:bottom w:val="single" w:sz="8" w:space="0" w:color="auto"/>
              <w:right w:val="single" w:sz="12" w:space="0" w:color="auto"/>
            </w:tcBorders>
            <w:shd w:val="clear" w:color="000000" w:fill="F2F2F2"/>
            <w:noWrap/>
            <w:vAlign w:val="center"/>
            <w:hideMark/>
          </w:tcPr>
          <w:p w:rsidR="00060EFF" w:rsidRPr="00F91686" w:rsidRDefault="00060EFF" w:rsidP="00060EFF">
            <w:pPr>
              <w:spacing w:line="240" w:lineRule="auto"/>
              <w:rPr>
                <w:rFonts w:asciiTheme="minorHAnsi" w:hAnsiTheme="minorHAnsi"/>
              </w:rPr>
            </w:pPr>
            <w:r w:rsidRPr="00F91686">
              <w:rPr>
                <w:rFonts w:asciiTheme="minorHAnsi" w:hAnsiTheme="minorHAnsi"/>
                <w:sz w:val="22"/>
                <w:szCs w:val="22"/>
              </w:rPr>
              <w:t>Znojmo</w:t>
            </w:r>
          </w:p>
        </w:tc>
        <w:tc>
          <w:tcPr>
            <w:tcW w:w="524" w:type="pct"/>
            <w:tcBorders>
              <w:left w:val="single" w:sz="12" w:space="0" w:color="auto"/>
            </w:tcBorders>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5 510</w:t>
            </w:r>
          </w:p>
        </w:tc>
        <w:tc>
          <w:tcPr>
            <w:tcW w:w="514" w:type="pct"/>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2 769</w:t>
            </w:r>
          </w:p>
        </w:tc>
        <w:tc>
          <w:tcPr>
            <w:tcW w:w="514" w:type="pct"/>
            <w:shd w:val="clear" w:color="000000" w:fill="FFFFFF"/>
            <w:noWrap/>
            <w:vAlign w:val="center"/>
            <w:hideMark/>
          </w:tcPr>
          <w:p w:rsidR="00060EFF" w:rsidRPr="00F91686" w:rsidRDefault="00060EFF" w:rsidP="00060EFF">
            <w:pPr>
              <w:spacing w:line="240" w:lineRule="auto"/>
              <w:jc w:val="right"/>
              <w:rPr>
                <w:rFonts w:asciiTheme="minorHAnsi" w:hAnsiTheme="minorHAnsi"/>
              </w:rPr>
            </w:pPr>
            <w:r w:rsidRPr="00F91686">
              <w:rPr>
                <w:rFonts w:asciiTheme="minorHAnsi" w:hAnsiTheme="minorHAnsi"/>
                <w:sz w:val="22"/>
                <w:szCs w:val="22"/>
              </w:rPr>
              <w:t>2 741</w:t>
            </w:r>
          </w:p>
        </w:tc>
        <w:tc>
          <w:tcPr>
            <w:tcW w:w="574"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319</w:t>
            </w:r>
          </w:p>
        </w:tc>
        <w:tc>
          <w:tcPr>
            <w:tcW w:w="519"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535</w:t>
            </w:r>
          </w:p>
        </w:tc>
        <w:tc>
          <w:tcPr>
            <w:tcW w:w="534"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398</w:t>
            </w:r>
          </w:p>
        </w:tc>
        <w:tc>
          <w:tcPr>
            <w:tcW w:w="560" w:type="pct"/>
            <w:shd w:val="clear" w:color="auto" w:fill="auto"/>
            <w:noWrap/>
            <w:vAlign w:val="bottom"/>
            <w:hideMark/>
          </w:tcPr>
          <w:p w:rsidR="00060EFF" w:rsidRPr="00F91686" w:rsidRDefault="00060EFF" w:rsidP="00060EFF">
            <w:pPr>
              <w:spacing w:line="240" w:lineRule="auto"/>
              <w:jc w:val="right"/>
              <w:rPr>
                <w:rFonts w:asciiTheme="minorHAnsi" w:hAnsiTheme="minorHAnsi"/>
                <w:color w:val="000000"/>
              </w:rPr>
            </w:pPr>
            <w:r w:rsidRPr="00F91686">
              <w:rPr>
                <w:rFonts w:asciiTheme="minorHAnsi" w:hAnsiTheme="minorHAnsi"/>
                <w:color w:val="000000"/>
                <w:sz w:val="22"/>
                <w:szCs w:val="22"/>
              </w:rPr>
              <w:t>10,8</w:t>
            </w:r>
          </w:p>
        </w:tc>
      </w:tr>
      <w:tr w:rsidR="00060EFF" w:rsidRPr="00F91686" w:rsidTr="00060EFF">
        <w:trPr>
          <w:trHeight w:val="315"/>
        </w:trPr>
        <w:tc>
          <w:tcPr>
            <w:tcW w:w="1261" w:type="pct"/>
            <w:tcBorders>
              <w:top w:val="single" w:sz="8" w:space="0" w:color="auto"/>
              <w:bottom w:val="single" w:sz="12" w:space="0" w:color="auto"/>
              <w:right w:val="single" w:sz="12" w:space="0" w:color="auto"/>
            </w:tcBorders>
            <w:shd w:val="clear" w:color="000000" w:fill="F2F2F2"/>
            <w:noWrap/>
            <w:vAlign w:val="center"/>
            <w:hideMark/>
          </w:tcPr>
          <w:p w:rsidR="00060EFF" w:rsidRPr="00F91686" w:rsidRDefault="00060EFF" w:rsidP="00060EFF">
            <w:pPr>
              <w:spacing w:line="240" w:lineRule="auto"/>
              <w:rPr>
                <w:rFonts w:asciiTheme="minorHAnsi" w:hAnsiTheme="minorHAnsi"/>
                <w:b/>
              </w:rPr>
            </w:pPr>
            <w:r w:rsidRPr="00F91686">
              <w:rPr>
                <w:rFonts w:asciiTheme="minorHAnsi" w:hAnsiTheme="minorHAnsi"/>
                <w:b/>
                <w:sz w:val="22"/>
                <w:szCs w:val="22"/>
              </w:rPr>
              <w:t>Okres Znojmo</w:t>
            </w:r>
          </w:p>
        </w:tc>
        <w:tc>
          <w:tcPr>
            <w:tcW w:w="524" w:type="pct"/>
            <w:tcBorders>
              <w:left w:val="single" w:sz="12" w:space="0" w:color="auto"/>
            </w:tcBorders>
            <w:shd w:val="clear" w:color="000000" w:fill="FFFFFF"/>
            <w:noWrap/>
            <w:vAlign w:val="center"/>
            <w:hideMark/>
          </w:tcPr>
          <w:p w:rsidR="00060EFF" w:rsidRPr="00F91686" w:rsidRDefault="00060EFF" w:rsidP="00060EFF">
            <w:pPr>
              <w:spacing w:line="240" w:lineRule="auto"/>
              <w:jc w:val="right"/>
              <w:rPr>
                <w:rFonts w:asciiTheme="minorHAnsi" w:hAnsiTheme="minorHAnsi"/>
                <w:b/>
              </w:rPr>
            </w:pPr>
            <w:r w:rsidRPr="00F91686">
              <w:rPr>
                <w:rFonts w:asciiTheme="minorHAnsi" w:hAnsiTheme="minorHAnsi"/>
                <w:b/>
                <w:sz w:val="22"/>
                <w:szCs w:val="22"/>
              </w:rPr>
              <w:t>8</w:t>
            </w:r>
            <w:r>
              <w:rPr>
                <w:rFonts w:asciiTheme="minorHAnsi" w:hAnsiTheme="minorHAnsi"/>
                <w:b/>
                <w:sz w:val="22"/>
                <w:szCs w:val="22"/>
              </w:rPr>
              <w:t xml:space="preserve"> </w:t>
            </w:r>
            <w:r w:rsidRPr="00F91686">
              <w:rPr>
                <w:rFonts w:asciiTheme="minorHAnsi" w:hAnsiTheme="minorHAnsi"/>
                <w:b/>
                <w:sz w:val="22"/>
                <w:szCs w:val="22"/>
              </w:rPr>
              <w:t>384</w:t>
            </w:r>
          </w:p>
        </w:tc>
        <w:tc>
          <w:tcPr>
            <w:tcW w:w="514" w:type="pct"/>
            <w:shd w:val="clear" w:color="000000" w:fill="FFFFFF"/>
            <w:noWrap/>
            <w:vAlign w:val="center"/>
            <w:hideMark/>
          </w:tcPr>
          <w:p w:rsidR="00060EFF" w:rsidRPr="00F91686" w:rsidRDefault="00060EFF" w:rsidP="00060EFF">
            <w:pPr>
              <w:spacing w:line="240" w:lineRule="auto"/>
              <w:jc w:val="right"/>
              <w:rPr>
                <w:rFonts w:asciiTheme="minorHAnsi" w:hAnsiTheme="minorHAnsi"/>
                <w:b/>
              </w:rPr>
            </w:pPr>
            <w:r w:rsidRPr="00F91686">
              <w:rPr>
                <w:rFonts w:asciiTheme="minorHAnsi" w:hAnsiTheme="minorHAnsi"/>
                <w:b/>
                <w:sz w:val="22"/>
                <w:szCs w:val="22"/>
              </w:rPr>
              <w:t>4 158</w:t>
            </w:r>
          </w:p>
        </w:tc>
        <w:tc>
          <w:tcPr>
            <w:tcW w:w="514" w:type="pct"/>
            <w:shd w:val="clear" w:color="000000" w:fill="FFFFFF"/>
            <w:noWrap/>
            <w:vAlign w:val="center"/>
            <w:hideMark/>
          </w:tcPr>
          <w:p w:rsidR="00060EFF" w:rsidRPr="00F91686" w:rsidRDefault="00060EFF" w:rsidP="00060EFF">
            <w:pPr>
              <w:spacing w:line="240" w:lineRule="auto"/>
              <w:jc w:val="right"/>
              <w:rPr>
                <w:rFonts w:asciiTheme="minorHAnsi" w:hAnsiTheme="minorHAnsi"/>
                <w:b/>
              </w:rPr>
            </w:pPr>
            <w:r w:rsidRPr="00F91686">
              <w:rPr>
                <w:rFonts w:asciiTheme="minorHAnsi" w:hAnsiTheme="minorHAnsi"/>
                <w:b/>
                <w:sz w:val="22"/>
                <w:szCs w:val="22"/>
              </w:rPr>
              <w:t>4 226</w:t>
            </w:r>
          </w:p>
        </w:tc>
        <w:tc>
          <w:tcPr>
            <w:tcW w:w="574" w:type="pct"/>
            <w:shd w:val="clear" w:color="auto" w:fill="auto"/>
            <w:noWrap/>
            <w:vAlign w:val="bottom"/>
            <w:hideMark/>
          </w:tcPr>
          <w:p w:rsidR="00060EFF" w:rsidRPr="00F91686" w:rsidRDefault="00060EFF" w:rsidP="00060EFF">
            <w:pPr>
              <w:spacing w:line="240" w:lineRule="auto"/>
              <w:jc w:val="right"/>
              <w:rPr>
                <w:rFonts w:asciiTheme="minorHAnsi" w:hAnsiTheme="minorHAnsi"/>
                <w:b/>
                <w:color w:val="000000"/>
              </w:rPr>
            </w:pPr>
            <w:r w:rsidRPr="00F91686">
              <w:rPr>
                <w:rFonts w:asciiTheme="minorHAnsi" w:hAnsiTheme="minorHAnsi"/>
                <w:b/>
                <w:color w:val="000000"/>
                <w:sz w:val="22"/>
                <w:szCs w:val="22"/>
              </w:rPr>
              <w:t>490</w:t>
            </w:r>
          </w:p>
        </w:tc>
        <w:tc>
          <w:tcPr>
            <w:tcW w:w="519" w:type="pct"/>
            <w:shd w:val="clear" w:color="auto" w:fill="auto"/>
            <w:noWrap/>
            <w:vAlign w:val="bottom"/>
            <w:hideMark/>
          </w:tcPr>
          <w:p w:rsidR="00060EFF" w:rsidRPr="00F91686" w:rsidRDefault="00060EFF" w:rsidP="00060EFF">
            <w:pPr>
              <w:spacing w:line="240" w:lineRule="auto"/>
              <w:jc w:val="right"/>
              <w:rPr>
                <w:rFonts w:asciiTheme="minorHAnsi" w:hAnsiTheme="minorHAnsi"/>
                <w:b/>
                <w:color w:val="000000"/>
              </w:rPr>
            </w:pPr>
            <w:r w:rsidRPr="00F91686">
              <w:rPr>
                <w:rFonts w:asciiTheme="minorHAnsi" w:hAnsiTheme="minorHAnsi"/>
                <w:b/>
                <w:color w:val="000000"/>
                <w:sz w:val="22"/>
                <w:szCs w:val="22"/>
              </w:rPr>
              <w:t>849</w:t>
            </w:r>
          </w:p>
        </w:tc>
        <w:tc>
          <w:tcPr>
            <w:tcW w:w="534" w:type="pct"/>
            <w:shd w:val="clear" w:color="C0C0C0" w:fill="FFFFFF"/>
            <w:noWrap/>
            <w:vAlign w:val="center"/>
            <w:hideMark/>
          </w:tcPr>
          <w:p w:rsidR="00060EFF" w:rsidRPr="00F91686" w:rsidRDefault="00060EFF" w:rsidP="00060EFF">
            <w:pPr>
              <w:spacing w:line="240" w:lineRule="auto"/>
              <w:jc w:val="right"/>
              <w:rPr>
                <w:rFonts w:asciiTheme="minorHAnsi" w:hAnsiTheme="minorHAnsi"/>
                <w:b/>
              </w:rPr>
            </w:pPr>
            <w:r w:rsidRPr="00F91686">
              <w:rPr>
                <w:rFonts w:asciiTheme="minorHAnsi" w:hAnsiTheme="minorHAnsi"/>
                <w:b/>
                <w:sz w:val="22"/>
                <w:szCs w:val="22"/>
              </w:rPr>
              <w:t>456</w:t>
            </w:r>
          </w:p>
        </w:tc>
        <w:tc>
          <w:tcPr>
            <w:tcW w:w="560" w:type="pct"/>
            <w:shd w:val="clear" w:color="000000" w:fill="FFFFFF"/>
            <w:noWrap/>
            <w:vAlign w:val="center"/>
            <w:hideMark/>
          </w:tcPr>
          <w:p w:rsidR="00060EFF" w:rsidRPr="00F91686" w:rsidRDefault="00060EFF" w:rsidP="00060EFF">
            <w:pPr>
              <w:spacing w:line="240" w:lineRule="auto"/>
              <w:jc w:val="right"/>
              <w:rPr>
                <w:rFonts w:asciiTheme="minorHAnsi" w:hAnsiTheme="minorHAnsi"/>
                <w:b/>
              </w:rPr>
            </w:pPr>
            <w:r w:rsidRPr="00F91686">
              <w:rPr>
                <w:rFonts w:asciiTheme="minorHAnsi" w:hAnsiTheme="minorHAnsi"/>
                <w:b/>
                <w:sz w:val="22"/>
                <w:szCs w:val="22"/>
              </w:rPr>
              <w:t>10,9</w:t>
            </w:r>
          </w:p>
        </w:tc>
      </w:tr>
    </w:tbl>
    <w:p w:rsidR="00060EFF" w:rsidRDefault="00060EFF" w:rsidP="00060EFF">
      <w:pPr>
        <w:pStyle w:val="Normlnweb"/>
        <w:spacing w:line="276" w:lineRule="auto"/>
        <w:jc w:val="both"/>
        <w:rPr>
          <w:rFonts w:ascii="Arial" w:hAnsi="Arial" w:cs="Arial"/>
          <w:noProof/>
          <w:sz w:val="20"/>
          <w:szCs w:val="20"/>
        </w:rPr>
      </w:pPr>
      <w:r w:rsidRPr="00444047">
        <w:rPr>
          <w:rFonts w:ascii="Arial" w:hAnsi="Arial" w:cs="Arial"/>
          <w:b/>
          <w:noProof/>
          <w:sz w:val="20"/>
          <w:szCs w:val="20"/>
        </w:rPr>
        <w:t>Pramen</w:t>
      </w:r>
      <w:r w:rsidRPr="00444047">
        <w:rPr>
          <w:rFonts w:ascii="Arial" w:hAnsi="Arial" w:cs="Arial"/>
          <w:noProof/>
          <w:sz w:val="20"/>
          <w:szCs w:val="20"/>
        </w:rPr>
        <w:t>: MPSV,ČR, GIS Prostorová analýza, 2014</w:t>
      </w:r>
    </w:p>
    <w:p w:rsidR="008866F3" w:rsidRDefault="008866F3" w:rsidP="008866F3">
      <w:pPr>
        <w:pStyle w:val="Normlnweb"/>
        <w:spacing w:line="276" w:lineRule="auto"/>
        <w:jc w:val="both"/>
        <w:rPr>
          <w:rFonts w:ascii="Arial" w:hAnsi="Arial" w:cs="Arial"/>
          <w:sz w:val="22"/>
          <w:szCs w:val="22"/>
        </w:rPr>
      </w:pPr>
      <w:r w:rsidRPr="00D0549A">
        <w:rPr>
          <w:rFonts w:ascii="Arial" w:hAnsi="Arial" w:cs="Arial"/>
          <w:sz w:val="22"/>
          <w:szCs w:val="22"/>
        </w:rPr>
        <w:t>Trh práce v okrese Znojmo je nevyvážený a má sezónní charakter s velkými výkyvy v zaměstnanosti. Průmysl je koncentrován do Znojma a jeho blízkého okolí. Nedostatek pracovních příležitostí je zejména v okrajových mikroregionech Vranovska a Hrušovanska, kde se rovněž nejvíce projevuje sezónnost. Řada místních občanů vyjíždí za prací do blízkého Rakouska, ale v převážné míře se jedná pouze o pomocné sezónní práce v zemědělství a ve službách. Krajská pobočka úřadu práce je v tomto okrese zastoupena čtyřmi kontaktními pracovišti: v Hrušovanech nad Jevišovkou, Moravském Krumlově, Vranově nad Dyjí a Znojmě</w:t>
      </w:r>
      <w:r>
        <w:rPr>
          <w:rFonts w:ascii="Arial" w:hAnsi="Arial" w:cs="Arial"/>
          <w:sz w:val="22"/>
          <w:szCs w:val="22"/>
        </w:rPr>
        <w:t>.</w:t>
      </w:r>
    </w:p>
    <w:p w:rsidR="00C73A67" w:rsidRDefault="00267B77" w:rsidP="00267B77">
      <w:pPr>
        <w:pStyle w:val="Bezmezer"/>
        <w:spacing w:line="276" w:lineRule="auto"/>
        <w:rPr>
          <w:rFonts w:ascii="Arial" w:hAnsi="Arial" w:cs="Arial"/>
          <w:b/>
          <w:i/>
          <w:noProof/>
          <w:sz w:val="20"/>
          <w:szCs w:val="20"/>
        </w:rPr>
      </w:pPr>
      <w:r w:rsidRPr="00267B77">
        <w:rPr>
          <w:rFonts w:ascii="Arial" w:hAnsi="Arial" w:cs="Arial"/>
          <w:b/>
          <w:i/>
          <w:sz w:val="20"/>
          <w:szCs w:val="20"/>
        </w:rPr>
        <w:t xml:space="preserve">Obr. </w:t>
      </w:r>
      <w:r w:rsidRPr="00267B77">
        <w:rPr>
          <w:rFonts w:ascii="Arial" w:hAnsi="Arial" w:cs="Arial"/>
          <w:b/>
          <w:i/>
          <w:sz w:val="20"/>
          <w:szCs w:val="20"/>
        </w:rPr>
        <w:fldChar w:fldCharType="begin"/>
      </w:r>
      <w:r w:rsidRPr="00267B77">
        <w:rPr>
          <w:rFonts w:ascii="Arial" w:hAnsi="Arial" w:cs="Arial"/>
          <w:b/>
          <w:i/>
          <w:sz w:val="20"/>
          <w:szCs w:val="20"/>
        </w:rPr>
        <w:instrText xml:space="preserve"> SEQ Obr. \* ARABIC </w:instrText>
      </w:r>
      <w:r w:rsidRPr="00267B77">
        <w:rPr>
          <w:rFonts w:ascii="Arial" w:hAnsi="Arial" w:cs="Arial"/>
          <w:b/>
          <w:i/>
          <w:sz w:val="20"/>
          <w:szCs w:val="20"/>
        </w:rPr>
        <w:fldChar w:fldCharType="separate"/>
      </w:r>
      <w:r w:rsidR="009E38FD">
        <w:rPr>
          <w:rFonts w:ascii="Arial" w:hAnsi="Arial" w:cs="Arial"/>
          <w:b/>
          <w:i/>
          <w:noProof/>
          <w:sz w:val="20"/>
          <w:szCs w:val="20"/>
        </w:rPr>
        <w:t>20</w:t>
      </w:r>
      <w:r w:rsidRPr="00267B77">
        <w:rPr>
          <w:rFonts w:ascii="Arial" w:hAnsi="Arial" w:cs="Arial"/>
          <w:b/>
          <w:i/>
          <w:sz w:val="20"/>
          <w:szCs w:val="20"/>
        </w:rPr>
        <w:fldChar w:fldCharType="end"/>
      </w:r>
      <w:r w:rsidR="00060EFF" w:rsidRPr="00267B77">
        <w:rPr>
          <w:rFonts w:ascii="Arial" w:hAnsi="Arial" w:cs="Arial"/>
          <w:b/>
          <w:i/>
          <w:noProof/>
          <w:sz w:val="20"/>
          <w:szCs w:val="20"/>
        </w:rPr>
        <w:t>: Podíl nezaměstnaných osob na obyvatelstvu 15-64 v okrese Znojmo k 31.12.2014</w:t>
      </w:r>
      <w:r w:rsidR="00060EFF">
        <w:rPr>
          <w:noProof/>
        </w:rPr>
        <w:drawing>
          <wp:inline distT="0" distB="0" distL="0" distR="0" wp14:anchorId="090DCA76" wp14:editId="711CC16B">
            <wp:extent cx="5750671" cy="4314306"/>
            <wp:effectExtent l="0" t="0" r="2540" b="0"/>
            <wp:docPr id="20" name="Obrázek 20" descr="C:\Users\petr.jirasek\Desktop\Exportované mapy\Zpráva\2014\Znojmo\Podil_nezamestnanych_POÚ_12_20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jirasek\Desktop\Exportované mapy\Zpráva\2014\Znojmo\Podil_nezamestnanych_POÚ_12_2014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21845"/>
                    </a:xfrm>
                    <a:prstGeom prst="rect">
                      <a:avLst/>
                    </a:prstGeom>
                    <a:noFill/>
                    <a:ln>
                      <a:noFill/>
                    </a:ln>
                  </pic:spPr>
                </pic:pic>
              </a:graphicData>
            </a:graphic>
          </wp:inline>
        </w:drawing>
      </w:r>
    </w:p>
    <w:p w:rsidR="00C73A67" w:rsidRDefault="00C73A67" w:rsidP="00267B77">
      <w:pPr>
        <w:pStyle w:val="Bezmezer"/>
        <w:spacing w:line="276" w:lineRule="auto"/>
        <w:rPr>
          <w:rFonts w:ascii="Arial" w:hAnsi="Arial" w:cs="Arial"/>
          <w:b/>
          <w:i/>
          <w:noProof/>
          <w:sz w:val="20"/>
          <w:szCs w:val="20"/>
        </w:rPr>
      </w:pPr>
    </w:p>
    <w:p w:rsidR="008866F3" w:rsidRDefault="008866F3" w:rsidP="008866F3">
      <w:pPr>
        <w:jc w:val="both"/>
        <w:rPr>
          <w:rFonts w:ascii="Arial" w:hAnsi="Arial" w:cs="Arial"/>
          <w:b/>
          <w:sz w:val="22"/>
          <w:szCs w:val="22"/>
        </w:rPr>
      </w:pPr>
    </w:p>
    <w:p w:rsidR="008866F3" w:rsidRPr="0079334C" w:rsidRDefault="008866F3" w:rsidP="008866F3">
      <w:pPr>
        <w:jc w:val="both"/>
        <w:rPr>
          <w:rFonts w:ascii="Arial" w:hAnsi="Arial" w:cs="Arial"/>
          <w:b/>
          <w:sz w:val="22"/>
          <w:szCs w:val="22"/>
        </w:rPr>
      </w:pPr>
      <w:r w:rsidRPr="0079334C">
        <w:rPr>
          <w:rFonts w:ascii="Arial" w:hAnsi="Arial" w:cs="Arial"/>
          <w:b/>
          <w:sz w:val="22"/>
          <w:szCs w:val="22"/>
        </w:rPr>
        <w:t>Hrušovansko</w:t>
      </w:r>
    </w:p>
    <w:p w:rsidR="008866F3" w:rsidRDefault="008866F3" w:rsidP="008866F3">
      <w:pPr>
        <w:jc w:val="both"/>
        <w:rPr>
          <w:rFonts w:ascii="Arial" w:hAnsi="Arial" w:cs="Arial"/>
          <w:sz w:val="22"/>
          <w:szCs w:val="22"/>
        </w:rPr>
      </w:pPr>
    </w:p>
    <w:p w:rsidR="008866F3" w:rsidRPr="00A94799" w:rsidRDefault="008866F3" w:rsidP="008866F3">
      <w:pPr>
        <w:jc w:val="both"/>
        <w:rPr>
          <w:rFonts w:ascii="Arial" w:hAnsi="Arial" w:cs="Arial"/>
          <w:sz w:val="22"/>
          <w:szCs w:val="22"/>
        </w:rPr>
      </w:pPr>
      <w:r w:rsidRPr="00D97576">
        <w:rPr>
          <w:rFonts w:ascii="Arial" w:hAnsi="Arial" w:cs="Arial"/>
          <w:sz w:val="22"/>
          <w:szCs w:val="22"/>
        </w:rPr>
        <w:t xml:space="preserve">Region Hrušovany nad Jevišovkou patří v rámci kraje k nejproblémovějším. Dopravní obslužnost je nedostatečná, zvláště v okrajových oblastech, které jsou odkázány na silniční dopravu. Ta je vzhledem k velkým vzdálenostem mezi obcemi neefektivní a přepravci ji trvale redukují. Velkou výhodou je doprava železniční, neboť mikroregionem prochází tratě Znojmo-Břeclav a Znojmo-Brno. Ve srovnání s Vranovskem je zde situace po transformaci </w:t>
      </w:r>
      <w:r w:rsidRPr="00A94799">
        <w:rPr>
          <w:rFonts w:ascii="Arial" w:hAnsi="Arial" w:cs="Arial"/>
          <w:sz w:val="22"/>
          <w:szCs w:val="22"/>
        </w:rPr>
        <w:t xml:space="preserve">zemědělství příznivější. Bývalý Státní statek Znojmo (dříve největší zaměstnavatel okresu) se rozpadl na řadu nových zemědělských subjektů, které zaměstnaly značnou část uvolněných pracovníků. Hlavním odvětvím regionu je zemědělství, které ovlivňuje svou sezonností také místní průmysl, orientovaný na zpracování zemědělských produktů – tj. průmysl konzervárenský a cukrovarnický. S produkcí je úzce spjata také činnost přepravních společností. Jedním z největších zaměstnavatelů mikroregionu jsou např. Moravskoslezské cukrovary a.s., Hrušovany nad Jevišovkou, které zaměstnávají v době sezony až 300 zaměstnanců (stálých zaměstnanců je cca 200), firma VAPAS a.s., Hrušovany nad Jevišovkou, která v době sezony zaměstnává až 400 zaměstnanců. V menší míře je v regionu zastoupen průmysl stavebních hmot, dřevozpracující, kovoobráběcí a elektro průmysl. V současnosti již dochází k navýšení stálých pracovních míst. </w:t>
      </w:r>
    </w:p>
    <w:p w:rsidR="008866F3" w:rsidRDefault="008866F3" w:rsidP="008866F3">
      <w:pPr>
        <w:jc w:val="both"/>
        <w:rPr>
          <w:rFonts w:ascii="Arial" w:hAnsi="Arial" w:cs="Arial"/>
          <w:sz w:val="22"/>
          <w:szCs w:val="22"/>
        </w:rPr>
      </w:pPr>
    </w:p>
    <w:p w:rsidR="008866F3" w:rsidRPr="00A94799" w:rsidRDefault="008866F3" w:rsidP="008866F3">
      <w:pPr>
        <w:jc w:val="both"/>
        <w:rPr>
          <w:rFonts w:ascii="Arial" w:hAnsi="Arial" w:cs="Arial"/>
          <w:sz w:val="22"/>
          <w:szCs w:val="22"/>
        </w:rPr>
      </w:pPr>
      <w:r w:rsidRPr="00A94799">
        <w:rPr>
          <w:rFonts w:ascii="Arial" w:hAnsi="Arial" w:cs="Arial"/>
          <w:sz w:val="22"/>
          <w:szCs w:val="22"/>
        </w:rPr>
        <w:t>Díky své poloze blízkosti rakouských hranic roste v regionu podíl soukromých firem, jejichž předmětem podnikání je obchod, služby a pohostinství čerpající z potenciálu zahraniční klientely.  Řada místních občanů vyjíždí za prací do blízkého Rakouska. K 31. 12. 2014 bylo v  mikroregionu evidováno celkem 876 uchazečů o zaměstnání a podíl nezaměstnaných osob, který byl v rámci okresu druhý nejvyšší, dosáhl hodnoty 10,8 %.</w:t>
      </w:r>
    </w:p>
    <w:p w:rsidR="008866F3" w:rsidRDefault="008866F3" w:rsidP="008866F3">
      <w:pPr>
        <w:pStyle w:val="Bezmezer"/>
        <w:spacing w:line="276" w:lineRule="auto"/>
        <w:rPr>
          <w:rFonts w:ascii="Arial" w:hAnsi="Arial" w:cs="Arial"/>
          <w:b/>
          <w:i/>
          <w:sz w:val="20"/>
          <w:szCs w:val="20"/>
        </w:rPr>
      </w:pPr>
    </w:p>
    <w:p w:rsidR="008866F3" w:rsidRDefault="008866F3" w:rsidP="00267B77">
      <w:pPr>
        <w:pStyle w:val="Bezmezer"/>
        <w:spacing w:line="276" w:lineRule="auto"/>
        <w:rPr>
          <w:rFonts w:ascii="Arial" w:hAnsi="Arial" w:cs="Arial"/>
          <w:b/>
          <w:sz w:val="22"/>
          <w:szCs w:val="22"/>
        </w:rPr>
      </w:pPr>
    </w:p>
    <w:p w:rsidR="00060EFF" w:rsidRDefault="00060EFF" w:rsidP="00267B77">
      <w:pPr>
        <w:pStyle w:val="Bezmezer"/>
        <w:spacing w:line="276" w:lineRule="auto"/>
        <w:rPr>
          <w:rFonts w:ascii="Arial" w:hAnsi="Arial" w:cs="Arial"/>
          <w:b/>
          <w:sz w:val="22"/>
          <w:szCs w:val="22"/>
        </w:rPr>
      </w:pPr>
      <w:r w:rsidRPr="00267B77">
        <w:rPr>
          <w:rFonts w:ascii="Arial" w:hAnsi="Arial" w:cs="Arial"/>
          <w:b/>
          <w:sz w:val="22"/>
          <w:szCs w:val="22"/>
        </w:rPr>
        <w:t>Miroslavsko</w:t>
      </w:r>
    </w:p>
    <w:p w:rsidR="00C73A67" w:rsidRPr="00267B77" w:rsidRDefault="00C73A67" w:rsidP="00267B77">
      <w:pPr>
        <w:pStyle w:val="Bezmezer"/>
        <w:spacing w:line="276" w:lineRule="auto"/>
        <w:rPr>
          <w:rFonts w:ascii="Arial" w:hAnsi="Arial" w:cs="Arial"/>
          <w:sz w:val="22"/>
          <w:szCs w:val="22"/>
        </w:rPr>
      </w:pPr>
    </w:p>
    <w:p w:rsidR="00060EFF" w:rsidRPr="00267B77" w:rsidRDefault="00060EFF" w:rsidP="00060EFF">
      <w:pPr>
        <w:jc w:val="both"/>
        <w:rPr>
          <w:rFonts w:ascii="Arial" w:hAnsi="Arial" w:cs="Arial"/>
          <w:sz w:val="22"/>
          <w:szCs w:val="22"/>
        </w:rPr>
      </w:pPr>
      <w:r w:rsidRPr="00267B77">
        <w:rPr>
          <w:rFonts w:ascii="Arial" w:hAnsi="Arial" w:cs="Arial"/>
          <w:sz w:val="22"/>
          <w:szCs w:val="22"/>
        </w:rPr>
        <w:t>Málo rozsáhlý region při hlavní dopravní komunikaci spojující Znojmo s Brnem. Poměrně výhodná dopravní poloha umožňující dojíždět za prací do krajského města i do větších hospodářských center okresu Brno-venkov způsobuje, že nezaměstnanost je v tomto mikroregionu na okresní poměry nízká, je dokonce nižší než na vlastním Znojemsku. K datu 31. 12. 2014 bylo v  mikroregionu evidováno celkem 477 uchazečů o zaměstnání a podíl nezaměstnaných osob činil 10,0%.</w:t>
      </w:r>
    </w:p>
    <w:p w:rsidR="00060EFF" w:rsidRPr="00D97576" w:rsidRDefault="00060EFF" w:rsidP="00060EFF">
      <w:pPr>
        <w:jc w:val="both"/>
        <w:rPr>
          <w:rFonts w:ascii="Arial" w:hAnsi="Arial" w:cs="Arial"/>
          <w:sz w:val="22"/>
          <w:szCs w:val="22"/>
        </w:rPr>
      </w:pPr>
    </w:p>
    <w:p w:rsidR="00060EFF" w:rsidRPr="0079334C" w:rsidRDefault="00060EFF" w:rsidP="00060EFF">
      <w:pPr>
        <w:jc w:val="both"/>
        <w:rPr>
          <w:rFonts w:ascii="Arial" w:hAnsi="Arial" w:cs="Arial"/>
          <w:b/>
          <w:sz w:val="22"/>
          <w:szCs w:val="22"/>
        </w:rPr>
      </w:pPr>
      <w:r w:rsidRPr="0079334C">
        <w:rPr>
          <w:rFonts w:ascii="Arial" w:hAnsi="Arial" w:cs="Arial"/>
          <w:b/>
          <w:sz w:val="22"/>
          <w:szCs w:val="22"/>
        </w:rPr>
        <w:t>Moravskokrumlovsko</w:t>
      </w:r>
    </w:p>
    <w:p w:rsidR="00060EFF" w:rsidRDefault="00060EFF" w:rsidP="00060EFF">
      <w:pPr>
        <w:jc w:val="both"/>
        <w:rPr>
          <w:rFonts w:ascii="Arial" w:hAnsi="Arial" w:cs="Arial"/>
          <w:sz w:val="22"/>
          <w:szCs w:val="22"/>
        </w:rPr>
      </w:pPr>
    </w:p>
    <w:p w:rsidR="00060EFF" w:rsidRPr="00A71977" w:rsidRDefault="00060EFF" w:rsidP="00060EFF">
      <w:pPr>
        <w:jc w:val="both"/>
        <w:rPr>
          <w:rFonts w:ascii="Arial" w:hAnsi="Arial" w:cs="Arial"/>
          <w:sz w:val="22"/>
          <w:szCs w:val="22"/>
        </w:rPr>
      </w:pPr>
      <w:r w:rsidRPr="00A71977">
        <w:rPr>
          <w:rFonts w:ascii="Arial" w:hAnsi="Arial" w:cs="Arial"/>
          <w:sz w:val="22"/>
          <w:szCs w:val="22"/>
        </w:rPr>
        <w:t>S nejnižší nezaměstnanosti v rámci okresu Znojmo se můžeme setkat v regionu Moravský Krumlov. K 31. 12. 2014 bylo v  mikroregionu evidováno celkem 967 uchazečů o zaměstnání a podíl nezaměstnaných osob činil 9,1 %. Tato skutečnost je způsobena zejména přítomností města Moravský Krumlov, které je po okresním městě druhým nejvýznamnějším hospodářským centrem okresu. Ve městě samotném však ubývá pracovních příležitostí. Svoji činnost zde v nedávné době ukončila společnost  Saint-Gobain Vertex, s.r.o. a aktuálně i Jatky Moravský Krumlov. Nedaří se přivést investory, kteří by vytvořili nová pracovní místa.</w:t>
      </w:r>
    </w:p>
    <w:p w:rsidR="00060EFF" w:rsidRPr="00A71977" w:rsidRDefault="00060EFF" w:rsidP="00060EFF">
      <w:pPr>
        <w:jc w:val="both"/>
        <w:rPr>
          <w:rFonts w:ascii="Arial" w:hAnsi="Arial" w:cs="Arial"/>
          <w:sz w:val="22"/>
          <w:szCs w:val="22"/>
        </w:rPr>
      </w:pPr>
    </w:p>
    <w:p w:rsidR="00060EFF" w:rsidRDefault="00060EFF" w:rsidP="00060EFF">
      <w:pPr>
        <w:jc w:val="both"/>
        <w:rPr>
          <w:rFonts w:ascii="Arial" w:hAnsi="Arial" w:cs="Arial"/>
          <w:sz w:val="22"/>
          <w:szCs w:val="22"/>
        </w:rPr>
      </w:pPr>
      <w:r w:rsidRPr="00A71977">
        <w:rPr>
          <w:rFonts w:ascii="Arial" w:hAnsi="Arial" w:cs="Arial"/>
          <w:sz w:val="22"/>
          <w:szCs w:val="22"/>
        </w:rPr>
        <w:t xml:space="preserve">Významnou roli hraje i sousedství regionu s okresem Brno-venkov, kde v rámci kraje je nezaměstnanost trvale nejnižší, a rovněž i možnost dojíždět ze severních částí regionu za prací do města Brna. Nejvýznamnější zaměstnavatel je spotřební družstvo Jednota Moravský Krumlov. </w:t>
      </w:r>
    </w:p>
    <w:p w:rsidR="00B0094B" w:rsidRDefault="00B0094B" w:rsidP="00060EFF">
      <w:pPr>
        <w:jc w:val="both"/>
        <w:rPr>
          <w:rFonts w:ascii="Arial" w:hAnsi="Arial" w:cs="Arial"/>
          <w:b/>
          <w:sz w:val="22"/>
          <w:szCs w:val="22"/>
          <w:u w:val="single"/>
        </w:rPr>
      </w:pPr>
    </w:p>
    <w:p w:rsidR="00060EFF" w:rsidRDefault="00060EFF" w:rsidP="00060EFF">
      <w:pPr>
        <w:jc w:val="both"/>
        <w:rPr>
          <w:rFonts w:ascii="Arial" w:hAnsi="Arial" w:cs="Arial"/>
          <w:b/>
          <w:sz w:val="22"/>
          <w:szCs w:val="22"/>
          <w:u w:val="single"/>
        </w:rPr>
      </w:pPr>
      <w:r w:rsidRPr="00D97576">
        <w:rPr>
          <w:rFonts w:ascii="Arial" w:hAnsi="Arial" w:cs="Arial"/>
          <w:b/>
          <w:sz w:val="22"/>
          <w:szCs w:val="22"/>
          <w:u w:val="single"/>
        </w:rPr>
        <w:t>Vranovsko</w:t>
      </w:r>
    </w:p>
    <w:p w:rsidR="00060EFF" w:rsidRPr="00D97576" w:rsidRDefault="00060EFF" w:rsidP="00060EFF">
      <w:pPr>
        <w:jc w:val="both"/>
        <w:rPr>
          <w:rFonts w:ascii="Arial" w:hAnsi="Arial" w:cs="Arial"/>
          <w:b/>
          <w:sz w:val="22"/>
          <w:szCs w:val="22"/>
          <w:u w:val="single"/>
        </w:rPr>
      </w:pPr>
    </w:p>
    <w:p w:rsidR="00060EFF" w:rsidRDefault="00060EFF" w:rsidP="00060EFF">
      <w:pPr>
        <w:jc w:val="both"/>
        <w:rPr>
          <w:rFonts w:ascii="Arial" w:hAnsi="Arial" w:cs="Arial"/>
          <w:sz w:val="22"/>
          <w:szCs w:val="22"/>
        </w:rPr>
      </w:pPr>
      <w:r w:rsidRPr="00D97576">
        <w:rPr>
          <w:rFonts w:ascii="Arial" w:hAnsi="Arial" w:cs="Arial"/>
          <w:sz w:val="22"/>
          <w:szCs w:val="22"/>
        </w:rPr>
        <w:t>V </w:t>
      </w:r>
      <w:r>
        <w:rPr>
          <w:rFonts w:ascii="Arial" w:hAnsi="Arial" w:cs="Arial"/>
          <w:sz w:val="22"/>
          <w:szCs w:val="22"/>
        </w:rPr>
        <w:t>mikro</w:t>
      </w:r>
      <w:r w:rsidRPr="00D97576">
        <w:rPr>
          <w:rFonts w:ascii="Arial" w:hAnsi="Arial" w:cs="Arial"/>
          <w:sz w:val="22"/>
          <w:szCs w:val="22"/>
        </w:rPr>
        <w:t>regionu Vranovsko se na trhu práce výrazně projevuje vliv sezónnosti, v důsledku čehož míra nezaměstnanosti klesá v letních měsících na polovinu stavu zimního. Jedná se o trvale problémovou část okresu. V jižní části regionu se rozkládá Národní park Podyjí, který svými striktními ochranářskými předpisy neumožňuje rozvoj dalšího průmyslu ani podnikání v této oblasti. Trh práce je jednostranně orientován na zemědělství, lesnictví a v letním období i na cestovní ruch v oblasti Vranovské přehrady. Nově vytvářené pracovní příležitosti jsou až na malé výjimky pouze sezónního charakteru. V oblasti není rozvinut téměř žádný průmysl. Pracovní příležitosti v sousedním regionu Rakouska jsou většinou krátkodobého sezónního charakteru. K 31. 12. 2014 bylo v  mikroregionu evidováno celkem 554 uchazečů o zaměstnání a podíl nezaměstnaných osob činil 15,3 %. Jedná se o mikroregion, v němž v rámci Jihomoravského kraje je úroveň nezaměstnanosti nejvyšší</w:t>
      </w:r>
      <w:r w:rsidRPr="00E075E8">
        <w:rPr>
          <w:rFonts w:ascii="Arial" w:hAnsi="Arial" w:cs="Arial"/>
          <w:sz w:val="22"/>
          <w:szCs w:val="22"/>
        </w:rPr>
        <w:t>.</w:t>
      </w:r>
      <w:r>
        <w:rPr>
          <w:rFonts w:ascii="Arial" w:hAnsi="Arial" w:cs="Arial"/>
          <w:sz w:val="22"/>
          <w:szCs w:val="22"/>
        </w:rPr>
        <w:t xml:space="preserve"> V rámci obcí Jihomoravského kraje leží na Vranovsku čtyři obce, ve kterých je podíl nezaměstnaných osob k 31. 12. 2014 vyšší než 20 % (Stálky, Vysočany, Uherčice a Lančov)</w:t>
      </w:r>
    </w:p>
    <w:p w:rsidR="00060EFF" w:rsidRDefault="00060EFF" w:rsidP="00060EFF">
      <w:pPr>
        <w:jc w:val="both"/>
        <w:rPr>
          <w:rFonts w:ascii="Arial" w:hAnsi="Arial" w:cs="Arial"/>
          <w:sz w:val="22"/>
          <w:szCs w:val="22"/>
        </w:rPr>
      </w:pPr>
    </w:p>
    <w:p w:rsidR="00060EFF" w:rsidRPr="0079334C" w:rsidRDefault="00060EFF" w:rsidP="00060EFF">
      <w:pPr>
        <w:tabs>
          <w:tab w:val="left" w:pos="9214"/>
        </w:tabs>
        <w:jc w:val="both"/>
        <w:rPr>
          <w:rFonts w:ascii="Arial" w:hAnsi="Arial" w:cs="Arial"/>
          <w:b/>
          <w:sz w:val="22"/>
          <w:szCs w:val="22"/>
        </w:rPr>
      </w:pPr>
      <w:r w:rsidRPr="0079334C">
        <w:rPr>
          <w:rFonts w:ascii="Arial" w:hAnsi="Arial" w:cs="Arial"/>
          <w:b/>
          <w:sz w:val="22"/>
          <w:szCs w:val="22"/>
        </w:rPr>
        <w:t>Znojemsko</w:t>
      </w:r>
    </w:p>
    <w:p w:rsidR="00060EFF" w:rsidRPr="00D97576" w:rsidRDefault="00060EFF" w:rsidP="00060EFF">
      <w:pPr>
        <w:tabs>
          <w:tab w:val="left" w:pos="9214"/>
        </w:tabs>
        <w:jc w:val="both"/>
        <w:rPr>
          <w:rFonts w:ascii="Arial" w:hAnsi="Arial" w:cs="Arial"/>
          <w:b/>
          <w:sz w:val="22"/>
          <w:szCs w:val="22"/>
          <w:u w:val="single"/>
        </w:rPr>
      </w:pPr>
    </w:p>
    <w:p w:rsidR="00060EFF" w:rsidRPr="00D97576" w:rsidRDefault="00060EFF" w:rsidP="00060EFF">
      <w:pPr>
        <w:tabs>
          <w:tab w:val="left" w:pos="9214"/>
        </w:tabs>
        <w:jc w:val="both"/>
        <w:rPr>
          <w:rFonts w:ascii="Arial" w:hAnsi="Arial" w:cs="Arial"/>
          <w:sz w:val="22"/>
          <w:szCs w:val="22"/>
        </w:rPr>
      </w:pPr>
      <w:r w:rsidRPr="00D97576">
        <w:rPr>
          <w:rFonts w:ascii="Arial" w:hAnsi="Arial" w:cs="Arial"/>
          <w:sz w:val="22"/>
          <w:szCs w:val="22"/>
        </w:rPr>
        <w:t xml:space="preserve">I přes vysokou nezaměstnanost je Znojemsko mikroregionem s nejvyšší hospodářskou a sociální úrovní v rámci okresu. Tato je ovlivňována zejména městem Znojmem, které představuje přirozené centrum regionu s nejvíce pracovními příležitostmi v průmyslu, stavebnictví, obchodě i ve službách. Velká přednost pro budoucí rozvoj této části okresu spočívá v jeho výhodné poloze na příjezdu do České republiky. Ze své polohy, zejména z pohledu mezinárodního, může znojemský region do budoucna více získávat. Jedná se především o pracovní příležitosti ve službách a cestovním ruchu zaměřené z velké části na zahraniční klientelu. Mnoho pracovních míst již v příhraniční části regionu vzniklo; řada podnikatelských aktivit je zaměřena na poskytování služeb zejména rakouským občanům. K 31. 12. 2014 bylo v  mikroregionu evidováno celkem 5 510 uchazečů o zaměstnání a podíl nezaměstnaných osob činil 10,8 %. </w:t>
      </w:r>
      <w:r w:rsidRPr="00D97576">
        <w:rPr>
          <w:rFonts w:ascii="Arial" w:hAnsi="Arial" w:cs="Arial"/>
          <w:bCs/>
          <w:sz w:val="22"/>
          <w:szCs w:val="22"/>
        </w:rPr>
        <w:t xml:space="preserve">V současné době mezi nejvýznamnější zaměstnavatele v mikroregionu Znojmo patří společnost </w:t>
      </w:r>
      <w:r w:rsidRPr="00D97576">
        <w:rPr>
          <w:rFonts w:ascii="Arial" w:hAnsi="Arial" w:cs="Arial"/>
          <w:bCs/>
          <w:sz w:val="22"/>
          <w:szCs w:val="22"/>
          <w:lang w:eastAsia="en-US"/>
        </w:rPr>
        <w:t>Saint-Gobain Adfors CZ, Nemocnice Znojmo, Laufen CZ a Tamura-Europe-Limited.</w:t>
      </w:r>
    </w:p>
    <w:p w:rsidR="00060EFF" w:rsidRDefault="00060EFF" w:rsidP="00060EFF">
      <w:pPr>
        <w:tabs>
          <w:tab w:val="left" w:pos="9214"/>
        </w:tabs>
        <w:jc w:val="both"/>
      </w:pPr>
    </w:p>
    <w:p w:rsidR="00060EFF" w:rsidRDefault="00060EFF" w:rsidP="00060EFF">
      <w:pPr>
        <w:tabs>
          <w:tab w:val="left" w:pos="9214"/>
        </w:tabs>
        <w:jc w:val="both"/>
        <w:rPr>
          <w:rFonts w:ascii="Arial" w:hAnsi="Arial" w:cs="Arial"/>
          <w:sz w:val="22"/>
          <w:szCs w:val="22"/>
        </w:rPr>
      </w:pPr>
      <w:r w:rsidRPr="008F32E0">
        <w:rPr>
          <w:rFonts w:ascii="Arial" w:hAnsi="Arial" w:cs="Arial"/>
          <w:sz w:val="22"/>
          <w:szCs w:val="22"/>
        </w:rPr>
        <w:t xml:space="preserve">Společným znakem mikroregionu Znojemsko je především sezonnost prací, a to téměř ve všech odvětvích výrobního i nevýrobního charakteru. Nedochází ke vstupu nových investorů, kteří by mohli pozitivně ovlivnit míru nezaměstnanosti. Některé obce se potýkají s nedostatečnou dopravní obslužností – lidé nemohou </w:t>
      </w:r>
      <w:r w:rsidR="003D5E0A">
        <w:rPr>
          <w:rFonts w:ascii="Arial" w:hAnsi="Arial" w:cs="Arial"/>
          <w:sz w:val="22"/>
          <w:szCs w:val="22"/>
        </w:rPr>
        <w:t>dojíždět</w:t>
      </w:r>
      <w:r w:rsidRPr="008F32E0">
        <w:rPr>
          <w:rFonts w:ascii="Arial" w:hAnsi="Arial" w:cs="Arial"/>
          <w:sz w:val="22"/>
          <w:szCs w:val="22"/>
        </w:rPr>
        <w:t xml:space="preserve"> za prací do větších měst, popř. do sousedních regionů. Osoby samostatně podnikající vytvářejí pracovní místa především pro svou osobu a mnohdy pouze na sezonu. Vliv na rozdílnost ve výši nezaměstnanosti pak mají také SÚPM a VPP, která jsou uzavírána v mikroregionu Znojemska sice v hojné míře, nicméně se jedná opět především o místa sezonní.</w:t>
      </w:r>
    </w:p>
    <w:p w:rsidR="00060EFF" w:rsidRDefault="00060EFF" w:rsidP="00060EFF">
      <w:pPr>
        <w:tabs>
          <w:tab w:val="left" w:pos="9214"/>
        </w:tabs>
        <w:jc w:val="both"/>
        <w:rPr>
          <w:rFonts w:ascii="Arial" w:hAnsi="Arial" w:cs="Arial"/>
          <w:sz w:val="22"/>
          <w:szCs w:val="22"/>
        </w:rPr>
      </w:pPr>
    </w:p>
    <w:p w:rsidR="00060EFF" w:rsidRPr="00A40213" w:rsidRDefault="00060EFF" w:rsidP="00060EFF">
      <w:pPr>
        <w:tabs>
          <w:tab w:val="left" w:pos="9214"/>
        </w:tabs>
        <w:spacing w:after="200"/>
        <w:contextualSpacing/>
        <w:jc w:val="both"/>
        <w:rPr>
          <w:rFonts w:ascii="Arial" w:hAnsi="Arial" w:cs="Arial"/>
          <w:sz w:val="22"/>
          <w:szCs w:val="22"/>
        </w:rPr>
      </w:pPr>
      <w:r w:rsidRPr="00A40213">
        <w:rPr>
          <w:rFonts w:ascii="Arial" w:hAnsi="Arial" w:cs="Arial"/>
          <w:sz w:val="22"/>
          <w:szCs w:val="22"/>
        </w:rPr>
        <w:t>Nejhorší situace na trhu práce je v oblasti ležící východně od města Znojma (okolí obce Jaroslavice). Jedná se oblast s převažující zemědělskou produkcí a převažujícím sezonním zaměstnáním. Částečně jsou obyvatelé zaměstnáváni v mikroregionu Hrušovany nad Jevišovkou, s nímž tato oblast sousedí. I zde jsou především zemědělské popř. stavební činnosti vykonávány v době sezony. Velký podíl na zaměstnanosti v této lokalitě má bezprostřední blízkost hranic, kdy se opět jedná o práci po dobu sezony.</w:t>
      </w:r>
    </w:p>
    <w:p w:rsidR="00060EFF" w:rsidRDefault="00060EFF" w:rsidP="00060EFF">
      <w:pPr>
        <w:jc w:val="both"/>
        <w:rPr>
          <w:rFonts w:ascii="Arial" w:hAnsi="Arial" w:cs="Arial"/>
          <w:sz w:val="22"/>
          <w:szCs w:val="22"/>
        </w:rPr>
      </w:pPr>
    </w:p>
    <w:p w:rsidR="00C73A67" w:rsidRPr="00A311BE" w:rsidRDefault="00C73A67" w:rsidP="00060EFF">
      <w:pPr>
        <w:jc w:val="both"/>
        <w:rPr>
          <w:rFonts w:ascii="Arial" w:hAnsi="Arial" w:cs="Arial"/>
          <w:sz w:val="22"/>
          <w:szCs w:val="22"/>
        </w:rPr>
      </w:pPr>
    </w:p>
    <w:p w:rsidR="00060EFF" w:rsidRPr="00C73A67" w:rsidRDefault="00060EFF" w:rsidP="00060EFF">
      <w:pPr>
        <w:pStyle w:val="Normlnweb"/>
        <w:spacing w:line="276" w:lineRule="auto"/>
        <w:rPr>
          <w:rFonts w:ascii="Arial" w:hAnsi="Arial" w:cs="Arial"/>
          <w:b/>
          <w:sz w:val="22"/>
          <w:szCs w:val="22"/>
          <w:u w:val="single"/>
        </w:rPr>
      </w:pPr>
      <w:r w:rsidRPr="00C73A67">
        <w:rPr>
          <w:rFonts w:ascii="Arial" w:hAnsi="Arial" w:cs="Arial"/>
          <w:b/>
          <w:sz w:val="22"/>
          <w:szCs w:val="22"/>
          <w:u w:val="single"/>
        </w:rPr>
        <w:t>Silné stránky okresu</w:t>
      </w:r>
    </w:p>
    <w:p w:rsidR="00060EFF" w:rsidRPr="003B52DC" w:rsidRDefault="00060EFF" w:rsidP="00060EFF">
      <w:pPr>
        <w:pStyle w:val="Normlnweb"/>
        <w:numPr>
          <w:ilvl w:val="0"/>
          <w:numId w:val="11"/>
        </w:numPr>
        <w:spacing w:line="276" w:lineRule="auto"/>
        <w:rPr>
          <w:rFonts w:ascii="Arial" w:hAnsi="Arial" w:cs="Arial"/>
          <w:sz w:val="22"/>
          <w:szCs w:val="22"/>
        </w:rPr>
      </w:pPr>
      <w:r w:rsidRPr="003B52DC">
        <w:rPr>
          <w:rFonts w:ascii="Arial" w:hAnsi="Arial" w:cs="Arial"/>
          <w:sz w:val="22"/>
          <w:szCs w:val="22"/>
        </w:rPr>
        <w:t>blízkost rakouských hranic a příliv zahraničního</w:t>
      </w:r>
      <w:r>
        <w:rPr>
          <w:rFonts w:ascii="Arial" w:hAnsi="Arial" w:cs="Arial"/>
          <w:sz w:val="22"/>
          <w:szCs w:val="22"/>
        </w:rPr>
        <w:t xml:space="preserve"> </w:t>
      </w:r>
      <w:r w:rsidRPr="003B52DC">
        <w:rPr>
          <w:rFonts w:ascii="Arial" w:hAnsi="Arial" w:cs="Arial"/>
          <w:sz w:val="22"/>
          <w:szCs w:val="22"/>
        </w:rPr>
        <w:t>kapitálu</w:t>
      </w:r>
    </w:p>
    <w:p w:rsidR="00060EFF" w:rsidRPr="00C73A67" w:rsidRDefault="00C73A67" w:rsidP="00060EFF">
      <w:pPr>
        <w:pStyle w:val="Normlnweb"/>
        <w:spacing w:line="276" w:lineRule="auto"/>
        <w:rPr>
          <w:rFonts w:ascii="Arial" w:hAnsi="Arial" w:cs="Arial"/>
          <w:b/>
          <w:sz w:val="22"/>
          <w:szCs w:val="22"/>
          <w:u w:val="single"/>
        </w:rPr>
      </w:pPr>
      <w:r>
        <w:rPr>
          <w:rFonts w:ascii="Arial" w:hAnsi="Arial" w:cs="Arial"/>
          <w:b/>
          <w:sz w:val="22"/>
          <w:szCs w:val="22"/>
          <w:u w:val="single"/>
        </w:rPr>
        <w:t>Slabé</w:t>
      </w:r>
      <w:r w:rsidR="00060EFF" w:rsidRPr="00C73A67">
        <w:rPr>
          <w:rFonts w:ascii="Arial" w:hAnsi="Arial" w:cs="Arial"/>
          <w:b/>
          <w:sz w:val="22"/>
          <w:szCs w:val="22"/>
          <w:u w:val="single"/>
        </w:rPr>
        <w:t xml:space="preserve"> stránky okresu</w:t>
      </w:r>
    </w:p>
    <w:p w:rsidR="00060EFF" w:rsidRPr="00B61805" w:rsidRDefault="00060EFF" w:rsidP="00060EFF">
      <w:pPr>
        <w:pStyle w:val="Odstavecseseznamem"/>
        <w:numPr>
          <w:ilvl w:val="0"/>
          <w:numId w:val="11"/>
        </w:numPr>
        <w:spacing w:after="200"/>
        <w:ind w:left="714" w:hanging="357"/>
        <w:contextualSpacing/>
        <w:rPr>
          <w:rFonts w:ascii="Arial" w:hAnsi="Arial" w:cs="Arial"/>
          <w:sz w:val="22"/>
          <w:szCs w:val="22"/>
        </w:rPr>
      </w:pPr>
      <w:r w:rsidRPr="00B61805">
        <w:rPr>
          <w:rFonts w:ascii="Arial" w:hAnsi="Arial" w:cs="Arial"/>
          <w:sz w:val="22"/>
          <w:szCs w:val="22"/>
        </w:rPr>
        <w:t xml:space="preserve">sezónnost trhu práce </w:t>
      </w:r>
    </w:p>
    <w:p w:rsidR="00060EFF" w:rsidRDefault="00060EFF" w:rsidP="00060EFF">
      <w:pPr>
        <w:pStyle w:val="Odstavecseseznamem"/>
        <w:numPr>
          <w:ilvl w:val="0"/>
          <w:numId w:val="11"/>
        </w:numPr>
        <w:tabs>
          <w:tab w:val="left" w:pos="9214"/>
        </w:tabs>
        <w:autoSpaceDE w:val="0"/>
        <w:autoSpaceDN w:val="0"/>
        <w:adjustRightInd w:val="0"/>
        <w:ind w:left="714" w:hanging="357"/>
        <w:jc w:val="both"/>
        <w:rPr>
          <w:rFonts w:ascii="Arial" w:hAnsi="Arial" w:cs="Arial"/>
          <w:sz w:val="22"/>
          <w:szCs w:val="22"/>
        </w:rPr>
      </w:pPr>
      <w:r w:rsidRPr="00B61805">
        <w:rPr>
          <w:rFonts w:ascii="Arial" w:hAnsi="Arial" w:cs="Arial"/>
          <w:sz w:val="22"/>
          <w:szCs w:val="22"/>
        </w:rPr>
        <w:t>nízká úroveň vzdělanosti obyvatelstva</w:t>
      </w:r>
    </w:p>
    <w:p w:rsidR="00060EFF" w:rsidRDefault="00060EFF" w:rsidP="00060EFF">
      <w:pPr>
        <w:pStyle w:val="Odstavecseseznamem"/>
        <w:numPr>
          <w:ilvl w:val="0"/>
          <w:numId w:val="11"/>
        </w:numPr>
        <w:tabs>
          <w:tab w:val="left" w:pos="9214"/>
        </w:tabs>
        <w:autoSpaceDE w:val="0"/>
        <w:autoSpaceDN w:val="0"/>
        <w:adjustRightInd w:val="0"/>
        <w:ind w:left="714" w:hanging="357"/>
        <w:jc w:val="both"/>
        <w:rPr>
          <w:rFonts w:ascii="Arial" w:hAnsi="Arial" w:cs="Arial"/>
          <w:sz w:val="22"/>
          <w:szCs w:val="22"/>
        </w:rPr>
      </w:pPr>
      <w:r>
        <w:rPr>
          <w:rFonts w:ascii="Arial" w:hAnsi="Arial" w:cs="Arial"/>
          <w:sz w:val="22"/>
          <w:szCs w:val="22"/>
        </w:rPr>
        <w:t>nadprůměrná nezaměstnanost</w:t>
      </w:r>
    </w:p>
    <w:p w:rsidR="009F2E37" w:rsidRDefault="009F2E37" w:rsidP="00087E45">
      <w:pPr>
        <w:jc w:val="both"/>
        <w:rPr>
          <w:rFonts w:ascii="Arial" w:hAnsi="Arial" w:cs="Arial"/>
          <w:sz w:val="22"/>
          <w:szCs w:val="22"/>
        </w:rPr>
      </w:pPr>
    </w:p>
    <w:p w:rsidR="009F2E37" w:rsidRDefault="009F2E37">
      <w:pPr>
        <w:spacing w:after="200"/>
        <w:rPr>
          <w:rFonts w:ascii="Arial" w:hAnsi="Arial" w:cs="Arial"/>
          <w:sz w:val="22"/>
          <w:szCs w:val="22"/>
        </w:rPr>
      </w:pPr>
      <w:r>
        <w:rPr>
          <w:rFonts w:ascii="Arial" w:hAnsi="Arial" w:cs="Arial"/>
          <w:sz w:val="22"/>
          <w:szCs w:val="22"/>
        </w:rPr>
        <w:br w:type="page"/>
      </w:r>
    </w:p>
    <w:p w:rsidR="00EC2D91" w:rsidRPr="008451B9" w:rsidRDefault="00EC2D91" w:rsidP="00EC2D91">
      <w:pPr>
        <w:pStyle w:val="Nadpis1"/>
      </w:pPr>
      <w:bookmarkStart w:id="38" w:name="_Toc381372889"/>
      <w:bookmarkStart w:id="39" w:name="_Toc411611473"/>
      <w:bookmarkStart w:id="40" w:name="_Toc318791894"/>
      <w:bookmarkStart w:id="41" w:name="_Toc320265228"/>
      <w:r w:rsidRPr="008451B9">
        <w:t>3. Charakteristika problémových skupin na krajském trhu práce a problémových regionů</w:t>
      </w:r>
      <w:bookmarkEnd w:id="38"/>
      <w:bookmarkEnd w:id="39"/>
    </w:p>
    <w:p w:rsidR="00EC2D91" w:rsidRPr="007D7EB2" w:rsidRDefault="00EC2D91" w:rsidP="00EC2D91">
      <w:pPr>
        <w:pStyle w:val="Zkladntext"/>
        <w:rPr>
          <w:rFonts w:ascii="Arial" w:hAnsi="Arial" w:cs="Arial"/>
        </w:rPr>
      </w:pPr>
    </w:p>
    <w:p w:rsidR="00EC2D91" w:rsidRPr="007D7EB2" w:rsidRDefault="00EC2D91" w:rsidP="00EC2D91">
      <w:pPr>
        <w:pStyle w:val="Nadpis2"/>
      </w:pPr>
      <w:bookmarkStart w:id="42" w:name="_Toc381372890"/>
      <w:bookmarkStart w:id="43" w:name="_Toc411611474"/>
      <w:r>
        <w:t>3</w:t>
      </w:r>
      <w:r w:rsidRPr="007D7EB2">
        <w:t xml:space="preserve">.1 </w:t>
      </w:r>
      <w:r>
        <w:t>Problémové skupiny</w:t>
      </w:r>
      <w:bookmarkEnd w:id="42"/>
      <w:bookmarkEnd w:id="43"/>
    </w:p>
    <w:p w:rsidR="00EC2D91" w:rsidRDefault="00EC2D91" w:rsidP="00EC2D91"/>
    <w:p w:rsidR="00EC2D91" w:rsidRPr="002B21A4" w:rsidRDefault="00EC2D91" w:rsidP="00EC2D91">
      <w:pPr>
        <w:pStyle w:val="Zkladntext"/>
        <w:jc w:val="both"/>
        <w:rPr>
          <w:rFonts w:ascii="Arial" w:hAnsi="Arial" w:cs="Arial"/>
          <w:b w:val="0"/>
          <w:sz w:val="22"/>
          <w:szCs w:val="22"/>
        </w:rPr>
      </w:pPr>
      <w:r w:rsidRPr="002B21A4">
        <w:rPr>
          <w:rFonts w:ascii="Arial" w:hAnsi="Arial" w:cs="Arial"/>
          <w:b w:val="0"/>
          <w:sz w:val="22"/>
          <w:szCs w:val="22"/>
        </w:rPr>
        <w:t xml:space="preserve">K dlouhodobě obtížně umístitelným skupinám osob v Jihomoravském kraji vždy </w:t>
      </w:r>
      <w:r w:rsidRPr="008451B9">
        <w:rPr>
          <w:rFonts w:ascii="Arial" w:hAnsi="Arial" w:cs="Arial"/>
          <w:b w:val="0"/>
          <w:sz w:val="22"/>
          <w:szCs w:val="22"/>
        </w:rPr>
        <w:t xml:space="preserve">patřily osoby </w:t>
      </w:r>
      <w:r w:rsidRPr="002B21A4">
        <w:rPr>
          <w:rFonts w:ascii="Arial" w:hAnsi="Arial" w:cs="Arial"/>
          <w:b w:val="0"/>
          <w:sz w:val="22"/>
          <w:szCs w:val="22"/>
        </w:rPr>
        <w:t>starších 50-ti let, dlouhodobě nezaměstnaní, nekvalifikovaní, zdravotně postižení a absolventi škol a mladiství. Tyto skupiny se mnohdy vzájemně prolínají a většina problémových uchazečů tak náleží k více skupinám současně.</w:t>
      </w:r>
    </w:p>
    <w:p w:rsidR="00EC2D91" w:rsidRDefault="00EC2D91" w:rsidP="00EC2D91">
      <w:pPr>
        <w:pStyle w:val="Zkladntext"/>
        <w:jc w:val="both"/>
        <w:rPr>
          <w:b w:val="0"/>
        </w:rPr>
      </w:pPr>
    </w:p>
    <w:p w:rsidR="00EC2D91" w:rsidRPr="00D221B4" w:rsidRDefault="00EC2D91" w:rsidP="00EC2D91">
      <w:pPr>
        <w:pStyle w:val="Zkladntext"/>
        <w:jc w:val="both"/>
        <w:rPr>
          <w:rFonts w:ascii="Arial" w:hAnsi="Arial" w:cs="Arial"/>
        </w:rPr>
      </w:pPr>
      <w:r w:rsidRPr="00D221B4">
        <w:rPr>
          <w:rFonts w:ascii="Arial" w:hAnsi="Arial" w:cs="Arial"/>
        </w:rPr>
        <w:t>Absolventi a mladiství</w:t>
      </w:r>
    </w:p>
    <w:p w:rsidR="00EC2D91" w:rsidRDefault="00EC2D91" w:rsidP="00EC2D91">
      <w:pPr>
        <w:pStyle w:val="Zkladntext"/>
        <w:jc w:val="both"/>
      </w:pPr>
    </w:p>
    <w:p w:rsidR="00EC2D91" w:rsidRPr="002B21A4" w:rsidRDefault="00EC2D91" w:rsidP="00EC2D91">
      <w:pPr>
        <w:pStyle w:val="Zkladntext"/>
        <w:spacing w:after="120"/>
        <w:jc w:val="both"/>
        <w:rPr>
          <w:rFonts w:ascii="Arial" w:hAnsi="Arial" w:cs="Arial"/>
          <w:b w:val="0"/>
          <w:sz w:val="22"/>
          <w:szCs w:val="22"/>
        </w:rPr>
      </w:pPr>
      <w:r w:rsidRPr="002B21A4">
        <w:rPr>
          <w:rFonts w:ascii="Arial" w:hAnsi="Arial" w:cs="Arial"/>
          <w:b w:val="0"/>
          <w:sz w:val="22"/>
          <w:szCs w:val="22"/>
        </w:rPr>
        <w:t>Z celkového počtu uchazečů o zaměstnání tvořili v Jihomoravském kraji na konci roku 201</w:t>
      </w:r>
      <w:r>
        <w:rPr>
          <w:rFonts w:ascii="Arial" w:hAnsi="Arial" w:cs="Arial"/>
          <w:b w:val="0"/>
          <w:sz w:val="22"/>
          <w:szCs w:val="22"/>
        </w:rPr>
        <w:t>4</w:t>
      </w:r>
      <w:r w:rsidRPr="002B21A4">
        <w:rPr>
          <w:rFonts w:ascii="Arial" w:hAnsi="Arial" w:cs="Arial"/>
          <w:b w:val="0"/>
          <w:sz w:val="22"/>
          <w:szCs w:val="22"/>
        </w:rPr>
        <w:t xml:space="preserve"> absolventi škol a mladiství </w:t>
      </w:r>
      <w:r w:rsidRPr="00570EF7">
        <w:rPr>
          <w:rFonts w:ascii="Arial" w:hAnsi="Arial" w:cs="Arial"/>
          <w:sz w:val="22"/>
          <w:szCs w:val="22"/>
        </w:rPr>
        <w:t>5,7 %</w:t>
      </w:r>
      <w:r w:rsidRPr="002B21A4">
        <w:rPr>
          <w:rFonts w:ascii="Arial" w:hAnsi="Arial" w:cs="Arial"/>
          <w:b w:val="0"/>
          <w:sz w:val="22"/>
          <w:szCs w:val="22"/>
        </w:rPr>
        <w:t> (</w:t>
      </w:r>
      <w:r w:rsidRPr="0059443B">
        <w:rPr>
          <w:rFonts w:ascii="Arial" w:hAnsi="Arial" w:cs="Arial"/>
          <w:sz w:val="22"/>
          <w:szCs w:val="22"/>
        </w:rPr>
        <w:t>3 764 osob</w:t>
      </w:r>
      <w:r w:rsidRPr="002B21A4">
        <w:rPr>
          <w:rFonts w:ascii="Arial" w:hAnsi="Arial" w:cs="Arial"/>
          <w:b w:val="0"/>
          <w:sz w:val="22"/>
          <w:szCs w:val="22"/>
        </w:rPr>
        <w:t>). Z hlediska absolutního počtu došlo meziročně k </w:t>
      </w:r>
      <w:r>
        <w:rPr>
          <w:rFonts w:ascii="Arial" w:hAnsi="Arial" w:cs="Arial"/>
          <w:b w:val="0"/>
          <w:sz w:val="22"/>
          <w:szCs w:val="22"/>
        </w:rPr>
        <w:t>poklesu</w:t>
      </w:r>
      <w:r w:rsidRPr="002B21A4">
        <w:rPr>
          <w:rFonts w:ascii="Arial" w:hAnsi="Arial" w:cs="Arial"/>
          <w:b w:val="0"/>
          <w:sz w:val="22"/>
          <w:szCs w:val="22"/>
        </w:rPr>
        <w:t xml:space="preserve"> počtu absolventů a mladistvých (o </w:t>
      </w:r>
      <w:r>
        <w:rPr>
          <w:rFonts w:ascii="Arial" w:hAnsi="Arial" w:cs="Arial"/>
          <w:b w:val="0"/>
          <w:sz w:val="22"/>
          <w:szCs w:val="22"/>
        </w:rPr>
        <w:t>1 375</w:t>
      </w:r>
      <w:r w:rsidRPr="002B21A4">
        <w:rPr>
          <w:rFonts w:ascii="Arial" w:hAnsi="Arial" w:cs="Arial"/>
          <w:b w:val="0"/>
          <w:sz w:val="22"/>
          <w:szCs w:val="22"/>
        </w:rPr>
        <w:t xml:space="preserve"> osob, tj. o </w:t>
      </w:r>
      <w:r>
        <w:rPr>
          <w:rFonts w:ascii="Arial" w:hAnsi="Arial" w:cs="Arial"/>
          <w:b w:val="0"/>
          <w:sz w:val="22"/>
          <w:szCs w:val="22"/>
        </w:rPr>
        <w:t>26</w:t>
      </w:r>
      <w:r w:rsidRPr="002B21A4">
        <w:rPr>
          <w:rFonts w:ascii="Arial" w:hAnsi="Arial" w:cs="Arial"/>
          <w:b w:val="0"/>
          <w:sz w:val="22"/>
          <w:szCs w:val="22"/>
        </w:rPr>
        <w:t>,</w:t>
      </w:r>
      <w:r>
        <w:rPr>
          <w:rFonts w:ascii="Arial" w:hAnsi="Arial" w:cs="Arial"/>
          <w:b w:val="0"/>
          <w:sz w:val="22"/>
          <w:szCs w:val="22"/>
        </w:rPr>
        <w:t>8</w:t>
      </w:r>
      <w:r w:rsidRPr="002B21A4">
        <w:rPr>
          <w:rFonts w:ascii="Arial" w:hAnsi="Arial" w:cs="Arial"/>
          <w:b w:val="0"/>
          <w:sz w:val="22"/>
          <w:szCs w:val="22"/>
        </w:rPr>
        <w:t xml:space="preserve"> % jejich původního stavu). Jejich podíl na celkovém počtu uchazečů je v Jihomoravském kraji o 0,</w:t>
      </w:r>
      <w:r>
        <w:rPr>
          <w:rFonts w:ascii="Arial" w:hAnsi="Arial" w:cs="Arial"/>
          <w:b w:val="0"/>
          <w:sz w:val="22"/>
          <w:szCs w:val="22"/>
        </w:rPr>
        <w:t>6</w:t>
      </w:r>
      <w:r w:rsidRPr="002B21A4">
        <w:rPr>
          <w:rFonts w:ascii="Arial" w:hAnsi="Arial" w:cs="Arial"/>
          <w:b w:val="0"/>
          <w:sz w:val="22"/>
          <w:szCs w:val="22"/>
        </w:rPr>
        <w:t xml:space="preserve"> procentního bodu vyšší než je republikový průměr (ten k 31. 12. 201</w:t>
      </w:r>
      <w:r>
        <w:rPr>
          <w:rFonts w:ascii="Arial" w:hAnsi="Arial" w:cs="Arial"/>
          <w:b w:val="0"/>
          <w:sz w:val="22"/>
          <w:szCs w:val="22"/>
        </w:rPr>
        <w:t>4</w:t>
      </w:r>
      <w:r w:rsidRPr="002B21A4">
        <w:rPr>
          <w:rFonts w:ascii="Arial" w:hAnsi="Arial" w:cs="Arial"/>
          <w:b w:val="0"/>
          <w:sz w:val="22"/>
          <w:szCs w:val="22"/>
        </w:rPr>
        <w:t xml:space="preserve"> dosáhl hodnoty </w:t>
      </w:r>
      <w:r>
        <w:rPr>
          <w:rFonts w:ascii="Arial" w:hAnsi="Arial" w:cs="Arial"/>
          <w:b w:val="0"/>
          <w:sz w:val="22"/>
          <w:szCs w:val="22"/>
        </w:rPr>
        <w:t>5</w:t>
      </w:r>
      <w:r w:rsidRPr="002B21A4">
        <w:rPr>
          <w:rFonts w:ascii="Arial" w:hAnsi="Arial" w:cs="Arial"/>
          <w:b w:val="0"/>
          <w:sz w:val="22"/>
          <w:szCs w:val="22"/>
        </w:rPr>
        <w:t>,</w:t>
      </w:r>
      <w:r>
        <w:rPr>
          <w:rFonts w:ascii="Arial" w:hAnsi="Arial" w:cs="Arial"/>
          <w:b w:val="0"/>
          <w:sz w:val="22"/>
          <w:szCs w:val="22"/>
        </w:rPr>
        <w:t>1</w:t>
      </w:r>
      <w:r w:rsidRPr="002B21A4">
        <w:rPr>
          <w:rFonts w:ascii="Arial" w:hAnsi="Arial" w:cs="Arial"/>
          <w:b w:val="0"/>
          <w:sz w:val="22"/>
          <w:szCs w:val="22"/>
        </w:rPr>
        <w:t> %).</w:t>
      </w:r>
    </w:p>
    <w:p w:rsidR="00EC2D91" w:rsidRPr="00EC2D91" w:rsidRDefault="00EC2D91" w:rsidP="00EC2D91">
      <w:pPr>
        <w:pStyle w:val="Bezmezer"/>
        <w:spacing w:line="276" w:lineRule="auto"/>
        <w:rPr>
          <w:rFonts w:ascii="Arial" w:hAnsi="Arial" w:cs="Arial"/>
          <w:b/>
          <w:i/>
          <w:sz w:val="20"/>
          <w:szCs w:val="20"/>
        </w:rPr>
      </w:pPr>
      <w:r w:rsidRPr="00EC2D91">
        <w:rPr>
          <w:rFonts w:ascii="Arial" w:hAnsi="Arial" w:cs="Arial"/>
          <w:b/>
          <w:i/>
          <w:sz w:val="20"/>
          <w:szCs w:val="20"/>
        </w:rPr>
        <w:t xml:space="preserve">Tab. </w:t>
      </w:r>
      <w:r w:rsidRPr="00EC2D91">
        <w:rPr>
          <w:rFonts w:ascii="Arial" w:hAnsi="Arial" w:cs="Arial"/>
          <w:b/>
          <w:i/>
          <w:sz w:val="20"/>
          <w:szCs w:val="20"/>
        </w:rPr>
        <w:fldChar w:fldCharType="begin"/>
      </w:r>
      <w:r w:rsidRPr="00EC2D91">
        <w:rPr>
          <w:rFonts w:ascii="Arial" w:hAnsi="Arial" w:cs="Arial"/>
          <w:b/>
          <w:i/>
          <w:sz w:val="20"/>
          <w:szCs w:val="20"/>
        </w:rPr>
        <w:instrText xml:space="preserve"> SEQ Tab. \* ARABIC </w:instrText>
      </w:r>
      <w:r w:rsidRPr="00EC2D91">
        <w:rPr>
          <w:rFonts w:ascii="Arial" w:hAnsi="Arial" w:cs="Arial"/>
          <w:b/>
          <w:i/>
          <w:sz w:val="20"/>
          <w:szCs w:val="20"/>
        </w:rPr>
        <w:fldChar w:fldCharType="separate"/>
      </w:r>
      <w:r w:rsidR="004378F3">
        <w:rPr>
          <w:rFonts w:ascii="Arial" w:hAnsi="Arial" w:cs="Arial"/>
          <w:b/>
          <w:i/>
          <w:noProof/>
          <w:sz w:val="20"/>
          <w:szCs w:val="20"/>
        </w:rPr>
        <w:t>14</w:t>
      </w:r>
      <w:r w:rsidRPr="00EC2D91">
        <w:rPr>
          <w:rFonts w:ascii="Arial" w:hAnsi="Arial" w:cs="Arial"/>
          <w:b/>
          <w:i/>
          <w:sz w:val="20"/>
          <w:szCs w:val="20"/>
        </w:rPr>
        <w:fldChar w:fldCharType="end"/>
      </w:r>
      <w:r w:rsidRPr="00EC2D91">
        <w:rPr>
          <w:rFonts w:ascii="Arial" w:hAnsi="Arial" w:cs="Arial"/>
          <w:b/>
          <w:i/>
          <w:sz w:val="20"/>
          <w:szCs w:val="20"/>
        </w:rPr>
        <w:t>: Vývoj ukazatelů nezaměstnanosti v Jihomoravském kraji v období 2012</w:t>
      </w:r>
      <w:r>
        <w:rPr>
          <w:rFonts w:ascii="Arial" w:hAnsi="Arial" w:cs="Arial"/>
          <w:b/>
          <w:i/>
          <w:sz w:val="20"/>
          <w:szCs w:val="20"/>
        </w:rPr>
        <w:t xml:space="preserve"> </w:t>
      </w:r>
      <w:r w:rsidRPr="00EC2D91">
        <w:rPr>
          <w:rFonts w:ascii="Arial" w:hAnsi="Arial" w:cs="Arial"/>
          <w:b/>
          <w:i/>
          <w:sz w:val="20"/>
          <w:szCs w:val="20"/>
        </w:rPr>
        <w:t>-</w:t>
      </w:r>
      <w:r>
        <w:rPr>
          <w:rFonts w:ascii="Arial" w:hAnsi="Arial" w:cs="Arial"/>
          <w:b/>
          <w:i/>
          <w:sz w:val="20"/>
          <w:szCs w:val="20"/>
        </w:rPr>
        <w:t xml:space="preserve"> </w:t>
      </w:r>
      <w:r w:rsidRPr="00EC2D91">
        <w:rPr>
          <w:rFonts w:ascii="Arial" w:hAnsi="Arial" w:cs="Arial"/>
          <w:b/>
          <w:i/>
          <w:sz w:val="20"/>
          <w:szCs w:val="20"/>
        </w:rPr>
        <w:t>2014</w:t>
      </w:r>
      <w:r w:rsidRPr="00EC2D91">
        <w:rPr>
          <w:rFonts w:ascii="Arial" w:hAnsi="Arial" w:cs="Arial"/>
          <w:b/>
          <w:i/>
          <w:sz w:val="20"/>
          <w:szCs w:val="20"/>
        </w:rPr>
        <w:tab/>
        <w:t xml:space="preserve">     vyjádřený bazickým indexem </w:t>
      </w:r>
      <w:r w:rsidRPr="00EC2D91">
        <w:rPr>
          <w:rFonts w:ascii="Arial" w:hAnsi="Arial" w:cs="Arial"/>
          <w:b/>
          <w:i/>
          <w:color w:val="FFFFFF" w:themeColor="background1"/>
          <w:sz w:val="20"/>
          <w:szCs w:val="20"/>
        </w:rPr>
        <w:t>a</w:t>
      </w:r>
    </w:p>
    <w:p w:rsidR="00EC2D91" w:rsidRDefault="00EC2D91" w:rsidP="00125EE0">
      <w:pPr>
        <w:pStyle w:val="Warda"/>
      </w:pPr>
      <w:r>
        <w:rPr>
          <w:noProof/>
        </w:rPr>
        <w:drawing>
          <wp:inline distT="0" distB="0" distL="0" distR="0" wp14:anchorId="77351AAE" wp14:editId="4B4D8C4E">
            <wp:extent cx="5760000" cy="2952000"/>
            <wp:effectExtent l="0" t="0" r="0" b="127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952000"/>
                    </a:xfrm>
                    <a:prstGeom prst="rect">
                      <a:avLst/>
                    </a:prstGeom>
                    <a:noFill/>
                  </pic:spPr>
                </pic:pic>
              </a:graphicData>
            </a:graphic>
          </wp:inline>
        </w:drawing>
      </w:r>
    </w:p>
    <w:p w:rsidR="00EC2D91" w:rsidRPr="002B21A4" w:rsidRDefault="00EC2D91" w:rsidP="00125EE0">
      <w:pPr>
        <w:pStyle w:val="Warda"/>
      </w:pPr>
      <w:r>
        <w:t xml:space="preserve"> </w:t>
      </w:r>
      <w:r w:rsidRPr="00A82EF5">
        <w:rPr>
          <w:b/>
        </w:rPr>
        <w:t>Pramen</w:t>
      </w:r>
      <w:r w:rsidRPr="002B21A4">
        <w:t xml:space="preserve">: </w:t>
      </w:r>
      <w:r w:rsidRPr="00CD51D0">
        <w:t>MPSV ČR, měsíční statistiky, 2014</w:t>
      </w:r>
    </w:p>
    <w:p w:rsidR="00EC2D91" w:rsidRDefault="00EC2D91" w:rsidP="00EC2D91">
      <w:pPr>
        <w:jc w:val="both"/>
        <w:rPr>
          <w:rFonts w:ascii="Arial" w:hAnsi="Arial" w:cs="Arial"/>
          <w:sz w:val="22"/>
          <w:szCs w:val="22"/>
        </w:rPr>
      </w:pPr>
    </w:p>
    <w:p w:rsidR="00EC2D91" w:rsidRDefault="00EC2D91" w:rsidP="00EC2D91">
      <w:pPr>
        <w:contextualSpacing/>
        <w:jc w:val="both"/>
        <w:rPr>
          <w:rFonts w:ascii="Arial" w:eastAsia="Calibri" w:hAnsi="Arial" w:cs="Arial"/>
          <w:sz w:val="22"/>
          <w:szCs w:val="22"/>
          <w:lang w:eastAsia="en-US"/>
        </w:rPr>
      </w:pPr>
      <w:r w:rsidRPr="002B21A4">
        <w:rPr>
          <w:rFonts w:ascii="Arial" w:hAnsi="Arial" w:cs="Arial"/>
          <w:sz w:val="22"/>
          <w:szCs w:val="22"/>
        </w:rPr>
        <w:t xml:space="preserve">V současné době firmy při náboru nové pracovní síly často preferují osoby s praxí a uplatnitelnost čerstvých absolventů se tak mírně zhoršuje. S tímto problémem se potýkají hlavně absolventi bez jasné profesní profilace a bez dostatečných IT dovedností či jazykových znalostí. </w:t>
      </w:r>
      <w:r>
        <w:rPr>
          <w:rFonts w:ascii="Arial" w:hAnsi="Arial" w:cs="Arial"/>
          <w:sz w:val="22"/>
          <w:szCs w:val="22"/>
        </w:rPr>
        <w:t xml:space="preserve"> S velkým ohlasem se proto setkala realizace projektů RIP „Odborné praxe pro mladé do 30-ti let v JMK“ , „</w:t>
      </w:r>
      <w:r w:rsidRPr="00037A06">
        <w:rPr>
          <w:rFonts w:ascii="Arial" w:eastAsia="Calibri" w:hAnsi="Arial" w:cs="Arial"/>
          <w:sz w:val="22"/>
          <w:szCs w:val="22"/>
          <w:lang w:eastAsia="en-US"/>
        </w:rPr>
        <w:t xml:space="preserve"> </w:t>
      </w:r>
      <w:r w:rsidRPr="005446B4">
        <w:rPr>
          <w:rFonts w:ascii="Arial" w:eastAsia="Calibri" w:hAnsi="Arial" w:cs="Arial"/>
          <w:sz w:val="22"/>
          <w:szCs w:val="22"/>
          <w:lang w:eastAsia="en-US"/>
        </w:rPr>
        <w:t>Praxí k perspektivní kariéře</w:t>
      </w:r>
      <w:r>
        <w:rPr>
          <w:rFonts w:ascii="Arial" w:eastAsia="Calibri" w:hAnsi="Arial" w:cs="Arial"/>
          <w:sz w:val="22"/>
          <w:szCs w:val="22"/>
          <w:lang w:eastAsia="en-US"/>
        </w:rPr>
        <w:t>“, a „</w:t>
      </w:r>
      <w:r w:rsidRPr="005446B4">
        <w:rPr>
          <w:rFonts w:ascii="Arial" w:eastAsia="Calibri" w:hAnsi="Arial" w:cs="Arial"/>
          <w:sz w:val="22"/>
          <w:szCs w:val="22"/>
          <w:lang w:eastAsia="en-US"/>
        </w:rPr>
        <w:t>Příležitost pro mladé do 30 let</w:t>
      </w:r>
      <w:r>
        <w:rPr>
          <w:rFonts w:ascii="Arial" w:eastAsia="Calibri" w:hAnsi="Arial" w:cs="Arial"/>
          <w:sz w:val="22"/>
          <w:szCs w:val="22"/>
          <w:lang w:eastAsia="en-US"/>
        </w:rPr>
        <w:t>“</w:t>
      </w:r>
    </w:p>
    <w:p w:rsidR="00EC2D91" w:rsidRPr="005446B4" w:rsidRDefault="00EC2D91" w:rsidP="00EC2D91">
      <w:pPr>
        <w:contextualSpacing/>
        <w:jc w:val="both"/>
        <w:rPr>
          <w:rFonts w:ascii="Arial" w:eastAsia="Calibri" w:hAnsi="Arial" w:cs="Arial"/>
          <w:sz w:val="22"/>
          <w:szCs w:val="22"/>
          <w:lang w:eastAsia="en-US"/>
        </w:rPr>
      </w:pPr>
    </w:p>
    <w:p w:rsidR="00EC2D91" w:rsidRPr="00037A06" w:rsidRDefault="00EC2D91" w:rsidP="00EC2D91">
      <w:pPr>
        <w:contextualSpacing/>
        <w:jc w:val="both"/>
        <w:rPr>
          <w:rFonts w:ascii="Arial" w:eastAsia="Calibri" w:hAnsi="Arial" w:cs="Arial"/>
          <w:sz w:val="22"/>
          <w:szCs w:val="22"/>
          <w:lang w:eastAsia="en-US"/>
        </w:rPr>
      </w:pPr>
      <w:r w:rsidRPr="00037A06">
        <w:rPr>
          <w:rFonts w:ascii="Arial" w:hAnsi="Arial" w:cs="Arial"/>
          <w:sz w:val="22"/>
          <w:szCs w:val="22"/>
        </w:rPr>
        <w:t>Z regionálního hlediska je k 31. 12. 201</w:t>
      </w:r>
      <w:r>
        <w:rPr>
          <w:rFonts w:ascii="Arial" w:hAnsi="Arial" w:cs="Arial"/>
          <w:sz w:val="22"/>
          <w:szCs w:val="22"/>
        </w:rPr>
        <w:t>4</w:t>
      </w:r>
      <w:r w:rsidRPr="00037A06">
        <w:rPr>
          <w:rFonts w:ascii="Arial" w:hAnsi="Arial" w:cs="Arial"/>
          <w:sz w:val="22"/>
          <w:szCs w:val="22"/>
        </w:rPr>
        <w:t xml:space="preserve"> měřeno celkovým počtem je absolutně nejnižší počet absolventů evidován v  okrese Vyškov (</w:t>
      </w:r>
      <w:r>
        <w:rPr>
          <w:rFonts w:ascii="Arial" w:hAnsi="Arial" w:cs="Arial"/>
          <w:sz w:val="22"/>
          <w:szCs w:val="22"/>
        </w:rPr>
        <w:t>258</w:t>
      </w:r>
      <w:r w:rsidRPr="00037A06">
        <w:rPr>
          <w:rFonts w:ascii="Arial" w:hAnsi="Arial" w:cs="Arial"/>
          <w:sz w:val="22"/>
          <w:szCs w:val="22"/>
        </w:rPr>
        <w:t xml:space="preserve"> osob), nejvíce jich logicky je ve městě Brně (1</w:t>
      </w:r>
      <w:r>
        <w:rPr>
          <w:rFonts w:ascii="Arial" w:hAnsi="Arial" w:cs="Arial"/>
          <w:sz w:val="22"/>
          <w:szCs w:val="22"/>
        </w:rPr>
        <w:t xml:space="preserve"> 057</w:t>
      </w:r>
      <w:r w:rsidRPr="00037A06">
        <w:rPr>
          <w:rFonts w:ascii="Arial" w:hAnsi="Arial" w:cs="Arial"/>
          <w:sz w:val="22"/>
          <w:szCs w:val="22"/>
        </w:rPr>
        <w:t xml:space="preserve"> osob). Z hlediska podílu absolventů na celkovém počtu uchazečů nejnižší hodnotu vykazuje okres Brno-město (</w:t>
      </w:r>
      <w:r>
        <w:rPr>
          <w:rFonts w:ascii="Arial" w:hAnsi="Arial" w:cs="Arial"/>
          <w:sz w:val="22"/>
          <w:szCs w:val="22"/>
        </w:rPr>
        <w:t>4</w:t>
      </w:r>
      <w:r w:rsidRPr="00037A06">
        <w:rPr>
          <w:rFonts w:ascii="Arial" w:hAnsi="Arial" w:cs="Arial"/>
          <w:sz w:val="22"/>
          <w:szCs w:val="22"/>
        </w:rPr>
        <w:t>,</w:t>
      </w:r>
      <w:r>
        <w:rPr>
          <w:rFonts w:ascii="Arial" w:hAnsi="Arial" w:cs="Arial"/>
          <w:sz w:val="22"/>
          <w:szCs w:val="22"/>
        </w:rPr>
        <w:t>7</w:t>
      </w:r>
      <w:r w:rsidRPr="00037A06">
        <w:rPr>
          <w:rFonts w:ascii="Arial" w:hAnsi="Arial" w:cs="Arial"/>
          <w:sz w:val="22"/>
          <w:szCs w:val="22"/>
        </w:rPr>
        <w:t xml:space="preserve"> %), naopak nejvyšší </w:t>
      </w:r>
      <w:r>
        <w:rPr>
          <w:rFonts w:ascii="Arial" w:hAnsi="Arial" w:cs="Arial"/>
          <w:sz w:val="22"/>
          <w:szCs w:val="22"/>
        </w:rPr>
        <w:t>Vyškov</w:t>
      </w:r>
      <w:r w:rsidRPr="00037A06">
        <w:rPr>
          <w:rFonts w:ascii="Arial" w:hAnsi="Arial" w:cs="Arial"/>
          <w:sz w:val="22"/>
          <w:szCs w:val="22"/>
        </w:rPr>
        <w:t xml:space="preserve"> (</w:t>
      </w:r>
      <w:r>
        <w:rPr>
          <w:rFonts w:ascii="Arial" w:hAnsi="Arial" w:cs="Arial"/>
          <w:sz w:val="22"/>
          <w:szCs w:val="22"/>
        </w:rPr>
        <w:t>6</w:t>
      </w:r>
      <w:r w:rsidRPr="00037A06">
        <w:rPr>
          <w:rFonts w:ascii="Arial" w:hAnsi="Arial" w:cs="Arial"/>
          <w:sz w:val="22"/>
          <w:szCs w:val="22"/>
        </w:rPr>
        <w:t>,</w:t>
      </w:r>
      <w:r>
        <w:rPr>
          <w:rFonts w:ascii="Arial" w:hAnsi="Arial" w:cs="Arial"/>
          <w:sz w:val="22"/>
          <w:szCs w:val="22"/>
        </w:rPr>
        <w:t>8</w:t>
      </w:r>
      <w:r w:rsidRPr="00037A06">
        <w:rPr>
          <w:rFonts w:ascii="Arial" w:hAnsi="Arial" w:cs="Arial"/>
          <w:sz w:val="22"/>
          <w:szCs w:val="22"/>
        </w:rPr>
        <w:t xml:space="preserve"> %). V případě  okresu Brno-město má na nízkém podílu absolventů mezi uchazeči o zaměstnání rovněž vliv rostoucí počet společností zaměřených na poskytování strategických služeb, které často přijímají i osoby bez praxe (administrativní pracovníky, programátory, účetní).</w:t>
      </w:r>
    </w:p>
    <w:p w:rsidR="00EC2D91" w:rsidRDefault="00EC2D91" w:rsidP="00EC2D91">
      <w:pPr>
        <w:pStyle w:val="Zkladntext"/>
        <w:jc w:val="both"/>
        <w:rPr>
          <w:b w:val="0"/>
        </w:rPr>
      </w:pPr>
    </w:p>
    <w:p w:rsidR="00EC2D91" w:rsidRPr="00EC2D91" w:rsidRDefault="00EC2D91" w:rsidP="00EC2D91">
      <w:pPr>
        <w:pStyle w:val="Bezmezer"/>
        <w:spacing w:line="276" w:lineRule="auto"/>
        <w:rPr>
          <w:rFonts w:ascii="Arial" w:hAnsi="Arial" w:cs="Arial"/>
          <w:b/>
          <w:i/>
          <w:sz w:val="20"/>
          <w:szCs w:val="20"/>
        </w:rPr>
      </w:pPr>
      <w:r w:rsidRPr="00EC2D91">
        <w:rPr>
          <w:rFonts w:ascii="Arial" w:hAnsi="Arial" w:cs="Arial"/>
          <w:b/>
          <w:i/>
          <w:sz w:val="20"/>
          <w:szCs w:val="20"/>
        </w:rPr>
        <w:t xml:space="preserve">Obr. </w:t>
      </w:r>
      <w:r w:rsidRPr="00EC2D91">
        <w:rPr>
          <w:rFonts w:ascii="Arial" w:hAnsi="Arial" w:cs="Arial"/>
          <w:b/>
          <w:i/>
          <w:sz w:val="20"/>
          <w:szCs w:val="20"/>
        </w:rPr>
        <w:fldChar w:fldCharType="begin"/>
      </w:r>
      <w:r w:rsidRPr="00EC2D91">
        <w:rPr>
          <w:rFonts w:ascii="Arial" w:hAnsi="Arial" w:cs="Arial"/>
          <w:b/>
          <w:i/>
          <w:sz w:val="20"/>
          <w:szCs w:val="20"/>
        </w:rPr>
        <w:instrText xml:space="preserve"> SEQ Obr. \* ARABIC </w:instrText>
      </w:r>
      <w:r w:rsidRPr="00EC2D91">
        <w:rPr>
          <w:rFonts w:ascii="Arial" w:hAnsi="Arial" w:cs="Arial"/>
          <w:b/>
          <w:i/>
          <w:sz w:val="20"/>
          <w:szCs w:val="20"/>
        </w:rPr>
        <w:fldChar w:fldCharType="separate"/>
      </w:r>
      <w:r w:rsidR="009E38FD">
        <w:rPr>
          <w:rFonts w:ascii="Arial" w:hAnsi="Arial" w:cs="Arial"/>
          <w:b/>
          <w:i/>
          <w:noProof/>
          <w:sz w:val="20"/>
          <w:szCs w:val="20"/>
        </w:rPr>
        <w:t>21</w:t>
      </w:r>
      <w:r w:rsidRPr="00EC2D91">
        <w:rPr>
          <w:rFonts w:ascii="Arial" w:hAnsi="Arial" w:cs="Arial"/>
          <w:b/>
          <w:i/>
          <w:sz w:val="20"/>
          <w:szCs w:val="20"/>
        </w:rPr>
        <w:fldChar w:fldCharType="end"/>
      </w:r>
      <w:r w:rsidRPr="00EC2D91">
        <w:rPr>
          <w:rFonts w:ascii="Arial" w:hAnsi="Arial" w:cs="Arial"/>
          <w:b/>
          <w:i/>
          <w:sz w:val="20"/>
          <w:szCs w:val="20"/>
        </w:rPr>
        <w:t>: Podíl absolventů na celkovém počtu uchazečů o zaměstnání v Jihomoravském kraj k 31. 12. 2014</w:t>
      </w:r>
    </w:p>
    <w:p w:rsidR="00EC2D91" w:rsidRPr="00D221B4" w:rsidRDefault="00EC2D91" w:rsidP="00EC2D91">
      <w:pPr>
        <w:pStyle w:val="Zkladntext"/>
        <w:jc w:val="both"/>
      </w:pPr>
      <w:r>
        <w:rPr>
          <w:noProof/>
        </w:rPr>
        <w:drawing>
          <wp:inline distT="0" distB="0" distL="0" distR="0" wp14:anchorId="790C795A" wp14:editId="6E987CE9">
            <wp:extent cx="5760720" cy="4072890"/>
            <wp:effectExtent l="0" t="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vent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EC2D91" w:rsidRPr="002B21A4" w:rsidRDefault="00EC2D91" w:rsidP="00EC2D91">
      <w:pPr>
        <w:jc w:val="both"/>
        <w:rPr>
          <w:rFonts w:ascii="Arial" w:hAnsi="Arial" w:cs="Arial"/>
          <w:sz w:val="22"/>
          <w:szCs w:val="22"/>
        </w:rPr>
      </w:pPr>
      <w:r w:rsidRPr="002B21A4">
        <w:rPr>
          <w:rFonts w:ascii="Arial" w:hAnsi="Arial" w:cs="Arial"/>
          <w:sz w:val="22"/>
          <w:szCs w:val="22"/>
        </w:rPr>
        <w:t xml:space="preserve">Uplatnění mladých lidí na trhu práce se stále více dostává do popředí zájmu široké odborné veřejnosti ve všech evropských zemích. Známá skutečnost, že úroveň vzdělání je rozhodující pro uplatnění na trhu práce, se potvrzuje i u mladé generace vstupující na pracovní trh. Získání přinejmenším středního vzdělání s maturitou či v poslední době i vysokoškolského vzdělání, se stává standardem pro mladé lidi. </w:t>
      </w:r>
    </w:p>
    <w:p w:rsidR="00EC2D91" w:rsidRDefault="00EC2D91" w:rsidP="00EC2D91">
      <w:pPr>
        <w:jc w:val="both"/>
        <w:rPr>
          <w:rFonts w:ascii="Arial" w:hAnsi="Arial" w:cs="Arial"/>
          <w:b/>
        </w:rPr>
      </w:pPr>
    </w:p>
    <w:p w:rsidR="00EC2D91" w:rsidRDefault="00EC2D91" w:rsidP="00EC2D91">
      <w:pPr>
        <w:jc w:val="both"/>
        <w:rPr>
          <w:rFonts w:ascii="Arial" w:hAnsi="Arial" w:cs="Arial"/>
          <w:b/>
        </w:rPr>
      </w:pPr>
    </w:p>
    <w:p w:rsidR="00EC2D91" w:rsidRPr="00723AA4" w:rsidRDefault="00EC2D91" w:rsidP="00EC2D91">
      <w:pPr>
        <w:jc w:val="both"/>
        <w:rPr>
          <w:rFonts w:ascii="Arial" w:hAnsi="Arial" w:cs="Arial"/>
          <w:b/>
        </w:rPr>
      </w:pPr>
      <w:r w:rsidRPr="000E64C9">
        <w:rPr>
          <w:rFonts w:ascii="Arial" w:hAnsi="Arial" w:cs="Arial"/>
          <w:b/>
        </w:rPr>
        <w:t xml:space="preserve">Osoby se </w:t>
      </w:r>
      <w:r w:rsidR="003D5E0A">
        <w:rPr>
          <w:rFonts w:ascii="Arial" w:hAnsi="Arial" w:cs="Arial"/>
          <w:b/>
        </w:rPr>
        <w:t>zdravotním postižením</w:t>
      </w:r>
    </w:p>
    <w:p w:rsidR="00EC2D91" w:rsidRDefault="00EC2D91" w:rsidP="00EC2D91">
      <w:pPr>
        <w:jc w:val="both"/>
        <w:rPr>
          <w:rFonts w:ascii="Arial" w:hAnsi="Arial" w:cs="Arial"/>
          <w:sz w:val="22"/>
          <w:szCs w:val="22"/>
        </w:rPr>
      </w:pPr>
    </w:p>
    <w:p w:rsidR="00EC2D91" w:rsidRPr="00324C70" w:rsidRDefault="00EC2D91" w:rsidP="00EC2D91">
      <w:pPr>
        <w:jc w:val="both"/>
        <w:rPr>
          <w:rFonts w:ascii="Arial" w:hAnsi="Arial" w:cs="Arial"/>
          <w:color w:val="FF0000"/>
          <w:sz w:val="22"/>
          <w:szCs w:val="22"/>
        </w:rPr>
      </w:pPr>
      <w:r w:rsidRPr="00324C70">
        <w:rPr>
          <w:rFonts w:ascii="Arial" w:hAnsi="Arial" w:cs="Arial"/>
          <w:sz w:val="22"/>
          <w:szCs w:val="22"/>
        </w:rPr>
        <w:t>V  evidenci poboček úřadu práce v Jihomoravském kraji bylo na konci prosince 201</w:t>
      </w:r>
      <w:r>
        <w:rPr>
          <w:rFonts w:ascii="Arial" w:hAnsi="Arial" w:cs="Arial"/>
          <w:sz w:val="22"/>
          <w:szCs w:val="22"/>
        </w:rPr>
        <w:t>4</w:t>
      </w:r>
      <w:r w:rsidRPr="00324C70">
        <w:rPr>
          <w:rFonts w:ascii="Arial" w:hAnsi="Arial" w:cs="Arial"/>
          <w:sz w:val="22"/>
          <w:szCs w:val="22"/>
        </w:rPr>
        <w:t xml:space="preserve"> registrováno celkem </w:t>
      </w:r>
      <w:r w:rsidRPr="0059443B">
        <w:rPr>
          <w:rFonts w:ascii="Arial" w:hAnsi="Arial" w:cs="Arial"/>
          <w:b/>
          <w:sz w:val="22"/>
          <w:szCs w:val="22"/>
        </w:rPr>
        <w:t>7 732 uchazečů</w:t>
      </w:r>
      <w:r w:rsidRPr="00324C70">
        <w:rPr>
          <w:rFonts w:ascii="Arial" w:hAnsi="Arial" w:cs="Arial"/>
          <w:sz w:val="22"/>
          <w:szCs w:val="22"/>
        </w:rPr>
        <w:t xml:space="preserve"> se zdravotním postižením, což bylo o </w:t>
      </w:r>
      <w:r>
        <w:rPr>
          <w:rFonts w:ascii="Arial" w:hAnsi="Arial" w:cs="Arial"/>
          <w:sz w:val="22"/>
          <w:szCs w:val="22"/>
        </w:rPr>
        <w:t>252</w:t>
      </w:r>
      <w:r w:rsidRPr="00324C70">
        <w:rPr>
          <w:rFonts w:ascii="Arial" w:hAnsi="Arial" w:cs="Arial"/>
          <w:sz w:val="22"/>
          <w:szCs w:val="22"/>
        </w:rPr>
        <w:t xml:space="preserve"> osob více než před rokem. Meziročně jejich </w:t>
      </w:r>
      <w:r w:rsidRPr="00324C70">
        <w:rPr>
          <w:rFonts w:ascii="Arial" w:hAnsi="Arial" w:cs="Arial"/>
          <w:bCs/>
          <w:sz w:val="22"/>
          <w:szCs w:val="22"/>
        </w:rPr>
        <w:t>podíl na celkové nezaměstnanosti</w:t>
      </w:r>
      <w:r w:rsidRPr="00324C70">
        <w:rPr>
          <w:rFonts w:ascii="Arial" w:hAnsi="Arial" w:cs="Arial"/>
          <w:sz w:val="22"/>
          <w:szCs w:val="22"/>
        </w:rPr>
        <w:t xml:space="preserve"> </w:t>
      </w:r>
      <w:r w:rsidR="003D5E0A">
        <w:rPr>
          <w:rFonts w:ascii="Arial" w:hAnsi="Arial" w:cs="Arial"/>
          <w:sz w:val="22"/>
          <w:szCs w:val="22"/>
        </w:rPr>
        <w:t>mírně</w:t>
      </w:r>
      <w:r w:rsidRPr="00324C70">
        <w:rPr>
          <w:rFonts w:ascii="Arial" w:hAnsi="Arial" w:cs="Arial"/>
          <w:sz w:val="22"/>
          <w:szCs w:val="22"/>
        </w:rPr>
        <w:t xml:space="preserve"> </w:t>
      </w:r>
      <w:r>
        <w:rPr>
          <w:rFonts w:ascii="Arial" w:hAnsi="Arial" w:cs="Arial"/>
          <w:bCs/>
          <w:sz w:val="22"/>
          <w:szCs w:val="22"/>
        </w:rPr>
        <w:t>vzrostl</w:t>
      </w:r>
      <w:r w:rsidRPr="00324C70">
        <w:rPr>
          <w:rFonts w:ascii="Arial" w:hAnsi="Arial" w:cs="Arial"/>
          <w:sz w:val="22"/>
          <w:szCs w:val="22"/>
        </w:rPr>
        <w:t>, a to z 1</w:t>
      </w:r>
      <w:r>
        <w:rPr>
          <w:rFonts w:ascii="Arial" w:hAnsi="Arial" w:cs="Arial"/>
          <w:sz w:val="22"/>
          <w:szCs w:val="22"/>
        </w:rPr>
        <w:t>1</w:t>
      </w:r>
      <w:r w:rsidRPr="00324C70">
        <w:rPr>
          <w:rFonts w:ascii="Arial" w:hAnsi="Arial" w:cs="Arial"/>
          <w:sz w:val="22"/>
          <w:szCs w:val="22"/>
        </w:rPr>
        <w:t>,</w:t>
      </w:r>
      <w:r>
        <w:rPr>
          <w:rFonts w:ascii="Arial" w:hAnsi="Arial" w:cs="Arial"/>
          <w:sz w:val="22"/>
          <w:szCs w:val="22"/>
        </w:rPr>
        <w:t>1</w:t>
      </w:r>
      <w:r w:rsidRPr="00324C70">
        <w:rPr>
          <w:rFonts w:ascii="Arial" w:hAnsi="Arial" w:cs="Arial"/>
          <w:sz w:val="22"/>
          <w:szCs w:val="22"/>
        </w:rPr>
        <w:t xml:space="preserve"> % na </w:t>
      </w:r>
      <w:r w:rsidRPr="00570EF7">
        <w:rPr>
          <w:rFonts w:ascii="Arial" w:hAnsi="Arial" w:cs="Arial"/>
          <w:b/>
          <w:sz w:val="22"/>
          <w:szCs w:val="22"/>
        </w:rPr>
        <w:t>11,7 %.</w:t>
      </w:r>
      <w:r w:rsidRPr="00324C70">
        <w:rPr>
          <w:rFonts w:ascii="Arial" w:hAnsi="Arial" w:cs="Arial"/>
          <w:sz w:val="22"/>
          <w:szCs w:val="22"/>
        </w:rPr>
        <w:t xml:space="preserve"> </w:t>
      </w:r>
    </w:p>
    <w:p w:rsidR="00EC2D91" w:rsidRPr="00324C70" w:rsidRDefault="00EC2D91" w:rsidP="00EC2D91">
      <w:pPr>
        <w:jc w:val="both"/>
        <w:rPr>
          <w:rFonts w:ascii="Arial" w:hAnsi="Arial" w:cs="Arial"/>
          <w:sz w:val="22"/>
          <w:szCs w:val="22"/>
        </w:rPr>
      </w:pPr>
      <w:r w:rsidRPr="00324C70">
        <w:rPr>
          <w:rFonts w:ascii="Arial" w:hAnsi="Arial" w:cs="Arial"/>
          <w:sz w:val="22"/>
          <w:szCs w:val="22"/>
        </w:rPr>
        <w:t>Uplatnění zdravotně handicapovaných uchazečů na trhu práce v Jihomoravském kraji je v současné době obtížné především z „kvalifikačních“ a osobních důvodů na straně uchazečů. Velká část těchto uchazečů má pouze základní vzdělání, což v kombinaci se zdravotním handicapem znamená, že na trhu práce jsou téměř neuplatnitelní. Na straně zaměstnavatelů ovšem někdy ještě přetrvávají obavy osoby zdravotně postižené zaměstnávat, a to i přesto, že jejich pracovně - právní ochrana již není tak výrazná jako v předchozích letech. Podpora ze strany státu, a to nejen finanční (§ 78 zákona o zaměstnanosti, zvýhodnění dodavatelů zaměstnávajících více než 50 % OZP dle zákona 137/2006 Sb. o veřejných zakázkách) vytváří pro zaměstnávání OZP podmínky více než dobré a  představuje pro řadu zaměstnavatelů významnou motivaci.</w:t>
      </w:r>
    </w:p>
    <w:p w:rsidR="00EC2D91" w:rsidRPr="00324C70" w:rsidRDefault="00EC2D91" w:rsidP="00EC2D91">
      <w:pPr>
        <w:jc w:val="both"/>
        <w:rPr>
          <w:rFonts w:ascii="Arial" w:hAnsi="Arial" w:cs="Arial"/>
          <w:sz w:val="22"/>
          <w:szCs w:val="22"/>
        </w:rPr>
      </w:pPr>
    </w:p>
    <w:p w:rsidR="00EC2D91" w:rsidRPr="00EC2D91" w:rsidRDefault="00EC2D91" w:rsidP="00EC2D91">
      <w:pPr>
        <w:pStyle w:val="Bezmezer"/>
        <w:rPr>
          <w:rFonts w:ascii="Arial" w:hAnsi="Arial" w:cs="Arial"/>
          <w:b/>
          <w:i/>
          <w:sz w:val="20"/>
          <w:szCs w:val="20"/>
        </w:rPr>
      </w:pPr>
      <w:r w:rsidRPr="00EC2D91">
        <w:rPr>
          <w:rFonts w:ascii="Arial" w:hAnsi="Arial" w:cs="Arial"/>
          <w:b/>
          <w:i/>
          <w:sz w:val="20"/>
          <w:szCs w:val="20"/>
        </w:rPr>
        <w:t xml:space="preserve">Tab. </w:t>
      </w:r>
      <w:r w:rsidRPr="00EC2D91">
        <w:rPr>
          <w:rFonts w:ascii="Arial" w:hAnsi="Arial" w:cs="Arial"/>
          <w:b/>
          <w:i/>
          <w:sz w:val="20"/>
          <w:szCs w:val="20"/>
        </w:rPr>
        <w:fldChar w:fldCharType="begin"/>
      </w:r>
      <w:r w:rsidRPr="00EC2D91">
        <w:rPr>
          <w:rFonts w:ascii="Arial" w:hAnsi="Arial" w:cs="Arial"/>
          <w:b/>
          <w:i/>
          <w:sz w:val="20"/>
          <w:szCs w:val="20"/>
        </w:rPr>
        <w:instrText xml:space="preserve"> SEQ Tab. \* ARABIC </w:instrText>
      </w:r>
      <w:r w:rsidRPr="00EC2D91">
        <w:rPr>
          <w:rFonts w:ascii="Arial" w:hAnsi="Arial" w:cs="Arial"/>
          <w:b/>
          <w:i/>
          <w:sz w:val="20"/>
          <w:szCs w:val="20"/>
        </w:rPr>
        <w:fldChar w:fldCharType="separate"/>
      </w:r>
      <w:r w:rsidR="004378F3">
        <w:rPr>
          <w:rFonts w:ascii="Arial" w:hAnsi="Arial" w:cs="Arial"/>
          <w:b/>
          <w:i/>
          <w:noProof/>
          <w:sz w:val="20"/>
          <w:szCs w:val="20"/>
        </w:rPr>
        <w:t>15</w:t>
      </w:r>
      <w:r w:rsidRPr="00EC2D91">
        <w:rPr>
          <w:rFonts w:ascii="Arial" w:hAnsi="Arial" w:cs="Arial"/>
          <w:b/>
          <w:i/>
          <w:sz w:val="20"/>
          <w:szCs w:val="20"/>
        </w:rPr>
        <w:fldChar w:fldCharType="end"/>
      </w:r>
      <w:r w:rsidRPr="00EC2D91">
        <w:rPr>
          <w:rFonts w:ascii="Arial" w:hAnsi="Arial" w:cs="Arial"/>
          <w:b/>
          <w:i/>
          <w:sz w:val="20"/>
          <w:szCs w:val="20"/>
        </w:rPr>
        <w:t>:  Vývoj ukazatelů nezaměstnanosti v Jihomoravském kraji v období 2012 - 2014</w:t>
      </w:r>
      <w:r w:rsidRPr="00EC2D91">
        <w:rPr>
          <w:rFonts w:ascii="Arial" w:hAnsi="Arial" w:cs="Arial"/>
          <w:b/>
          <w:i/>
          <w:sz w:val="20"/>
          <w:szCs w:val="20"/>
        </w:rPr>
        <w:tab/>
        <w:t xml:space="preserve">    vyjádřený bazickým indexem</w:t>
      </w:r>
    </w:p>
    <w:p w:rsidR="00EC2D91" w:rsidRPr="004B5282" w:rsidRDefault="00EC2D91" w:rsidP="00125EE0">
      <w:pPr>
        <w:pStyle w:val="Warda"/>
      </w:pPr>
      <w:r>
        <w:rPr>
          <w:noProof/>
        </w:rPr>
        <w:drawing>
          <wp:inline distT="0" distB="0" distL="0" distR="0" wp14:anchorId="6AFCE337" wp14:editId="02A59677">
            <wp:extent cx="5760000" cy="2952000"/>
            <wp:effectExtent l="0" t="0" r="0" b="127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2952000"/>
                    </a:xfrm>
                    <a:prstGeom prst="rect">
                      <a:avLst/>
                    </a:prstGeom>
                    <a:noFill/>
                  </pic:spPr>
                </pic:pic>
              </a:graphicData>
            </a:graphic>
          </wp:inline>
        </w:drawing>
      </w:r>
    </w:p>
    <w:p w:rsidR="00EC2D91" w:rsidRPr="00EC2D91" w:rsidRDefault="00EC2D91" w:rsidP="00125EE0">
      <w:pPr>
        <w:pStyle w:val="Warda"/>
      </w:pPr>
      <w:r w:rsidRPr="00EC2D91">
        <w:rPr>
          <w:b/>
        </w:rPr>
        <w:t>Pramen</w:t>
      </w:r>
      <w:r w:rsidRPr="00EC2D91">
        <w:t>: MPSV ČR, měsíční statistiky, 2014</w:t>
      </w:r>
    </w:p>
    <w:p w:rsidR="00EC2D91" w:rsidRDefault="00EC2D91" w:rsidP="00EC2D91">
      <w:pPr>
        <w:pStyle w:val="Zprva3"/>
        <w:rPr>
          <w:color w:val="auto"/>
        </w:rPr>
      </w:pPr>
    </w:p>
    <w:p w:rsidR="00EC2D91" w:rsidRPr="002B21A4" w:rsidRDefault="00EC2D91" w:rsidP="00EC2D91">
      <w:pPr>
        <w:pStyle w:val="Zkladntext"/>
        <w:jc w:val="both"/>
        <w:rPr>
          <w:rFonts w:ascii="Arial" w:hAnsi="Arial" w:cs="Arial"/>
          <w:b w:val="0"/>
          <w:sz w:val="22"/>
          <w:szCs w:val="22"/>
        </w:rPr>
      </w:pPr>
      <w:r w:rsidRPr="002B21A4">
        <w:rPr>
          <w:rFonts w:ascii="Arial" w:hAnsi="Arial" w:cs="Arial"/>
          <w:b w:val="0"/>
          <w:sz w:val="22"/>
          <w:szCs w:val="22"/>
        </w:rPr>
        <w:t xml:space="preserve">Z regionálního hlediska </w:t>
      </w:r>
      <w:r w:rsidR="003D5E0A">
        <w:rPr>
          <w:rFonts w:ascii="Arial" w:hAnsi="Arial" w:cs="Arial"/>
          <w:b w:val="0"/>
          <w:sz w:val="22"/>
          <w:szCs w:val="22"/>
        </w:rPr>
        <w:t xml:space="preserve">nejnižší </w:t>
      </w:r>
      <w:r w:rsidRPr="002B21A4">
        <w:rPr>
          <w:rFonts w:ascii="Arial" w:hAnsi="Arial" w:cs="Arial"/>
          <w:b w:val="0"/>
          <w:sz w:val="22"/>
          <w:szCs w:val="22"/>
        </w:rPr>
        <w:t>podíl osob se zdravotním postižením na celkovém počtu uchazečů vykazuje okres Brno-město (8,</w:t>
      </w:r>
      <w:r>
        <w:rPr>
          <w:rFonts w:ascii="Arial" w:hAnsi="Arial" w:cs="Arial"/>
          <w:b w:val="0"/>
          <w:sz w:val="22"/>
          <w:szCs w:val="22"/>
        </w:rPr>
        <w:t>1 %)</w:t>
      </w:r>
      <w:r w:rsidR="003D5E0A">
        <w:rPr>
          <w:rFonts w:ascii="Arial" w:hAnsi="Arial" w:cs="Arial"/>
          <w:b w:val="0"/>
          <w:sz w:val="22"/>
          <w:szCs w:val="22"/>
        </w:rPr>
        <w:t>, což je dáno tradičně vysokou koncentrací zaměstnavatelů zaměřených na zaměstnávání OPZ. N</w:t>
      </w:r>
      <w:r>
        <w:rPr>
          <w:rFonts w:ascii="Arial" w:hAnsi="Arial" w:cs="Arial"/>
          <w:b w:val="0"/>
          <w:sz w:val="22"/>
          <w:szCs w:val="22"/>
        </w:rPr>
        <w:t>aopak nejvyšší</w:t>
      </w:r>
      <w:r w:rsidR="003D5E0A">
        <w:rPr>
          <w:rFonts w:ascii="Arial" w:hAnsi="Arial" w:cs="Arial"/>
          <w:b w:val="0"/>
          <w:sz w:val="22"/>
          <w:szCs w:val="22"/>
        </w:rPr>
        <w:t xml:space="preserve"> hodnoty dosahuje okres</w:t>
      </w:r>
      <w:r>
        <w:rPr>
          <w:rFonts w:ascii="Arial" w:hAnsi="Arial" w:cs="Arial"/>
          <w:b w:val="0"/>
          <w:sz w:val="22"/>
          <w:szCs w:val="22"/>
        </w:rPr>
        <w:t xml:space="preserve"> Blansko</w:t>
      </w:r>
      <w:r w:rsidRPr="002B21A4">
        <w:rPr>
          <w:rFonts w:ascii="Arial" w:hAnsi="Arial" w:cs="Arial"/>
          <w:b w:val="0"/>
          <w:sz w:val="22"/>
          <w:szCs w:val="22"/>
        </w:rPr>
        <w:t xml:space="preserve"> (1</w:t>
      </w:r>
      <w:r>
        <w:rPr>
          <w:rFonts w:ascii="Arial" w:hAnsi="Arial" w:cs="Arial"/>
          <w:b w:val="0"/>
          <w:sz w:val="22"/>
          <w:szCs w:val="22"/>
        </w:rPr>
        <w:t>6</w:t>
      </w:r>
      <w:r w:rsidRPr="002B21A4">
        <w:rPr>
          <w:rFonts w:ascii="Arial" w:hAnsi="Arial" w:cs="Arial"/>
          <w:b w:val="0"/>
          <w:sz w:val="22"/>
          <w:szCs w:val="22"/>
        </w:rPr>
        <w:t>,</w:t>
      </w:r>
      <w:r>
        <w:rPr>
          <w:rFonts w:ascii="Arial" w:hAnsi="Arial" w:cs="Arial"/>
          <w:b w:val="0"/>
          <w:sz w:val="22"/>
          <w:szCs w:val="22"/>
        </w:rPr>
        <w:t>4</w:t>
      </w:r>
      <w:r w:rsidRPr="002B21A4">
        <w:rPr>
          <w:rFonts w:ascii="Arial" w:hAnsi="Arial" w:cs="Arial"/>
          <w:b w:val="0"/>
          <w:sz w:val="22"/>
          <w:szCs w:val="22"/>
        </w:rPr>
        <w:t xml:space="preserve"> %). </w:t>
      </w:r>
    </w:p>
    <w:p w:rsidR="00EC2D91" w:rsidRDefault="00EC2D91" w:rsidP="00EC2D91">
      <w:pPr>
        <w:pStyle w:val="Zprva3"/>
        <w:rPr>
          <w:rFonts w:ascii="Arial" w:hAnsi="Arial" w:cs="Arial"/>
          <w:color w:val="auto"/>
        </w:rPr>
      </w:pPr>
    </w:p>
    <w:p w:rsidR="00EC2D91" w:rsidRDefault="00EC2D91" w:rsidP="00EC2D91">
      <w:pPr>
        <w:pStyle w:val="Zprva3"/>
        <w:rPr>
          <w:rFonts w:ascii="Arial" w:hAnsi="Arial" w:cs="Arial"/>
          <w:color w:val="auto"/>
        </w:rPr>
      </w:pPr>
    </w:p>
    <w:p w:rsidR="00EC2D91" w:rsidRPr="00F154E3" w:rsidRDefault="00EC2D91" w:rsidP="00EC2D91">
      <w:pPr>
        <w:pStyle w:val="Zprva3"/>
        <w:rPr>
          <w:rFonts w:ascii="Arial" w:hAnsi="Arial" w:cs="Arial"/>
          <w:color w:val="auto"/>
        </w:rPr>
      </w:pPr>
      <w:r w:rsidRPr="00F154E3">
        <w:rPr>
          <w:rFonts w:ascii="Arial" w:hAnsi="Arial" w:cs="Arial"/>
          <w:color w:val="auto"/>
        </w:rPr>
        <w:t>Dlouhodobě nezaměstnaní s délkou evidence nad 12 měsíců</w:t>
      </w:r>
    </w:p>
    <w:p w:rsidR="00EC2D91" w:rsidRDefault="00EC2D91" w:rsidP="00EC2D91">
      <w:pPr>
        <w:jc w:val="both"/>
        <w:rPr>
          <w:rFonts w:ascii="Arial" w:hAnsi="Arial" w:cs="Arial"/>
          <w:bCs/>
          <w:sz w:val="22"/>
          <w:szCs w:val="22"/>
        </w:rPr>
      </w:pPr>
    </w:p>
    <w:p w:rsidR="00EC2D91" w:rsidRPr="00324C70" w:rsidRDefault="0059443B" w:rsidP="00EC2D91">
      <w:pPr>
        <w:jc w:val="both"/>
        <w:rPr>
          <w:rFonts w:ascii="Arial" w:hAnsi="Arial" w:cs="Arial"/>
          <w:color w:val="FF0000"/>
          <w:sz w:val="22"/>
          <w:szCs w:val="22"/>
        </w:rPr>
      </w:pPr>
      <w:r>
        <w:rPr>
          <w:rFonts w:ascii="Arial" w:hAnsi="Arial" w:cs="Arial"/>
          <w:sz w:val="22"/>
          <w:szCs w:val="22"/>
        </w:rPr>
        <w:t xml:space="preserve">Ke 31.12.2014 bylo v Jihomoravském kraji evidováno </w:t>
      </w:r>
      <w:r w:rsidRPr="0059443B">
        <w:rPr>
          <w:rFonts w:ascii="Arial" w:hAnsi="Arial" w:cs="Arial"/>
          <w:b/>
          <w:sz w:val="22"/>
          <w:szCs w:val="22"/>
        </w:rPr>
        <w:t>29 321 uchazečů</w:t>
      </w:r>
      <w:r>
        <w:rPr>
          <w:rFonts w:ascii="Arial" w:hAnsi="Arial" w:cs="Arial"/>
          <w:sz w:val="22"/>
          <w:szCs w:val="22"/>
        </w:rPr>
        <w:t xml:space="preserve"> déle než jeden rok. </w:t>
      </w:r>
      <w:r w:rsidR="00EC2D91" w:rsidRPr="00324C70">
        <w:rPr>
          <w:rFonts w:ascii="Arial" w:hAnsi="Arial" w:cs="Arial"/>
          <w:sz w:val="22"/>
          <w:szCs w:val="22"/>
        </w:rPr>
        <w:t xml:space="preserve">Podíl </w:t>
      </w:r>
      <w:r>
        <w:rPr>
          <w:rFonts w:ascii="Arial" w:hAnsi="Arial" w:cs="Arial"/>
          <w:sz w:val="22"/>
          <w:szCs w:val="22"/>
        </w:rPr>
        <w:t>této skupiny se v kraji zvy</w:t>
      </w:r>
      <w:r w:rsidR="00EC2D91" w:rsidRPr="00324C70">
        <w:rPr>
          <w:rFonts w:ascii="Arial" w:hAnsi="Arial" w:cs="Arial"/>
          <w:sz w:val="22"/>
          <w:szCs w:val="22"/>
        </w:rPr>
        <w:t>š</w:t>
      </w:r>
      <w:r>
        <w:rPr>
          <w:rFonts w:ascii="Arial" w:hAnsi="Arial" w:cs="Arial"/>
          <w:sz w:val="22"/>
          <w:szCs w:val="22"/>
        </w:rPr>
        <w:t>oval</w:t>
      </w:r>
      <w:r w:rsidR="00EC2D91" w:rsidRPr="00324C70">
        <w:rPr>
          <w:rFonts w:ascii="Arial" w:hAnsi="Arial" w:cs="Arial"/>
          <w:sz w:val="22"/>
          <w:szCs w:val="22"/>
        </w:rPr>
        <w:t xml:space="preserve"> ve všech sledovaných čtvrtletích roku 201</w:t>
      </w:r>
      <w:r w:rsidR="00EC2D91">
        <w:rPr>
          <w:rFonts w:ascii="Arial" w:hAnsi="Arial" w:cs="Arial"/>
          <w:sz w:val="22"/>
          <w:szCs w:val="22"/>
        </w:rPr>
        <w:t>4</w:t>
      </w:r>
      <w:r w:rsidR="00EC2D91" w:rsidRPr="00324C70">
        <w:rPr>
          <w:rFonts w:ascii="Arial" w:hAnsi="Arial" w:cs="Arial"/>
          <w:sz w:val="22"/>
          <w:szCs w:val="22"/>
        </w:rPr>
        <w:t xml:space="preserve">. Meziročně se podíl na celkovém počtu uchazečů v kraji zvýšil </w:t>
      </w:r>
      <w:r w:rsidR="003D5E0A">
        <w:rPr>
          <w:rFonts w:ascii="Arial" w:hAnsi="Arial" w:cs="Arial"/>
          <w:sz w:val="22"/>
          <w:szCs w:val="22"/>
        </w:rPr>
        <w:t>ze</w:t>
      </w:r>
      <w:r w:rsidR="00EC2D91" w:rsidRPr="00324C70">
        <w:rPr>
          <w:rFonts w:ascii="Arial" w:hAnsi="Arial" w:cs="Arial"/>
          <w:sz w:val="22"/>
          <w:szCs w:val="22"/>
        </w:rPr>
        <w:t xml:space="preserve"> </w:t>
      </w:r>
      <w:r w:rsidR="00EC2D91">
        <w:rPr>
          <w:rFonts w:ascii="Arial" w:hAnsi="Arial" w:cs="Arial"/>
          <w:sz w:val="22"/>
          <w:szCs w:val="22"/>
        </w:rPr>
        <w:t>40</w:t>
      </w:r>
      <w:r w:rsidR="00EC2D91" w:rsidRPr="00324C70">
        <w:rPr>
          <w:rFonts w:ascii="Arial" w:hAnsi="Arial" w:cs="Arial"/>
          <w:sz w:val="22"/>
          <w:szCs w:val="22"/>
        </w:rPr>
        <w:t>,</w:t>
      </w:r>
      <w:r w:rsidR="00EC2D91">
        <w:rPr>
          <w:rFonts w:ascii="Arial" w:hAnsi="Arial" w:cs="Arial"/>
          <w:sz w:val="22"/>
          <w:szCs w:val="22"/>
        </w:rPr>
        <w:t>4</w:t>
      </w:r>
      <w:r w:rsidR="00EC2D91" w:rsidRPr="00324C70">
        <w:rPr>
          <w:rFonts w:ascii="Arial" w:hAnsi="Arial" w:cs="Arial"/>
          <w:sz w:val="22"/>
          <w:szCs w:val="22"/>
        </w:rPr>
        <w:t xml:space="preserve"> % (ve čtvrtém čtvrtletí 201</w:t>
      </w:r>
      <w:r w:rsidR="00EC2D91">
        <w:rPr>
          <w:rFonts w:ascii="Arial" w:hAnsi="Arial" w:cs="Arial"/>
          <w:sz w:val="22"/>
          <w:szCs w:val="22"/>
        </w:rPr>
        <w:t>3</w:t>
      </w:r>
      <w:r w:rsidR="00EC2D91" w:rsidRPr="00324C70">
        <w:rPr>
          <w:rFonts w:ascii="Arial" w:hAnsi="Arial" w:cs="Arial"/>
          <w:sz w:val="22"/>
          <w:szCs w:val="22"/>
        </w:rPr>
        <w:t xml:space="preserve">) na </w:t>
      </w:r>
      <w:r w:rsidR="00EC2D91" w:rsidRPr="00570EF7">
        <w:rPr>
          <w:rFonts w:ascii="Arial" w:hAnsi="Arial" w:cs="Arial"/>
          <w:b/>
          <w:sz w:val="22"/>
          <w:szCs w:val="22"/>
        </w:rPr>
        <w:t>44,3 %</w:t>
      </w:r>
      <w:r w:rsidR="00EC2D91" w:rsidRPr="00324C70">
        <w:rPr>
          <w:rFonts w:ascii="Arial" w:hAnsi="Arial" w:cs="Arial"/>
          <w:sz w:val="22"/>
          <w:szCs w:val="22"/>
        </w:rPr>
        <w:t xml:space="preserve"> (ve čtvrtém čtvrtletí 201</w:t>
      </w:r>
      <w:r w:rsidR="00EC2D91">
        <w:rPr>
          <w:rFonts w:ascii="Arial" w:hAnsi="Arial" w:cs="Arial"/>
          <w:sz w:val="22"/>
          <w:szCs w:val="22"/>
        </w:rPr>
        <w:t>4</w:t>
      </w:r>
      <w:r w:rsidR="00EC2D91" w:rsidRPr="00324C70">
        <w:rPr>
          <w:rFonts w:ascii="Arial" w:hAnsi="Arial" w:cs="Arial"/>
          <w:sz w:val="22"/>
          <w:szCs w:val="22"/>
        </w:rPr>
        <w:t>). Podíl dlouhodobě nezaměstnaných tak dosahuje podstatně vyšších hodnot než před nástupem hospodářské krize (pro porovnání: k 31. 12. 2008 činil v kraji podíl dlouhodobě nezaměstnaných pouze 30,3 %). Nezaměstnaností delší než 12 měsíců jsou postiženy především osoby ve věku nad 50 let, dále uchazeči se základním vzděláním a osoby se zdravotním omezením.</w:t>
      </w:r>
    </w:p>
    <w:p w:rsidR="00EC2D91" w:rsidRDefault="00EC2D91" w:rsidP="00EC2D91">
      <w:pPr>
        <w:jc w:val="both"/>
        <w:rPr>
          <w:rFonts w:ascii="Arial" w:hAnsi="Arial" w:cs="Arial"/>
          <w:sz w:val="22"/>
          <w:szCs w:val="22"/>
        </w:rPr>
      </w:pPr>
    </w:p>
    <w:p w:rsidR="004D6CF5" w:rsidRDefault="00EC2D91" w:rsidP="00EC2D91">
      <w:pPr>
        <w:jc w:val="both"/>
        <w:rPr>
          <w:rFonts w:ascii="Arial" w:hAnsi="Arial" w:cs="Arial"/>
          <w:sz w:val="22"/>
          <w:szCs w:val="22"/>
        </w:rPr>
      </w:pPr>
      <w:r w:rsidRPr="00324C70">
        <w:rPr>
          <w:rFonts w:ascii="Arial" w:hAnsi="Arial" w:cs="Arial"/>
          <w:sz w:val="22"/>
          <w:szCs w:val="22"/>
        </w:rPr>
        <w:t>Více než polovina z počtu dlouhodobě nezaměstnaných je navíc v evidenci úřadu práce déle než dva roky (jedná se o 1</w:t>
      </w:r>
      <w:r>
        <w:rPr>
          <w:rFonts w:ascii="Arial" w:hAnsi="Arial" w:cs="Arial"/>
          <w:sz w:val="22"/>
          <w:szCs w:val="22"/>
        </w:rPr>
        <w:t>8</w:t>
      </w:r>
      <w:r w:rsidRPr="00324C70">
        <w:rPr>
          <w:rFonts w:ascii="Arial" w:hAnsi="Arial" w:cs="Arial"/>
          <w:sz w:val="22"/>
          <w:szCs w:val="22"/>
        </w:rPr>
        <w:t xml:space="preserve"> </w:t>
      </w:r>
      <w:r>
        <w:rPr>
          <w:rFonts w:ascii="Arial" w:hAnsi="Arial" w:cs="Arial"/>
          <w:sz w:val="22"/>
          <w:szCs w:val="22"/>
        </w:rPr>
        <w:t>052</w:t>
      </w:r>
      <w:r w:rsidRPr="00324C70">
        <w:rPr>
          <w:rFonts w:ascii="Arial" w:hAnsi="Arial" w:cs="Arial"/>
          <w:sz w:val="22"/>
          <w:szCs w:val="22"/>
        </w:rPr>
        <w:t xml:space="preserve"> osob z celkového počtu 29 </w:t>
      </w:r>
      <w:r>
        <w:rPr>
          <w:rFonts w:ascii="Arial" w:hAnsi="Arial" w:cs="Arial"/>
          <w:sz w:val="22"/>
          <w:szCs w:val="22"/>
        </w:rPr>
        <w:t>321</w:t>
      </w:r>
      <w:r w:rsidRPr="00324C70">
        <w:rPr>
          <w:rFonts w:ascii="Arial" w:hAnsi="Arial" w:cs="Arial"/>
          <w:sz w:val="22"/>
          <w:szCs w:val="22"/>
        </w:rPr>
        <w:t xml:space="preserve"> osob dlouhodobě nezaměstnaných, tedy o </w:t>
      </w:r>
      <w:r>
        <w:rPr>
          <w:rFonts w:ascii="Arial" w:hAnsi="Arial" w:cs="Arial"/>
          <w:sz w:val="22"/>
          <w:szCs w:val="22"/>
        </w:rPr>
        <w:t>61</w:t>
      </w:r>
      <w:r w:rsidRPr="00324C70">
        <w:rPr>
          <w:rFonts w:ascii="Arial" w:hAnsi="Arial" w:cs="Arial"/>
          <w:sz w:val="22"/>
          <w:szCs w:val="22"/>
        </w:rPr>
        <w:t>,</w:t>
      </w:r>
      <w:r>
        <w:rPr>
          <w:rFonts w:ascii="Arial" w:hAnsi="Arial" w:cs="Arial"/>
          <w:sz w:val="22"/>
          <w:szCs w:val="22"/>
        </w:rPr>
        <w:t>6</w:t>
      </w:r>
      <w:r w:rsidRPr="00324C70">
        <w:rPr>
          <w:rFonts w:ascii="Arial" w:hAnsi="Arial" w:cs="Arial"/>
          <w:sz w:val="22"/>
          <w:szCs w:val="22"/>
        </w:rPr>
        <w:t xml:space="preserve"> % z jejich úhrnu). Zhruba třetina těchto osob již přesáhla věk 50 let, třetina má pouze základní vzdělání, mnoho jich navíc současně spadá do některé z dalších problémových skupin (OZP, osoby pečující o děti do 15 let). Tito lidé se, často ne vlastní vinou, „vydělili ze společnosti“ a k možnosti najít nové pracovní uplatnění bývají skeptičtí. S hledáním zaměstnání mívají negativní zkušenosti – zaměstnavatelé je často již předem považují za osoby nezaměstnatelné. Faktem ovšem zůstává, že někteří z nich o pracovní uplatnění příliš nestojí a v evidenci úřadu práce zůstávají </w:t>
      </w:r>
      <w:r w:rsidR="004D6CF5">
        <w:rPr>
          <w:rFonts w:ascii="Arial" w:hAnsi="Arial" w:cs="Arial"/>
          <w:sz w:val="22"/>
          <w:szCs w:val="22"/>
        </w:rPr>
        <w:t>pouze</w:t>
      </w:r>
      <w:r w:rsidRPr="00324C70">
        <w:rPr>
          <w:rFonts w:ascii="Arial" w:hAnsi="Arial" w:cs="Arial"/>
          <w:sz w:val="22"/>
          <w:szCs w:val="22"/>
        </w:rPr>
        <w:t xml:space="preserve"> kvůli možnosti požádat o sociální dávky. Nadále platí známá poučka, že dlouhodobá nezaměstnanost je především problémem sociálním, na jehož řešení běžné nástroje aktivní politiky zaměstnanosti nestačí.</w:t>
      </w:r>
      <w:r w:rsidR="004D6CF5">
        <w:rPr>
          <w:rFonts w:ascii="Arial" w:hAnsi="Arial" w:cs="Arial"/>
          <w:sz w:val="22"/>
          <w:szCs w:val="22"/>
        </w:rPr>
        <w:t xml:space="preserve"> </w:t>
      </w:r>
    </w:p>
    <w:p w:rsidR="005D7F57" w:rsidRDefault="005D7F57" w:rsidP="005D7F57">
      <w:pPr>
        <w:jc w:val="both"/>
        <w:rPr>
          <w:rFonts w:ascii="Arial" w:hAnsi="Arial" w:cs="Arial"/>
          <w:sz w:val="22"/>
          <w:szCs w:val="22"/>
        </w:rPr>
      </w:pPr>
    </w:p>
    <w:p w:rsidR="005D7F57" w:rsidRPr="00324C70" w:rsidRDefault="005D7F57" w:rsidP="005D7F57">
      <w:pPr>
        <w:jc w:val="both"/>
        <w:rPr>
          <w:rFonts w:ascii="Arial" w:hAnsi="Arial" w:cs="Arial"/>
          <w:sz w:val="22"/>
          <w:szCs w:val="22"/>
        </w:rPr>
      </w:pPr>
      <w:r w:rsidRPr="00324C70">
        <w:rPr>
          <w:rFonts w:ascii="Arial" w:hAnsi="Arial" w:cs="Arial"/>
          <w:sz w:val="22"/>
          <w:szCs w:val="22"/>
        </w:rPr>
        <w:t>Z hlediska podílu dlouhodobě nezaměstnaných osob na celkovém počtu uchazečů nejnižší hodnotu vykazuje okres Vyškov (3</w:t>
      </w:r>
      <w:r>
        <w:rPr>
          <w:rFonts w:ascii="Arial" w:hAnsi="Arial" w:cs="Arial"/>
          <w:sz w:val="22"/>
          <w:szCs w:val="22"/>
        </w:rPr>
        <w:t>7</w:t>
      </w:r>
      <w:r w:rsidRPr="00324C70">
        <w:rPr>
          <w:rFonts w:ascii="Arial" w:hAnsi="Arial" w:cs="Arial"/>
          <w:sz w:val="22"/>
          <w:szCs w:val="22"/>
        </w:rPr>
        <w:t>,</w:t>
      </w:r>
      <w:r>
        <w:rPr>
          <w:rFonts w:ascii="Arial" w:hAnsi="Arial" w:cs="Arial"/>
          <w:sz w:val="22"/>
          <w:szCs w:val="22"/>
        </w:rPr>
        <w:t>6</w:t>
      </w:r>
      <w:r w:rsidRPr="00324C70">
        <w:rPr>
          <w:rFonts w:ascii="Arial" w:hAnsi="Arial" w:cs="Arial"/>
          <w:sz w:val="22"/>
          <w:szCs w:val="22"/>
        </w:rPr>
        <w:t xml:space="preserve"> %), naopak nejvyšší okres Hodonín (4</w:t>
      </w:r>
      <w:r>
        <w:rPr>
          <w:rFonts w:ascii="Arial" w:hAnsi="Arial" w:cs="Arial"/>
          <w:sz w:val="22"/>
          <w:szCs w:val="22"/>
        </w:rPr>
        <w:t>9</w:t>
      </w:r>
      <w:r w:rsidRPr="00324C70">
        <w:rPr>
          <w:rFonts w:ascii="Arial" w:hAnsi="Arial" w:cs="Arial"/>
          <w:sz w:val="22"/>
          <w:szCs w:val="22"/>
        </w:rPr>
        <w:t>,</w:t>
      </w:r>
      <w:r>
        <w:rPr>
          <w:rFonts w:ascii="Arial" w:hAnsi="Arial" w:cs="Arial"/>
          <w:sz w:val="22"/>
          <w:szCs w:val="22"/>
        </w:rPr>
        <w:t>6</w:t>
      </w:r>
      <w:r w:rsidRPr="00324C70">
        <w:rPr>
          <w:rFonts w:ascii="Arial" w:hAnsi="Arial" w:cs="Arial"/>
          <w:sz w:val="22"/>
          <w:szCs w:val="22"/>
        </w:rPr>
        <w:t xml:space="preserve"> %). </w:t>
      </w:r>
    </w:p>
    <w:p w:rsidR="004D6CF5" w:rsidRDefault="004D6CF5" w:rsidP="00EC2D91">
      <w:pPr>
        <w:jc w:val="both"/>
        <w:rPr>
          <w:rFonts w:ascii="Arial" w:hAnsi="Arial" w:cs="Arial"/>
          <w:sz w:val="22"/>
          <w:szCs w:val="22"/>
        </w:rPr>
      </w:pPr>
    </w:p>
    <w:p w:rsidR="005D7F57" w:rsidRPr="00D27DAE" w:rsidRDefault="004D6CF5" w:rsidP="005D7F57">
      <w:pPr>
        <w:shd w:val="clear" w:color="auto" w:fill="FFFFFF"/>
        <w:jc w:val="both"/>
        <w:rPr>
          <w:rFonts w:ascii="Arial" w:hAnsi="Arial" w:cs="Arial"/>
          <w:sz w:val="22"/>
          <w:szCs w:val="22"/>
        </w:rPr>
      </w:pPr>
      <w:r>
        <w:rPr>
          <w:rFonts w:ascii="Arial" w:hAnsi="Arial" w:cs="Arial"/>
          <w:sz w:val="22"/>
          <w:szCs w:val="22"/>
        </w:rPr>
        <w:t xml:space="preserve">Od září 2014 realizuje proto ÚP - Krajská pobočka v Brně cílený program „Nová šance“, </w:t>
      </w:r>
      <w:r w:rsidR="005D7F57" w:rsidRPr="00D27DAE">
        <w:rPr>
          <w:rFonts w:ascii="Arial" w:hAnsi="Arial" w:cs="Arial"/>
          <w:sz w:val="22"/>
          <w:szCs w:val="22"/>
        </w:rPr>
        <w:t>zaměřený na podporu pracovního zapojení osob dlouhodobě nezaměstnaných.</w:t>
      </w:r>
    </w:p>
    <w:p w:rsidR="005D7F57" w:rsidRPr="00D27DAE" w:rsidRDefault="004D6CF5" w:rsidP="005D7F57">
      <w:pPr>
        <w:shd w:val="clear" w:color="auto" w:fill="FFFFFF"/>
        <w:jc w:val="both"/>
        <w:rPr>
          <w:rFonts w:ascii="Arial" w:hAnsi="Arial" w:cs="Arial"/>
          <w:sz w:val="22"/>
          <w:szCs w:val="22"/>
        </w:rPr>
      </w:pPr>
      <w:r>
        <w:rPr>
          <w:rFonts w:ascii="Arial" w:hAnsi="Arial" w:cs="Arial"/>
          <w:sz w:val="22"/>
          <w:szCs w:val="22"/>
        </w:rPr>
        <w:t>P</w:t>
      </w:r>
      <w:r w:rsidRPr="00D27DAE">
        <w:rPr>
          <w:rFonts w:ascii="Arial" w:hAnsi="Arial" w:cs="Arial"/>
          <w:sz w:val="22"/>
          <w:szCs w:val="22"/>
        </w:rPr>
        <w:t>rogram je určen pro venkovské regiony Jihomoravského kraje (tj. území mimo okres Brno – město), které jsou dlouhodobou nez</w:t>
      </w:r>
      <w:r>
        <w:rPr>
          <w:rFonts w:ascii="Arial" w:hAnsi="Arial" w:cs="Arial"/>
          <w:sz w:val="22"/>
          <w:szCs w:val="22"/>
        </w:rPr>
        <w:t xml:space="preserve">aměstnaností nejvíce postiženy. </w:t>
      </w:r>
      <w:r w:rsidRPr="00D27DAE">
        <w:rPr>
          <w:rFonts w:ascii="Arial" w:hAnsi="Arial" w:cs="Arial"/>
          <w:sz w:val="22"/>
          <w:szCs w:val="22"/>
        </w:rPr>
        <w:t xml:space="preserve">Jedná se o spádové obvody KOP Boskovice, Břeclav, Bučovice, Hodonín, Ivančice, Kyjov, Mikulov, Moravský Krumlov, Pohořelice, Tišnov, Veselí nad Moravou a Znojmo.  </w:t>
      </w:r>
    </w:p>
    <w:p w:rsidR="004D6CF5" w:rsidRPr="005D7F57" w:rsidRDefault="005D7F57" w:rsidP="005D7F57">
      <w:pPr>
        <w:pStyle w:val="Bezmezer"/>
        <w:spacing w:after="120" w:line="276" w:lineRule="auto"/>
        <w:jc w:val="both"/>
        <w:rPr>
          <w:rFonts w:ascii="Arial" w:hAnsi="Arial" w:cs="Arial"/>
          <w:sz w:val="22"/>
          <w:szCs w:val="22"/>
        </w:rPr>
      </w:pPr>
      <w:r w:rsidRPr="005D7F57">
        <w:rPr>
          <w:rFonts w:ascii="Arial" w:hAnsi="Arial" w:cs="Arial"/>
          <w:sz w:val="22"/>
          <w:szCs w:val="22"/>
        </w:rPr>
        <w:t xml:space="preserve">Do programu </w:t>
      </w:r>
      <w:r>
        <w:rPr>
          <w:rFonts w:ascii="Arial" w:hAnsi="Arial" w:cs="Arial"/>
          <w:sz w:val="22"/>
          <w:szCs w:val="22"/>
        </w:rPr>
        <w:t>bude</w:t>
      </w:r>
      <w:r w:rsidRPr="005D7F57">
        <w:rPr>
          <w:rFonts w:ascii="Arial" w:hAnsi="Arial" w:cs="Arial"/>
          <w:sz w:val="22"/>
          <w:szCs w:val="22"/>
        </w:rPr>
        <w:t xml:space="preserve"> zařazeno </w:t>
      </w:r>
      <w:r>
        <w:rPr>
          <w:rFonts w:ascii="Arial" w:hAnsi="Arial" w:cs="Arial"/>
          <w:sz w:val="22"/>
          <w:szCs w:val="22"/>
        </w:rPr>
        <w:t>nejméně</w:t>
      </w:r>
      <w:r w:rsidRPr="005D7F57">
        <w:rPr>
          <w:rFonts w:ascii="Arial" w:hAnsi="Arial" w:cs="Arial"/>
          <w:sz w:val="22"/>
          <w:szCs w:val="22"/>
        </w:rPr>
        <w:t xml:space="preserve"> 300 osob, které jsou vedeny v evidenci uchazečů o zaměstnání déle než 12 měsíců.</w:t>
      </w:r>
      <w:r>
        <w:rPr>
          <w:rFonts w:ascii="Arial" w:hAnsi="Arial" w:cs="Arial"/>
          <w:sz w:val="22"/>
          <w:szCs w:val="22"/>
        </w:rPr>
        <w:t xml:space="preserve"> Jejich uplatnění na trhu práce je podporováno formou dotovaných pracovních míst. </w:t>
      </w:r>
    </w:p>
    <w:p w:rsidR="004D6CF5" w:rsidRPr="00324C70" w:rsidRDefault="004D6CF5" w:rsidP="004D6CF5">
      <w:pPr>
        <w:jc w:val="both"/>
        <w:rPr>
          <w:rFonts w:ascii="Arial" w:hAnsi="Arial" w:cs="Arial"/>
          <w:sz w:val="22"/>
          <w:szCs w:val="22"/>
        </w:rPr>
      </w:pPr>
    </w:p>
    <w:p w:rsidR="00EC2D91" w:rsidRDefault="00EC2D91" w:rsidP="00EC2D91">
      <w:pPr>
        <w:pStyle w:val="Zprva3"/>
        <w:rPr>
          <w:rFonts w:ascii="Arial" w:hAnsi="Arial" w:cs="Arial"/>
          <w:color w:val="auto"/>
        </w:rPr>
      </w:pPr>
    </w:p>
    <w:p w:rsidR="00EC2D91" w:rsidRDefault="00EC2D91" w:rsidP="00EC2D91">
      <w:pPr>
        <w:pStyle w:val="Zprva3"/>
        <w:rPr>
          <w:rFonts w:ascii="Arial" w:hAnsi="Arial" w:cs="Arial"/>
          <w:color w:val="auto"/>
        </w:rPr>
      </w:pPr>
      <w:r>
        <w:rPr>
          <w:rFonts w:ascii="Arial" w:hAnsi="Arial" w:cs="Arial"/>
          <w:color w:val="auto"/>
        </w:rPr>
        <w:t>Skupina osob nad 50 let</w:t>
      </w:r>
    </w:p>
    <w:p w:rsidR="00EC2D91" w:rsidRPr="002C2133" w:rsidRDefault="00EC2D91" w:rsidP="00EC2D91">
      <w:pPr>
        <w:pStyle w:val="Zprva3"/>
        <w:rPr>
          <w:rFonts w:ascii="Arial" w:hAnsi="Arial" w:cs="Arial"/>
          <w:color w:val="auto"/>
        </w:rPr>
      </w:pPr>
    </w:p>
    <w:p w:rsidR="00872766" w:rsidRDefault="00EC2D91" w:rsidP="00EC2D91">
      <w:pPr>
        <w:pStyle w:val="Zkladntext"/>
        <w:jc w:val="both"/>
        <w:rPr>
          <w:rFonts w:ascii="Arial" w:hAnsi="Arial" w:cs="Arial"/>
          <w:b w:val="0"/>
          <w:sz w:val="22"/>
          <w:szCs w:val="22"/>
        </w:rPr>
      </w:pPr>
      <w:r w:rsidRPr="002B21A4">
        <w:rPr>
          <w:rFonts w:ascii="Arial" w:hAnsi="Arial" w:cs="Arial"/>
          <w:b w:val="0"/>
          <w:sz w:val="22"/>
          <w:szCs w:val="22"/>
        </w:rPr>
        <w:t xml:space="preserve">Skupina osob starších 50 let patří v Jihomoravském kraji k těm, jimž je věnována </w:t>
      </w:r>
      <w:r w:rsidR="005958F4">
        <w:rPr>
          <w:rFonts w:ascii="Arial" w:hAnsi="Arial" w:cs="Arial"/>
          <w:b w:val="0"/>
          <w:sz w:val="22"/>
          <w:szCs w:val="22"/>
        </w:rPr>
        <w:t xml:space="preserve">trvale </w:t>
      </w:r>
      <w:r w:rsidRPr="002B21A4">
        <w:rPr>
          <w:rFonts w:ascii="Arial" w:hAnsi="Arial" w:cs="Arial"/>
          <w:b w:val="0"/>
          <w:sz w:val="22"/>
          <w:szCs w:val="22"/>
        </w:rPr>
        <w:t xml:space="preserve">zvýšená pozornost. </w:t>
      </w:r>
      <w:r w:rsidR="005958F4">
        <w:rPr>
          <w:rFonts w:ascii="Arial" w:hAnsi="Arial" w:cs="Arial"/>
          <w:b w:val="0"/>
          <w:sz w:val="22"/>
          <w:szCs w:val="22"/>
        </w:rPr>
        <w:t>Jejich p</w:t>
      </w:r>
      <w:r w:rsidRPr="002B21A4">
        <w:rPr>
          <w:rFonts w:ascii="Arial" w:hAnsi="Arial" w:cs="Arial"/>
          <w:b w:val="0"/>
          <w:sz w:val="22"/>
          <w:szCs w:val="22"/>
        </w:rPr>
        <w:t xml:space="preserve">odíl na celkovém počtu uchazečů dosahuje v současné době </w:t>
      </w:r>
      <w:r>
        <w:rPr>
          <w:rFonts w:ascii="Arial" w:hAnsi="Arial" w:cs="Arial"/>
          <w:b w:val="0"/>
          <w:sz w:val="22"/>
          <w:szCs w:val="22"/>
        </w:rPr>
        <w:t xml:space="preserve">více než jednu </w:t>
      </w:r>
      <w:r w:rsidRPr="002B21A4">
        <w:rPr>
          <w:rFonts w:ascii="Arial" w:hAnsi="Arial" w:cs="Arial"/>
          <w:b w:val="0"/>
          <w:sz w:val="22"/>
          <w:szCs w:val="22"/>
        </w:rPr>
        <w:t>čtvrtin</w:t>
      </w:r>
      <w:r>
        <w:rPr>
          <w:rFonts w:ascii="Arial" w:hAnsi="Arial" w:cs="Arial"/>
          <w:b w:val="0"/>
          <w:sz w:val="22"/>
          <w:szCs w:val="22"/>
        </w:rPr>
        <w:t>u</w:t>
      </w:r>
      <w:r w:rsidRPr="002B21A4">
        <w:rPr>
          <w:rFonts w:ascii="Arial" w:hAnsi="Arial" w:cs="Arial"/>
          <w:b w:val="0"/>
          <w:sz w:val="22"/>
          <w:szCs w:val="22"/>
        </w:rPr>
        <w:t xml:space="preserve"> (</w:t>
      </w:r>
      <w:r w:rsidRPr="00570EF7">
        <w:rPr>
          <w:rFonts w:ascii="Arial" w:hAnsi="Arial" w:cs="Arial"/>
          <w:sz w:val="22"/>
          <w:szCs w:val="22"/>
        </w:rPr>
        <w:t>28,2 %</w:t>
      </w:r>
      <w:r w:rsidRPr="002B21A4">
        <w:rPr>
          <w:rFonts w:ascii="Arial" w:hAnsi="Arial" w:cs="Arial"/>
          <w:b w:val="0"/>
          <w:sz w:val="22"/>
          <w:szCs w:val="22"/>
        </w:rPr>
        <w:t xml:space="preserve">) a meziročně se o </w:t>
      </w:r>
      <w:r>
        <w:rPr>
          <w:rFonts w:ascii="Arial" w:hAnsi="Arial" w:cs="Arial"/>
          <w:b w:val="0"/>
          <w:sz w:val="22"/>
          <w:szCs w:val="22"/>
        </w:rPr>
        <w:t>1</w:t>
      </w:r>
      <w:r w:rsidRPr="002B21A4">
        <w:rPr>
          <w:rFonts w:ascii="Arial" w:hAnsi="Arial" w:cs="Arial"/>
          <w:b w:val="0"/>
          <w:sz w:val="22"/>
          <w:szCs w:val="22"/>
        </w:rPr>
        <w:t>,</w:t>
      </w:r>
      <w:r>
        <w:rPr>
          <w:rFonts w:ascii="Arial" w:hAnsi="Arial" w:cs="Arial"/>
          <w:b w:val="0"/>
          <w:sz w:val="22"/>
          <w:szCs w:val="22"/>
        </w:rPr>
        <w:t>8</w:t>
      </w:r>
      <w:r w:rsidRPr="002B21A4">
        <w:rPr>
          <w:rFonts w:ascii="Arial" w:hAnsi="Arial" w:cs="Arial"/>
          <w:b w:val="0"/>
          <w:sz w:val="22"/>
          <w:szCs w:val="22"/>
        </w:rPr>
        <w:t xml:space="preserve"> procentní</w:t>
      </w:r>
      <w:r w:rsidR="005D7F57">
        <w:rPr>
          <w:rFonts w:ascii="Arial" w:hAnsi="Arial" w:cs="Arial"/>
          <w:b w:val="0"/>
          <w:sz w:val="22"/>
          <w:szCs w:val="22"/>
        </w:rPr>
        <w:t>ho bodu</w:t>
      </w:r>
      <w:r w:rsidRPr="002B21A4">
        <w:rPr>
          <w:rFonts w:ascii="Arial" w:hAnsi="Arial" w:cs="Arial"/>
          <w:b w:val="0"/>
          <w:sz w:val="22"/>
          <w:szCs w:val="22"/>
        </w:rPr>
        <w:t xml:space="preserve"> zvýšil. </w:t>
      </w:r>
      <w:r w:rsidR="0059443B">
        <w:rPr>
          <w:rFonts w:ascii="Arial" w:hAnsi="Arial" w:cs="Arial"/>
          <w:b w:val="0"/>
          <w:sz w:val="22"/>
          <w:szCs w:val="22"/>
        </w:rPr>
        <w:t xml:space="preserve">Ke 31.12.2014  to bylo </w:t>
      </w:r>
      <w:r w:rsidR="00570EF7" w:rsidRPr="00570EF7">
        <w:rPr>
          <w:rFonts w:ascii="Arial" w:hAnsi="Arial" w:cs="Arial"/>
          <w:sz w:val="22"/>
          <w:szCs w:val="22"/>
        </w:rPr>
        <w:t>18 639 osob</w:t>
      </w:r>
      <w:r w:rsidR="00570EF7">
        <w:rPr>
          <w:rFonts w:ascii="Arial" w:hAnsi="Arial" w:cs="Arial"/>
          <w:b w:val="0"/>
          <w:sz w:val="22"/>
          <w:szCs w:val="22"/>
        </w:rPr>
        <w:t>.</w:t>
      </w:r>
    </w:p>
    <w:p w:rsidR="00872766" w:rsidRDefault="00872766" w:rsidP="00EC2D91">
      <w:pPr>
        <w:pStyle w:val="Zkladntext"/>
        <w:jc w:val="both"/>
        <w:rPr>
          <w:rFonts w:ascii="Arial" w:hAnsi="Arial" w:cs="Arial"/>
          <w:b w:val="0"/>
          <w:sz w:val="22"/>
          <w:szCs w:val="22"/>
        </w:rPr>
      </w:pPr>
    </w:p>
    <w:p w:rsidR="00EC2D91" w:rsidRPr="002B21A4" w:rsidRDefault="00EC2D91" w:rsidP="00EC2D91">
      <w:pPr>
        <w:pStyle w:val="Zkladntext"/>
        <w:jc w:val="both"/>
        <w:rPr>
          <w:rFonts w:ascii="Arial" w:hAnsi="Arial" w:cs="Arial"/>
          <w:b w:val="0"/>
          <w:sz w:val="22"/>
          <w:szCs w:val="22"/>
        </w:rPr>
      </w:pPr>
      <w:r w:rsidRPr="002B21A4">
        <w:rPr>
          <w:rFonts w:ascii="Arial" w:hAnsi="Arial" w:cs="Arial"/>
          <w:b w:val="0"/>
          <w:sz w:val="22"/>
          <w:szCs w:val="22"/>
        </w:rPr>
        <w:t xml:space="preserve">Problémem </w:t>
      </w:r>
      <w:r w:rsidR="005D7F57">
        <w:rPr>
          <w:rFonts w:ascii="Arial" w:hAnsi="Arial" w:cs="Arial"/>
          <w:b w:val="0"/>
          <w:sz w:val="22"/>
          <w:szCs w:val="22"/>
        </w:rPr>
        <w:t xml:space="preserve">při zaměstnávání </w:t>
      </w:r>
      <w:r w:rsidRPr="002B21A4">
        <w:rPr>
          <w:rFonts w:ascii="Arial" w:hAnsi="Arial" w:cs="Arial"/>
          <w:b w:val="0"/>
          <w:sz w:val="22"/>
          <w:szCs w:val="22"/>
        </w:rPr>
        <w:t>osob nad 50 let věku</w:t>
      </w:r>
      <w:r>
        <w:rPr>
          <w:rFonts w:ascii="Arial" w:hAnsi="Arial" w:cs="Arial"/>
          <w:b w:val="0"/>
          <w:sz w:val="22"/>
          <w:szCs w:val="22"/>
        </w:rPr>
        <w:t xml:space="preserve"> </w:t>
      </w:r>
      <w:r w:rsidR="00872766">
        <w:rPr>
          <w:rFonts w:ascii="Arial" w:hAnsi="Arial" w:cs="Arial"/>
          <w:b w:val="0"/>
          <w:sz w:val="22"/>
          <w:szCs w:val="22"/>
        </w:rPr>
        <w:t xml:space="preserve">je často </w:t>
      </w:r>
      <w:r w:rsidR="004378F3">
        <w:rPr>
          <w:rFonts w:ascii="Arial" w:hAnsi="Arial" w:cs="Arial"/>
          <w:b w:val="0"/>
          <w:sz w:val="22"/>
          <w:szCs w:val="22"/>
        </w:rPr>
        <w:t>nedostatečná kvalifikace či zdravotní omezení, velká část uchazečů nad 50 let má pouze základní vzdělání, či patří mezi OZP.</w:t>
      </w:r>
      <w:r w:rsidR="00E248D4">
        <w:rPr>
          <w:rFonts w:ascii="Arial" w:hAnsi="Arial" w:cs="Arial"/>
          <w:b w:val="0"/>
          <w:sz w:val="22"/>
          <w:szCs w:val="22"/>
        </w:rPr>
        <w:t xml:space="preserve"> V případě kvalifikovaných uchazečů pak u</w:t>
      </w:r>
      <w:r w:rsidR="00872766">
        <w:rPr>
          <w:rFonts w:ascii="Arial" w:hAnsi="Arial" w:cs="Arial"/>
          <w:b w:val="0"/>
          <w:sz w:val="22"/>
          <w:szCs w:val="22"/>
        </w:rPr>
        <w:t xml:space="preserve">rčitou roli hrají také </w:t>
      </w:r>
      <w:r w:rsidR="005D7F57">
        <w:rPr>
          <w:rFonts w:ascii="Arial" w:hAnsi="Arial" w:cs="Arial"/>
          <w:b w:val="0"/>
          <w:sz w:val="22"/>
          <w:szCs w:val="22"/>
        </w:rPr>
        <w:t>předsudky ze strany</w:t>
      </w:r>
      <w:r w:rsidRPr="002B21A4">
        <w:rPr>
          <w:rFonts w:ascii="Arial" w:hAnsi="Arial" w:cs="Arial"/>
          <w:b w:val="0"/>
          <w:sz w:val="22"/>
          <w:szCs w:val="22"/>
        </w:rPr>
        <w:t xml:space="preserve"> zaměstnavatelů k osobám v tomto „předdůchodovém věku“, </w:t>
      </w:r>
      <w:r w:rsidR="005958F4">
        <w:rPr>
          <w:rFonts w:ascii="Arial" w:hAnsi="Arial" w:cs="Arial"/>
          <w:b w:val="0"/>
          <w:sz w:val="22"/>
          <w:szCs w:val="22"/>
        </w:rPr>
        <w:t>neboť je považují za málo flexibilní a ochotné učit se novým věcem</w:t>
      </w:r>
      <w:r w:rsidRPr="002B21A4">
        <w:rPr>
          <w:rFonts w:ascii="Arial" w:hAnsi="Arial" w:cs="Arial"/>
          <w:b w:val="0"/>
          <w:sz w:val="22"/>
          <w:szCs w:val="22"/>
        </w:rPr>
        <w:t xml:space="preserve">. </w:t>
      </w:r>
      <w:r w:rsidR="005958F4">
        <w:rPr>
          <w:rFonts w:ascii="Arial" w:hAnsi="Arial" w:cs="Arial"/>
          <w:b w:val="0"/>
          <w:sz w:val="22"/>
          <w:szCs w:val="22"/>
        </w:rPr>
        <w:t>Objektivními důvody jsou často nedostatečn</w:t>
      </w:r>
      <w:r w:rsidR="00872766">
        <w:rPr>
          <w:rFonts w:ascii="Arial" w:hAnsi="Arial" w:cs="Arial"/>
          <w:b w:val="0"/>
          <w:sz w:val="22"/>
          <w:szCs w:val="22"/>
        </w:rPr>
        <w:t>é</w:t>
      </w:r>
      <w:r w:rsidR="005958F4">
        <w:rPr>
          <w:rFonts w:ascii="Arial" w:hAnsi="Arial" w:cs="Arial"/>
          <w:b w:val="0"/>
          <w:sz w:val="22"/>
          <w:szCs w:val="22"/>
        </w:rPr>
        <w:t xml:space="preserve"> znalos</w:t>
      </w:r>
      <w:r w:rsidR="00872766">
        <w:rPr>
          <w:rFonts w:ascii="Arial" w:hAnsi="Arial" w:cs="Arial"/>
          <w:b w:val="0"/>
          <w:sz w:val="22"/>
          <w:szCs w:val="22"/>
        </w:rPr>
        <w:t>ti</w:t>
      </w:r>
      <w:r w:rsidR="005958F4">
        <w:rPr>
          <w:rFonts w:ascii="Arial" w:hAnsi="Arial" w:cs="Arial"/>
          <w:b w:val="0"/>
          <w:sz w:val="22"/>
          <w:szCs w:val="22"/>
        </w:rPr>
        <w:t xml:space="preserve"> cizích jazyků </w:t>
      </w:r>
      <w:r w:rsidR="00872766">
        <w:rPr>
          <w:rFonts w:ascii="Arial" w:hAnsi="Arial" w:cs="Arial"/>
          <w:b w:val="0"/>
          <w:sz w:val="22"/>
          <w:szCs w:val="22"/>
        </w:rPr>
        <w:t xml:space="preserve"> či </w:t>
      </w:r>
      <w:r w:rsidR="005958F4">
        <w:rPr>
          <w:rFonts w:ascii="Arial" w:hAnsi="Arial" w:cs="Arial"/>
          <w:b w:val="0"/>
          <w:sz w:val="22"/>
          <w:szCs w:val="22"/>
        </w:rPr>
        <w:t>práce s</w:t>
      </w:r>
      <w:r w:rsidR="00872766">
        <w:rPr>
          <w:rFonts w:ascii="Arial" w:hAnsi="Arial" w:cs="Arial"/>
          <w:b w:val="0"/>
          <w:sz w:val="22"/>
          <w:szCs w:val="22"/>
        </w:rPr>
        <w:t> </w:t>
      </w:r>
      <w:r w:rsidR="005958F4">
        <w:rPr>
          <w:rFonts w:ascii="Arial" w:hAnsi="Arial" w:cs="Arial"/>
          <w:b w:val="0"/>
          <w:sz w:val="22"/>
          <w:szCs w:val="22"/>
        </w:rPr>
        <w:t>počítačem</w:t>
      </w:r>
      <w:r w:rsidR="00872766">
        <w:rPr>
          <w:rFonts w:ascii="Arial" w:hAnsi="Arial" w:cs="Arial"/>
          <w:b w:val="0"/>
          <w:sz w:val="22"/>
          <w:szCs w:val="22"/>
        </w:rPr>
        <w:t>.</w:t>
      </w:r>
      <w:r w:rsidR="005958F4">
        <w:rPr>
          <w:rFonts w:ascii="Arial" w:hAnsi="Arial" w:cs="Arial"/>
          <w:b w:val="0"/>
          <w:sz w:val="22"/>
          <w:szCs w:val="22"/>
        </w:rPr>
        <w:t xml:space="preserve"> </w:t>
      </w:r>
      <w:r w:rsidRPr="002B21A4">
        <w:rPr>
          <w:rFonts w:ascii="Arial" w:hAnsi="Arial" w:cs="Arial"/>
          <w:b w:val="0"/>
          <w:sz w:val="22"/>
          <w:szCs w:val="22"/>
        </w:rPr>
        <w:t xml:space="preserve">Pozitivním faktorem je </w:t>
      </w:r>
      <w:r w:rsidR="00872766">
        <w:rPr>
          <w:rFonts w:ascii="Arial" w:hAnsi="Arial" w:cs="Arial"/>
          <w:b w:val="0"/>
          <w:sz w:val="22"/>
          <w:szCs w:val="22"/>
        </w:rPr>
        <w:t>naopak dostatek praxe. Někdy ovšem tento fa</w:t>
      </w:r>
      <w:r w:rsidR="00E248D4">
        <w:rPr>
          <w:rFonts w:ascii="Arial" w:hAnsi="Arial" w:cs="Arial"/>
          <w:b w:val="0"/>
          <w:sz w:val="22"/>
          <w:szCs w:val="22"/>
        </w:rPr>
        <w:t xml:space="preserve">ktor působí kontraproduktivně, </w:t>
      </w:r>
      <w:r w:rsidR="00872766">
        <w:rPr>
          <w:rFonts w:ascii="Arial" w:hAnsi="Arial" w:cs="Arial"/>
          <w:b w:val="0"/>
          <w:sz w:val="22"/>
          <w:szCs w:val="22"/>
        </w:rPr>
        <w:t>protože je často spojován také s vyššími mzdovými náklady pro zaměstnavatele.</w:t>
      </w:r>
    </w:p>
    <w:p w:rsidR="00EC2D91" w:rsidRPr="002B21A4" w:rsidRDefault="00EC2D91" w:rsidP="00EC2D91">
      <w:pPr>
        <w:pStyle w:val="Zkladntext"/>
        <w:jc w:val="both"/>
        <w:rPr>
          <w:rFonts w:ascii="Arial" w:hAnsi="Arial" w:cs="Arial"/>
          <w:b w:val="0"/>
          <w:sz w:val="22"/>
          <w:szCs w:val="22"/>
        </w:rPr>
      </w:pPr>
    </w:p>
    <w:p w:rsidR="00EC2D91" w:rsidRPr="002B21A4" w:rsidRDefault="00EC2D91" w:rsidP="00EC2D91">
      <w:pPr>
        <w:pStyle w:val="Zkladntext"/>
        <w:jc w:val="both"/>
        <w:rPr>
          <w:rFonts w:ascii="Arial" w:hAnsi="Arial" w:cs="Arial"/>
          <w:b w:val="0"/>
          <w:sz w:val="22"/>
          <w:szCs w:val="22"/>
        </w:rPr>
      </w:pPr>
      <w:r w:rsidRPr="008451B9">
        <w:rPr>
          <w:rFonts w:ascii="Arial" w:hAnsi="Arial" w:cs="Arial"/>
          <w:b w:val="0"/>
          <w:sz w:val="22"/>
          <w:szCs w:val="22"/>
        </w:rPr>
        <w:t>Z regionálního hlediska je k 31. 12. 201</w:t>
      </w:r>
      <w:r>
        <w:rPr>
          <w:rFonts w:ascii="Arial" w:hAnsi="Arial" w:cs="Arial"/>
          <w:b w:val="0"/>
          <w:sz w:val="22"/>
          <w:szCs w:val="22"/>
        </w:rPr>
        <w:t>4</w:t>
      </w:r>
      <w:r w:rsidRPr="008451B9">
        <w:rPr>
          <w:rFonts w:ascii="Arial" w:hAnsi="Arial" w:cs="Arial"/>
          <w:b w:val="0"/>
          <w:sz w:val="22"/>
          <w:szCs w:val="22"/>
        </w:rPr>
        <w:t xml:space="preserve"> </w:t>
      </w:r>
      <w:r w:rsidR="00E248D4" w:rsidRPr="002B21A4">
        <w:rPr>
          <w:rFonts w:ascii="Arial" w:hAnsi="Arial" w:cs="Arial"/>
          <w:b w:val="0"/>
          <w:sz w:val="22"/>
          <w:szCs w:val="22"/>
        </w:rPr>
        <w:t>nejnižší</w:t>
      </w:r>
      <w:r w:rsidR="00E248D4">
        <w:rPr>
          <w:rFonts w:ascii="Arial" w:hAnsi="Arial" w:cs="Arial"/>
          <w:b w:val="0"/>
          <w:sz w:val="22"/>
          <w:szCs w:val="22"/>
        </w:rPr>
        <w:t xml:space="preserve"> podíl</w:t>
      </w:r>
      <w:r w:rsidR="00E248D4" w:rsidRPr="002B21A4">
        <w:rPr>
          <w:rFonts w:ascii="Arial" w:hAnsi="Arial" w:cs="Arial"/>
          <w:b w:val="0"/>
          <w:sz w:val="22"/>
          <w:szCs w:val="22"/>
        </w:rPr>
        <w:t xml:space="preserve"> osob nad 50 let věku </w:t>
      </w:r>
      <w:r w:rsidR="00E248D4">
        <w:rPr>
          <w:rFonts w:ascii="Arial" w:hAnsi="Arial" w:cs="Arial"/>
          <w:b w:val="0"/>
          <w:sz w:val="22"/>
          <w:szCs w:val="22"/>
        </w:rPr>
        <w:t xml:space="preserve">evidován </w:t>
      </w:r>
      <w:r w:rsidR="00E248D4">
        <w:rPr>
          <w:rFonts w:ascii="Arial" w:hAnsi="Arial" w:cs="Arial"/>
          <w:b w:val="0"/>
          <w:sz w:val="22"/>
          <w:szCs w:val="22"/>
        </w:rPr>
        <w:br/>
        <w:t>v</w:t>
      </w:r>
      <w:r w:rsidRPr="002B21A4">
        <w:rPr>
          <w:rFonts w:ascii="Arial" w:hAnsi="Arial" w:cs="Arial"/>
          <w:b w:val="0"/>
          <w:sz w:val="22"/>
          <w:szCs w:val="22"/>
        </w:rPr>
        <w:t xml:space="preserve"> okres</w:t>
      </w:r>
      <w:r w:rsidR="00E248D4">
        <w:rPr>
          <w:rFonts w:ascii="Arial" w:hAnsi="Arial" w:cs="Arial"/>
          <w:b w:val="0"/>
          <w:sz w:val="22"/>
          <w:szCs w:val="22"/>
        </w:rPr>
        <w:t>e</w:t>
      </w:r>
      <w:r w:rsidRPr="002B21A4">
        <w:rPr>
          <w:rFonts w:ascii="Arial" w:hAnsi="Arial" w:cs="Arial"/>
          <w:b w:val="0"/>
          <w:sz w:val="22"/>
          <w:szCs w:val="22"/>
        </w:rPr>
        <w:t xml:space="preserve"> Brno-město (26,</w:t>
      </w:r>
      <w:r>
        <w:rPr>
          <w:rFonts w:ascii="Arial" w:hAnsi="Arial" w:cs="Arial"/>
          <w:b w:val="0"/>
          <w:sz w:val="22"/>
          <w:szCs w:val="22"/>
        </w:rPr>
        <w:t>1</w:t>
      </w:r>
      <w:r w:rsidRPr="002B21A4">
        <w:rPr>
          <w:rFonts w:ascii="Arial" w:hAnsi="Arial" w:cs="Arial"/>
          <w:b w:val="0"/>
          <w:sz w:val="22"/>
          <w:szCs w:val="22"/>
        </w:rPr>
        <w:t xml:space="preserve"> %), naopak nejvyšší </w:t>
      </w:r>
      <w:r w:rsidR="00E248D4">
        <w:rPr>
          <w:rFonts w:ascii="Arial" w:hAnsi="Arial" w:cs="Arial"/>
          <w:b w:val="0"/>
          <w:sz w:val="22"/>
          <w:szCs w:val="22"/>
        </w:rPr>
        <w:t xml:space="preserve">v </w:t>
      </w:r>
      <w:r w:rsidRPr="002B21A4">
        <w:rPr>
          <w:rFonts w:ascii="Arial" w:hAnsi="Arial" w:cs="Arial"/>
          <w:b w:val="0"/>
          <w:sz w:val="22"/>
          <w:szCs w:val="22"/>
        </w:rPr>
        <w:t>okres</w:t>
      </w:r>
      <w:r w:rsidR="00E248D4">
        <w:rPr>
          <w:rFonts w:ascii="Arial" w:hAnsi="Arial" w:cs="Arial"/>
          <w:b w:val="0"/>
          <w:sz w:val="22"/>
          <w:szCs w:val="22"/>
        </w:rPr>
        <w:t>e</w:t>
      </w:r>
      <w:r w:rsidRPr="002B21A4">
        <w:rPr>
          <w:rFonts w:ascii="Arial" w:hAnsi="Arial" w:cs="Arial"/>
          <w:b w:val="0"/>
          <w:sz w:val="22"/>
          <w:szCs w:val="22"/>
        </w:rPr>
        <w:t xml:space="preserve"> Znojmo (3</w:t>
      </w:r>
      <w:r>
        <w:rPr>
          <w:rFonts w:ascii="Arial" w:hAnsi="Arial" w:cs="Arial"/>
          <w:b w:val="0"/>
          <w:sz w:val="22"/>
          <w:szCs w:val="22"/>
        </w:rPr>
        <w:t>0</w:t>
      </w:r>
      <w:r w:rsidRPr="002B21A4">
        <w:rPr>
          <w:rFonts w:ascii="Arial" w:hAnsi="Arial" w:cs="Arial"/>
          <w:b w:val="0"/>
          <w:sz w:val="22"/>
          <w:szCs w:val="22"/>
        </w:rPr>
        <w:t>,</w:t>
      </w:r>
      <w:r>
        <w:rPr>
          <w:rFonts w:ascii="Arial" w:hAnsi="Arial" w:cs="Arial"/>
          <w:b w:val="0"/>
          <w:sz w:val="22"/>
          <w:szCs w:val="22"/>
        </w:rPr>
        <w:t>9</w:t>
      </w:r>
      <w:r w:rsidRPr="002B21A4">
        <w:rPr>
          <w:rFonts w:ascii="Arial" w:hAnsi="Arial" w:cs="Arial"/>
          <w:b w:val="0"/>
          <w:sz w:val="22"/>
          <w:szCs w:val="22"/>
        </w:rPr>
        <w:t xml:space="preserve"> %). </w:t>
      </w:r>
    </w:p>
    <w:p w:rsidR="00EC2D91" w:rsidRPr="002B21A4" w:rsidRDefault="00EC2D91" w:rsidP="00EC2D91">
      <w:pPr>
        <w:pStyle w:val="Zkladntext"/>
        <w:jc w:val="both"/>
        <w:rPr>
          <w:rFonts w:ascii="Arial" w:hAnsi="Arial" w:cs="Arial"/>
          <w:b w:val="0"/>
          <w:sz w:val="22"/>
          <w:szCs w:val="22"/>
        </w:rPr>
      </w:pPr>
    </w:p>
    <w:p w:rsidR="00E248D4" w:rsidRDefault="00E248D4" w:rsidP="00EC2D91">
      <w:pPr>
        <w:pStyle w:val="Zprva3"/>
        <w:rPr>
          <w:rFonts w:ascii="Arial" w:hAnsi="Arial" w:cs="Arial"/>
          <w:color w:val="auto"/>
        </w:rPr>
      </w:pPr>
    </w:p>
    <w:p w:rsidR="00E248D4" w:rsidRDefault="00E248D4" w:rsidP="00EC2D91">
      <w:pPr>
        <w:pStyle w:val="Zprva3"/>
        <w:rPr>
          <w:rFonts w:ascii="Arial" w:hAnsi="Arial" w:cs="Arial"/>
          <w:color w:val="auto"/>
        </w:rPr>
      </w:pPr>
    </w:p>
    <w:p w:rsidR="00E248D4" w:rsidRDefault="00E248D4" w:rsidP="00EC2D91">
      <w:pPr>
        <w:pStyle w:val="Zprva3"/>
        <w:rPr>
          <w:rFonts w:ascii="Arial" w:hAnsi="Arial" w:cs="Arial"/>
          <w:color w:val="auto"/>
        </w:rPr>
      </w:pPr>
    </w:p>
    <w:p w:rsidR="00E248D4" w:rsidRDefault="00E248D4" w:rsidP="00EC2D91">
      <w:pPr>
        <w:pStyle w:val="Zprva3"/>
        <w:rPr>
          <w:rFonts w:ascii="Arial" w:hAnsi="Arial" w:cs="Arial"/>
          <w:color w:val="auto"/>
        </w:rPr>
      </w:pPr>
    </w:p>
    <w:p w:rsidR="00EC2D91" w:rsidRPr="002C2133" w:rsidRDefault="00EC2D91" w:rsidP="00EC2D91">
      <w:pPr>
        <w:pStyle w:val="Zprva3"/>
        <w:rPr>
          <w:rFonts w:ascii="Arial" w:hAnsi="Arial" w:cs="Arial"/>
          <w:color w:val="auto"/>
        </w:rPr>
      </w:pPr>
      <w:r w:rsidRPr="002C2133">
        <w:rPr>
          <w:rFonts w:ascii="Arial" w:hAnsi="Arial" w:cs="Arial"/>
          <w:color w:val="auto"/>
        </w:rPr>
        <w:t>Nekvalifikovaní uchazeči</w:t>
      </w:r>
    </w:p>
    <w:p w:rsidR="00EC2D91" w:rsidRDefault="00EC2D91" w:rsidP="00EC2D91">
      <w:pPr>
        <w:pStyle w:val="Zkladntext"/>
        <w:jc w:val="both"/>
        <w:rPr>
          <w:rFonts w:ascii="Arial" w:hAnsi="Arial" w:cs="Arial"/>
          <w:b w:val="0"/>
        </w:rPr>
      </w:pPr>
    </w:p>
    <w:p w:rsidR="00570EF7" w:rsidRDefault="00570EF7" w:rsidP="00EC2D91">
      <w:pPr>
        <w:pStyle w:val="Zkladntext"/>
        <w:spacing w:after="120"/>
        <w:jc w:val="both"/>
        <w:rPr>
          <w:rFonts w:ascii="Arial" w:hAnsi="Arial" w:cs="Arial"/>
          <w:b w:val="0"/>
          <w:sz w:val="22"/>
          <w:szCs w:val="22"/>
        </w:rPr>
      </w:pPr>
      <w:r>
        <w:rPr>
          <w:rFonts w:ascii="Arial" w:hAnsi="Arial" w:cs="Arial"/>
          <w:b w:val="0"/>
          <w:sz w:val="22"/>
          <w:szCs w:val="22"/>
        </w:rPr>
        <w:t xml:space="preserve">Ke 31.12.2014 bylo v Jihomoravském kraji evidováno </w:t>
      </w:r>
      <w:r w:rsidRPr="00570EF7">
        <w:rPr>
          <w:rFonts w:ascii="Arial" w:hAnsi="Arial" w:cs="Arial"/>
          <w:sz w:val="22"/>
          <w:szCs w:val="22"/>
        </w:rPr>
        <w:t>15 493 uchazečů</w:t>
      </w:r>
      <w:r w:rsidRPr="002B21A4">
        <w:rPr>
          <w:rFonts w:ascii="Arial" w:hAnsi="Arial" w:cs="Arial"/>
          <w:b w:val="0"/>
          <w:sz w:val="22"/>
          <w:szCs w:val="22"/>
        </w:rPr>
        <w:t xml:space="preserve"> se základním vzděláním (včetně kategorie „bez vzdělání“)</w:t>
      </w:r>
      <w:r>
        <w:rPr>
          <w:rFonts w:ascii="Arial" w:hAnsi="Arial" w:cs="Arial"/>
          <w:b w:val="0"/>
          <w:sz w:val="22"/>
          <w:szCs w:val="22"/>
        </w:rPr>
        <w:t>.</w:t>
      </w:r>
    </w:p>
    <w:p w:rsidR="00EC2D91" w:rsidRPr="002B21A4" w:rsidRDefault="00EC2D91" w:rsidP="00EC2D91">
      <w:pPr>
        <w:pStyle w:val="Zkladntext"/>
        <w:spacing w:after="120"/>
        <w:jc w:val="both"/>
        <w:rPr>
          <w:rFonts w:ascii="Arial" w:hAnsi="Arial" w:cs="Arial"/>
          <w:b w:val="0"/>
          <w:sz w:val="22"/>
          <w:szCs w:val="22"/>
        </w:rPr>
      </w:pPr>
      <w:r w:rsidRPr="002B21A4">
        <w:rPr>
          <w:rFonts w:ascii="Arial" w:hAnsi="Arial" w:cs="Arial"/>
          <w:b w:val="0"/>
          <w:sz w:val="22"/>
          <w:szCs w:val="22"/>
        </w:rPr>
        <w:t xml:space="preserve">Meziročně se </w:t>
      </w:r>
      <w:r w:rsidR="00570EF7">
        <w:rPr>
          <w:rFonts w:ascii="Arial" w:hAnsi="Arial" w:cs="Arial"/>
          <w:b w:val="0"/>
          <w:sz w:val="22"/>
          <w:szCs w:val="22"/>
        </w:rPr>
        <w:t xml:space="preserve">jejich </w:t>
      </w:r>
      <w:r w:rsidRPr="002B21A4">
        <w:rPr>
          <w:rFonts w:ascii="Arial" w:hAnsi="Arial" w:cs="Arial"/>
          <w:b w:val="0"/>
          <w:sz w:val="22"/>
          <w:szCs w:val="22"/>
        </w:rPr>
        <w:t xml:space="preserve">počet </w:t>
      </w:r>
      <w:r>
        <w:rPr>
          <w:rFonts w:ascii="Arial" w:hAnsi="Arial" w:cs="Arial"/>
          <w:b w:val="0"/>
          <w:sz w:val="22"/>
          <w:szCs w:val="22"/>
        </w:rPr>
        <w:t>snížil</w:t>
      </w:r>
      <w:r w:rsidRPr="002B21A4">
        <w:rPr>
          <w:rFonts w:ascii="Arial" w:hAnsi="Arial" w:cs="Arial"/>
          <w:b w:val="0"/>
          <w:sz w:val="22"/>
          <w:szCs w:val="22"/>
        </w:rPr>
        <w:t xml:space="preserve"> o 1 </w:t>
      </w:r>
      <w:r>
        <w:rPr>
          <w:rFonts w:ascii="Arial" w:hAnsi="Arial" w:cs="Arial"/>
          <w:b w:val="0"/>
          <w:sz w:val="22"/>
          <w:szCs w:val="22"/>
        </w:rPr>
        <w:t>341</w:t>
      </w:r>
      <w:r w:rsidRPr="002B21A4">
        <w:rPr>
          <w:rFonts w:ascii="Arial" w:hAnsi="Arial" w:cs="Arial"/>
          <w:b w:val="0"/>
          <w:sz w:val="22"/>
          <w:szCs w:val="22"/>
        </w:rPr>
        <w:t xml:space="preserve"> osob, tedy o </w:t>
      </w:r>
      <w:r>
        <w:rPr>
          <w:rFonts w:ascii="Arial" w:hAnsi="Arial" w:cs="Arial"/>
          <w:b w:val="0"/>
          <w:sz w:val="22"/>
          <w:szCs w:val="22"/>
        </w:rPr>
        <w:t>8</w:t>
      </w:r>
      <w:r w:rsidRPr="002B21A4">
        <w:rPr>
          <w:rFonts w:ascii="Arial" w:hAnsi="Arial" w:cs="Arial"/>
          <w:b w:val="0"/>
          <w:sz w:val="22"/>
          <w:szCs w:val="22"/>
        </w:rPr>
        <w:t>,</w:t>
      </w:r>
      <w:r>
        <w:rPr>
          <w:rFonts w:ascii="Arial" w:hAnsi="Arial" w:cs="Arial"/>
          <w:b w:val="0"/>
          <w:sz w:val="22"/>
          <w:szCs w:val="22"/>
        </w:rPr>
        <w:t>0</w:t>
      </w:r>
      <w:r w:rsidRPr="002B21A4">
        <w:rPr>
          <w:rFonts w:ascii="Arial" w:hAnsi="Arial" w:cs="Arial"/>
          <w:b w:val="0"/>
          <w:sz w:val="22"/>
          <w:szCs w:val="22"/>
        </w:rPr>
        <w:t xml:space="preserve"> % jejich původního stavu. Podíl této skupiny nezaměstnaných na počtu všech evidovaných činil koncem roku 201</w:t>
      </w:r>
      <w:r>
        <w:rPr>
          <w:rFonts w:ascii="Arial" w:hAnsi="Arial" w:cs="Arial"/>
          <w:b w:val="0"/>
          <w:sz w:val="22"/>
          <w:szCs w:val="22"/>
        </w:rPr>
        <w:t>4</w:t>
      </w:r>
      <w:r w:rsidR="00E248D4">
        <w:rPr>
          <w:rFonts w:ascii="Arial" w:hAnsi="Arial" w:cs="Arial"/>
          <w:b w:val="0"/>
          <w:sz w:val="22"/>
          <w:szCs w:val="22"/>
        </w:rPr>
        <w:t xml:space="preserve"> </w:t>
      </w:r>
      <w:r w:rsidRPr="002B21A4">
        <w:rPr>
          <w:rFonts w:ascii="Arial" w:hAnsi="Arial" w:cs="Arial"/>
          <w:b w:val="0"/>
          <w:sz w:val="22"/>
          <w:szCs w:val="22"/>
        </w:rPr>
        <w:t xml:space="preserve"> </w:t>
      </w:r>
      <w:r w:rsidRPr="00570EF7">
        <w:rPr>
          <w:rFonts w:ascii="Arial" w:hAnsi="Arial" w:cs="Arial"/>
          <w:sz w:val="22"/>
          <w:szCs w:val="22"/>
        </w:rPr>
        <w:t>23,5 %.</w:t>
      </w:r>
      <w:r w:rsidRPr="002B21A4">
        <w:rPr>
          <w:rFonts w:ascii="Arial" w:hAnsi="Arial" w:cs="Arial"/>
          <w:b w:val="0"/>
          <w:sz w:val="22"/>
          <w:szCs w:val="22"/>
        </w:rPr>
        <w:t xml:space="preserve"> </w:t>
      </w:r>
    </w:p>
    <w:p w:rsidR="00EC2D91" w:rsidRPr="002B21A4" w:rsidRDefault="00EC2D91" w:rsidP="00EC2D91">
      <w:pPr>
        <w:pStyle w:val="Zkladntext"/>
        <w:jc w:val="both"/>
        <w:rPr>
          <w:rFonts w:ascii="Arial" w:hAnsi="Arial" w:cs="Arial"/>
          <w:b w:val="0"/>
          <w:sz w:val="22"/>
          <w:szCs w:val="22"/>
        </w:rPr>
      </w:pPr>
      <w:r w:rsidRPr="002B21A4">
        <w:rPr>
          <w:rFonts w:ascii="Arial" w:hAnsi="Arial" w:cs="Arial"/>
          <w:b w:val="0"/>
          <w:sz w:val="22"/>
          <w:szCs w:val="22"/>
        </w:rPr>
        <w:t xml:space="preserve">Problémem této skupiny osob je </w:t>
      </w:r>
      <w:r w:rsidR="00E248D4">
        <w:rPr>
          <w:rFonts w:ascii="Arial" w:hAnsi="Arial" w:cs="Arial"/>
          <w:b w:val="0"/>
          <w:sz w:val="22"/>
          <w:szCs w:val="22"/>
        </w:rPr>
        <w:t xml:space="preserve">často jejich nízká motivace pracovat, neboť rozdíl mezi příjmem ze zaměstnání a příjmem ze sociálních dávek je mnohdy minimální, a v některých případech dokonce ve prospěch sociálních dávek. </w:t>
      </w:r>
      <w:r w:rsidRPr="002B21A4">
        <w:rPr>
          <w:rFonts w:ascii="Arial" w:hAnsi="Arial" w:cs="Arial"/>
          <w:b w:val="0"/>
          <w:sz w:val="22"/>
          <w:szCs w:val="22"/>
        </w:rPr>
        <w:t xml:space="preserve"> Na trhu práce se tito pracovníci nesnadno umisťují, pomoc úřadů práce proto spočívá i v možnosti nabídnout jim umístění např. prostřednictvím veřejně prospěšných prací. Důležitá je rovněž organizace rekvalifikačních kurzů či podpora zaměstnavatelů při přijetí a zaškolení těchto uchazečů o zaměstnání. </w:t>
      </w:r>
    </w:p>
    <w:p w:rsidR="00EC2D91" w:rsidRPr="002B21A4" w:rsidRDefault="00EC2D91" w:rsidP="00EC2D91">
      <w:pPr>
        <w:pStyle w:val="Zkladntext"/>
        <w:jc w:val="both"/>
        <w:rPr>
          <w:rFonts w:ascii="Arial" w:eastAsiaTheme="minorHAnsi" w:hAnsi="Arial" w:cs="Arial"/>
          <w:b w:val="0"/>
          <w:bCs w:val="0"/>
          <w:sz w:val="22"/>
          <w:szCs w:val="22"/>
          <w:lang w:eastAsia="en-US"/>
        </w:rPr>
      </w:pPr>
    </w:p>
    <w:p w:rsidR="00EC2D91" w:rsidRPr="002B21A4" w:rsidRDefault="00EC2D91" w:rsidP="00EC2D91">
      <w:pPr>
        <w:pStyle w:val="Zkladntext"/>
        <w:jc w:val="both"/>
        <w:rPr>
          <w:rFonts w:ascii="Arial" w:hAnsi="Arial" w:cs="Arial"/>
          <w:b w:val="0"/>
          <w:sz w:val="22"/>
          <w:szCs w:val="22"/>
        </w:rPr>
      </w:pPr>
      <w:r w:rsidRPr="002B21A4">
        <w:rPr>
          <w:rFonts w:ascii="Arial" w:hAnsi="Arial" w:cs="Arial"/>
          <w:b w:val="0"/>
          <w:sz w:val="22"/>
          <w:szCs w:val="22"/>
        </w:rPr>
        <w:t>Z hlediska podílu nekvalifikovaných osob na celkovém počtu uchazečů nejnižší hodnotu vykazuje okres Blansko (1</w:t>
      </w:r>
      <w:r>
        <w:rPr>
          <w:rFonts w:ascii="Arial" w:hAnsi="Arial" w:cs="Arial"/>
          <w:b w:val="0"/>
          <w:sz w:val="22"/>
          <w:szCs w:val="22"/>
        </w:rPr>
        <w:t>9</w:t>
      </w:r>
      <w:r w:rsidRPr="002B21A4">
        <w:rPr>
          <w:rFonts w:ascii="Arial" w:hAnsi="Arial" w:cs="Arial"/>
          <w:b w:val="0"/>
          <w:sz w:val="22"/>
          <w:szCs w:val="22"/>
        </w:rPr>
        <w:t>,</w:t>
      </w:r>
      <w:r>
        <w:rPr>
          <w:rFonts w:ascii="Arial" w:hAnsi="Arial" w:cs="Arial"/>
          <w:b w:val="0"/>
          <w:sz w:val="22"/>
          <w:szCs w:val="22"/>
        </w:rPr>
        <w:t>1</w:t>
      </w:r>
      <w:r w:rsidRPr="002B21A4">
        <w:rPr>
          <w:rFonts w:ascii="Arial" w:hAnsi="Arial" w:cs="Arial"/>
          <w:b w:val="0"/>
          <w:sz w:val="22"/>
          <w:szCs w:val="22"/>
        </w:rPr>
        <w:t xml:space="preserve"> %), naopak nejvyšší okres Brno-město (2</w:t>
      </w:r>
      <w:r>
        <w:rPr>
          <w:rFonts w:ascii="Arial" w:hAnsi="Arial" w:cs="Arial"/>
          <w:b w:val="0"/>
          <w:sz w:val="22"/>
          <w:szCs w:val="22"/>
        </w:rPr>
        <w:t>7</w:t>
      </w:r>
      <w:r w:rsidRPr="002B21A4">
        <w:rPr>
          <w:rFonts w:ascii="Arial" w:hAnsi="Arial" w:cs="Arial"/>
          <w:b w:val="0"/>
          <w:sz w:val="22"/>
          <w:szCs w:val="22"/>
        </w:rPr>
        <w:t>,</w:t>
      </w:r>
      <w:r>
        <w:rPr>
          <w:rFonts w:ascii="Arial" w:hAnsi="Arial" w:cs="Arial"/>
          <w:b w:val="0"/>
          <w:sz w:val="22"/>
          <w:szCs w:val="22"/>
        </w:rPr>
        <w:t>2</w:t>
      </w:r>
      <w:r w:rsidRPr="002B21A4">
        <w:rPr>
          <w:rFonts w:ascii="Arial" w:hAnsi="Arial" w:cs="Arial"/>
          <w:b w:val="0"/>
          <w:sz w:val="22"/>
          <w:szCs w:val="22"/>
        </w:rPr>
        <w:t xml:space="preserve"> %). </w:t>
      </w:r>
    </w:p>
    <w:p w:rsidR="00EC2D91" w:rsidRDefault="00EC2D91" w:rsidP="00EC2D91">
      <w:pPr>
        <w:jc w:val="both"/>
        <w:rPr>
          <w:rFonts w:ascii="Arial" w:hAnsi="Arial" w:cs="Arial"/>
        </w:rPr>
      </w:pPr>
    </w:p>
    <w:p w:rsidR="00EC2D91" w:rsidRPr="003F040F" w:rsidRDefault="00EC2D91" w:rsidP="003F040F">
      <w:pPr>
        <w:jc w:val="both"/>
        <w:rPr>
          <w:rFonts w:ascii="Arial" w:hAnsi="Arial" w:cs="Arial"/>
          <w:b/>
          <w:sz w:val="22"/>
          <w:szCs w:val="22"/>
        </w:rPr>
      </w:pPr>
      <w:bookmarkStart w:id="44" w:name="_Toc381372891"/>
      <w:r w:rsidRPr="003F040F">
        <w:rPr>
          <w:rFonts w:ascii="Arial" w:hAnsi="Arial" w:cs="Arial"/>
          <w:b/>
          <w:sz w:val="22"/>
          <w:szCs w:val="22"/>
        </w:rPr>
        <w:t>Osoby pečující o děti do 15 let</w:t>
      </w:r>
      <w:bookmarkEnd w:id="44"/>
    </w:p>
    <w:p w:rsidR="00EC2D91" w:rsidRPr="003F040F" w:rsidRDefault="00EC2D91" w:rsidP="003F040F">
      <w:pPr>
        <w:jc w:val="both"/>
        <w:rPr>
          <w:rFonts w:ascii="Arial" w:hAnsi="Arial" w:cs="Arial"/>
          <w:sz w:val="22"/>
          <w:szCs w:val="22"/>
        </w:rPr>
      </w:pPr>
    </w:p>
    <w:p w:rsidR="00EC2D91" w:rsidRPr="003F040F" w:rsidRDefault="00EC2D91" w:rsidP="003F040F">
      <w:pPr>
        <w:jc w:val="both"/>
        <w:rPr>
          <w:rFonts w:ascii="Arial" w:hAnsi="Arial" w:cs="Arial"/>
          <w:sz w:val="22"/>
          <w:szCs w:val="22"/>
        </w:rPr>
      </w:pPr>
      <w:bookmarkStart w:id="45" w:name="_Toc381372892"/>
      <w:r w:rsidRPr="003F040F">
        <w:rPr>
          <w:rFonts w:ascii="Arial" w:hAnsi="Arial" w:cs="Arial"/>
          <w:sz w:val="22"/>
          <w:szCs w:val="22"/>
        </w:rPr>
        <w:t xml:space="preserve">Výraznému zvýšení zaměstnanosti </w:t>
      </w:r>
      <w:r w:rsidR="00152564">
        <w:rPr>
          <w:rFonts w:ascii="Arial" w:hAnsi="Arial" w:cs="Arial"/>
          <w:sz w:val="22"/>
          <w:szCs w:val="22"/>
        </w:rPr>
        <w:t>této skupiny</w:t>
      </w:r>
      <w:r w:rsidRPr="003F040F">
        <w:rPr>
          <w:rFonts w:ascii="Arial" w:hAnsi="Arial" w:cs="Arial"/>
          <w:sz w:val="22"/>
          <w:szCs w:val="22"/>
        </w:rPr>
        <w:t xml:space="preserve"> brání, stejně jako v minulosti, nízk</w:t>
      </w:r>
      <w:r w:rsidR="00152564">
        <w:rPr>
          <w:rFonts w:ascii="Arial" w:hAnsi="Arial" w:cs="Arial"/>
          <w:sz w:val="22"/>
          <w:szCs w:val="22"/>
        </w:rPr>
        <w:t xml:space="preserve">á flexibilita pracovního trhu v ČR. Ochota ze strany zaměstnavatelů zaměstnávat rodiče (většinou matky) na zkrácený pracovní úvazek je minimální, zároveň však i pro uchazeče/uchazečky práce na zkrácený úvazek často není z ekonomického hlediska dostatečně zajímavá. </w:t>
      </w:r>
      <w:r w:rsidRPr="003F040F">
        <w:rPr>
          <w:rFonts w:ascii="Arial" w:hAnsi="Arial" w:cs="Arial"/>
          <w:sz w:val="22"/>
          <w:szCs w:val="22"/>
        </w:rPr>
        <w:t xml:space="preserve"> </w:t>
      </w:r>
      <w:r w:rsidR="00152564">
        <w:rPr>
          <w:rFonts w:ascii="Arial" w:hAnsi="Arial" w:cs="Arial"/>
          <w:sz w:val="22"/>
          <w:szCs w:val="22"/>
        </w:rPr>
        <w:t>V posledních letech se navíc přidává nedostatek míst ve školkách,</w:t>
      </w:r>
      <w:r w:rsidRPr="003F040F">
        <w:rPr>
          <w:rFonts w:ascii="Arial" w:hAnsi="Arial" w:cs="Arial"/>
          <w:sz w:val="22"/>
          <w:szCs w:val="22"/>
        </w:rPr>
        <w:t xml:space="preserve"> chyb</w:t>
      </w:r>
      <w:r w:rsidR="00152564">
        <w:rPr>
          <w:rFonts w:ascii="Arial" w:hAnsi="Arial" w:cs="Arial"/>
          <w:sz w:val="22"/>
          <w:szCs w:val="22"/>
        </w:rPr>
        <w:t>í přitom</w:t>
      </w:r>
      <w:r w:rsidRPr="003F040F">
        <w:rPr>
          <w:rFonts w:ascii="Arial" w:hAnsi="Arial" w:cs="Arial"/>
          <w:sz w:val="22"/>
          <w:szCs w:val="22"/>
        </w:rPr>
        <w:t xml:space="preserve"> možnost zabezpečit péči o děti formou finančně nenáročné služby, či v rámci rodin. Rodiče vracející se z mateřské dovolené zaměstnavatelé přirovnávají k absolventům. Navíc se obávají časté nemocnosti dětí a s tím spojené absence rodiče na pracovišti. </w:t>
      </w:r>
      <w:r w:rsidRPr="00570EF7">
        <w:rPr>
          <w:rFonts w:ascii="Arial" w:hAnsi="Arial" w:cs="Arial"/>
          <w:b/>
          <w:sz w:val="22"/>
          <w:szCs w:val="22"/>
        </w:rPr>
        <w:t>K</w:t>
      </w:r>
      <w:r w:rsidR="00570EF7">
        <w:rPr>
          <w:rFonts w:ascii="Arial" w:hAnsi="Arial" w:cs="Arial"/>
          <w:b/>
          <w:sz w:val="22"/>
          <w:szCs w:val="22"/>
        </w:rPr>
        <w:t>e</w:t>
      </w:r>
      <w:r w:rsidRPr="00570EF7">
        <w:rPr>
          <w:rFonts w:ascii="Arial" w:hAnsi="Arial" w:cs="Arial"/>
          <w:b/>
          <w:sz w:val="22"/>
          <w:szCs w:val="22"/>
        </w:rPr>
        <w:t xml:space="preserve"> 31. 12. 2014</w:t>
      </w:r>
      <w:r w:rsidRPr="003F040F">
        <w:rPr>
          <w:rFonts w:ascii="Arial" w:hAnsi="Arial" w:cs="Arial"/>
          <w:sz w:val="22"/>
          <w:szCs w:val="22"/>
        </w:rPr>
        <w:t xml:space="preserve"> bylo v evidenci ÚP v jihomoravském kraji vedeno </w:t>
      </w:r>
      <w:r w:rsidRPr="00570EF7">
        <w:rPr>
          <w:rFonts w:ascii="Arial" w:hAnsi="Arial" w:cs="Arial"/>
          <w:b/>
          <w:sz w:val="22"/>
          <w:szCs w:val="22"/>
        </w:rPr>
        <w:t>5 684</w:t>
      </w:r>
      <w:r w:rsidRPr="003F040F">
        <w:rPr>
          <w:rFonts w:ascii="Arial" w:hAnsi="Arial" w:cs="Arial"/>
          <w:sz w:val="22"/>
          <w:szCs w:val="22"/>
        </w:rPr>
        <w:t xml:space="preserve"> takovýchto osob.</w:t>
      </w:r>
      <w:bookmarkEnd w:id="45"/>
    </w:p>
    <w:p w:rsidR="00EC2D91" w:rsidRDefault="00EC2D91" w:rsidP="00EC2D91">
      <w:pPr>
        <w:jc w:val="both"/>
        <w:rPr>
          <w:rFonts w:ascii="Arial" w:hAnsi="Arial" w:cs="Arial"/>
        </w:rPr>
      </w:pPr>
    </w:p>
    <w:p w:rsidR="00EC2D91" w:rsidRDefault="00EC2D91" w:rsidP="00EC2D91"/>
    <w:p w:rsidR="00A136D5" w:rsidRDefault="00A136D5" w:rsidP="00EC2D91"/>
    <w:p w:rsidR="00A136D5" w:rsidRDefault="00A136D5" w:rsidP="00EC2D91"/>
    <w:p w:rsidR="00EC2D91" w:rsidRPr="00BA162D" w:rsidRDefault="00EC2D91" w:rsidP="00EC2D91">
      <w:pPr>
        <w:pStyle w:val="Nadpis2"/>
      </w:pPr>
      <w:bookmarkStart w:id="46" w:name="_Toc381372893"/>
      <w:bookmarkStart w:id="47" w:name="_Toc411611475"/>
      <w:r w:rsidRPr="00BA162D">
        <w:t>3.2 Problémové regiony</w:t>
      </w:r>
      <w:bookmarkEnd w:id="46"/>
      <w:bookmarkEnd w:id="47"/>
    </w:p>
    <w:p w:rsidR="00EC2D91" w:rsidRDefault="00EC2D91" w:rsidP="00EC2D91">
      <w:pPr>
        <w:pStyle w:val="Zkladntext"/>
        <w:spacing w:line="240" w:lineRule="auto"/>
        <w:rPr>
          <w:rFonts w:ascii="Arial" w:hAnsi="Arial" w:cs="Arial"/>
          <w:sz w:val="22"/>
          <w:szCs w:val="22"/>
        </w:rPr>
      </w:pPr>
    </w:p>
    <w:p w:rsidR="0053719A" w:rsidRDefault="00F4056B" w:rsidP="00F4056B">
      <w:pPr>
        <w:pStyle w:val="Zkladntext"/>
        <w:jc w:val="both"/>
        <w:rPr>
          <w:rFonts w:ascii="Arial" w:hAnsi="Arial" w:cs="Arial"/>
          <w:b w:val="0"/>
          <w:sz w:val="22"/>
          <w:szCs w:val="22"/>
        </w:rPr>
      </w:pPr>
      <w:r>
        <w:rPr>
          <w:rFonts w:ascii="Arial" w:hAnsi="Arial" w:cs="Arial"/>
          <w:b w:val="0"/>
          <w:sz w:val="22"/>
          <w:szCs w:val="22"/>
        </w:rPr>
        <w:t xml:space="preserve">Na většině území </w:t>
      </w:r>
      <w:r w:rsidR="00DB1EB9">
        <w:rPr>
          <w:rFonts w:ascii="Arial" w:hAnsi="Arial" w:cs="Arial"/>
          <w:b w:val="0"/>
          <w:sz w:val="22"/>
          <w:szCs w:val="22"/>
        </w:rPr>
        <w:t>Jihomoravské</w:t>
      </w:r>
      <w:r w:rsidR="00A136D5">
        <w:rPr>
          <w:rFonts w:ascii="Arial" w:hAnsi="Arial" w:cs="Arial"/>
          <w:b w:val="0"/>
          <w:sz w:val="22"/>
          <w:szCs w:val="22"/>
        </w:rPr>
        <w:t>ho</w:t>
      </w:r>
      <w:r w:rsidR="00DB1EB9">
        <w:rPr>
          <w:rFonts w:ascii="Arial" w:hAnsi="Arial" w:cs="Arial"/>
          <w:b w:val="0"/>
          <w:sz w:val="22"/>
          <w:szCs w:val="22"/>
        </w:rPr>
        <w:t xml:space="preserve"> kraj</w:t>
      </w:r>
      <w:r w:rsidR="00A136D5">
        <w:rPr>
          <w:rFonts w:ascii="Arial" w:hAnsi="Arial" w:cs="Arial"/>
          <w:b w:val="0"/>
          <w:sz w:val="22"/>
          <w:szCs w:val="22"/>
        </w:rPr>
        <w:t>e</w:t>
      </w:r>
      <w:r w:rsidR="00DB1EB9">
        <w:rPr>
          <w:rFonts w:ascii="Arial" w:hAnsi="Arial" w:cs="Arial"/>
          <w:b w:val="0"/>
          <w:sz w:val="22"/>
          <w:szCs w:val="22"/>
        </w:rPr>
        <w:t xml:space="preserve"> se</w:t>
      </w:r>
      <w:r w:rsidR="00A136D5">
        <w:rPr>
          <w:rFonts w:ascii="Arial" w:hAnsi="Arial" w:cs="Arial"/>
          <w:b w:val="0"/>
          <w:sz w:val="22"/>
          <w:szCs w:val="22"/>
        </w:rPr>
        <w:t xml:space="preserve"> nezaměstnanost </w:t>
      </w:r>
      <w:r w:rsidR="00DB1EB9">
        <w:rPr>
          <w:rFonts w:ascii="Arial" w:hAnsi="Arial" w:cs="Arial"/>
          <w:b w:val="0"/>
          <w:sz w:val="22"/>
          <w:szCs w:val="22"/>
        </w:rPr>
        <w:t xml:space="preserve"> </w:t>
      </w:r>
      <w:r w:rsidR="00A136D5">
        <w:rPr>
          <w:rFonts w:ascii="Arial" w:hAnsi="Arial" w:cs="Arial"/>
          <w:b w:val="0"/>
          <w:sz w:val="22"/>
          <w:szCs w:val="22"/>
        </w:rPr>
        <w:t>dlouhodobě</w:t>
      </w:r>
      <w:r w:rsidR="00DB1EB9">
        <w:rPr>
          <w:rFonts w:ascii="Arial" w:hAnsi="Arial" w:cs="Arial"/>
          <w:b w:val="0"/>
          <w:sz w:val="22"/>
          <w:szCs w:val="22"/>
        </w:rPr>
        <w:t xml:space="preserve"> pohybuje nad průměrem České republiky. Ze 34 mikroregionů vymezených dle území pověřených obecních úřadů přesně v polovině byla ke konci roku nezaměstnanost vyšší než </w:t>
      </w:r>
      <w:r>
        <w:rPr>
          <w:rFonts w:ascii="Arial" w:hAnsi="Arial" w:cs="Arial"/>
          <w:b w:val="0"/>
          <w:sz w:val="22"/>
          <w:szCs w:val="22"/>
        </w:rPr>
        <w:t xml:space="preserve">byl </w:t>
      </w:r>
      <w:r w:rsidR="00DB1EB9">
        <w:rPr>
          <w:rFonts w:ascii="Arial" w:hAnsi="Arial" w:cs="Arial"/>
          <w:b w:val="0"/>
          <w:sz w:val="22"/>
          <w:szCs w:val="22"/>
        </w:rPr>
        <w:t>průmě</w:t>
      </w:r>
      <w:r>
        <w:rPr>
          <w:rFonts w:ascii="Arial" w:hAnsi="Arial" w:cs="Arial"/>
          <w:b w:val="0"/>
          <w:sz w:val="22"/>
          <w:szCs w:val="22"/>
        </w:rPr>
        <w:t>r</w:t>
      </w:r>
      <w:r w:rsidR="00DB1EB9">
        <w:rPr>
          <w:rFonts w:ascii="Arial" w:hAnsi="Arial" w:cs="Arial"/>
          <w:b w:val="0"/>
          <w:sz w:val="22"/>
          <w:szCs w:val="22"/>
        </w:rPr>
        <w:t xml:space="preserve"> ČR</w:t>
      </w:r>
      <w:r>
        <w:rPr>
          <w:rFonts w:ascii="Arial" w:hAnsi="Arial" w:cs="Arial"/>
          <w:b w:val="0"/>
          <w:sz w:val="22"/>
          <w:szCs w:val="22"/>
        </w:rPr>
        <w:t xml:space="preserve"> (7,5%). Nad krajským průměrem (8,2%) pak bylo 14 mikroregionů.</w:t>
      </w:r>
      <w:r w:rsidR="00A136D5">
        <w:rPr>
          <w:rFonts w:ascii="Arial" w:hAnsi="Arial" w:cs="Arial"/>
          <w:b w:val="0"/>
          <w:sz w:val="22"/>
          <w:szCs w:val="22"/>
        </w:rPr>
        <w:t xml:space="preserve"> </w:t>
      </w:r>
    </w:p>
    <w:p w:rsidR="004378F3" w:rsidRPr="0053719A" w:rsidRDefault="00A136D5" w:rsidP="00F4056B">
      <w:pPr>
        <w:pStyle w:val="Zkladntext"/>
        <w:jc w:val="both"/>
        <w:rPr>
          <w:rFonts w:ascii="Arial" w:hAnsi="Arial" w:cs="Arial"/>
          <w:sz w:val="22"/>
          <w:szCs w:val="22"/>
        </w:rPr>
      </w:pPr>
      <w:r w:rsidRPr="0053719A">
        <w:rPr>
          <w:rFonts w:ascii="Arial" w:hAnsi="Arial" w:cs="Arial"/>
          <w:sz w:val="22"/>
          <w:szCs w:val="22"/>
        </w:rPr>
        <w:t xml:space="preserve">V osmi mikroregionech </w:t>
      </w:r>
      <w:r w:rsidRPr="0053719A">
        <w:rPr>
          <w:rFonts w:ascii="Arial" w:hAnsi="Arial" w:cs="Arial"/>
          <w:b w:val="0"/>
          <w:sz w:val="22"/>
          <w:szCs w:val="22"/>
        </w:rPr>
        <w:t>pak</w:t>
      </w:r>
      <w:r w:rsidRPr="0053719A">
        <w:rPr>
          <w:rFonts w:ascii="Arial" w:hAnsi="Arial" w:cs="Arial"/>
          <w:sz w:val="22"/>
          <w:szCs w:val="22"/>
        </w:rPr>
        <w:t xml:space="preserve"> je podíl nezaměstnaných nejméně o dva procentní body nad průměrem </w:t>
      </w:r>
      <w:r w:rsidR="0053719A">
        <w:rPr>
          <w:rFonts w:ascii="Arial" w:hAnsi="Arial" w:cs="Arial"/>
          <w:sz w:val="22"/>
          <w:szCs w:val="22"/>
        </w:rPr>
        <w:t>Č</w:t>
      </w:r>
      <w:r w:rsidRPr="0053719A">
        <w:rPr>
          <w:rFonts w:ascii="Arial" w:hAnsi="Arial" w:cs="Arial"/>
          <w:sz w:val="22"/>
          <w:szCs w:val="22"/>
        </w:rPr>
        <w:t>eské republiky - viz následující tabulka:</w:t>
      </w:r>
    </w:p>
    <w:p w:rsidR="00DB1EB9" w:rsidRDefault="00DB1EB9" w:rsidP="00F4056B">
      <w:pPr>
        <w:pStyle w:val="Zkladntext"/>
        <w:jc w:val="both"/>
        <w:rPr>
          <w:rFonts w:ascii="Arial" w:hAnsi="Arial" w:cs="Arial"/>
          <w:b w:val="0"/>
          <w:sz w:val="22"/>
          <w:szCs w:val="22"/>
        </w:rPr>
      </w:pPr>
    </w:p>
    <w:p w:rsidR="00DB1EB9" w:rsidRDefault="00DB1EB9" w:rsidP="00F4056B">
      <w:pPr>
        <w:pStyle w:val="Zkladntext"/>
        <w:jc w:val="both"/>
        <w:rPr>
          <w:rFonts w:ascii="Arial" w:hAnsi="Arial" w:cs="Arial"/>
          <w:b w:val="0"/>
          <w:sz w:val="22"/>
          <w:szCs w:val="22"/>
        </w:rPr>
      </w:pPr>
    </w:p>
    <w:p w:rsidR="00DB1EB9" w:rsidRDefault="00DB1EB9" w:rsidP="00F4056B">
      <w:pPr>
        <w:pStyle w:val="Zkladntext"/>
        <w:jc w:val="both"/>
        <w:rPr>
          <w:rFonts w:ascii="Arial" w:hAnsi="Arial" w:cs="Arial"/>
          <w:b w:val="0"/>
          <w:sz w:val="22"/>
          <w:szCs w:val="22"/>
        </w:rPr>
      </w:pPr>
    </w:p>
    <w:p w:rsidR="004378F3" w:rsidRDefault="004378F3" w:rsidP="004378F3">
      <w:pPr>
        <w:pStyle w:val="Bezmezer"/>
        <w:rPr>
          <w:rFonts w:ascii="Arial" w:hAnsi="Arial" w:cs="Arial"/>
          <w:b/>
          <w:i/>
          <w:sz w:val="20"/>
          <w:szCs w:val="20"/>
        </w:rPr>
      </w:pPr>
    </w:p>
    <w:p w:rsidR="004378F3" w:rsidRPr="004378F3" w:rsidRDefault="004378F3" w:rsidP="004378F3">
      <w:pPr>
        <w:rPr>
          <w:rFonts w:ascii="Arial" w:hAnsi="Arial" w:cs="Arial"/>
          <w:b/>
          <w:i/>
          <w:snapToGrid w:val="0"/>
          <w:sz w:val="20"/>
          <w:szCs w:val="20"/>
        </w:rPr>
      </w:pPr>
      <w:r w:rsidRPr="004378F3">
        <w:rPr>
          <w:rFonts w:ascii="Arial" w:hAnsi="Arial" w:cs="Arial"/>
          <w:b/>
          <w:i/>
          <w:sz w:val="20"/>
          <w:szCs w:val="20"/>
        </w:rPr>
        <w:t xml:space="preserve">Tab. </w:t>
      </w:r>
      <w:r w:rsidRPr="004378F3">
        <w:rPr>
          <w:rFonts w:ascii="Arial" w:hAnsi="Arial" w:cs="Arial"/>
          <w:b/>
          <w:i/>
          <w:sz w:val="20"/>
          <w:szCs w:val="20"/>
        </w:rPr>
        <w:fldChar w:fldCharType="begin"/>
      </w:r>
      <w:r w:rsidRPr="004378F3">
        <w:rPr>
          <w:rFonts w:ascii="Arial" w:hAnsi="Arial" w:cs="Arial"/>
          <w:b/>
          <w:i/>
          <w:sz w:val="20"/>
          <w:szCs w:val="20"/>
        </w:rPr>
        <w:instrText xml:space="preserve"> SEQ Tab. \* ARABIC </w:instrText>
      </w:r>
      <w:r w:rsidRPr="004378F3">
        <w:rPr>
          <w:rFonts w:ascii="Arial" w:hAnsi="Arial" w:cs="Arial"/>
          <w:b/>
          <w:i/>
          <w:sz w:val="20"/>
          <w:szCs w:val="20"/>
        </w:rPr>
        <w:fldChar w:fldCharType="separate"/>
      </w:r>
      <w:r w:rsidRPr="004378F3">
        <w:rPr>
          <w:rFonts w:ascii="Arial" w:hAnsi="Arial" w:cs="Arial"/>
          <w:b/>
          <w:i/>
          <w:noProof/>
          <w:sz w:val="20"/>
          <w:szCs w:val="20"/>
        </w:rPr>
        <w:t>16</w:t>
      </w:r>
      <w:r w:rsidRPr="004378F3">
        <w:rPr>
          <w:rFonts w:ascii="Arial" w:hAnsi="Arial" w:cs="Arial"/>
          <w:b/>
          <w:i/>
          <w:sz w:val="20"/>
          <w:szCs w:val="20"/>
        </w:rPr>
        <w:fldChar w:fldCharType="end"/>
      </w:r>
      <w:r w:rsidRPr="004378F3">
        <w:rPr>
          <w:rFonts w:ascii="Arial" w:hAnsi="Arial" w:cs="Arial"/>
          <w:b/>
          <w:i/>
          <w:snapToGrid w:val="0"/>
          <w:sz w:val="20"/>
          <w:szCs w:val="20"/>
        </w:rPr>
        <w:t xml:space="preserve"> </w:t>
      </w:r>
      <w:r w:rsidR="00DB1EB9">
        <w:rPr>
          <w:rFonts w:ascii="Arial" w:hAnsi="Arial" w:cs="Arial"/>
          <w:b/>
          <w:i/>
          <w:snapToGrid w:val="0"/>
          <w:sz w:val="20"/>
          <w:szCs w:val="20"/>
        </w:rPr>
        <w:t xml:space="preserve">Problémové mikroregiony Jihomoravského kraje.  Údaje </w:t>
      </w:r>
      <w:r w:rsidRPr="004378F3">
        <w:rPr>
          <w:rFonts w:ascii="Arial" w:hAnsi="Arial" w:cs="Arial"/>
          <w:b/>
          <w:i/>
          <w:snapToGrid w:val="0"/>
          <w:sz w:val="20"/>
          <w:szCs w:val="20"/>
        </w:rPr>
        <w:t>k 31. 12. 2014</w:t>
      </w:r>
    </w:p>
    <w:tbl>
      <w:tblPr>
        <w:tblW w:w="9554" w:type="dxa"/>
        <w:tblInd w:w="55" w:type="dxa"/>
        <w:tblCellMar>
          <w:left w:w="70" w:type="dxa"/>
          <w:right w:w="70" w:type="dxa"/>
        </w:tblCellMar>
        <w:tblLook w:val="04A0" w:firstRow="1" w:lastRow="0" w:firstColumn="1" w:lastColumn="0" w:noHBand="0" w:noVBand="1"/>
      </w:tblPr>
      <w:tblGrid>
        <w:gridCol w:w="2560"/>
        <w:gridCol w:w="1678"/>
        <w:gridCol w:w="980"/>
        <w:gridCol w:w="980"/>
        <w:gridCol w:w="1678"/>
        <w:gridCol w:w="1678"/>
      </w:tblGrid>
      <w:tr w:rsidR="00570EF7" w:rsidRPr="00570EF7" w:rsidTr="00DB1EB9">
        <w:trPr>
          <w:trHeight w:val="300"/>
        </w:trPr>
        <w:tc>
          <w:tcPr>
            <w:tcW w:w="2560" w:type="dxa"/>
            <w:vMerge w:val="restart"/>
            <w:tcBorders>
              <w:top w:val="single" w:sz="8" w:space="0" w:color="auto"/>
              <w:left w:val="single" w:sz="8" w:space="0" w:color="auto"/>
              <w:bottom w:val="single" w:sz="8" w:space="0" w:color="000000"/>
              <w:right w:val="nil"/>
            </w:tcBorders>
            <w:shd w:val="clear" w:color="000000" w:fill="F2F2F2"/>
            <w:vAlign w:val="center"/>
            <w:hideMark/>
          </w:tcPr>
          <w:p w:rsidR="00570EF7" w:rsidRPr="00570EF7" w:rsidRDefault="00570EF7" w:rsidP="00570EF7">
            <w:pPr>
              <w:spacing w:line="240" w:lineRule="auto"/>
              <w:jc w:val="center"/>
              <w:rPr>
                <w:rFonts w:asciiTheme="minorHAnsi" w:hAnsiTheme="minorHAnsi"/>
                <w:b/>
                <w:bCs/>
                <w:sz w:val="22"/>
                <w:szCs w:val="22"/>
              </w:rPr>
            </w:pPr>
            <w:r w:rsidRPr="00570EF7">
              <w:rPr>
                <w:rFonts w:asciiTheme="minorHAnsi" w:hAnsiTheme="minorHAnsi"/>
                <w:b/>
                <w:bCs/>
                <w:sz w:val="22"/>
                <w:szCs w:val="22"/>
              </w:rPr>
              <w:t>Území</w:t>
            </w:r>
          </w:p>
        </w:tc>
        <w:tc>
          <w:tcPr>
            <w:tcW w:w="1678"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rsidR="00570EF7" w:rsidRPr="00570EF7" w:rsidRDefault="00570EF7" w:rsidP="00570EF7">
            <w:pPr>
              <w:spacing w:line="240" w:lineRule="auto"/>
              <w:jc w:val="center"/>
              <w:rPr>
                <w:rFonts w:asciiTheme="minorHAnsi" w:hAnsiTheme="minorHAnsi"/>
                <w:b/>
                <w:bCs/>
                <w:sz w:val="22"/>
                <w:szCs w:val="22"/>
              </w:rPr>
            </w:pPr>
            <w:r w:rsidRPr="00570EF7">
              <w:rPr>
                <w:rFonts w:asciiTheme="minorHAnsi" w:hAnsiTheme="minorHAnsi"/>
                <w:b/>
                <w:bCs/>
                <w:sz w:val="22"/>
                <w:szCs w:val="22"/>
              </w:rPr>
              <w:t>počet nezaměstnaných</w:t>
            </w:r>
          </w:p>
        </w:tc>
        <w:tc>
          <w:tcPr>
            <w:tcW w:w="1960" w:type="dxa"/>
            <w:gridSpan w:val="2"/>
            <w:vMerge w:val="restart"/>
            <w:tcBorders>
              <w:top w:val="single" w:sz="8" w:space="0" w:color="auto"/>
              <w:left w:val="single" w:sz="4" w:space="0" w:color="auto"/>
              <w:bottom w:val="single" w:sz="4" w:space="0" w:color="auto"/>
              <w:right w:val="single" w:sz="8" w:space="0" w:color="000000"/>
            </w:tcBorders>
            <w:shd w:val="clear" w:color="000000" w:fill="F2F2F2"/>
            <w:vAlign w:val="center"/>
            <w:hideMark/>
          </w:tcPr>
          <w:p w:rsidR="00570EF7" w:rsidRPr="00570EF7" w:rsidRDefault="00570EF7" w:rsidP="00570EF7">
            <w:pPr>
              <w:spacing w:line="240" w:lineRule="auto"/>
              <w:jc w:val="center"/>
              <w:rPr>
                <w:rFonts w:asciiTheme="minorHAnsi" w:hAnsiTheme="minorHAnsi"/>
                <w:b/>
                <w:bCs/>
                <w:sz w:val="22"/>
                <w:szCs w:val="22"/>
              </w:rPr>
            </w:pPr>
            <w:r w:rsidRPr="00570EF7">
              <w:rPr>
                <w:rFonts w:asciiTheme="minorHAnsi" w:hAnsiTheme="minorHAnsi"/>
                <w:b/>
                <w:bCs/>
                <w:sz w:val="22"/>
                <w:szCs w:val="22"/>
              </w:rPr>
              <w:t>podíl (%)</w:t>
            </w:r>
          </w:p>
        </w:tc>
        <w:tc>
          <w:tcPr>
            <w:tcW w:w="1678" w:type="dxa"/>
            <w:vMerge w:val="restart"/>
            <w:tcBorders>
              <w:top w:val="single" w:sz="8" w:space="0" w:color="auto"/>
              <w:left w:val="nil"/>
              <w:bottom w:val="single" w:sz="8" w:space="0" w:color="000000"/>
              <w:right w:val="single" w:sz="4" w:space="0" w:color="auto"/>
            </w:tcBorders>
            <w:shd w:val="clear" w:color="000000" w:fill="F2F2F2"/>
            <w:vAlign w:val="center"/>
            <w:hideMark/>
          </w:tcPr>
          <w:p w:rsidR="00570EF7" w:rsidRPr="00570EF7" w:rsidRDefault="00570EF7" w:rsidP="00570EF7">
            <w:pPr>
              <w:spacing w:line="240" w:lineRule="auto"/>
              <w:jc w:val="center"/>
              <w:rPr>
                <w:rFonts w:asciiTheme="minorHAnsi" w:hAnsiTheme="minorHAnsi"/>
                <w:b/>
                <w:bCs/>
                <w:color w:val="000000"/>
                <w:sz w:val="22"/>
                <w:szCs w:val="22"/>
              </w:rPr>
            </w:pPr>
            <w:r w:rsidRPr="00570EF7">
              <w:rPr>
                <w:rFonts w:asciiTheme="minorHAnsi" w:hAnsiTheme="minorHAnsi"/>
                <w:b/>
                <w:bCs/>
                <w:color w:val="000000"/>
                <w:sz w:val="22"/>
                <w:szCs w:val="22"/>
              </w:rPr>
              <w:t>Podíl dlouhodobě nezaměstnaných</w:t>
            </w:r>
          </w:p>
        </w:tc>
        <w:tc>
          <w:tcPr>
            <w:tcW w:w="1678" w:type="dxa"/>
            <w:vMerge w:val="restart"/>
            <w:tcBorders>
              <w:top w:val="single" w:sz="8" w:space="0" w:color="auto"/>
              <w:left w:val="single" w:sz="4" w:space="0" w:color="auto"/>
              <w:bottom w:val="single" w:sz="8" w:space="0" w:color="000000"/>
              <w:right w:val="single" w:sz="8" w:space="0" w:color="auto"/>
            </w:tcBorders>
            <w:shd w:val="clear" w:color="000000" w:fill="F2F2F2"/>
            <w:vAlign w:val="center"/>
            <w:hideMark/>
          </w:tcPr>
          <w:p w:rsidR="00570EF7" w:rsidRPr="00570EF7" w:rsidRDefault="00570EF7" w:rsidP="00570EF7">
            <w:pPr>
              <w:spacing w:line="240" w:lineRule="auto"/>
              <w:jc w:val="center"/>
              <w:rPr>
                <w:rFonts w:asciiTheme="minorHAnsi" w:hAnsiTheme="minorHAnsi"/>
                <w:b/>
                <w:bCs/>
                <w:sz w:val="22"/>
                <w:szCs w:val="22"/>
              </w:rPr>
            </w:pPr>
            <w:r w:rsidRPr="00570EF7">
              <w:rPr>
                <w:rFonts w:asciiTheme="minorHAnsi" w:hAnsiTheme="minorHAnsi"/>
                <w:b/>
                <w:bCs/>
                <w:sz w:val="22"/>
                <w:szCs w:val="22"/>
              </w:rPr>
              <w:t>Podíl nezaměstnaných [%]</w:t>
            </w:r>
          </w:p>
        </w:tc>
      </w:tr>
      <w:tr w:rsidR="00570EF7" w:rsidRPr="00570EF7" w:rsidTr="00DB1EB9">
        <w:trPr>
          <w:trHeight w:val="290"/>
        </w:trPr>
        <w:tc>
          <w:tcPr>
            <w:tcW w:w="2560" w:type="dxa"/>
            <w:vMerge/>
            <w:tcBorders>
              <w:top w:val="single" w:sz="8" w:space="0" w:color="auto"/>
              <w:left w:val="single" w:sz="8" w:space="0" w:color="auto"/>
              <w:bottom w:val="single" w:sz="8" w:space="0" w:color="000000"/>
              <w:right w:val="nil"/>
            </w:tcBorders>
            <w:vAlign w:val="center"/>
            <w:hideMark/>
          </w:tcPr>
          <w:p w:rsidR="00570EF7" w:rsidRPr="00570EF7" w:rsidRDefault="00570EF7" w:rsidP="00570EF7">
            <w:pPr>
              <w:spacing w:line="240" w:lineRule="auto"/>
              <w:rPr>
                <w:rFonts w:asciiTheme="minorHAnsi" w:hAnsiTheme="minorHAnsi"/>
                <w:b/>
                <w:bCs/>
                <w:sz w:val="22"/>
                <w:szCs w:val="22"/>
              </w:rPr>
            </w:pPr>
          </w:p>
        </w:tc>
        <w:tc>
          <w:tcPr>
            <w:tcW w:w="1678" w:type="dxa"/>
            <w:vMerge/>
            <w:tcBorders>
              <w:top w:val="single" w:sz="8" w:space="0" w:color="auto"/>
              <w:left w:val="single" w:sz="8" w:space="0" w:color="auto"/>
              <w:bottom w:val="single" w:sz="8" w:space="0" w:color="000000"/>
              <w:right w:val="single" w:sz="4" w:space="0" w:color="auto"/>
            </w:tcBorders>
            <w:vAlign w:val="center"/>
            <w:hideMark/>
          </w:tcPr>
          <w:p w:rsidR="00570EF7" w:rsidRPr="00570EF7" w:rsidRDefault="00570EF7" w:rsidP="00570EF7">
            <w:pPr>
              <w:spacing w:line="240" w:lineRule="auto"/>
              <w:rPr>
                <w:rFonts w:asciiTheme="minorHAnsi" w:hAnsiTheme="minorHAnsi"/>
                <w:b/>
                <w:bCs/>
                <w:sz w:val="22"/>
                <w:szCs w:val="22"/>
              </w:rPr>
            </w:pPr>
          </w:p>
        </w:tc>
        <w:tc>
          <w:tcPr>
            <w:tcW w:w="1960" w:type="dxa"/>
            <w:gridSpan w:val="2"/>
            <w:vMerge/>
            <w:tcBorders>
              <w:top w:val="single" w:sz="8" w:space="0" w:color="auto"/>
              <w:left w:val="single" w:sz="4" w:space="0" w:color="auto"/>
              <w:bottom w:val="single" w:sz="4" w:space="0" w:color="auto"/>
              <w:right w:val="single" w:sz="8" w:space="0" w:color="000000"/>
            </w:tcBorders>
            <w:vAlign w:val="center"/>
            <w:hideMark/>
          </w:tcPr>
          <w:p w:rsidR="00570EF7" w:rsidRPr="00570EF7" w:rsidRDefault="00570EF7" w:rsidP="00570EF7">
            <w:pPr>
              <w:spacing w:line="240" w:lineRule="auto"/>
              <w:rPr>
                <w:rFonts w:asciiTheme="minorHAnsi" w:hAnsiTheme="minorHAnsi"/>
                <w:b/>
                <w:bCs/>
                <w:sz w:val="22"/>
                <w:szCs w:val="22"/>
              </w:rPr>
            </w:pPr>
          </w:p>
        </w:tc>
        <w:tc>
          <w:tcPr>
            <w:tcW w:w="1678" w:type="dxa"/>
            <w:vMerge/>
            <w:tcBorders>
              <w:top w:val="single" w:sz="8" w:space="0" w:color="auto"/>
              <w:left w:val="nil"/>
              <w:bottom w:val="single" w:sz="8" w:space="0" w:color="000000"/>
              <w:right w:val="single" w:sz="4" w:space="0" w:color="auto"/>
            </w:tcBorders>
            <w:vAlign w:val="center"/>
            <w:hideMark/>
          </w:tcPr>
          <w:p w:rsidR="00570EF7" w:rsidRPr="00570EF7" w:rsidRDefault="00570EF7" w:rsidP="00570EF7">
            <w:pPr>
              <w:spacing w:line="240" w:lineRule="auto"/>
              <w:rPr>
                <w:rFonts w:asciiTheme="minorHAnsi" w:hAnsiTheme="minorHAnsi"/>
                <w:b/>
                <w:bCs/>
                <w:color w:val="000000"/>
                <w:sz w:val="22"/>
                <w:szCs w:val="22"/>
              </w:rPr>
            </w:pPr>
          </w:p>
        </w:tc>
        <w:tc>
          <w:tcPr>
            <w:tcW w:w="1678" w:type="dxa"/>
            <w:vMerge/>
            <w:tcBorders>
              <w:top w:val="single" w:sz="8" w:space="0" w:color="auto"/>
              <w:left w:val="single" w:sz="4" w:space="0" w:color="auto"/>
              <w:bottom w:val="single" w:sz="8" w:space="0" w:color="000000"/>
              <w:right w:val="single" w:sz="8" w:space="0" w:color="auto"/>
            </w:tcBorders>
            <w:vAlign w:val="center"/>
            <w:hideMark/>
          </w:tcPr>
          <w:p w:rsidR="00570EF7" w:rsidRPr="00570EF7" w:rsidRDefault="00570EF7" w:rsidP="00570EF7">
            <w:pPr>
              <w:spacing w:line="240" w:lineRule="auto"/>
              <w:rPr>
                <w:rFonts w:asciiTheme="minorHAnsi" w:hAnsiTheme="minorHAnsi"/>
                <w:b/>
                <w:bCs/>
                <w:sz w:val="22"/>
                <w:szCs w:val="22"/>
              </w:rPr>
            </w:pPr>
          </w:p>
        </w:tc>
      </w:tr>
      <w:tr w:rsidR="00570EF7" w:rsidRPr="00570EF7" w:rsidTr="00DB1EB9">
        <w:trPr>
          <w:trHeight w:val="470"/>
        </w:trPr>
        <w:tc>
          <w:tcPr>
            <w:tcW w:w="2560" w:type="dxa"/>
            <w:vMerge/>
            <w:tcBorders>
              <w:top w:val="single" w:sz="8" w:space="0" w:color="auto"/>
              <w:left w:val="single" w:sz="8" w:space="0" w:color="auto"/>
              <w:bottom w:val="single" w:sz="8" w:space="0" w:color="000000"/>
              <w:right w:val="nil"/>
            </w:tcBorders>
            <w:vAlign w:val="center"/>
            <w:hideMark/>
          </w:tcPr>
          <w:p w:rsidR="00570EF7" w:rsidRPr="00570EF7" w:rsidRDefault="00570EF7" w:rsidP="00570EF7">
            <w:pPr>
              <w:spacing w:line="240" w:lineRule="auto"/>
              <w:rPr>
                <w:rFonts w:asciiTheme="minorHAnsi" w:hAnsiTheme="minorHAnsi"/>
                <w:b/>
                <w:bCs/>
                <w:sz w:val="22"/>
                <w:szCs w:val="22"/>
              </w:rPr>
            </w:pPr>
          </w:p>
        </w:tc>
        <w:tc>
          <w:tcPr>
            <w:tcW w:w="1678" w:type="dxa"/>
            <w:vMerge/>
            <w:tcBorders>
              <w:top w:val="single" w:sz="8" w:space="0" w:color="auto"/>
              <w:left w:val="single" w:sz="8" w:space="0" w:color="auto"/>
              <w:bottom w:val="single" w:sz="8" w:space="0" w:color="000000"/>
              <w:right w:val="single" w:sz="4" w:space="0" w:color="auto"/>
            </w:tcBorders>
            <w:vAlign w:val="center"/>
            <w:hideMark/>
          </w:tcPr>
          <w:p w:rsidR="00570EF7" w:rsidRPr="00570EF7" w:rsidRDefault="00570EF7" w:rsidP="00570EF7">
            <w:pPr>
              <w:spacing w:line="240" w:lineRule="auto"/>
              <w:rPr>
                <w:rFonts w:asciiTheme="minorHAnsi" w:hAnsiTheme="minorHAnsi"/>
                <w:b/>
                <w:bCs/>
                <w:sz w:val="22"/>
                <w:szCs w:val="22"/>
              </w:rPr>
            </w:pPr>
          </w:p>
        </w:tc>
        <w:tc>
          <w:tcPr>
            <w:tcW w:w="980" w:type="dxa"/>
            <w:tcBorders>
              <w:top w:val="nil"/>
              <w:left w:val="nil"/>
              <w:bottom w:val="single" w:sz="8" w:space="0" w:color="auto"/>
              <w:right w:val="single" w:sz="4" w:space="0" w:color="auto"/>
            </w:tcBorders>
            <w:shd w:val="clear" w:color="000000" w:fill="F2F2F2"/>
            <w:vAlign w:val="center"/>
            <w:hideMark/>
          </w:tcPr>
          <w:p w:rsidR="00570EF7" w:rsidRPr="00570EF7" w:rsidRDefault="00570EF7" w:rsidP="00570EF7">
            <w:pPr>
              <w:spacing w:line="240" w:lineRule="auto"/>
              <w:jc w:val="center"/>
              <w:rPr>
                <w:rFonts w:asciiTheme="minorHAnsi" w:hAnsiTheme="minorHAnsi"/>
                <w:b/>
                <w:bCs/>
                <w:sz w:val="22"/>
                <w:szCs w:val="22"/>
              </w:rPr>
            </w:pPr>
            <w:r w:rsidRPr="00570EF7">
              <w:rPr>
                <w:rFonts w:asciiTheme="minorHAnsi" w:hAnsiTheme="minorHAnsi"/>
                <w:b/>
                <w:bCs/>
                <w:sz w:val="22"/>
                <w:szCs w:val="22"/>
              </w:rPr>
              <w:t>muži</w:t>
            </w:r>
          </w:p>
        </w:tc>
        <w:tc>
          <w:tcPr>
            <w:tcW w:w="980" w:type="dxa"/>
            <w:tcBorders>
              <w:top w:val="nil"/>
              <w:left w:val="nil"/>
              <w:bottom w:val="single" w:sz="8" w:space="0" w:color="auto"/>
              <w:right w:val="single" w:sz="8" w:space="0" w:color="auto"/>
            </w:tcBorders>
            <w:shd w:val="clear" w:color="000000" w:fill="F2F2F2"/>
            <w:vAlign w:val="center"/>
            <w:hideMark/>
          </w:tcPr>
          <w:p w:rsidR="00570EF7" w:rsidRPr="00570EF7" w:rsidRDefault="00570EF7" w:rsidP="00570EF7">
            <w:pPr>
              <w:spacing w:line="240" w:lineRule="auto"/>
              <w:jc w:val="center"/>
              <w:rPr>
                <w:rFonts w:asciiTheme="minorHAnsi" w:hAnsiTheme="minorHAnsi"/>
                <w:b/>
                <w:bCs/>
                <w:sz w:val="22"/>
                <w:szCs w:val="22"/>
              </w:rPr>
            </w:pPr>
            <w:r w:rsidRPr="00570EF7">
              <w:rPr>
                <w:rFonts w:asciiTheme="minorHAnsi" w:hAnsiTheme="minorHAnsi"/>
                <w:b/>
                <w:bCs/>
                <w:sz w:val="22"/>
                <w:szCs w:val="22"/>
              </w:rPr>
              <w:t>ženy</w:t>
            </w:r>
          </w:p>
        </w:tc>
        <w:tc>
          <w:tcPr>
            <w:tcW w:w="1678" w:type="dxa"/>
            <w:vMerge/>
            <w:tcBorders>
              <w:top w:val="single" w:sz="8" w:space="0" w:color="auto"/>
              <w:left w:val="nil"/>
              <w:bottom w:val="single" w:sz="8" w:space="0" w:color="000000"/>
              <w:right w:val="single" w:sz="4" w:space="0" w:color="auto"/>
            </w:tcBorders>
            <w:vAlign w:val="center"/>
            <w:hideMark/>
          </w:tcPr>
          <w:p w:rsidR="00570EF7" w:rsidRPr="00570EF7" w:rsidRDefault="00570EF7" w:rsidP="00570EF7">
            <w:pPr>
              <w:spacing w:line="240" w:lineRule="auto"/>
              <w:rPr>
                <w:rFonts w:asciiTheme="minorHAnsi" w:hAnsiTheme="minorHAnsi"/>
                <w:b/>
                <w:bCs/>
                <w:color w:val="000000"/>
                <w:sz w:val="22"/>
                <w:szCs w:val="22"/>
              </w:rPr>
            </w:pPr>
          </w:p>
        </w:tc>
        <w:tc>
          <w:tcPr>
            <w:tcW w:w="1678" w:type="dxa"/>
            <w:vMerge/>
            <w:tcBorders>
              <w:top w:val="single" w:sz="8" w:space="0" w:color="auto"/>
              <w:left w:val="single" w:sz="4" w:space="0" w:color="auto"/>
              <w:bottom w:val="single" w:sz="8" w:space="0" w:color="000000"/>
              <w:right w:val="single" w:sz="8" w:space="0" w:color="auto"/>
            </w:tcBorders>
            <w:vAlign w:val="center"/>
            <w:hideMark/>
          </w:tcPr>
          <w:p w:rsidR="00570EF7" w:rsidRPr="00570EF7" w:rsidRDefault="00570EF7" w:rsidP="00570EF7">
            <w:pPr>
              <w:spacing w:line="240" w:lineRule="auto"/>
              <w:rPr>
                <w:rFonts w:asciiTheme="minorHAnsi" w:hAnsiTheme="minorHAnsi"/>
                <w:b/>
                <w:bCs/>
                <w:sz w:val="22"/>
                <w:szCs w:val="22"/>
              </w:rPr>
            </w:pPr>
          </w:p>
        </w:tc>
      </w:tr>
      <w:tr w:rsidR="00570EF7" w:rsidRPr="00570EF7" w:rsidTr="00DB1EB9">
        <w:trPr>
          <w:trHeight w:val="290"/>
        </w:trPr>
        <w:tc>
          <w:tcPr>
            <w:tcW w:w="2560" w:type="dxa"/>
            <w:tcBorders>
              <w:top w:val="nil"/>
              <w:left w:val="single" w:sz="8" w:space="0" w:color="auto"/>
              <w:bottom w:val="single" w:sz="4" w:space="0" w:color="auto"/>
              <w:right w:val="nil"/>
            </w:tcBorders>
            <w:shd w:val="clear" w:color="000000" w:fill="F2F2F2"/>
            <w:noWrap/>
            <w:vAlign w:val="center"/>
            <w:hideMark/>
          </w:tcPr>
          <w:p w:rsidR="00570EF7" w:rsidRPr="00570EF7" w:rsidRDefault="00570EF7" w:rsidP="00570EF7">
            <w:pPr>
              <w:spacing w:line="240" w:lineRule="auto"/>
              <w:rPr>
                <w:rFonts w:asciiTheme="minorHAnsi" w:hAnsiTheme="minorHAnsi"/>
                <w:sz w:val="22"/>
                <w:szCs w:val="22"/>
              </w:rPr>
            </w:pPr>
            <w:r w:rsidRPr="00570EF7">
              <w:rPr>
                <w:rFonts w:asciiTheme="minorHAnsi" w:hAnsiTheme="minorHAnsi"/>
                <w:sz w:val="22"/>
                <w:szCs w:val="22"/>
              </w:rPr>
              <w:t>Vranov nad Dyjí</w:t>
            </w:r>
          </w:p>
        </w:tc>
        <w:tc>
          <w:tcPr>
            <w:tcW w:w="1678" w:type="dxa"/>
            <w:tcBorders>
              <w:top w:val="nil"/>
              <w:left w:val="single" w:sz="8" w:space="0" w:color="auto"/>
              <w:bottom w:val="single" w:sz="4" w:space="0" w:color="auto"/>
              <w:right w:val="single" w:sz="4" w:space="0" w:color="auto"/>
            </w:tcBorders>
            <w:shd w:val="clear" w:color="000000" w:fill="FFFFFF"/>
            <w:noWrap/>
            <w:vAlign w:val="center"/>
            <w:hideMark/>
          </w:tcPr>
          <w:p w:rsidR="00570EF7" w:rsidRPr="00570EF7" w:rsidRDefault="00570EF7" w:rsidP="00570EF7">
            <w:pPr>
              <w:spacing w:line="240" w:lineRule="auto"/>
              <w:ind w:firstLineChars="100" w:firstLine="220"/>
              <w:jc w:val="right"/>
              <w:rPr>
                <w:rFonts w:asciiTheme="minorHAnsi" w:hAnsiTheme="minorHAnsi"/>
                <w:sz w:val="22"/>
                <w:szCs w:val="22"/>
              </w:rPr>
            </w:pPr>
            <w:r w:rsidRPr="00570EF7">
              <w:rPr>
                <w:rFonts w:asciiTheme="minorHAnsi" w:hAnsiTheme="minorHAnsi"/>
                <w:sz w:val="22"/>
                <w:szCs w:val="22"/>
              </w:rPr>
              <w:t>554</w:t>
            </w:r>
          </w:p>
        </w:tc>
        <w:tc>
          <w:tcPr>
            <w:tcW w:w="980"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46,9</w:t>
            </w:r>
          </w:p>
        </w:tc>
        <w:tc>
          <w:tcPr>
            <w:tcW w:w="980" w:type="dxa"/>
            <w:tcBorders>
              <w:top w:val="nil"/>
              <w:left w:val="nil"/>
              <w:bottom w:val="single" w:sz="4" w:space="0" w:color="auto"/>
              <w:right w:val="single" w:sz="8"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53,1</w:t>
            </w:r>
          </w:p>
        </w:tc>
        <w:tc>
          <w:tcPr>
            <w:tcW w:w="1678"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36,1</w:t>
            </w:r>
          </w:p>
        </w:tc>
        <w:tc>
          <w:tcPr>
            <w:tcW w:w="1678" w:type="dxa"/>
            <w:tcBorders>
              <w:top w:val="nil"/>
              <w:left w:val="nil"/>
              <w:bottom w:val="single" w:sz="4" w:space="0" w:color="auto"/>
              <w:right w:val="single" w:sz="8"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15,3</w:t>
            </w:r>
          </w:p>
        </w:tc>
      </w:tr>
      <w:tr w:rsidR="00570EF7" w:rsidRPr="00570EF7" w:rsidTr="00DB1EB9">
        <w:trPr>
          <w:trHeight w:val="290"/>
        </w:trPr>
        <w:tc>
          <w:tcPr>
            <w:tcW w:w="2560" w:type="dxa"/>
            <w:tcBorders>
              <w:top w:val="nil"/>
              <w:left w:val="single" w:sz="8" w:space="0" w:color="auto"/>
              <w:bottom w:val="single" w:sz="4" w:space="0" w:color="auto"/>
              <w:right w:val="nil"/>
            </w:tcBorders>
            <w:shd w:val="clear" w:color="000000" w:fill="F2F2F2"/>
            <w:noWrap/>
            <w:vAlign w:val="center"/>
            <w:hideMark/>
          </w:tcPr>
          <w:p w:rsidR="00570EF7" w:rsidRPr="00570EF7" w:rsidRDefault="00570EF7" w:rsidP="00570EF7">
            <w:pPr>
              <w:spacing w:line="240" w:lineRule="auto"/>
              <w:rPr>
                <w:rFonts w:asciiTheme="minorHAnsi" w:hAnsiTheme="minorHAnsi"/>
                <w:sz w:val="22"/>
                <w:szCs w:val="22"/>
              </w:rPr>
            </w:pPr>
            <w:r w:rsidRPr="00570EF7">
              <w:rPr>
                <w:rFonts w:asciiTheme="minorHAnsi" w:hAnsiTheme="minorHAnsi"/>
                <w:sz w:val="22"/>
                <w:szCs w:val="22"/>
              </w:rPr>
              <w:t>Hodonín</w:t>
            </w:r>
          </w:p>
        </w:tc>
        <w:tc>
          <w:tcPr>
            <w:tcW w:w="1678" w:type="dxa"/>
            <w:tcBorders>
              <w:top w:val="nil"/>
              <w:left w:val="single" w:sz="8" w:space="0" w:color="auto"/>
              <w:bottom w:val="single" w:sz="4" w:space="0" w:color="auto"/>
              <w:right w:val="single" w:sz="4" w:space="0" w:color="auto"/>
            </w:tcBorders>
            <w:shd w:val="clear" w:color="000000" w:fill="FFFFFF"/>
            <w:noWrap/>
            <w:vAlign w:val="center"/>
            <w:hideMark/>
          </w:tcPr>
          <w:p w:rsidR="00570EF7" w:rsidRPr="00570EF7" w:rsidRDefault="00570EF7" w:rsidP="00570EF7">
            <w:pPr>
              <w:spacing w:line="240" w:lineRule="auto"/>
              <w:ind w:firstLineChars="100" w:firstLine="220"/>
              <w:jc w:val="right"/>
              <w:rPr>
                <w:rFonts w:asciiTheme="minorHAnsi" w:hAnsiTheme="minorHAnsi"/>
                <w:sz w:val="22"/>
                <w:szCs w:val="22"/>
              </w:rPr>
            </w:pPr>
            <w:r w:rsidRPr="00570EF7">
              <w:rPr>
                <w:rFonts w:asciiTheme="minorHAnsi" w:hAnsiTheme="minorHAnsi"/>
                <w:sz w:val="22"/>
                <w:szCs w:val="22"/>
              </w:rPr>
              <w:t>5 107</w:t>
            </w:r>
          </w:p>
        </w:tc>
        <w:tc>
          <w:tcPr>
            <w:tcW w:w="980"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53,7</w:t>
            </w:r>
          </w:p>
        </w:tc>
        <w:tc>
          <w:tcPr>
            <w:tcW w:w="980" w:type="dxa"/>
            <w:tcBorders>
              <w:top w:val="nil"/>
              <w:left w:val="nil"/>
              <w:bottom w:val="single" w:sz="4" w:space="0" w:color="auto"/>
              <w:right w:val="single" w:sz="8"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46,3</w:t>
            </w:r>
          </w:p>
        </w:tc>
        <w:tc>
          <w:tcPr>
            <w:tcW w:w="1678"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47,3</w:t>
            </w:r>
          </w:p>
        </w:tc>
        <w:tc>
          <w:tcPr>
            <w:tcW w:w="1678" w:type="dxa"/>
            <w:tcBorders>
              <w:top w:val="nil"/>
              <w:left w:val="nil"/>
              <w:bottom w:val="single" w:sz="4" w:space="0" w:color="auto"/>
              <w:right w:val="single" w:sz="8"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11,8</w:t>
            </w:r>
          </w:p>
        </w:tc>
      </w:tr>
      <w:tr w:rsidR="00570EF7" w:rsidRPr="00570EF7" w:rsidTr="00DB1EB9">
        <w:trPr>
          <w:trHeight w:val="290"/>
        </w:trPr>
        <w:tc>
          <w:tcPr>
            <w:tcW w:w="2560" w:type="dxa"/>
            <w:tcBorders>
              <w:top w:val="nil"/>
              <w:left w:val="single" w:sz="8" w:space="0" w:color="auto"/>
              <w:bottom w:val="single" w:sz="4" w:space="0" w:color="auto"/>
              <w:right w:val="nil"/>
            </w:tcBorders>
            <w:shd w:val="clear" w:color="000000" w:fill="F2F2F2"/>
            <w:noWrap/>
            <w:vAlign w:val="center"/>
            <w:hideMark/>
          </w:tcPr>
          <w:p w:rsidR="00570EF7" w:rsidRPr="00570EF7" w:rsidRDefault="00570EF7" w:rsidP="00570EF7">
            <w:pPr>
              <w:spacing w:line="240" w:lineRule="auto"/>
              <w:rPr>
                <w:rFonts w:asciiTheme="minorHAnsi" w:hAnsiTheme="minorHAnsi"/>
                <w:sz w:val="22"/>
                <w:szCs w:val="22"/>
              </w:rPr>
            </w:pPr>
            <w:r w:rsidRPr="00570EF7">
              <w:rPr>
                <w:rFonts w:asciiTheme="minorHAnsi" w:hAnsiTheme="minorHAnsi"/>
                <w:sz w:val="22"/>
                <w:szCs w:val="22"/>
              </w:rPr>
              <w:t>Hrušovany nad Jevišovkou</w:t>
            </w:r>
          </w:p>
        </w:tc>
        <w:tc>
          <w:tcPr>
            <w:tcW w:w="1678" w:type="dxa"/>
            <w:tcBorders>
              <w:top w:val="nil"/>
              <w:left w:val="single" w:sz="8" w:space="0" w:color="auto"/>
              <w:bottom w:val="single" w:sz="4" w:space="0" w:color="auto"/>
              <w:right w:val="single" w:sz="4" w:space="0" w:color="auto"/>
            </w:tcBorders>
            <w:shd w:val="clear" w:color="000000" w:fill="FFFFFF"/>
            <w:noWrap/>
            <w:vAlign w:val="center"/>
            <w:hideMark/>
          </w:tcPr>
          <w:p w:rsidR="00570EF7" w:rsidRPr="00570EF7" w:rsidRDefault="00570EF7" w:rsidP="00570EF7">
            <w:pPr>
              <w:spacing w:line="240" w:lineRule="auto"/>
              <w:ind w:firstLineChars="100" w:firstLine="220"/>
              <w:jc w:val="right"/>
              <w:rPr>
                <w:rFonts w:asciiTheme="minorHAnsi" w:hAnsiTheme="minorHAnsi"/>
                <w:sz w:val="22"/>
                <w:szCs w:val="22"/>
              </w:rPr>
            </w:pPr>
            <w:r w:rsidRPr="00570EF7">
              <w:rPr>
                <w:rFonts w:asciiTheme="minorHAnsi" w:hAnsiTheme="minorHAnsi"/>
                <w:sz w:val="22"/>
                <w:szCs w:val="22"/>
              </w:rPr>
              <w:t>876</w:t>
            </w:r>
          </w:p>
        </w:tc>
        <w:tc>
          <w:tcPr>
            <w:tcW w:w="980"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53,2</w:t>
            </w:r>
          </w:p>
        </w:tc>
        <w:tc>
          <w:tcPr>
            <w:tcW w:w="980" w:type="dxa"/>
            <w:tcBorders>
              <w:top w:val="nil"/>
              <w:left w:val="nil"/>
              <w:bottom w:val="single" w:sz="4" w:space="0" w:color="auto"/>
              <w:right w:val="single" w:sz="8"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46,8</w:t>
            </w:r>
          </w:p>
        </w:tc>
        <w:tc>
          <w:tcPr>
            <w:tcW w:w="1678"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31,6</w:t>
            </w:r>
          </w:p>
        </w:tc>
        <w:tc>
          <w:tcPr>
            <w:tcW w:w="1678" w:type="dxa"/>
            <w:tcBorders>
              <w:top w:val="nil"/>
              <w:left w:val="nil"/>
              <w:bottom w:val="single" w:sz="4" w:space="0" w:color="auto"/>
              <w:right w:val="single" w:sz="8"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10,8</w:t>
            </w:r>
          </w:p>
        </w:tc>
      </w:tr>
      <w:tr w:rsidR="00570EF7" w:rsidRPr="00570EF7" w:rsidTr="00DB1EB9">
        <w:trPr>
          <w:trHeight w:val="290"/>
        </w:trPr>
        <w:tc>
          <w:tcPr>
            <w:tcW w:w="2560" w:type="dxa"/>
            <w:tcBorders>
              <w:top w:val="nil"/>
              <w:left w:val="single" w:sz="8" w:space="0" w:color="auto"/>
              <w:bottom w:val="single" w:sz="4" w:space="0" w:color="auto"/>
              <w:right w:val="nil"/>
            </w:tcBorders>
            <w:shd w:val="clear" w:color="000000" w:fill="F2F2F2"/>
            <w:noWrap/>
            <w:vAlign w:val="center"/>
            <w:hideMark/>
          </w:tcPr>
          <w:p w:rsidR="00570EF7" w:rsidRPr="00570EF7" w:rsidRDefault="00570EF7" w:rsidP="00570EF7">
            <w:pPr>
              <w:spacing w:line="240" w:lineRule="auto"/>
              <w:rPr>
                <w:rFonts w:asciiTheme="minorHAnsi" w:hAnsiTheme="minorHAnsi"/>
                <w:sz w:val="22"/>
                <w:szCs w:val="22"/>
              </w:rPr>
            </w:pPr>
            <w:r w:rsidRPr="00570EF7">
              <w:rPr>
                <w:rFonts w:asciiTheme="minorHAnsi" w:hAnsiTheme="minorHAnsi"/>
                <w:sz w:val="22"/>
                <w:szCs w:val="22"/>
              </w:rPr>
              <w:t>Znojmo</w:t>
            </w:r>
          </w:p>
        </w:tc>
        <w:tc>
          <w:tcPr>
            <w:tcW w:w="1678" w:type="dxa"/>
            <w:tcBorders>
              <w:top w:val="nil"/>
              <w:left w:val="single" w:sz="8" w:space="0" w:color="auto"/>
              <w:bottom w:val="single" w:sz="4" w:space="0" w:color="auto"/>
              <w:right w:val="single" w:sz="4" w:space="0" w:color="auto"/>
            </w:tcBorders>
            <w:shd w:val="clear" w:color="000000" w:fill="FFFFFF"/>
            <w:noWrap/>
            <w:vAlign w:val="center"/>
            <w:hideMark/>
          </w:tcPr>
          <w:p w:rsidR="00570EF7" w:rsidRPr="00570EF7" w:rsidRDefault="00570EF7" w:rsidP="00570EF7">
            <w:pPr>
              <w:spacing w:line="240" w:lineRule="auto"/>
              <w:ind w:firstLineChars="100" w:firstLine="220"/>
              <w:jc w:val="right"/>
              <w:rPr>
                <w:rFonts w:asciiTheme="minorHAnsi" w:hAnsiTheme="minorHAnsi"/>
                <w:sz w:val="22"/>
                <w:szCs w:val="22"/>
              </w:rPr>
            </w:pPr>
            <w:r w:rsidRPr="00570EF7">
              <w:rPr>
                <w:rFonts w:asciiTheme="minorHAnsi" w:hAnsiTheme="minorHAnsi"/>
                <w:sz w:val="22"/>
                <w:szCs w:val="22"/>
              </w:rPr>
              <w:t>5 510</w:t>
            </w:r>
          </w:p>
        </w:tc>
        <w:tc>
          <w:tcPr>
            <w:tcW w:w="980"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50,3</w:t>
            </w:r>
          </w:p>
        </w:tc>
        <w:tc>
          <w:tcPr>
            <w:tcW w:w="980" w:type="dxa"/>
            <w:tcBorders>
              <w:top w:val="nil"/>
              <w:left w:val="nil"/>
              <w:bottom w:val="single" w:sz="4" w:space="0" w:color="auto"/>
              <w:right w:val="single" w:sz="8"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49,7</w:t>
            </w:r>
          </w:p>
        </w:tc>
        <w:tc>
          <w:tcPr>
            <w:tcW w:w="1678"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41,3</w:t>
            </w:r>
          </w:p>
        </w:tc>
        <w:tc>
          <w:tcPr>
            <w:tcW w:w="1678" w:type="dxa"/>
            <w:tcBorders>
              <w:top w:val="nil"/>
              <w:left w:val="nil"/>
              <w:bottom w:val="single" w:sz="4" w:space="0" w:color="auto"/>
              <w:right w:val="single" w:sz="8"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10,8</w:t>
            </w:r>
          </w:p>
        </w:tc>
      </w:tr>
      <w:tr w:rsidR="00570EF7" w:rsidRPr="00570EF7" w:rsidTr="00DB1EB9">
        <w:trPr>
          <w:trHeight w:val="290"/>
        </w:trPr>
        <w:tc>
          <w:tcPr>
            <w:tcW w:w="2560" w:type="dxa"/>
            <w:tcBorders>
              <w:top w:val="nil"/>
              <w:left w:val="single" w:sz="8" w:space="0" w:color="auto"/>
              <w:bottom w:val="single" w:sz="4" w:space="0" w:color="auto"/>
              <w:right w:val="nil"/>
            </w:tcBorders>
            <w:shd w:val="clear" w:color="000000" w:fill="F2F2F2"/>
            <w:noWrap/>
            <w:vAlign w:val="center"/>
            <w:hideMark/>
          </w:tcPr>
          <w:p w:rsidR="00570EF7" w:rsidRPr="00570EF7" w:rsidRDefault="00570EF7" w:rsidP="00570EF7">
            <w:pPr>
              <w:spacing w:line="240" w:lineRule="auto"/>
              <w:rPr>
                <w:rFonts w:asciiTheme="minorHAnsi" w:hAnsiTheme="minorHAnsi"/>
                <w:sz w:val="22"/>
                <w:szCs w:val="22"/>
              </w:rPr>
            </w:pPr>
            <w:r w:rsidRPr="00570EF7">
              <w:rPr>
                <w:rFonts w:asciiTheme="minorHAnsi" w:hAnsiTheme="minorHAnsi"/>
                <w:sz w:val="22"/>
                <w:szCs w:val="22"/>
              </w:rPr>
              <w:t>Miroslav</w:t>
            </w:r>
          </w:p>
        </w:tc>
        <w:tc>
          <w:tcPr>
            <w:tcW w:w="1678" w:type="dxa"/>
            <w:tcBorders>
              <w:top w:val="nil"/>
              <w:left w:val="single" w:sz="8" w:space="0" w:color="auto"/>
              <w:bottom w:val="single" w:sz="4" w:space="0" w:color="auto"/>
              <w:right w:val="single" w:sz="4" w:space="0" w:color="auto"/>
            </w:tcBorders>
            <w:shd w:val="clear" w:color="000000" w:fill="FFFFFF"/>
            <w:noWrap/>
            <w:vAlign w:val="center"/>
            <w:hideMark/>
          </w:tcPr>
          <w:p w:rsidR="00570EF7" w:rsidRPr="00570EF7" w:rsidRDefault="00570EF7" w:rsidP="00570EF7">
            <w:pPr>
              <w:spacing w:line="240" w:lineRule="auto"/>
              <w:ind w:firstLineChars="100" w:firstLine="220"/>
              <w:jc w:val="right"/>
              <w:rPr>
                <w:rFonts w:asciiTheme="minorHAnsi" w:hAnsiTheme="minorHAnsi"/>
                <w:sz w:val="22"/>
                <w:szCs w:val="22"/>
              </w:rPr>
            </w:pPr>
            <w:r w:rsidRPr="00570EF7">
              <w:rPr>
                <w:rFonts w:asciiTheme="minorHAnsi" w:hAnsiTheme="minorHAnsi"/>
                <w:sz w:val="22"/>
                <w:szCs w:val="22"/>
              </w:rPr>
              <w:t>477</w:t>
            </w:r>
          </w:p>
        </w:tc>
        <w:tc>
          <w:tcPr>
            <w:tcW w:w="980"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47,4</w:t>
            </w:r>
          </w:p>
        </w:tc>
        <w:tc>
          <w:tcPr>
            <w:tcW w:w="980" w:type="dxa"/>
            <w:tcBorders>
              <w:top w:val="nil"/>
              <w:left w:val="nil"/>
              <w:bottom w:val="single" w:sz="4" w:space="0" w:color="auto"/>
              <w:right w:val="single" w:sz="8"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52,6</w:t>
            </w:r>
          </w:p>
        </w:tc>
        <w:tc>
          <w:tcPr>
            <w:tcW w:w="1678"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41,9</w:t>
            </w:r>
          </w:p>
        </w:tc>
        <w:tc>
          <w:tcPr>
            <w:tcW w:w="1678" w:type="dxa"/>
            <w:tcBorders>
              <w:top w:val="nil"/>
              <w:left w:val="nil"/>
              <w:bottom w:val="single" w:sz="4" w:space="0" w:color="auto"/>
              <w:right w:val="single" w:sz="8"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10,0</w:t>
            </w:r>
          </w:p>
        </w:tc>
      </w:tr>
      <w:tr w:rsidR="00570EF7" w:rsidRPr="00570EF7" w:rsidTr="00DB1EB9">
        <w:trPr>
          <w:trHeight w:val="290"/>
        </w:trPr>
        <w:tc>
          <w:tcPr>
            <w:tcW w:w="2560" w:type="dxa"/>
            <w:tcBorders>
              <w:top w:val="nil"/>
              <w:left w:val="single" w:sz="8" w:space="0" w:color="auto"/>
              <w:bottom w:val="single" w:sz="4" w:space="0" w:color="auto"/>
              <w:right w:val="nil"/>
            </w:tcBorders>
            <w:shd w:val="clear" w:color="000000" w:fill="F2F2F2"/>
            <w:noWrap/>
            <w:vAlign w:val="center"/>
            <w:hideMark/>
          </w:tcPr>
          <w:p w:rsidR="00570EF7" w:rsidRPr="00570EF7" w:rsidRDefault="00570EF7" w:rsidP="00570EF7">
            <w:pPr>
              <w:spacing w:line="240" w:lineRule="auto"/>
              <w:rPr>
                <w:rFonts w:asciiTheme="minorHAnsi" w:hAnsiTheme="minorHAnsi"/>
                <w:sz w:val="22"/>
                <w:szCs w:val="22"/>
              </w:rPr>
            </w:pPr>
            <w:r w:rsidRPr="00570EF7">
              <w:rPr>
                <w:rFonts w:asciiTheme="minorHAnsi" w:hAnsiTheme="minorHAnsi"/>
                <w:sz w:val="22"/>
                <w:szCs w:val="22"/>
              </w:rPr>
              <w:t>Strážnice</w:t>
            </w:r>
          </w:p>
        </w:tc>
        <w:tc>
          <w:tcPr>
            <w:tcW w:w="1678" w:type="dxa"/>
            <w:tcBorders>
              <w:top w:val="nil"/>
              <w:left w:val="single" w:sz="8" w:space="0" w:color="auto"/>
              <w:bottom w:val="single" w:sz="4" w:space="0" w:color="auto"/>
              <w:right w:val="single" w:sz="4" w:space="0" w:color="auto"/>
            </w:tcBorders>
            <w:shd w:val="clear" w:color="000000" w:fill="FFFFFF"/>
            <w:noWrap/>
            <w:vAlign w:val="center"/>
            <w:hideMark/>
          </w:tcPr>
          <w:p w:rsidR="00570EF7" w:rsidRPr="00570EF7" w:rsidRDefault="00570EF7" w:rsidP="00570EF7">
            <w:pPr>
              <w:spacing w:line="240" w:lineRule="auto"/>
              <w:ind w:firstLineChars="100" w:firstLine="220"/>
              <w:jc w:val="right"/>
              <w:rPr>
                <w:rFonts w:asciiTheme="minorHAnsi" w:hAnsiTheme="minorHAnsi"/>
                <w:sz w:val="22"/>
                <w:szCs w:val="22"/>
              </w:rPr>
            </w:pPr>
            <w:r w:rsidRPr="00570EF7">
              <w:rPr>
                <w:rFonts w:asciiTheme="minorHAnsi" w:hAnsiTheme="minorHAnsi"/>
                <w:sz w:val="22"/>
                <w:szCs w:val="22"/>
              </w:rPr>
              <w:t>499</w:t>
            </w:r>
          </w:p>
        </w:tc>
        <w:tc>
          <w:tcPr>
            <w:tcW w:w="980"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54,4</w:t>
            </w:r>
          </w:p>
        </w:tc>
        <w:tc>
          <w:tcPr>
            <w:tcW w:w="980" w:type="dxa"/>
            <w:tcBorders>
              <w:top w:val="nil"/>
              <w:left w:val="nil"/>
              <w:bottom w:val="single" w:sz="4" w:space="0" w:color="auto"/>
              <w:right w:val="single" w:sz="8"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45,6</w:t>
            </w:r>
          </w:p>
        </w:tc>
        <w:tc>
          <w:tcPr>
            <w:tcW w:w="1678"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38,2</w:t>
            </w:r>
          </w:p>
        </w:tc>
        <w:tc>
          <w:tcPr>
            <w:tcW w:w="1678" w:type="dxa"/>
            <w:tcBorders>
              <w:top w:val="nil"/>
              <w:left w:val="nil"/>
              <w:bottom w:val="single" w:sz="4" w:space="0" w:color="auto"/>
              <w:right w:val="single" w:sz="8"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9,7</w:t>
            </w:r>
          </w:p>
        </w:tc>
      </w:tr>
      <w:tr w:rsidR="00570EF7" w:rsidRPr="00570EF7" w:rsidTr="00DB1EB9">
        <w:trPr>
          <w:trHeight w:val="290"/>
        </w:trPr>
        <w:tc>
          <w:tcPr>
            <w:tcW w:w="2560" w:type="dxa"/>
            <w:tcBorders>
              <w:top w:val="nil"/>
              <w:left w:val="single" w:sz="8" w:space="0" w:color="auto"/>
              <w:bottom w:val="single" w:sz="4" w:space="0" w:color="auto"/>
              <w:right w:val="nil"/>
            </w:tcBorders>
            <w:shd w:val="clear" w:color="000000" w:fill="F2F2F2"/>
            <w:noWrap/>
            <w:vAlign w:val="center"/>
            <w:hideMark/>
          </w:tcPr>
          <w:p w:rsidR="00570EF7" w:rsidRPr="00570EF7" w:rsidRDefault="00570EF7" w:rsidP="00570EF7">
            <w:pPr>
              <w:spacing w:line="240" w:lineRule="auto"/>
              <w:rPr>
                <w:rFonts w:asciiTheme="minorHAnsi" w:hAnsiTheme="minorHAnsi"/>
                <w:sz w:val="22"/>
                <w:szCs w:val="22"/>
              </w:rPr>
            </w:pPr>
            <w:r w:rsidRPr="00570EF7">
              <w:rPr>
                <w:rFonts w:asciiTheme="minorHAnsi" w:hAnsiTheme="minorHAnsi"/>
                <w:sz w:val="22"/>
                <w:szCs w:val="22"/>
              </w:rPr>
              <w:t>Velká nad Veličkou</w:t>
            </w:r>
          </w:p>
        </w:tc>
        <w:tc>
          <w:tcPr>
            <w:tcW w:w="1678" w:type="dxa"/>
            <w:tcBorders>
              <w:top w:val="nil"/>
              <w:left w:val="single" w:sz="8" w:space="0" w:color="auto"/>
              <w:bottom w:val="single" w:sz="4" w:space="0" w:color="auto"/>
              <w:right w:val="single" w:sz="4" w:space="0" w:color="auto"/>
            </w:tcBorders>
            <w:shd w:val="clear" w:color="000000" w:fill="FFFFFF"/>
            <w:noWrap/>
            <w:vAlign w:val="center"/>
            <w:hideMark/>
          </w:tcPr>
          <w:p w:rsidR="00570EF7" w:rsidRPr="00570EF7" w:rsidRDefault="00570EF7" w:rsidP="00570EF7">
            <w:pPr>
              <w:spacing w:line="240" w:lineRule="auto"/>
              <w:ind w:firstLineChars="100" w:firstLine="220"/>
              <w:jc w:val="right"/>
              <w:rPr>
                <w:rFonts w:asciiTheme="minorHAnsi" w:hAnsiTheme="minorHAnsi"/>
                <w:sz w:val="22"/>
                <w:szCs w:val="22"/>
              </w:rPr>
            </w:pPr>
            <w:r w:rsidRPr="00570EF7">
              <w:rPr>
                <w:rFonts w:asciiTheme="minorHAnsi" w:hAnsiTheme="minorHAnsi"/>
                <w:sz w:val="22"/>
                <w:szCs w:val="22"/>
              </w:rPr>
              <w:t>545</w:t>
            </w:r>
          </w:p>
        </w:tc>
        <w:tc>
          <w:tcPr>
            <w:tcW w:w="980"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55,3</w:t>
            </w:r>
          </w:p>
        </w:tc>
        <w:tc>
          <w:tcPr>
            <w:tcW w:w="980" w:type="dxa"/>
            <w:tcBorders>
              <w:top w:val="nil"/>
              <w:left w:val="nil"/>
              <w:bottom w:val="single" w:sz="4" w:space="0" w:color="auto"/>
              <w:right w:val="single" w:sz="8"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44,7</w:t>
            </w:r>
          </w:p>
        </w:tc>
        <w:tc>
          <w:tcPr>
            <w:tcW w:w="1678" w:type="dxa"/>
            <w:tcBorders>
              <w:top w:val="nil"/>
              <w:left w:val="nil"/>
              <w:bottom w:val="single" w:sz="4" w:space="0" w:color="auto"/>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48,1</w:t>
            </w:r>
          </w:p>
        </w:tc>
        <w:tc>
          <w:tcPr>
            <w:tcW w:w="1678" w:type="dxa"/>
            <w:tcBorders>
              <w:top w:val="nil"/>
              <w:left w:val="nil"/>
              <w:bottom w:val="single" w:sz="4" w:space="0" w:color="auto"/>
              <w:right w:val="single" w:sz="8"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9,5</w:t>
            </w:r>
          </w:p>
        </w:tc>
      </w:tr>
      <w:tr w:rsidR="00570EF7" w:rsidRPr="00570EF7" w:rsidTr="00DB1EB9">
        <w:trPr>
          <w:trHeight w:val="300"/>
        </w:trPr>
        <w:tc>
          <w:tcPr>
            <w:tcW w:w="2560" w:type="dxa"/>
            <w:tcBorders>
              <w:top w:val="nil"/>
              <w:left w:val="single" w:sz="8" w:space="0" w:color="auto"/>
              <w:bottom w:val="nil"/>
              <w:right w:val="nil"/>
            </w:tcBorders>
            <w:shd w:val="clear" w:color="000000" w:fill="F2F2F2"/>
            <w:noWrap/>
            <w:vAlign w:val="center"/>
            <w:hideMark/>
          </w:tcPr>
          <w:p w:rsidR="00570EF7" w:rsidRPr="00570EF7" w:rsidRDefault="00570EF7" w:rsidP="00570EF7">
            <w:pPr>
              <w:spacing w:line="240" w:lineRule="auto"/>
              <w:rPr>
                <w:rFonts w:asciiTheme="minorHAnsi" w:hAnsiTheme="minorHAnsi"/>
                <w:sz w:val="22"/>
                <w:szCs w:val="22"/>
              </w:rPr>
            </w:pPr>
            <w:r w:rsidRPr="00570EF7">
              <w:rPr>
                <w:rFonts w:asciiTheme="minorHAnsi" w:hAnsiTheme="minorHAnsi"/>
                <w:sz w:val="22"/>
                <w:szCs w:val="22"/>
              </w:rPr>
              <w:t>Veselí nad Moravou</w:t>
            </w:r>
          </w:p>
        </w:tc>
        <w:tc>
          <w:tcPr>
            <w:tcW w:w="1678" w:type="dxa"/>
            <w:tcBorders>
              <w:top w:val="nil"/>
              <w:left w:val="single" w:sz="8" w:space="0" w:color="auto"/>
              <w:bottom w:val="nil"/>
              <w:right w:val="single" w:sz="4" w:space="0" w:color="auto"/>
            </w:tcBorders>
            <w:shd w:val="clear" w:color="000000" w:fill="FFFFFF"/>
            <w:noWrap/>
            <w:vAlign w:val="center"/>
            <w:hideMark/>
          </w:tcPr>
          <w:p w:rsidR="00570EF7" w:rsidRPr="00570EF7" w:rsidRDefault="00570EF7" w:rsidP="00570EF7">
            <w:pPr>
              <w:spacing w:line="240" w:lineRule="auto"/>
              <w:ind w:firstLineChars="100" w:firstLine="220"/>
              <w:jc w:val="right"/>
              <w:rPr>
                <w:rFonts w:asciiTheme="minorHAnsi" w:hAnsiTheme="minorHAnsi"/>
                <w:sz w:val="22"/>
                <w:szCs w:val="22"/>
              </w:rPr>
            </w:pPr>
            <w:r w:rsidRPr="00570EF7">
              <w:rPr>
                <w:rFonts w:asciiTheme="minorHAnsi" w:hAnsiTheme="minorHAnsi"/>
                <w:sz w:val="22"/>
                <w:szCs w:val="22"/>
              </w:rPr>
              <w:t>1 552</w:t>
            </w:r>
          </w:p>
        </w:tc>
        <w:tc>
          <w:tcPr>
            <w:tcW w:w="980" w:type="dxa"/>
            <w:tcBorders>
              <w:top w:val="nil"/>
              <w:left w:val="nil"/>
              <w:bottom w:val="nil"/>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55,0</w:t>
            </w:r>
          </w:p>
        </w:tc>
        <w:tc>
          <w:tcPr>
            <w:tcW w:w="980" w:type="dxa"/>
            <w:tcBorders>
              <w:top w:val="nil"/>
              <w:left w:val="nil"/>
              <w:bottom w:val="nil"/>
              <w:right w:val="single" w:sz="8"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45,0</w:t>
            </w:r>
          </w:p>
        </w:tc>
        <w:tc>
          <w:tcPr>
            <w:tcW w:w="1678" w:type="dxa"/>
            <w:tcBorders>
              <w:top w:val="nil"/>
              <w:left w:val="nil"/>
              <w:bottom w:val="nil"/>
              <w:right w:val="single" w:sz="4" w:space="0" w:color="auto"/>
            </w:tcBorders>
            <w:shd w:val="clear" w:color="auto" w:fill="auto"/>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45,8</w:t>
            </w:r>
          </w:p>
        </w:tc>
        <w:tc>
          <w:tcPr>
            <w:tcW w:w="1678" w:type="dxa"/>
            <w:tcBorders>
              <w:top w:val="nil"/>
              <w:left w:val="nil"/>
              <w:bottom w:val="nil"/>
              <w:right w:val="single" w:sz="8"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0"/>
              <w:jc w:val="right"/>
              <w:rPr>
                <w:rFonts w:asciiTheme="minorHAnsi" w:hAnsiTheme="minorHAnsi"/>
                <w:color w:val="000000"/>
                <w:sz w:val="22"/>
                <w:szCs w:val="22"/>
              </w:rPr>
            </w:pPr>
            <w:r w:rsidRPr="00570EF7">
              <w:rPr>
                <w:rFonts w:asciiTheme="minorHAnsi" w:hAnsiTheme="minorHAnsi"/>
                <w:color w:val="000000"/>
                <w:sz w:val="22"/>
                <w:szCs w:val="22"/>
              </w:rPr>
              <w:t>9,5</w:t>
            </w:r>
          </w:p>
        </w:tc>
      </w:tr>
      <w:tr w:rsidR="00570EF7" w:rsidRPr="00570EF7" w:rsidTr="00DB1EB9">
        <w:trPr>
          <w:trHeight w:val="300"/>
        </w:trPr>
        <w:tc>
          <w:tcPr>
            <w:tcW w:w="2560" w:type="dxa"/>
            <w:tcBorders>
              <w:top w:val="single" w:sz="8" w:space="0" w:color="auto"/>
              <w:left w:val="single" w:sz="8" w:space="0" w:color="auto"/>
              <w:bottom w:val="single" w:sz="8" w:space="0" w:color="auto"/>
              <w:right w:val="nil"/>
            </w:tcBorders>
            <w:shd w:val="clear" w:color="auto" w:fill="F2F2F2" w:themeFill="background1" w:themeFillShade="F2"/>
            <w:noWrap/>
            <w:vAlign w:val="center"/>
            <w:hideMark/>
          </w:tcPr>
          <w:p w:rsidR="00570EF7" w:rsidRPr="00570EF7" w:rsidRDefault="00570EF7" w:rsidP="00570EF7">
            <w:pPr>
              <w:spacing w:line="240" w:lineRule="auto"/>
              <w:rPr>
                <w:rFonts w:asciiTheme="minorHAnsi" w:hAnsiTheme="minorHAnsi"/>
                <w:b/>
                <w:bCs/>
                <w:sz w:val="22"/>
                <w:szCs w:val="22"/>
              </w:rPr>
            </w:pPr>
            <w:r w:rsidRPr="00570EF7">
              <w:rPr>
                <w:rFonts w:asciiTheme="minorHAnsi" w:hAnsiTheme="minorHAnsi"/>
                <w:b/>
                <w:bCs/>
                <w:sz w:val="22"/>
                <w:szCs w:val="22"/>
              </w:rPr>
              <w:t>Jihomoravský kraj</w:t>
            </w:r>
          </w:p>
        </w:tc>
        <w:tc>
          <w:tcPr>
            <w:tcW w:w="1678"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1"/>
              <w:jc w:val="right"/>
              <w:rPr>
                <w:rFonts w:asciiTheme="minorHAnsi" w:hAnsiTheme="minorHAnsi"/>
                <w:b/>
                <w:bCs/>
                <w:color w:val="000000"/>
                <w:sz w:val="22"/>
                <w:szCs w:val="22"/>
              </w:rPr>
            </w:pPr>
            <w:r w:rsidRPr="00570EF7">
              <w:rPr>
                <w:rFonts w:asciiTheme="minorHAnsi" w:hAnsiTheme="minorHAnsi"/>
                <w:b/>
                <w:bCs/>
                <w:color w:val="000000"/>
                <w:sz w:val="22"/>
                <w:szCs w:val="22"/>
              </w:rPr>
              <w:t>66 203</w:t>
            </w:r>
          </w:p>
        </w:tc>
        <w:tc>
          <w:tcPr>
            <w:tcW w:w="9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1"/>
              <w:jc w:val="right"/>
              <w:rPr>
                <w:rFonts w:asciiTheme="minorHAnsi" w:hAnsiTheme="minorHAnsi"/>
                <w:b/>
                <w:bCs/>
                <w:color w:val="000000"/>
                <w:sz w:val="22"/>
                <w:szCs w:val="22"/>
              </w:rPr>
            </w:pPr>
            <w:r w:rsidRPr="00570EF7">
              <w:rPr>
                <w:rFonts w:asciiTheme="minorHAnsi" w:hAnsiTheme="minorHAnsi"/>
                <w:b/>
                <w:bCs/>
                <w:color w:val="000000"/>
                <w:sz w:val="22"/>
                <w:szCs w:val="22"/>
              </w:rPr>
              <w:t>50,3</w:t>
            </w:r>
          </w:p>
        </w:tc>
        <w:tc>
          <w:tcPr>
            <w:tcW w:w="980" w:type="dxa"/>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1"/>
              <w:jc w:val="right"/>
              <w:rPr>
                <w:rFonts w:asciiTheme="minorHAnsi" w:hAnsiTheme="minorHAnsi"/>
                <w:b/>
                <w:bCs/>
                <w:color w:val="000000"/>
                <w:sz w:val="22"/>
                <w:szCs w:val="22"/>
              </w:rPr>
            </w:pPr>
            <w:r w:rsidRPr="00570EF7">
              <w:rPr>
                <w:rFonts w:asciiTheme="minorHAnsi" w:hAnsiTheme="minorHAnsi"/>
                <w:b/>
                <w:bCs/>
                <w:color w:val="000000"/>
                <w:sz w:val="22"/>
                <w:szCs w:val="22"/>
              </w:rPr>
              <w:t>49,7</w:t>
            </w:r>
          </w:p>
        </w:tc>
        <w:tc>
          <w:tcPr>
            <w:tcW w:w="1678"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1"/>
              <w:jc w:val="right"/>
              <w:rPr>
                <w:rFonts w:asciiTheme="minorHAnsi" w:hAnsiTheme="minorHAnsi"/>
                <w:b/>
                <w:bCs/>
                <w:color w:val="000000"/>
                <w:sz w:val="22"/>
                <w:szCs w:val="22"/>
              </w:rPr>
            </w:pPr>
            <w:r w:rsidRPr="00570EF7">
              <w:rPr>
                <w:rFonts w:asciiTheme="minorHAnsi" w:hAnsiTheme="minorHAnsi"/>
                <w:b/>
                <w:bCs/>
                <w:color w:val="000000"/>
                <w:sz w:val="22"/>
                <w:szCs w:val="22"/>
              </w:rPr>
              <w:t>44,3</w:t>
            </w:r>
          </w:p>
        </w:tc>
        <w:tc>
          <w:tcPr>
            <w:tcW w:w="1678" w:type="dxa"/>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rsidR="00570EF7" w:rsidRPr="00570EF7" w:rsidRDefault="00570EF7" w:rsidP="00570EF7">
            <w:pPr>
              <w:spacing w:line="240" w:lineRule="auto"/>
              <w:ind w:firstLineChars="100" w:firstLine="221"/>
              <w:jc w:val="right"/>
              <w:rPr>
                <w:rFonts w:asciiTheme="minorHAnsi" w:hAnsiTheme="minorHAnsi"/>
                <w:b/>
                <w:bCs/>
                <w:color w:val="000000"/>
                <w:sz w:val="22"/>
                <w:szCs w:val="22"/>
              </w:rPr>
            </w:pPr>
            <w:r w:rsidRPr="00570EF7">
              <w:rPr>
                <w:rFonts w:asciiTheme="minorHAnsi" w:hAnsiTheme="minorHAnsi"/>
                <w:b/>
                <w:bCs/>
                <w:color w:val="000000"/>
                <w:sz w:val="22"/>
                <w:szCs w:val="22"/>
              </w:rPr>
              <w:t>8,2</w:t>
            </w:r>
          </w:p>
        </w:tc>
      </w:tr>
    </w:tbl>
    <w:p w:rsidR="00A136D5" w:rsidRDefault="00A136D5">
      <w:pPr>
        <w:spacing w:after="200"/>
      </w:pPr>
    </w:p>
    <w:p w:rsidR="00A136D5" w:rsidRPr="0053719A" w:rsidRDefault="0053719A" w:rsidP="00A136D5">
      <w:pPr>
        <w:pStyle w:val="Zkladntext"/>
        <w:jc w:val="both"/>
        <w:rPr>
          <w:rFonts w:ascii="Arial" w:hAnsi="Arial" w:cs="Arial"/>
          <w:sz w:val="22"/>
          <w:szCs w:val="22"/>
        </w:rPr>
      </w:pPr>
      <w:r>
        <w:rPr>
          <w:rFonts w:ascii="Arial" w:hAnsi="Arial" w:cs="Arial"/>
          <w:b w:val="0"/>
          <w:sz w:val="22"/>
          <w:szCs w:val="22"/>
        </w:rPr>
        <w:t>N</w:t>
      </w:r>
      <w:r w:rsidR="00A136D5">
        <w:rPr>
          <w:rFonts w:ascii="Arial" w:hAnsi="Arial" w:cs="Arial"/>
          <w:b w:val="0"/>
          <w:sz w:val="22"/>
          <w:szCs w:val="22"/>
        </w:rPr>
        <w:t xml:space="preserve">ezaměstnaností nejvíce postižený je </w:t>
      </w:r>
      <w:r>
        <w:rPr>
          <w:rFonts w:ascii="Arial" w:hAnsi="Arial" w:cs="Arial"/>
          <w:b w:val="0"/>
          <w:sz w:val="22"/>
          <w:szCs w:val="22"/>
        </w:rPr>
        <w:t xml:space="preserve">dlouhodobě </w:t>
      </w:r>
      <w:r w:rsidR="00A136D5">
        <w:rPr>
          <w:rFonts w:ascii="Arial" w:hAnsi="Arial" w:cs="Arial"/>
          <w:b w:val="0"/>
          <w:sz w:val="22"/>
          <w:szCs w:val="22"/>
        </w:rPr>
        <w:t>celý okres Znojmo. V</w:t>
      </w:r>
      <w:r>
        <w:rPr>
          <w:rFonts w:ascii="Arial" w:hAnsi="Arial" w:cs="Arial"/>
          <w:b w:val="0"/>
          <w:sz w:val="22"/>
          <w:szCs w:val="22"/>
        </w:rPr>
        <w:t xml:space="preserve">šechny mikroregiony </w:t>
      </w:r>
      <w:r w:rsidR="00A136D5">
        <w:rPr>
          <w:rFonts w:ascii="Arial" w:hAnsi="Arial" w:cs="Arial"/>
          <w:b w:val="0"/>
          <w:sz w:val="22"/>
          <w:szCs w:val="22"/>
        </w:rPr>
        <w:t xml:space="preserve">se zde pohybují nad celorepublikovým i krajským průměrem. Jednoznačně nejproblémovějším mikroregionem je </w:t>
      </w:r>
      <w:r w:rsidR="00A136D5" w:rsidRPr="00F4056B">
        <w:rPr>
          <w:rFonts w:ascii="Arial" w:hAnsi="Arial" w:cs="Arial"/>
          <w:sz w:val="22"/>
          <w:szCs w:val="22"/>
        </w:rPr>
        <w:t>Vranovsko</w:t>
      </w:r>
      <w:r w:rsidR="00A136D5">
        <w:rPr>
          <w:rFonts w:ascii="Arial" w:hAnsi="Arial" w:cs="Arial"/>
          <w:b w:val="0"/>
          <w:sz w:val="22"/>
          <w:szCs w:val="22"/>
        </w:rPr>
        <w:t xml:space="preserve">, kde nezaměstnanost na konci roku dosáhla </w:t>
      </w:r>
      <w:r w:rsidR="00A136D5" w:rsidRPr="00F4056B">
        <w:rPr>
          <w:rFonts w:ascii="Arial" w:hAnsi="Arial" w:cs="Arial"/>
          <w:sz w:val="22"/>
          <w:szCs w:val="22"/>
        </w:rPr>
        <w:t>15,3%</w:t>
      </w:r>
      <w:r w:rsidR="00A136D5">
        <w:rPr>
          <w:rFonts w:ascii="Arial" w:hAnsi="Arial" w:cs="Arial"/>
          <w:sz w:val="22"/>
          <w:szCs w:val="22"/>
        </w:rPr>
        <w:t xml:space="preserve">, </w:t>
      </w:r>
      <w:r w:rsidR="00A136D5" w:rsidRPr="00A136D5">
        <w:rPr>
          <w:rFonts w:ascii="Arial" w:hAnsi="Arial" w:cs="Arial"/>
          <w:b w:val="0"/>
          <w:sz w:val="22"/>
          <w:szCs w:val="22"/>
        </w:rPr>
        <w:t xml:space="preserve">tedy více než </w:t>
      </w:r>
      <w:r w:rsidR="00A136D5" w:rsidRPr="00E25009">
        <w:rPr>
          <w:rFonts w:ascii="Arial" w:hAnsi="Arial" w:cs="Arial"/>
          <w:sz w:val="22"/>
          <w:szCs w:val="22"/>
        </w:rPr>
        <w:t>dvojnáso</w:t>
      </w:r>
      <w:r w:rsidR="00E25009" w:rsidRPr="00E25009">
        <w:rPr>
          <w:rFonts w:ascii="Arial" w:hAnsi="Arial" w:cs="Arial"/>
          <w:sz w:val="22"/>
          <w:szCs w:val="22"/>
        </w:rPr>
        <w:t>bek</w:t>
      </w:r>
      <w:r w:rsidR="00A136D5" w:rsidRPr="00E25009">
        <w:rPr>
          <w:rFonts w:ascii="Arial" w:hAnsi="Arial" w:cs="Arial"/>
          <w:sz w:val="22"/>
          <w:szCs w:val="22"/>
        </w:rPr>
        <w:t xml:space="preserve"> průměru ČR</w:t>
      </w:r>
      <w:r w:rsidR="00A136D5" w:rsidRPr="00A136D5">
        <w:rPr>
          <w:rFonts w:ascii="Arial" w:hAnsi="Arial" w:cs="Arial"/>
          <w:b w:val="0"/>
          <w:sz w:val="22"/>
          <w:szCs w:val="22"/>
        </w:rPr>
        <w:t>.</w:t>
      </w:r>
      <w:r>
        <w:rPr>
          <w:rFonts w:ascii="Arial" w:hAnsi="Arial" w:cs="Arial"/>
          <w:b w:val="0"/>
          <w:sz w:val="22"/>
          <w:szCs w:val="22"/>
        </w:rPr>
        <w:t xml:space="preserve"> </w:t>
      </w:r>
      <w:r w:rsidRPr="00E25009">
        <w:rPr>
          <w:rFonts w:ascii="Arial" w:hAnsi="Arial" w:cs="Arial"/>
          <w:sz w:val="22"/>
          <w:szCs w:val="22"/>
        </w:rPr>
        <w:t>O dva procentní body nad celorepublikovým průměrem byly</w:t>
      </w:r>
      <w:r>
        <w:rPr>
          <w:rFonts w:ascii="Arial" w:hAnsi="Arial" w:cs="Arial"/>
          <w:b w:val="0"/>
          <w:sz w:val="22"/>
          <w:szCs w:val="22"/>
        </w:rPr>
        <w:t xml:space="preserve"> ke konci roku i mikroregiony </w:t>
      </w:r>
      <w:r w:rsidRPr="0053719A">
        <w:rPr>
          <w:rFonts w:ascii="Arial" w:hAnsi="Arial" w:cs="Arial"/>
          <w:sz w:val="22"/>
          <w:szCs w:val="22"/>
        </w:rPr>
        <w:t xml:space="preserve">Znojmo, Hrušovany nad Jevišovkou a Miroslav. </w:t>
      </w:r>
      <w:r w:rsidR="00E25009" w:rsidRPr="00E25009">
        <w:rPr>
          <w:rFonts w:ascii="Arial" w:hAnsi="Arial" w:cs="Arial"/>
          <w:b w:val="0"/>
          <w:sz w:val="22"/>
          <w:szCs w:val="22"/>
        </w:rPr>
        <w:t>P</w:t>
      </w:r>
      <w:r w:rsidR="00E25009">
        <w:rPr>
          <w:rFonts w:ascii="Arial" w:hAnsi="Arial" w:cs="Arial"/>
          <w:b w:val="0"/>
          <w:sz w:val="22"/>
          <w:szCs w:val="22"/>
        </w:rPr>
        <w:t>ouze v mikroregionu Moravský Krumlov byl podíl nezaměstnaných o málo nižší (9,1%), přesto však stále nad úrovní ČR i kraje.</w:t>
      </w:r>
    </w:p>
    <w:p w:rsidR="0053719A" w:rsidRDefault="0053719A" w:rsidP="00A136D5">
      <w:pPr>
        <w:pStyle w:val="Zkladntext"/>
        <w:jc w:val="both"/>
        <w:rPr>
          <w:rFonts w:ascii="Arial" w:hAnsi="Arial" w:cs="Arial"/>
          <w:b w:val="0"/>
          <w:sz w:val="22"/>
          <w:szCs w:val="22"/>
        </w:rPr>
      </w:pPr>
    </w:p>
    <w:p w:rsidR="0053719A" w:rsidRPr="00E25009" w:rsidRDefault="0053719A" w:rsidP="00A136D5">
      <w:pPr>
        <w:pStyle w:val="Zkladntext"/>
        <w:jc w:val="both"/>
        <w:rPr>
          <w:rFonts w:ascii="Arial" w:hAnsi="Arial" w:cs="Arial"/>
          <w:sz w:val="22"/>
          <w:szCs w:val="22"/>
        </w:rPr>
      </w:pPr>
      <w:r>
        <w:rPr>
          <w:rFonts w:ascii="Arial" w:hAnsi="Arial" w:cs="Arial"/>
          <w:b w:val="0"/>
          <w:sz w:val="22"/>
          <w:szCs w:val="22"/>
        </w:rPr>
        <w:t>Druhým nejvíce postiženým okresem je okres Hodonín. I zde mají všechny mikroregiony</w:t>
      </w:r>
      <w:r w:rsidR="00E25009">
        <w:rPr>
          <w:rFonts w:ascii="Arial" w:hAnsi="Arial" w:cs="Arial"/>
          <w:b w:val="0"/>
          <w:sz w:val="22"/>
          <w:szCs w:val="22"/>
        </w:rPr>
        <w:t xml:space="preserve"> vyšší nezaměstnanost než je průměr ČR, celková </w:t>
      </w:r>
      <w:r w:rsidR="003E1414">
        <w:rPr>
          <w:rFonts w:ascii="Arial" w:hAnsi="Arial" w:cs="Arial"/>
          <w:b w:val="0"/>
          <w:sz w:val="22"/>
          <w:szCs w:val="22"/>
        </w:rPr>
        <w:t>hladina</w:t>
      </w:r>
      <w:r w:rsidR="00E25009">
        <w:rPr>
          <w:rFonts w:ascii="Arial" w:hAnsi="Arial" w:cs="Arial"/>
          <w:b w:val="0"/>
          <w:sz w:val="22"/>
          <w:szCs w:val="22"/>
        </w:rPr>
        <w:t xml:space="preserve"> nezaměstnanosti je však o něco nižší než v okrese Znojmo. </w:t>
      </w:r>
      <w:r w:rsidR="00E25009" w:rsidRPr="00E25009">
        <w:rPr>
          <w:rFonts w:ascii="Arial" w:hAnsi="Arial" w:cs="Arial"/>
          <w:sz w:val="22"/>
          <w:szCs w:val="22"/>
        </w:rPr>
        <w:t>Podíl nezaměstnaných o nejméně dva procentní body vyšší než průměr ČR měly</w:t>
      </w:r>
      <w:r w:rsidR="00E25009">
        <w:rPr>
          <w:rFonts w:ascii="Arial" w:hAnsi="Arial" w:cs="Arial"/>
          <w:b w:val="0"/>
          <w:sz w:val="22"/>
          <w:szCs w:val="22"/>
        </w:rPr>
        <w:t xml:space="preserve"> čtyři z osmi mikroregionů okresu, a to </w:t>
      </w:r>
      <w:r w:rsidR="00E25009" w:rsidRPr="00E25009">
        <w:rPr>
          <w:rFonts w:ascii="Arial" w:hAnsi="Arial" w:cs="Arial"/>
          <w:sz w:val="22"/>
          <w:szCs w:val="22"/>
        </w:rPr>
        <w:t>Hodonín, Strážnice, Velká nad Veličkou a Veselí nad Moravou.</w:t>
      </w:r>
    </w:p>
    <w:p w:rsidR="00E25009" w:rsidRDefault="00E25009" w:rsidP="00A136D5">
      <w:pPr>
        <w:pStyle w:val="Zkladntext"/>
        <w:jc w:val="both"/>
        <w:rPr>
          <w:rFonts w:ascii="Arial" w:hAnsi="Arial" w:cs="Arial"/>
          <w:b w:val="0"/>
          <w:sz w:val="22"/>
          <w:szCs w:val="22"/>
        </w:rPr>
      </w:pPr>
    </w:p>
    <w:p w:rsidR="00A136D5" w:rsidRPr="00E25009" w:rsidRDefault="00A136D5" w:rsidP="00A136D5">
      <w:pPr>
        <w:pStyle w:val="Zkladntext"/>
        <w:jc w:val="both"/>
        <w:rPr>
          <w:rFonts w:ascii="Arial" w:hAnsi="Arial" w:cs="Arial"/>
          <w:sz w:val="22"/>
          <w:szCs w:val="22"/>
        </w:rPr>
      </w:pPr>
      <w:r w:rsidRPr="00E25009">
        <w:rPr>
          <w:rFonts w:ascii="Arial" w:hAnsi="Arial" w:cs="Arial"/>
          <w:sz w:val="22"/>
          <w:szCs w:val="22"/>
        </w:rPr>
        <w:t>Bližší charakteristika jednotlivých mikroregionů je uvedena v kapitole 2.2</w:t>
      </w:r>
    </w:p>
    <w:p w:rsidR="00EC2D91" w:rsidRDefault="00EC2D91">
      <w:pPr>
        <w:spacing w:after="200"/>
        <w:rPr>
          <w:rFonts w:ascii="Arial" w:eastAsiaTheme="majorEastAsia" w:hAnsi="Arial" w:cstheme="majorBidi"/>
          <w:b/>
          <w:bCs/>
          <w:sz w:val="32"/>
          <w:szCs w:val="28"/>
        </w:rPr>
      </w:pPr>
      <w:r>
        <w:br w:type="page"/>
      </w:r>
    </w:p>
    <w:p w:rsidR="00815F66" w:rsidRPr="00D445DD" w:rsidRDefault="00815F66" w:rsidP="00815F66">
      <w:pPr>
        <w:pStyle w:val="Nadpis1"/>
      </w:pPr>
      <w:bookmarkStart w:id="48" w:name="_Toc411611476"/>
      <w:r w:rsidRPr="00D445DD">
        <w:t xml:space="preserve">4. </w:t>
      </w:r>
      <w:bookmarkEnd w:id="40"/>
      <w:bookmarkEnd w:id="41"/>
      <w:r w:rsidR="003F040F">
        <w:t>Cizinci na trhu práce</w:t>
      </w:r>
      <w:bookmarkEnd w:id="48"/>
    </w:p>
    <w:p w:rsidR="00815F66" w:rsidRPr="00D445DD" w:rsidRDefault="00815F66" w:rsidP="00815F66">
      <w:pPr>
        <w:pStyle w:val="Zkladntextodsazen"/>
        <w:rPr>
          <w:rFonts w:ascii="Arial" w:hAnsi="Arial" w:cs="Arial"/>
          <w:color w:val="FF0000"/>
          <w:sz w:val="22"/>
          <w:szCs w:val="22"/>
        </w:rPr>
      </w:pPr>
    </w:p>
    <w:p w:rsidR="00815F66" w:rsidRDefault="00815F66" w:rsidP="00815F66">
      <w:pPr>
        <w:widowControl w:val="0"/>
        <w:spacing w:after="120"/>
        <w:jc w:val="both"/>
        <w:rPr>
          <w:rFonts w:ascii="Arial" w:hAnsi="Arial" w:cs="Arial"/>
          <w:snapToGrid w:val="0"/>
          <w:sz w:val="22"/>
          <w:szCs w:val="22"/>
        </w:rPr>
      </w:pPr>
      <w:r w:rsidRPr="00D445DD">
        <w:rPr>
          <w:rFonts w:ascii="Arial" w:hAnsi="Arial" w:cs="Arial"/>
          <w:snapToGrid w:val="0"/>
          <w:sz w:val="22"/>
          <w:szCs w:val="22"/>
        </w:rPr>
        <w:t>Ke dni 31.</w:t>
      </w:r>
      <w:r>
        <w:rPr>
          <w:rFonts w:ascii="Arial" w:hAnsi="Arial" w:cs="Arial"/>
          <w:snapToGrid w:val="0"/>
          <w:sz w:val="22"/>
          <w:szCs w:val="22"/>
        </w:rPr>
        <w:t xml:space="preserve"> </w:t>
      </w:r>
      <w:r w:rsidRPr="00D445DD">
        <w:rPr>
          <w:rFonts w:ascii="Arial" w:hAnsi="Arial" w:cs="Arial"/>
          <w:snapToGrid w:val="0"/>
          <w:sz w:val="22"/>
          <w:szCs w:val="22"/>
        </w:rPr>
        <w:t>12.</w:t>
      </w:r>
      <w:r>
        <w:rPr>
          <w:rFonts w:ascii="Arial" w:hAnsi="Arial" w:cs="Arial"/>
          <w:snapToGrid w:val="0"/>
          <w:sz w:val="22"/>
          <w:szCs w:val="22"/>
        </w:rPr>
        <w:t xml:space="preserve"> </w:t>
      </w:r>
      <w:r w:rsidRPr="00D445DD">
        <w:rPr>
          <w:rFonts w:ascii="Arial" w:hAnsi="Arial" w:cs="Arial"/>
          <w:snapToGrid w:val="0"/>
          <w:sz w:val="22"/>
          <w:szCs w:val="22"/>
        </w:rPr>
        <w:t>201</w:t>
      </w:r>
      <w:r>
        <w:rPr>
          <w:rFonts w:ascii="Arial" w:hAnsi="Arial" w:cs="Arial"/>
          <w:snapToGrid w:val="0"/>
          <w:sz w:val="22"/>
          <w:szCs w:val="22"/>
        </w:rPr>
        <w:t xml:space="preserve">4 </w:t>
      </w:r>
      <w:r w:rsidRPr="00D445DD">
        <w:rPr>
          <w:rFonts w:ascii="Arial" w:hAnsi="Arial" w:cs="Arial"/>
          <w:snapToGrid w:val="0"/>
          <w:sz w:val="22"/>
          <w:szCs w:val="22"/>
        </w:rPr>
        <w:t xml:space="preserve">bylo na kontaktních pracovištích </w:t>
      </w:r>
      <w:r w:rsidRPr="00D445DD">
        <w:rPr>
          <w:rFonts w:ascii="Arial" w:hAnsi="Arial" w:cs="Arial"/>
          <w:b/>
          <w:snapToGrid w:val="0"/>
          <w:sz w:val="22"/>
          <w:szCs w:val="22"/>
        </w:rPr>
        <w:t xml:space="preserve">Úřadu práce ČR </w:t>
      </w:r>
      <w:r w:rsidRPr="00D445DD">
        <w:rPr>
          <w:rFonts w:ascii="Arial" w:hAnsi="Arial" w:cs="Arial"/>
          <w:snapToGrid w:val="0"/>
          <w:sz w:val="22"/>
          <w:szCs w:val="22"/>
        </w:rPr>
        <w:t>v Jihomoravském kraji</w:t>
      </w:r>
      <w:r w:rsidRPr="00D445DD">
        <w:rPr>
          <w:rFonts w:ascii="Arial" w:hAnsi="Arial" w:cs="Arial"/>
          <w:b/>
          <w:snapToGrid w:val="0"/>
          <w:sz w:val="22"/>
          <w:szCs w:val="22"/>
        </w:rPr>
        <w:t xml:space="preserve"> registrováno </w:t>
      </w:r>
      <w:r>
        <w:rPr>
          <w:rFonts w:ascii="Arial" w:hAnsi="Arial" w:cs="Arial"/>
          <w:b/>
          <w:snapToGrid w:val="0"/>
          <w:sz w:val="22"/>
          <w:szCs w:val="22"/>
        </w:rPr>
        <w:t>téměř 32 tis.</w:t>
      </w:r>
      <w:r w:rsidRPr="00D445DD">
        <w:rPr>
          <w:rFonts w:ascii="Arial" w:hAnsi="Arial" w:cs="Arial"/>
          <w:b/>
          <w:snapToGrid w:val="0"/>
          <w:sz w:val="22"/>
          <w:szCs w:val="22"/>
        </w:rPr>
        <w:t xml:space="preserve"> cizinců.</w:t>
      </w:r>
      <w:r w:rsidRPr="00D445DD">
        <w:rPr>
          <w:rFonts w:ascii="Arial" w:hAnsi="Arial" w:cs="Arial"/>
          <w:snapToGrid w:val="0"/>
          <w:sz w:val="22"/>
          <w:szCs w:val="22"/>
        </w:rPr>
        <w:t xml:space="preserve"> Kromě toho bylo živnostenskými úřady v  kraji registrováno dalších </w:t>
      </w:r>
      <w:r>
        <w:rPr>
          <w:rFonts w:ascii="Arial" w:hAnsi="Arial" w:cs="Arial"/>
          <w:snapToGrid w:val="0"/>
          <w:sz w:val="22"/>
          <w:szCs w:val="22"/>
        </w:rPr>
        <w:t>6,9 tis.</w:t>
      </w:r>
      <w:r w:rsidRPr="00D445DD">
        <w:rPr>
          <w:rFonts w:ascii="Arial" w:hAnsi="Arial" w:cs="Arial"/>
          <w:snapToGrid w:val="0"/>
          <w:sz w:val="22"/>
          <w:szCs w:val="22"/>
        </w:rPr>
        <w:t xml:space="preserve"> cizinců, kteří soukromě podnikají. </w:t>
      </w:r>
      <w:r w:rsidRPr="00D445DD">
        <w:rPr>
          <w:rFonts w:ascii="Arial" w:hAnsi="Arial" w:cs="Arial"/>
          <w:b/>
          <w:snapToGrid w:val="0"/>
          <w:sz w:val="22"/>
          <w:szCs w:val="22"/>
        </w:rPr>
        <w:t xml:space="preserve">Celkem se tedy na trhu práce v Jihomoravském kraji legálně pohybuje zhruba </w:t>
      </w:r>
      <w:r>
        <w:rPr>
          <w:rFonts w:ascii="Arial" w:hAnsi="Arial" w:cs="Arial"/>
          <w:b/>
          <w:snapToGrid w:val="0"/>
          <w:sz w:val="22"/>
          <w:szCs w:val="22"/>
        </w:rPr>
        <w:t>38,8</w:t>
      </w:r>
      <w:r w:rsidRPr="00D445DD">
        <w:rPr>
          <w:rFonts w:ascii="Arial" w:hAnsi="Arial" w:cs="Arial"/>
          <w:b/>
          <w:snapToGrid w:val="0"/>
          <w:sz w:val="22"/>
          <w:szCs w:val="22"/>
        </w:rPr>
        <w:t xml:space="preserve"> tis. zahraničních pracovníků</w:t>
      </w:r>
      <w:r w:rsidRPr="00D445DD">
        <w:rPr>
          <w:rFonts w:ascii="Arial" w:hAnsi="Arial" w:cs="Arial"/>
          <w:snapToGrid w:val="0"/>
          <w:sz w:val="22"/>
          <w:szCs w:val="22"/>
        </w:rPr>
        <w:t>.</w:t>
      </w:r>
    </w:p>
    <w:p w:rsidR="00815F66" w:rsidRPr="00815F66" w:rsidRDefault="00815F66" w:rsidP="00815F66">
      <w:pPr>
        <w:pStyle w:val="Bezmezer"/>
        <w:rPr>
          <w:rFonts w:ascii="Arial" w:hAnsi="Arial" w:cs="Arial"/>
          <w:b/>
          <w:i/>
          <w:snapToGrid w:val="0"/>
          <w:sz w:val="20"/>
          <w:szCs w:val="20"/>
        </w:rPr>
      </w:pPr>
      <w:r w:rsidRPr="00815F66">
        <w:rPr>
          <w:rFonts w:ascii="Arial" w:hAnsi="Arial" w:cs="Arial"/>
          <w:b/>
          <w:i/>
          <w:sz w:val="20"/>
          <w:szCs w:val="20"/>
        </w:rPr>
        <w:t xml:space="preserve">Tab. </w:t>
      </w:r>
      <w:r w:rsidRPr="00815F66">
        <w:rPr>
          <w:rFonts w:ascii="Arial" w:hAnsi="Arial" w:cs="Arial"/>
          <w:b/>
          <w:i/>
          <w:sz w:val="20"/>
          <w:szCs w:val="20"/>
        </w:rPr>
        <w:fldChar w:fldCharType="begin"/>
      </w:r>
      <w:r w:rsidRPr="00815F66">
        <w:rPr>
          <w:rFonts w:ascii="Arial" w:hAnsi="Arial" w:cs="Arial"/>
          <w:b/>
          <w:i/>
          <w:sz w:val="20"/>
          <w:szCs w:val="20"/>
        </w:rPr>
        <w:instrText xml:space="preserve"> SEQ Tab. \* ARABIC </w:instrText>
      </w:r>
      <w:r w:rsidRPr="00815F66">
        <w:rPr>
          <w:rFonts w:ascii="Arial" w:hAnsi="Arial" w:cs="Arial"/>
          <w:b/>
          <w:i/>
          <w:sz w:val="20"/>
          <w:szCs w:val="20"/>
        </w:rPr>
        <w:fldChar w:fldCharType="separate"/>
      </w:r>
      <w:r w:rsidR="004378F3">
        <w:rPr>
          <w:rFonts w:ascii="Arial" w:hAnsi="Arial" w:cs="Arial"/>
          <w:b/>
          <w:i/>
          <w:noProof/>
          <w:sz w:val="20"/>
          <w:szCs w:val="20"/>
        </w:rPr>
        <w:t>17</w:t>
      </w:r>
      <w:r w:rsidRPr="00815F66">
        <w:rPr>
          <w:rFonts w:ascii="Arial" w:hAnsi="Arial" w:cs="Arial"/>
          <w:b/>
          <w:i/>
          <w:sz w:val="20"/>
          <w:szCs w:val="20"/>
        </w:rPr>
        <w:fldChar w:fldCharType="end"/>
      </w:r>
      <w:r w:rsidRPr="00815F66">
        <w:rPr>
          <w:rFonts w:ascii="Arial" w:hAnsi="Arial" w:cs="Arial"/>
          <w:b/>
          <w:i/>
          <w:snapToGrid w:val="0"/>
          <w:sz w:val="20"/>
          <w:szCs w:val="20"/>
        </w:rPr>
        <w:t>: Počet cizinců na trhu práce v Jihomoravském kraji k 31. 12. 2014</w:t>
      </w:r>
    </w:p>
    <w:p w:rsidR="00815F66" w:rsidRPr="00D445DD" w:rsidRDefault="00815F66" w:rsidP="00815F66">
      <w:pPr>
        <w:widowControl w:val="0"/>
        <w:jc w:val="both"/>
        <w:rPr>
          <w:rFonts w:ascii="Arial" w:hAnsi="Arial" w:cs="Arial"/>
          <w:snapToGrid w:val="0"/>
          <w:sz w:val="20"/>
        </w:rPr>
      </w:pPr>
      <w:r>
        <w:rPr>
          <w:rFonts w:ascii="Arial" w:hAnsi="Arial" w:cs="Arial"/>
          <w:noProof/>
          <w:sz w:val="20"/>
        </w:rPr>
        <w:drawing>
          <wp:inline distT="0" distB="0" distL="0" distR="0" wp14:anchorId="58700959" wp14:editId="5D238428">
            <wp:extent cx="5760000" cy="2700000"/>
            <wp:effectExtent l="0" t="0" r="0" b="5715"/>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700000"/>
                    </a:xfrm>
                    <a:prstGeom prst="rect">
                      <a:avLst/>
                    </a:prstGeom>
                    <a:noFill/>
                    <a:ln>
                      <a:noFill/>
                    </a:ln>
                  </pic:spPr>
                </pic:pic>
              </a:graphicData>
            </a:graphic>
          </wp:inline>
        </w:drawing>
      </w:r>
    </w:p>
    <w:p w:rsidR="00815F66" w:rsidRPr="00815F66" w:rsidRDefault="00815F66" w:rsidP="00815F66">
      <w:pPr>
        <w:pStyle w:val="Odstavecseseznamem"/>
        <w:widowControl w:val="0"/>
        <w:ind w:left="0"/>
        <w:jc w:val="both"/>
        <w:rPr>
          <w:rFonts w:ascii="Arial" w:hAnsi="Arial" w:cs="Arial"/>
          <w:snapToGrid w:val="0"/>
          <w:sz w:val="20"/>
          <w:szCs w:val="20"/>
        </w:rPr>
      </w:pPr>
      <w:r w:rsidRPr="00815F66">
        <w:rPr>
          <w:rFonts w:ascii="Arial" w:hAnsi="Arial" w:cs="Arial"/>
          <w:snapToGrid w:val="0"/>
          <w:sz w:val="20"/>
          <w:szCs w:val="20"/>
        </w:rPr>
        <w:t xml:space="preserve"> * kvalifikovaný odhad</w:t>
      </w:r>
    </w:p>
    <w:p w:rsidR="00815F66" w:rsidRDefault="00815F66" w:rsidP="00815F66">
      <w:pPr>
        <w:widowControl w:val="0"/>
        <w:spacing w:after="120"/>
        <w:jc w:val="both"/>
        <w:rPr>
          <w:rFonts w:ascii="Arial" w:hAnsi="Arial" w:cs="Arial"/>
          <w:snapToGrid w:val="0"/>
          <w:sz w:val="22"/>
          <w:szCs w:val="22"/>
        </w:rPr>
      </w:pPr>
    </w:p>
    <w:p w:rsidR="00815F66" w:rsidRDefault="00815F66" w:rsidP="00815F66">
      <w:pPr>
        <w:widowControl w:val="0"/>
        <w:spacing w:after="120"/>
        <w:jc w:val="both"/>
        <w:rPr>
          <w:rFonts w:ascii="Arial" w:hAnsi="Arial" w:cs="Arial"/>
          <w:snapToGrid w:val="0"/>
          <w:sz w:val="22"/>
          <w:szCs w:val="22"/>
        </w:rPr>
      </w:pPr>
      <w:r>
        <w:rPr>
          <w:rFonts w:ascii="Arial" w:hAnsi="Arial" w:cs="Arial"/>
          <w:snapToGrid w:val="0"/>
          <w:sz w:val="22"/>
          <w:szCs w:val="22"/>
        </w:rPr>
        <w:t xml:space="preserve">Vzhledem k opakovaným změnám v programovém vybavení úřadů práce v letech 2012-2014, kdy migrace dat mezi systémy řádně neproběhla ani v jednom směru, údaje </w:t>
      </w:r>
      <w:r>
        <w:rPr>
          <w:rFonts w:ascii="Arial" w:hAnsi="Arial" w:cs="Arial"/>
          <w:snapToGrid w:val="0"/>
          <w:sz w:val="22"/>
          <w:szCs w:val="22"/>
        </w:rPr>
        <w:br/>
        <w:t>o počtu cizinců registrovaných Úřadem práce nejsou zcela přesné. V případě okresu Brno-město se pokud jde o cizince z EU a cizince z třetích zemí, kteří nepotřebují povolení k zaměstnání (informace cizinců dle § 98 ZoZ), jedná pouze o kvalifikovaný odhad.  Řada firem navíc splní svoji informační povinnost pouze při vstupu cizince na trh práce, avšak ukončení jeho působení již ne vždy úřadu práce nahlásí. Jedná se zejména o občany Slovenské republiky, jejichž skutečný počet na trhu práce v kraji tedy může být poněkud nižší než vykazovaná čísla. V případě pracovních povolení zase stále nejsou z hlediska statistického sledování dořešeny legislativní změny, které přesunuly v polovině roku 2014 vydávání většiny nových pracovních povolení na Ministerstvo vnitra (tzv. zaměstnanecké karty).</w:t>
      </w:r>
    </w:p>
    <w:p w:rsidR="00815F66" w:rsidRDefault="00815F66" w:rsidP="00815F66">
      <w:pPr>
        <w:widowControl w:val="0"/>
        <w:spacing w:after="120"/>
        <w:jc w:val="both"/>
        <w:rPr>
          <w:rFonts w:ascii="Arial" w:hAnsi="Arial" w:cs="Arial"/>
          <w:snapToGrid w:val="0"/>
          <w:sz w:val="22"/>
          <w:szCs w:val="22"/>
        </w:rPr>
      </w:pPr>
      <w:r>
        <w:rPr>
          <w:rFonts w:ascii="Arial" w:hAnsi="Arial" w:cs="Arial"/>
          <w:snapToGrid w:val="0"/>
          <w:sz w:val="22"/>
          <w:szCs w:val="22"/>
        </w:rPr>
        <w:t xml:space="preserve"> V tomto kontextu je tedy nutno hodnotit i vývoj celkového počtu cizinců na trhu práce po roce 2011. Přes uvedené nepřesnosti je však zřejmé, že výrazný nárůst počtu cizinců ze zemí EU (zejména ze Slovenska), se v posledním roce zastavil, ne-li obrátil. Důvodem je pravděpodobně oslabující česká koruna, kdy pro Slováky již není zaměstnání v ČR natolik atraktivní.</w:t>
      </w:r>
    </w:p>
    <w:p w:rsidR="00815F66" w:rsidRDefault="00815F66" w:rsidP="00815F66">
      <w:pPr>
        <w:widowControl w:val="0"/>
        <w:spacing w:after="120"/>
        <w:jc w:val="both"/>
        <w:rPr>
          <w:rFonts w:ascii="Arial" w:hAnsi="Arial" w:cs="Arial"/>
          <w:snapToGrid w:val="0"/>
          <w:sz w:val="22"/>
          <w:szCs w:val="22"/>
        </w:rPr>
      </w:pPr>
    </w:p>
    <w:p w:rsidR="00815F66" w:rsidRDefault="00815F66" w:rsidP="00815F66">
      <w:pPr>
        <w:widowControl w:val="0"/>
        <w:spacing w:after="120"/>
        <w:jc w:val="both"/>
        <w:rPr>
          <w:rFonts w:ascii="Arial" w:hAnsi="Arial" w:cs="Arial"/>
          <w:snapToGrid w:val="0"/>
          <w:sz w:val="22"/>
          <w:szCs w:val="22"/>
        </w:rPr>
      </w:pPr>
    </w:p>
    <w:p w:rsidR="00815F66" w:rsidRPr="00D445DD" w:rsidRDefault="00815F66" w:rsidP="00815F66">
      <w:pPr>
        <w:widowControl w:val="0"/>
        <w:spacing w:after="120"/>
        <w:jc w:val="both"/>
        <w:rPr>
          <w:rFonts w:ascii="Arial" w:hAnsi="Arial" w:cs="Arial"/>
          <w:snapToGrid w:val="0"/>
          <w:sz w:val="22"/>
          <w:szCs w:val="22"/>
        </w:rPr>
      </w:pPr>
    </w:p>
    <w:p w:rsidR="00815F66" w:rsidRPr="00413E14" w:rsidRDefault="00815F66" w:rsidP="00815F66">
      <w:pPr>
        <w:pStyle w:val="Odstavecseseznamem"/>
        <w:widowControl w:val="0"/>
        <w:ind w:left="0"/>
        <w:jc w:val="both"/>
        <w:rPr>
          <w:rFonts w:ascii="Arial" w:hAnsi="Arial" w:cs="Arial"/>
          <w:snapToGrid w:val="0"/>
          <w:sz w:val="16"/>
          <w:szCs w:val="16"/>
        </w:rPr>
      </w:pPr>
    </w:p>
    <w:p w:rsidR="00815F66" w:rsidRPr="00482B40" w:rsidRDefault="00482B40" w:rsidP="00267B77">
      <w:pPr>
        <w:pStyle w:val="Bezmezer"/>
        <w:spacing w:line="276" w:lineRule="auto"/>
        <w:rPr>
          <w:rFonts w:ascii="Arial" w:hAnsi="Arial" w:cs="Arial"/>
          <w:b/>
          <w:i/>
          <w:sz w:val="20"/>
          <w:szCs w:val="20"/>
        </w:rPr>
      </w:pPr>
      <w:r w:rsidRPr="00482B40">
        <w:rPr>
          <w:rFonts w:ascii="Arial" w:hAnsi="Arial" w:cs="Arial"/>
          <w:b/>
          <w:i/>
          <w:sz w:val="20"/>
          <w:szCs w:val="20"/>
        </w:rPr>
        <w:t xml:space="preserve">Obr. </w:t>
      </w:r>
      <w:r w:rsidRPr="00482B40">
        <w:rPr>
          <w:rFonts w:ascii="Arial" w:hAnsi="Arial" w:cs="Arial"/>
          <w:b/>
          <w:i/>
          <w:sz w:val="20"/>
          <w:szCs w:val="20"/>
        </w:rPr>
        <w:fldChar w:fldCharType="begin"/>
      </w:r>
      <w:r w:rsidRPr="00482B40">
        <w:rPr>
          <w:rFonts w:ascii="Arial" w:hAnsi="Arial" w:cs="Arial"/>
          <w:b/>
          <w:i/>
          <w:sz w:val="20"/>
          <w:szCs w:val="20"/>
        </w:rPr>
        <w:instrText xml:space="preserve"> SEQ Obr. \* ARABIC </w:instrText>
      </w:r>
      <w:r w:rsidRPr="00482B40">
        <w:rPr>
          <w:rFonts w:ascii="Arial" w:hAnsi="Arial" w:cs="Arial"/>
          <w:b/>
          <w:i/>
          <w:sz w:val="20"/>
          <w:szCs w:val="20"/>
        </w:rPr>
        <w:fldChar w:fldCharType="separate"/>
      </w:r>
      <w:r w:rsidR="009E38FD">
        <w:rPr>
          <w:rFonts w:ascii="Arial" w:hAnsi="Arial" w:cs="Arial"/>
          <w:b/>
          <w:i/>
          <w:noProof/>
          <w:sz w:val="20"/>
          <w:szCs w:val="20"/>
        </w:rPr>
        <w:t>22</w:t>
      </w:r>
      <w:r w:rsidRPr="00482B40">
        <w:rPr>
          <w:rFonts w:ascii="Arial" w:hAnsi="Arial" w:cs="Arial"/>
          <w:b/>
          <w:i/>
          <w:sz w:val="20"/>
          <w:szCs w:val="20"/>
        </w:rPr>
        <w:fldChar w:fldCharType="end"/>
      </w:r>
      <w:r w:rsidRPr="00482B40">
        <w:rPr>
          <w:rFonts w:ascii="Arial" w:hAnsi="Arial" w:cs="Arial"/>
          <w:b/>
          <w:i/>
          <w:sz w:val="20"/>
          <w:szCs w:val="20"/>
        </w:rPr>
        <w:t xml:space="preserve">: </w:t>
      </w:r>
      <w:r w:rsidR="00815F66" w:rsidRPr="00482B40">
        <w:rPr>
          <w:rFonts w:ascii="Arial" w:hAnsi="Arial" w:cs="Arial"/>
          <w:b/>
          <w:i/>
          <w:sz w:val="20"/>
          <w:szCs w:val="20"/>
        </w:rPr>
        <w:t xml:space="preserve"> Vývoj celkového počtu cizinců v Jihomoravském kraji v letech 2006</w:t>
      </w:r>
      <w:r w:rsidRPr="00482B40">
        <w:rPr>
          <w:rFonts w:ascii="Arial" w:hAnsi="Arial" w:cs="Arial"/>
          <w:b/>
          <w:i/>
          <w:sz w:val="20"/>
          <w:szCs w:val="20"/>
        </w:rPr>
        <w:t xml:space="preserve"> </w:t>
      </w:r>
      <w:r w:rsidR="00815F66" w:rsidRPr="00482B40">
        <w:rPr>
          <w:rFonts w:ascii="Arial" w:hAnsi="Arial" w:cs="Arial"/>
          <w:b/>
          <w:i/>
          <w:sz w:val="20"/>
          <w:szCs w:val="20"/>
        </w:rPr>
        <w:t>-</w:t>
      </w:r>
      <w:r w:rsidRPr="00482B40">
        <w:rPr>
          <w:rFonts w:ascii="Arial" w:hAnsi="Arial" w:cs="Arial"/>
          <w:b/>
          <w:i/>
          <w:sz w:val="20"/>
          <w:szCs w:val="20"/>
        </w:rPr>
        <w:t xml:space="preserve"> </w:t>
      </w:r>
      <w:r w:rsidR="00815F66" w:rsidRPr="00482B40">
        <w:rPr>
          <w:rFonts w:ascii="Arial" w:hAnsi="Arial" w:cs="Arial"/>
          <w:b/>
          <w:i/>
          <w:sz w:val="20"/>
          <w:szCs w:val="20"/>
        </w:rPr>
        <w:t>2014</w:t>
      </w:r>
    </w:p>
    <w:p w:rsidR="00815F66" w:rsidRDefault="00815F66" w:rsidP="00815F66">
      <w:pPr>
        <w:widowControl w:val="0"/>
        <w:jc w:val="both"/>
        <w:rPr>
          <w:rFonts w:ascii="Arial" w:hAnsi="Arial" w:cs="Arial"/>
          <w:snapToGrid w:val="0"/>
          <w:sz w:val="22"/>
          <w:szCs w:val="22"/>
        </w:rPr>
      </w:pPr>
      <w:r>
        <w:rPr>
          <w:noProof/>
        </w:rPr>
        <w:drawing>
          <wp:inline distT="0" distB="0" distL="0" distR="0" wp14:anchorId="27418995" wp14:editId="1847ED47">
            <wp:extent cx="5760720" cy="3499658"/>
            <wp:effectExtent l="0" t="0" r="11430" b="2476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5F66" w:rsidRDefault="00815F66" w:rsidP="00267B77">
      <w:pPr>
        <w:widowControl w:val="0"/>
        <w:jc w:val="both"/>
        <w:rPr>
          <w:rFonts w:ascii="Arial" w:hAnsi="Arial" w:cs="Arial"/>
          <w:b/>
          <w:snapToGrid w:val="0"/>
          <w:sz w:val="20"/>
        </w:rPr>
      </w:pPr>
    </w:p>
    <w:p w:rsidR="00815F66" w:rsidRPr="00482B40" w:rsidRDefault="00482B40" w:rsidP="00267B77">
      <w:pPr>
        <w:pStyle w:val="Bezmezer"/>
        <w:spacing w:line="276" w:lineRule="auto"/>
        <w:rPr>
          <w:rFonts w:ascii="Arial" w:hAnsi="Arial" w:cs="Arial"/>
          <w:b/>
          <w:i/>
          <w:snapToGrid w:val="0"/>
          <w:sz w:val="20"/>
          <w:szCs w:val="20"/>
        </w:rPr>
      </w:pPr>
      <w:r w:rsidRPr="00482B40">
        <w:rPr>
          <w:rFonts w:ascii="Arial" w:hAnsi="Arial" w:cs="Arial"/>
          <w:b/>
          <w:i/>
          <w:sz w:val="20"/>
          <w:szCs w:val="20"/>
        </w:rPr>
        <w:t xml:space="preserve">Obr. </w:t>
      </w:r>
      <w:r w:rsidRPr="00482B40">
        <w:rPr>
          <w:rFonts w:ascii="Arial" w:hAnsi="Arial" w:cs="Arial"/>
          <w:b/>
          <w:i/>
          <w:sz w:val="20"/>
          <w:szCs w:val="20"/>
        </w:rPr>
        <w:fldChar w:fldCharType="begin"/>
      </w:r>
      <w:r w:rsidRPr="00482B40">
        <w:rPr>
          <w:rFonts w:ascii="Arial" w:hAnsi="Arial" w:cs="Arial"/>
          <w:b/>
          <w:i/>
          <w:sz w:val="20"/>
          <w:szCs w:val="20"/>
        </w:rPr>
        <w:instrText xml:space="preserve"> SEQ Obr. \* ARABIC </w:instrText>
      </w:r>
      <w:r w:rsidRPr="00482B40">
        <w:rPr>
          <w:rFonts w:ascii="Arial" w:hAnsi="Arial" w:cs="Arial"/>
          <w:b/>
          <w:i/>
          <w:sz w:val="20"/>
          <w:szCs w:val="20"/>
        </w:rPr>
        <w:fldChar w:fldCharType="separate"/>
      </w:r>
      <w:r w:rsidR="009E38FD">
        <w:rPr>
          <w:rFonts w:ascii="Arial" w:hAnsi="Arial" w:cs="Arial"/>
          <w:b/>
          <w:i/>
          <w:noProof/>
          <w:sz w:val="20"/>
          <w:szCs w:val="20"/>
        </w:rPr>
        <w:t>23</w:t>
      </w:r>
      <w:r w:rsidRPr="00482B40">
        <w:rPr>
          <w:rFonts w:ascii="Arial" w:hAnsi="Arial" w:cs="Arial"/>
          <w:b/>
          <w:i/>
          <w:sz w:val="20"/>
          <w:szCs w:val="20"/>
        </w:rPr>
        <w:fldChar w:fldCharType="end"/>
      </w:r>
      <w:r w:rsidRPr="00482B40">
        <w:rPr>
          <w:rFonts w:ascii="Arial" w:hAnsi="Arial" w:cs="Arial"/>
          <w:b/>
          <w:i/>
          <w:sz w:val="20"/>
          <w:szCs w:val="20"/>
        </w:rPr>
        <w:t>:</w:t>
      </w:r>
      <w:r w:rsidR="00815F66" w:rsidRPr="00482B40">
        <w:rPr>
          <w:rFonts w:ascii="Arial" w:hAnsi="Arial" w:cs="Arial"/>
          <w:b/>
          <w:i/>
          <w:snapToGrid w:val="0"/>
          <w:sz w:val="20"/>
          <w:szCs w:val="20"/>
        </w:rPr>
        <w:t xml:space="preserve"> </w:t>
      </w:r>
      <w:r w:rsidRPr="00482B40">
        <w:rPr>
          <w:rFonts w:ascii="Arial" w:hAnsi="Arial" w:cs="Arial"/>
          <w:b/>
          <w:i/>
          <w:snapToGrid w:val="0"/>
          <w:sz w:val="20"/>
          <w:szCs w:val="20"/>
        </w:rPr>
        <w:t>Vývoj počtu cizinců na trhu práce</w:t>
      </w:r>
      <w:r w:rsidR="00815F66" w:rsidRPr="00482B40">
        <w:rPr>
          <w:rFonts w:ascii="Arial" w:hAnsi="Arial" w:cs="Arial"/>
          <w:b/>
          <w:i/>
          <w:snapToGrid w:val="0"/>
          <w:sz w:val="20"/>
          <w:szCs w:val="20"/>
        </w:rPr>
        <w:t xml:space="preserve"> v Jihomoravském kraji</w:t>
      </w:r>
      <w:r w:rsidRPr="00482B40">
        <w:rPr>
          <w:rFonts w:ascii="Arial" w:hAnsi="Arial" w:cs="Arial"/>
          <w:b/>
          <w:i/>
          <w:snapToGrid w:val="0"/>
          <w:sz w:val="20"/>
          <w:szCs w:val="20"/>
        </w:rPr>
        <w:t xml:space="preserve"> v letech 2006 - 2014</w:t>
      </w:r>
      <w:r w:rsidR="00815F66" w:rsidRPr="00482B40">
        <w:rPr>
          <w:rFonts w:ascii="Arial" w:hAnsi="Arial" w:cs="Arial"/>
          <w:b/>
          <w:i/>
          <w:snapToGrid w:val="0"/>
          <w:sz w:val="20"/>
          <w:szCs w:val="20"/>
        </w:rPr>
        <w:t xml:space="preserve"> podle typu registrace </w:t>
      </w:r>
    </w:p>
    <w:p w:rsidR="00815F66" w:rsidRDefault="00815F66" w:rsidP="00815F66">
      <w:pPr>
        <w:widowControl w:val="0"/>
        <w:jc w:val="both"/>
        <w:rPr>
          <w:rFonts w:ascii="Arial" w:hAnsi="Arial" w:cs="Arial"/>
          <w:snapToGrid w:val="0"/>
          <w:sz w:val="20"/>
        </w:rPr>
      </w:pPr>
      <w:r>
        <w:rPr>
          <w:noProof/>
        </w:rPr>
        <w:drawing>
          <wp:inline distT="0" distB="0" distL="0" distR="0" wp14:anchorId="3A0C4512" wp14:editId="03C29F08">
            <wp:extent cx="5760720" cy="3790604"/>
            <wp:effectExtent l="0" t="0" r="11430" b="1968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15F66" w:rsidRPr="002A3F58" w:rsidRDefault="00815F66" w:rsidP="00815F66">
      <w:pPr>
        <w:widowControl w:val="0"/>
        <w:jc w:val="both"/>
        <w:rPr>
          <w:rFonts w:ascii="Arial" w:hAnsi="Arial" w:cs="Arial"/>
          <w:snapToGrid w:val="0"/>
          <w:sz w:val="20"/>
        </w:rPr>
      </w:pPr>
    </w:p>
    <w:p w:rsidR="000D3B3B" w:rsidRDefault="000D3B3B" w:rsidP="00815F66">
      <w:pPr>
        <w:widowControl w:val="0"/>
        <w:jc w:val="both"/>
        <w:rPr>
          <w:rFonts w:ascii="Arial" w:hAnsi="Arial" w:cs="Arial"/>
          <w:b/>
          <w:snapToGrid w:val="0"/>
          <w:sz w:val="22"/>
          <w:szCs w:val="22"/>
        </w:rPr>
      </w:pPr>
    </w:p>
    <w:p w:rsidR="00815F66" w:rsidRDefault="00815F66" w:rsidP="00815F66">
      <w:pPr>
        <w:widowControl w:val="0"/>
        <w:jc w:val="both"/>
        <w:rPr>
          <w:rFonts w:ascii="Arial" w:hAnsi="Arial" w:cs="Arial"/>
          <w:snapToGrid w:val="0"/>
          <w:sz w:val="22"/>
          <w:szCs w:val="22"/>
        </w:rPr>
      </w:pPr>
      <w:r w:rsidRPr="00D445DD">
        <w:rPr>
          <w:rFonts w:ascii="Arial" w:hAnsi="Arial" w:cs="Arial"/>
          <w:b/>
          <w:snapToGrid w:val="0"/>
          <w:sz w:val="22"/>
          <w:szCs w:val="22"/>
        </w:rPr>
        <w:t>Struktura cizinců působících na trhu práce v Jihomoravském kraji doznala v průběhu</w:t>
      </w:r>
      <w:r w:rsidR="00001E4E">
        <w:rPr>
          <w:rFonts w:ascii="Arial" w:hAnsi="Arial" w:cs="Arial"/>
          <w:b/>
          <w:snapToGrid w:val="0"/>
          <w:sz w:val="22"/>
          <w:szCs w:val="22"/>
        </w:rPr>
        <w:t xml:space="preserve"> </w:t>
      </w:r>
      <w:r>
        <w:rPr>
          <w:rFonts w:ascii="Arial" w:hAnsi="Arial" w:cs="Arial"/>
          <w:b/>
          <w:snapToGrid w:val="0"/>
          <w:sz w:val="22"/>
          <w:szCs w:val="22"/>
        </w:rPr>
        <w:t>posledních let</w:t>
      </w:r>
      <w:r w:rsidRPr="00D445DD">
        <w:rPr>
          <w:rFonts w:ascii="Arial" w:hAnsi="Arial" w:cs="Arial"/>
          <w:b/>
          <w:snapToGrid w:val="0"/>
          <w:sz w:val="22"/>
          <w:szCs w:val="22"/>
        </w:rPr>
        <w:t xml:space="preserve"> výrazných změn.</w:t>
      </w:r>
      <w:r>
        <w:rPr>
          <w:rFonts w:ascii="Arial" w:hAnsi="Arial" w:cs="Arial"/>
          <w:b/>
          <w:snapToGrid w:val="0"/>
          <w:sz w:val="22"/>
          <w:szCs w:val="22"/>
        </w:rPr>
        <w:t xml:space="preserve"> </w:t>
      </w:r>
      <w:r>
        <w:rPr>
          <w:rFonts w:ascii="Arial" w:hAnsi="Arial" w:cs="Arial"/>
          <w:snapToGrid w:val="0"/>
          <w:sz w:val="22"/>
          <w:szCs w:val="22"/>
        </w:rPr>
        <w:t>Přestože údaje po roce 2011 (zejména za okres Brno-město)</w:t>
      </w:r>
      <w:r w:rsidRPr="00D445DD">
        <w:rPr>
          <w:rFonts w:ascii="Arial" w:hAnsi="Arial" w:cs="Arial"/>
          <w:b/>
          <w:snapToGrid w:val="0"/>
          <w:sz w:val="22"/>
          <w:szCs w:val="22"/>
        </w:rPr>
        <w:t xml:space="preserve"> </w:t>
      </w:r>
      <w:r>
        <w:rPr>
          <w:rFonts w:ascii="Arial" w:hAnsi="Arial" w:cs="Arial"/>
          <w:snapToGrid w:val="0"/>
          <w:sz w:val="22"/>
          <w:szCs w:val="22"/>
        </w:rPr>
        <w:t>je nutné brát s rezervou, je zřejmé, že po mírném poklesu těsně po nástupu hospodářské krize došlo naopak k výraznému nárůstu počtu pracovníků ze zemí EU, a to nejen Slováků. Zdá se, že hospodářská recese po roce 2008, vedoucí k výraznému omezení počtu cizinců působících zde na pracovní povolení</w:t>
      </w:r>
      <w:r w:rsidR="0060115A">
        <w:rPr>
          <w:rFonts w:ascii="Arial" w:hAnsi="Arial" w:cs="Arial"/>
          <w:snapToGrid w:val="0"/>
          <w:sz w:val="22"/>
          <w:szCs w:val="22"/>
        </w:rPr>
        <w:t xml:space="preserve"> </w:t>
      </w:r>
      <w:r>
        <w:rPr>
          <w:rFonts w:ascii="Arial" w:hAnsi="Arial" w:cs="Arial"/>
          <w:snapToGrid w:val="0"/>
          <w:sz w:val="22"/>
          <w:szCs w:val="22"/>
        </w:rPr>
        <w:t xml:space="preserve">naopak urychlila příliv cizinců, kteří pracovní povolení nepotřebují, a v jejichž zemích původu byly dopady krize výraznější. </w:t>
      </w:r>
      <w:r w:rsidRPr="00CE01D0">
        <w:rPr>
          <w:rFonts w:ascii="Arial" w:hAnsi="Arial" w:cs="Arial"/>
          <w:snapToGrid w:val="0"/>
          <w:sz w:val="22"/>
          <w:szCs w:val="22"/>
        </w:rPr>
        <w:t>Zatímco v roce 2008</w:t>
      </w:r>
      <w:r>
        <w:rPr>
          <w:rFonts w:ascii="Arial" w:hAnsi="Arial" w:cs="Arial"/>
          <w:snapToGrid w:val="0"/>
          <w:sz w:val="22"/>
          <w:szCs w:val="22"/>
        </w:rPr>
        <w:t>, těsně před nástupem hospodářské krize, byl počet pracovníků ze zemí EU a cizinců působících v kraji na pracovní povolení téměř vyrovnaný,</w:t>
      </w:r>
      <w:r w:rsidRPr="00D445DD">
        <w:rPr>
          <w:rFonts w:ascii="Arial" w:hAnsi="Arial" w:cs="Arial"/>
          <w:b/>
          <w:snapToGrid w:val="0"/>
          <w:sz w:val="22"/>
          <w:szCs w:val="22"/>
        </w:rPr>
        <w:t xml:space="preserve"> </w:t>
      </w:r>
      <w:r w:rsidRPr="0083755A">
        <w:rPr>
          <w:rFonts w:ascii="Arial" w:hAnsi="Arial" w:cs="Arial"/>
          <w:snapToGrid w:val="0"/>
          <w:sz w:val="22"/>
          <w:szCs w:val="22"/>
        </w:rPr>
        <w:t>v současné době</w:t>
      </w:r>
      <w:r w:rsidRPr="00D445DD">
        <w:rPr>
          <w:rFonts w:ascii="Arial" w:hAnsi="Arial" w:cs="Arial"/>
          <w:snapToGrid w:val="0"/>
          <w:sz w:val="22"/>
          <w:szCs w:val="22"/>
        </w:rPr>
        <w:t xml:space="preserve"> téměř </w:t>
      </w:r>
      <w:r w:rsidRPr="00D445DD">
        <w:rPr>
          <w:rFonts w:ascii="Arial" w:hAnsi="Arial" w:cs="Arial"/>
          <w:b/>
          <w:snapToGrid w:val="0"/>
          <w:sz w:val="22"/>
          <w:szCs w:val="22"/>
        </w:rPr>
        <w:t>80% cizinců evidovaných úřady práce</w:t>
      </w:r>
      <w:r>
        <w:rPr>
          <w:rFonts w:ascii="Arial" w:hAnsi="Arial" w:cs="Arial"/>
          <w:b/>
          <w:snapToGrid w:val="0"/>
          <w:sz w:val="22"/>
          <w:szCs w:val="22"/>
        </w:rPr>
        <w:t xml:space="preserve"> (tedy cizinců v postavení zaměstnanců)</w:t>
      </w:r>
      <w:r w:rsidRPr="00D445DD">
        <w:rPr>
          <w:rFonts w:ascii="Arial" w:hAnsi="Arial" w:cs="Arial"/>
          <w:b/>
          <w:snapToGrid w:val="0"/>
          <w:sz w:val="22"/>
          <w:szCs w:val="22"/>
        </w:rPr>
        <w:t xml:space="preserve"> v Jihomoravském kraji představují občané EU/EHP</w:t>
      </w:r>
      <w:r w:rsidRPr="00D445DD">
        <w:rPr>
          <w:rFonts w:ascii="Arial" w:hAnsi="Arial" w:cs="Arial"/>
          <w:snapToGrid w:val="0"/>
          <w:sz w:val="22"/>
          <w:szCs w:val="22"/>
        </w:rPr>
        <w:t xml:space="preserve">. </w:t>
      </w:r>
      <w:r>
        <w:rPr>
          <w:rFonts w:ascii="Arial" w:hAnsi="Arial" w:cs="Arial"/>
          <w:snapToGrid w:val="0"/>
          <w:sz w:val="22"/>
          <w:szCs w:val="22"/>
        </w:rPr>
        <w:t>Pokud jde o celkové počty cizinců v kraji včetně živnostníků, tak podíl cizinců z EU zjistit nelze. Současná statistika živnostenského podnikání totiž nesleduje občanství cizinců-podnikatelů do úrovně krajů či okresů.</w:t>
      </w:r>
    </w:p>
    <w:p w:rsidR="00507D0E" w:rsidRDefault="00507D0E" w:rsidP="00815F66">
      <w:pPr>
        <w:widowControl w:val="0"/>
        <w:jc w:val="both"/>
        <w:rPr>
          <w:rFonts w:ascii="Arial" w:hAnsi="Arial" w:cs="Arial"/>
          <w:snapToGrid w:val="0"/>
          <w:sz w:val="22"/>
          <w:szCs w:val="22"/>
        </w:rPr>
      </w:pPr>
    </w:p>
    <w:p w:rsidR="00815F66" w:rsidRPr="00507D0E" w:rsidRDefault="00001E4E" w:rsidP="00267B77">
      <w:pPr>
        <w:pStyle w:val="Bezmezer"/>
        <w:spacing w:line="276" w:lineRule="auto"/>
        <w:rPr>
          <w:rFonts w:ascii="Arial" w:hAnsi="Arial" w:cs="Arial"/>
          <w:b/>
          <w:i/>
          <w:sz w:val="20"/>
          <w:szCs w:val="20"/>
        </w:rPr>
      </w:pPr>
      <w:r w:rsidRPr="00507D0E">
        <w:rPr>
          <w:rFonts w:ascii="Arial" w:hAnsi="Arial" w:cs="Arial"/>
          <w:b/>
          <w:i/>
          <w:sz w:val="20"/>
          <w:szCs w:val="20"/>
        </w:rPr>
        <w:t xml:space="preserve">Obr. </w:t>
      </w:r>
      <w:r w:rsidRPr="00507D0E">
        <w:rPr>
          <w:rFonts w:ascii="Arial" w:hAnsi="Arial" w:cs="Arial"/>
          <w:b/>
          <w:i/>
          <w:sz w:val="20"/>
          <w:szCs w:val="20"/>
        </w:rPr>
        <w:fldChar w:fldCharType="begin"/>
      </w:r>
      <w:r w:rsidRPr="00507D0E">
        <w:rPr>
          <w:rFonts w:ascii="Arial" w:hAnsi="Arial" w:cs="Arial"/>
          <w:b/>
          <w:i/>
          <w:sz w:val="20"/>
          <w:szCs w:val="20"/>
        </w:rPr>
        <w:instrText xml:space="preserve"> SEQ Obr. \* ARABIC </w:instrText>
      </w:r>
      <w:r w:rsidRPr="00507D0E">
        <w:rPr>
          <w:rFonts w:ascii="Arial" w:hAnsi="Arial" w:cs="Arial"/>
          <w:b/>
          <w:i/>
          <w:sz w:val="20"/>
          <w:szCs w:val="20"/>
        </w:rPr>
        <w:fldChar w:fldCharType="separate"/>
      </w:r>
      <w:r w:rsidR="009E38FD">
        <w:rPr>
          <w:rFonts w:ascii="Arial" w:hAnsi="Arial" w:cs="Arial"/>
          <w:b/>
          <w:i/>
          <w:noProof/>
          <w:sz w:val="20"/>
          <w:szCs w:val="20"/>
        </w:rPr>
        <w:t>24</w:t>
      </w:r>
      <w:r w:rsidRPr="00507D0E">
        <w:rPr>
          <w:rFonts w:ascii="Arial" w:hAnsi="Arial" w:cs="Arial"/>
          <w:b/>
          <w:i/>
          <w:sz w:val="20"/>
          <w:szCs w:val="20"/>
        </w:rPr>
        <w:fldChar w:fldCharType="end"/>
      </w:r>
      <w:r w:rsidRPr="00507D0E">
        <w:rPr>
          <w:rFonts w:ascii="Arial" w:hAnsi="Arial" w:cs="Arial"/>
          <w:b/>
          <w:i/>
          <w:sz w:val="20"/>
          <w:szCs w:val="20"/>
        </w:rPr>
        <w:t>: Cizinci v Jihomoravském kraji k 31.</w:t>
      </w:r>
      <w:r w:rsidR="00507D0E" w:rsidRPr="00507D0E">
        <w:rPr>
          <w:rFonts w:ascii="Arial" w:hAnsi="Arial" w:cs="Arial"/>
          <w:b/>
          <w:i/>
          <w:sz w:val="20"/>
          <w:szCs w:val="20"/>
        </w:rPr>
        <w:t xml:space="preserve"> </w:t>
      </w:r>
      <w:r w:rsidRPr="00507D0E">
        <w:rPr>
          <w:rFonts w:ascii="Arial" w:hAnsi="Arial" w:cs="Arial"/>
          <w:b/>
          <w:i/>
          <w:sz w:val="20"/>
          <w:szCs w:val="20"/>
        </w:rPr>
        <w:t>12.</w:t>
      </w:r>
      <w:r w:rsidR="00507D0E" w:rsidRPr="00507D0E">
        <w:rPr>
          <w:rFonts w:ascii="Arial" w:hAnsi="Arial" w:cs="Arial"/>
          <w:b/>
          <w:i/>
          <w:sz w:val="20"/>
          <w:szCs w:val="20"/>
        </w:rPr>
        <w:t xml:space="preserve"> </w:t>
      </w:r>
      <w:r w:rsidRPr="00507D0E">
        <w:rPr>
          <w:rFonts w:ascii="Arial" w:hAnsi="Arial" w:cs="Arial"/>
          <w:b/>
          <w:i/>
          <w:sz w:val="20"/>
          <w:szCs w:val="20"/>
        </w:rPr>
        <w:t>2014 dle typu registrace</w:t>
      </w:r>
    </w:p>
    <w:p w:rsidR="00815F66" w:rsidRPr="00025487" w:rsidRDefault="00815F66" w:rsidP="00815F66">
      <w:pPr>
        <w:widowControl w:val="0"/>
        <w:jc w:val="both"/>
        <w:rPr>
          <w:rFonts w:ascii="Arial" w:hAnsi="Arial" w:cs="Arial"/>
          <w:snapToGrid w:val="0"/>
          <w:sz w:val="20"/>
        </w:rPr>
      </w:pPr>
      <w:r>
        <w:rPr>
          <w:noProof/>
        </w:rPr>
        <w:drawing>
          <wp:inline distT="0" distB="0" distL="0" distR="0" wp14:anchorId="639716F3" wp14:editId="36584A0F">
            <wp:extent cx="5702530" cy="3275215"/>
            <wp:effectExtent l="0" t="0" r="12700" b="2095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15F66" w:rsidRDefault="00815F66" w:rsidP="00815F66">
      <w:pPr>
        <w:widowControl w:val="0"/>
        <w:jc w:val="both"/>
        <w:rPr>
          <w:rFonts w:ascii="Arial" w:hAnsi="Arial" w:cs="Arial"/>
          <w:b/>
          <w:snapToGrid w:val="0"/>
          <w:sz w:val="22"/>
          <w:szCs w:val="22"/>
        </w:rPr>
      </w:pPr>
    </w:p>
    <w:p w:rsidR="00815F66" w:rsidRPr="00EC1DA0" w:rsidRDefault="00815F66" w:rsidP="00815F66">
      <w:pPr>
        <w:widowControl w:val="0"/>
        <w:jc w:val="both"/>
        <w:rPr>
          <w:rFonts w:ascii="Arial" w:hAnsi="Arial" w:cs="Arial"/>
          <w:snapToGrid w:val="0"/>
          <w:color w:val="FF0000"/>
          <w:sz w:val="22"/>
          <w:szCs w:val="22"/>
        </w:rPr>
      </w:pPr>
      <w:r w:rsidRPr="00EC1DA0">
        <w:rPr>
          <w:rFonts w:ascii="Arial" w:hAnsi="Arial" w:cs="Arial"/>
          <w:snapToGrid w:val="0"/>
          <w:sz w:val="22"/>
          <w:szCs w:val="22"/>
        </w:rPr>
        <w:t>Vedle rostoucího počtu cizinců ze zemí EU/EHP roste trvale také p</w:t>
      </w:r>
      <w:r w:rsidRPr="00D445DD">
        <w:rPr>
          <w:rFonts w:ascii="Arial" w:hAnsi="Arial" w:cs="Arial"/>
          <w:snapToGrid w:val="0"/>
          <w:sz w:val="22"/>
          <w:szCs w:val="22"/>
        </w:rPr>
        <w:t>očet cizinců z třetích zemí, kteří pracovní povolení nepotřebují. Právě do této kategorie totiž (díky splnění zákonných podmínek pro trvalý pobyt) přechází část cizinců, působících zde dříve na standardní pracovní povolení. Rovněž nárůst počtu cizinců - podnikatelů</w:t>
      </w:r>
      <w:r>
        <w:rPr>
          <w:rFonts w:ascii="Arial" w:hAnsi="Arial" w:cs="Arial"/>
          <w:snapToGrid w:val="0"/>
          <w:sz w:val="22"/>
          <w:szCs w:val="22"/>
        </w:rPr>
        <w:t xml:space="preserve"> v letech</w:t>
      </w:r>
      <w:r w:rsidRPr="00D445DD">
        <w:rPr>
          <w:rFonts w:ascii="Arial" w:hAnsi="Arial" w:cs="Arial"/>
          <w:snapToGrid w:val="0"/>
          <w:sz w:val="22"/>
          <w:szCs w:val="22"/>
        </w:rPr>
        <w:t xml:space="preserve"> </w:t>
      </w:r>
      <w:r>
        <w:rPr>
          <w:rFonts w:ascii="Arial" w:hAnsi="Arial" w:cs="Arial"/>
          <w:snapToGrid w:val="0"/>
          <w:sz w:val="22"/>
          <w:szCs w:val="22"/>
        </w:rPr>
        <w:t>2009-2011 byl</w:t>
      </w:r>
      <w:r w:rsidRPr="00D445DD">
        <w:rPr>
          <w:rFonts w:ascii="Arial" w:hAnsi="Arial" w:cs="Arial"/>
          <w:snapToGrid w:val="0"/>
          <w:sz w:val="22"/>
          <w:szCs w:val="22"/>
        </w:rPr>
        <w:t xml:space="preserve"> důsledkem toho, že část cizinců, jimž bylo odmítnuto standardní pracovní povolení,</w:t>
      </w:r>
      <w:r>
        <w:rPr>
          <w:rFonts w:ascii="Arial" w:hAnsi="Arial" w:cs="Arial"/>
          <w:snapToGrid w:val="0"/>
          <w:sz w:val="22"/>
          <w:szCs w:val="22"/>
        </w:rPr>
        <w:t xml:space="preserve"> řešila</w:t>
      </w:r>
      <w:r w:rsidRPr="00D445DD">
        <w:rPr>
          <w:rFonts w:ascii="Arial" w:hAnsi="Arial" w:cs="Arial"/>
          <w:snapToGrid w:val="0"/>
          <w:sz w:val="22"/>
          <w:szCs w:val="22"/>
        </w:rPr>
        <w:t xml:space="preserve"> situaci založením živnosti</w:t>
      </w:r>
      <w:r>
        <w:rPr>
          <w:rFonts w:ascii="Arial" w:hAnsi="Arial" w:cs="Arial"/>
          <w:snapToGrid w:val="0"/>
          <w:sz w:val="22"/>
          <w:szCs w:val="22"/>
        </w:rPr>
        <w:t>. Bylo to však zřejmě pouze dočasné řešení, protože po roce 2011 počet těchto živností postupně opět klesá na úroveň roku 2009. S velkou pravděpodobností značná část těch, kteří situaci takto řešili, zažádala později o trvalé pobyty a živnostenské oprávnění nyní již k legalizaci pobytu nepotřebují.</w:t>
      </w:r>
    </w:p>
    <w:p w:rsidR="00815F66" w:rsidRDefault="00815F66" w:rsidP="00815F66">
      <w:pPr>
        <w:widowControl w:val="0"/>
        <w:jc w:val="both"/>
        <w:rPr>
          <w:rFonts w:ascii="Arial" w:hAnsi="Arial" w:cs="Arial"/>
          <w:snapToGrid w:val="0"/>
          <w:sz w:val="22"/>
          <w:szCs w:val="22"/>
        </w:rPr>
      </w:pPr>
    </w:p>
    <w:p w:rsidR="00815F66" w:rsidRPr="005B1D36" w:rsidRDefault="00815F66" w:rsidP="00815F66">
      <w:pPr>
        <w:widowControl w:val="0"/>
        <w:jc w:val="both"/>
        <w:rPr>
          <w:rFonts w:ascii="Arial" w:hAnsi="Arial" w:cs="Arial"/>
          <w:snapToGrid w:val="0"/>
          <w:sz w:val="22"/>
          <w:szCs w:val="22"/>
        </w:rPr>
      </w:pPr>
      <w:r>
        <w:rPr>
          <w:rFonts w:ascii="Arial" w:hAnsi="Arial" w:cs="Arial"/>
          <w:snapToGrid w:val="0"/>
          <w:sz w:val="22"/>
          <w:szCs w:val="22"/>
        </w:rPr>
        <w:t>Jediným segmentem pracovního trhu, který v oblasti zahraniční zaměstnanosti může Úřad práce regulovat či ovlivňovat, je vydávání pracovních povolení</w:t>
      </w:r>
      <w:r>
        <w:rPr>
          <w:rFonts w:ascii="Arial" w:hAnsi="Arial" w:cs="Arial"/>
          <w:sz w:val="22"/>
          <w:szCs w:val="22"/>
        </w:rPr>
        <w:t>, což v současné době představuje pouhá 3% cizinců na trhu práce v kraji. V případě pracovních povolení</w:t>
      </w:r>
      <w:r w:rsidRPr="00D445DD">
        <w:rPr>
          <w:rFonts w:ascii="Arial" w:hAnsi="Arial" w:cs="Arial"/>
          <w:b/>
          <w:sz w:val="22"/>
          <w:szCs w:val="22"/>
        </w:rPr>
        <w:t xml:space="preserve"> </w:t>
      </w:r>
      <w:r>
        <w:rPr>
          <w:rFonts w:ascii="Arial" w:hAnsi="Arial" w:cs="Arial"/>
          <w:b/>
          <w:sz w:val="22"/>
          <w:szCs w:val="22"/>
        </w:rPr>
        <w:t xml:space="preserve">došlo od roku 2011 </w:t>
      </w:r>
      <w:r w:rsidRPr="00D445DD">
        <w:rPr>
          <w:rFonts w:ascii="Arial" w:hAnsi="Arial" w:cs="Arial"/>
          <w:b/>
          <w:snapToGrid w:val="0"/>
          <w:sz w:val="22"/>
          <w:szCs w:val="22"/>
        </w:rPr>
        <w:t>ze strany Úřadu práce</w:t>
      </w:r>
      <w:r>
        <w:rPr>
          <w:rFonts w:ascii="Arial" w:hAnsi="Arial" w:cs="Arial"/>
          <w:b/>
          <w:sz w:val="22"/>
          <w:szCs w:val="22"/>
        </w:rPr>
        <w:t xml:space="preserve"> k </w:t>
      </w:r>
      <w:r w:rsidRPr="00D445DD">
        <w:rPr>
          <w:rFonts w:ascii="Arial" w:hAnsi="Arial" w:cs="Arial"/>
          <w:b/>
          <w:sz w:val="22"/>
          <w:szCs w:val="22"/>
        </w:rPr>
        <w:t>výrazné</w:t>
      </w:r>
      <w:r>
        <w:rPr>
          <w:rFonts w:ascii="Arial" w:hAnsi="Arial" w:cs="Arial"/>
          <w:b/>
          <w:sz w:val="22"/>
          <w:szCs w:val="22"/>
        </w:rPr>
        <w:t>mu</w:t>
      </w:r>
      <w:r w:rsidRPr="00D445DD">
        <w:rPr>
          <w:rFonts w:ascii="Arial" w:hAnsi="Arial" w:cs="Arial"/>
          <w:b/>
          <w:sz w:val="22"/>
          <w:szCs w:val="22"/>
        </w:rPr>
        <w:t xml:space="preserve"> </w:t>
      </w:r>
      <w:r w:rsidRPr="00D445DD">
        <w:rPr>
          <w:rFonts w:ascii="Arial" w:hAnsi="Arial" w:cs="Arial"/>
          <w:b/>
          <w:snapToGrid w:val="0"/>
          <w:sz w:val="22"/>
          <w:szCs w:val="22"/>
        </w:rPr>
        <w:t xml:space="preserve">omezení vydávání </w:t>
      </w:r>
      <w:r>
        <w:rPr>
          <w:rFonts w:ascii="Arial" w:hAnsi="Arial" w:cs="Arial"/>
          <w:b/>
          <w:snapToGrid w:val="0"/>
          <w:sz w:val="22"/>
          <w:szCs w:val="22"/>
        </w:rPr>
        <w:t>těchto</w:t>
      </w:r>
      <w:r w:rsidRPr="00D445DD">
        <w:rPr>
          <w:rFonts w:ascii="Arial" w:hAnsi="Arial" w:cs="Arial"/>
          <w:b/>
          <w:snapToGrid w:val="0"/>
          <w:sz w:val="22"/>
          <w:szCs w:val="22"/>
        </w:rPr>
        <w:t xml:space="preserve"> povolení pro nekvalifikovanou pracovní sílu.</w:t>
      </w:r>
      <w:r w:rsidRPr="00D445DD">
        <w:rPr>
          <w:rFonts w:ascii="Arial" w:hAnsi="Arial" w:cs="Arial"/>
          <w:snapToGrid w:val="0"/>
          <w:sz w:val="22"/>
          <w:szCs w:val="22"/>
        </w:rPr>
        <w:t xml:space="preserve"> </w:t>
      </w:r>
      <w:r w:rsidRPr="00D445DD">
        <w:rPr>
          <w:rFonts w:ascii="Arial" w:hAnsi="Arial" w:cs="Arial"/>
          <w:b/>
          <w:snapToGrid w:val="0"/>
          <w:sz w:val="22"/>
          <w:szCs w:val="22"/>
        </w:rPr>
        <w:t>Poptávka</w:t>
      </w:r>
      <w:r w:rsidRPr="00D445DD">
        <w:rPr>
          <w:rFonts w:ascii="Arial" w:hAnsi="Arial" w:cs="Arial"/>
          <w:snapToGrid w:val="0"/>
          <w:sz w:val="22"/>
          <w:szCs w:val="22"/>
        </w:rPr>
        <w:t xml:space="preserve"> </w:t>
      </w:r>
      <w:r w:rsidRPr="008E5765">
        <w:rPr>
          <w:rFonts w:ascii="Arial" w:hAnsi="Arial" w:cs="Arial"/>
          <w:snapToGrid w:val="0"/>
          <w:sz w:val="22"/>
          <w:szCs w:val="22"/>
        </w:rPr>
        <w:t>po této pracovní síle</w:t>
      </w:r>
      <w:r w:rsidRPr="00D445DD">
        <w:rPr>
          <w:rFonts w:ascii="Arial" w:hAnsi="Arial" w:cs="Arial"/>
          <w:b/>
          <w:snapToGrid w:val="0"/>
          <w:sz w:val="22"/>
          <w:szCs w:val="22"/>
        </w:rPr>
        <w:t xml:space="preserve"> </w:t>
      </w:r>
      <w:r>
        <w:rPr>
          <w:rFonts w:ascii="Arial" w:hAnsi="Arial" w:cs="Arial"/>
          <w:b/>
          <w:snapToGrid w:val="0"/>
          <w:sz w:val="22"/>
          <w:szCs w:val="22"/>
        </w:rPr>
        <w:t xml:space="preserve">však </w:t>
      </w:r>
      <w:r w:rsidRPr="00D445DD">
        <w:rPr>
          <w:rFonts w:ascii="Arial" w:hAnsi="Arial" w:cs="Arial"/>
          <w:b/>
          <w:snapToGrid w:val="0"/>
          <w:sz w:val="22"/>
          <w:szCs w:val="22"/>
        </w:rPr>
        <w:t>neklesá</w:t>
      </w:r>
      <w:r w:rsidRPr="00D445DD">
        <w:rPr>
          <w:rFonts w:ascii="Arial" w:hAnsi="Arial" w:cs="Arial"/>
          <w:snapToGrid w:val="0"/>
          <w:sz w:val="22"/>
          <w:szCs w:val="22"/>
        </w:rPr>
        <w:t xml:space="preserve">, neboť pro zaměstnavatele je stále atraktivní zaměstnávat zahraniční pracovníky, kteří jsou ochotni, na rozdíl od českých uchazečů, přistoupit </w:t>
      </w:r>
      <w:r>
        <w:rPr>
          <w:rFonts w:ascii="Arial" w:hAnsi="Arial" w:cs="Arial"/>
          <w:snapToGrid w:val="0"/>
          <w:sz w:val="22"/>
          <w:szCs w:val="22"/>
        </w:rPr>
        <w:t xml:space="preserve">na často fyzicky namáhavou práci a </w:t>
      </w:r>
      <w:r w:rsidRPr="00D445DD">
        <w:rPr>
          <w:rFonts w:ascii="Arial" w:hAnsi="Arial" w:cs="Arial"/>
          <w:snapToGrid w:val="0"/>
          <w:sz w:val="22"/>
          <w:szCs w:val="22"/>
        </w:rPr>
        <w:t>nabízené nízké (obvykle minimální) mzdy.</w:t>
      </w:r>
      <w:r w:rsidRPr="00D445DD">
        <w:rPr>
          <w:rFonts w:ascii="Arial" w:hAnsi="Arial" w:cs="Arial"/>
          <w:b/>
          <w:snapToGrid w:val="0"/>
          <w:sz w:val="22"/>
          <w:szCs w:val="22"/>
        </w:rPr>
        <w:t xml:space="preserve"> </w:t>
      </w:r>
      <w:r w:rsidRPr="00D445DD">
        <w:rPr>
          <w:rFonts w:ascii="Arial" w:hAnsi="Arial" w:cs="Arial"/>
          <w:snapToGrid w:val="0"/>
          <w:sz w:val="22"/>
          <w:szCs w:val="22"/>
        </w:rPr>
        <w:t xml:space="preserve">Značnou roli samozřejmě hraje nezájem a nechuť českých uchazečů o zaměstnání pracovat na </w:t>
      </w:r>
      <w:r>
        <w:rPr>
          <w:rFonts w:ascii="Arial" w:hAnsi="Arial" w:cs="Arial"/>
          <w:snapToGrid w:val="0"/>
          <w:sz w:val="22"/>
          <w:szCs w:val="22"/>
        </w:rPr>
        <w:t xml:space="preserve">těchto </w:t>
      </w:r>
      <w:r w:rsidRPr="00D445DD">
        <w:rPr>
          <w:rFonts w:ascii="Arial" w:hAnsi="Arial" w:cs="Arial"/>
          <w:snapToGrid w:val="0"/>
          <w:sz w:val="22"/>
          <w:szCs w:val="22"/>
        </w:rPr>
        <w:t xml:space="preserve">neatraktivních </w:t>
      </w:r>
      <w:r>
        <w:rPr>
          <w:rFonts w:ascii="Arial" w:hAnsi="Arial" w:cs="Arial"/>
          <w:snapToGrid w:val="0"/>
          <w:sz w:val="22"/>
          <w:szCs w:val="22"/>
        </w:rPr>
        <w:t>pozicích</w:t>
      </w:r>
      <w:r w:rsidRPr="00D445DD">
        <w:rPr>
          <w:rFonts w:ascii="Arial" w:hAnsi="Arial" w:cs="Arial"/>
          <w:snapToGrid w:val="0"/>
          <w:sz w:val="22"/>
          <w:szCs w:val="22"/>
        </w:rPr>
        <w:t>, přestože odpovídají jejich kvalifikační úrovni.</w:t>
      </w:r>
      <w:r w:rsidRPr="00D445DD">
        <w:rPr>
          <w:rFonts w:ascii="Arial" w:hAnsi="Arial" w:cs="Arial"/>
          <w:snapToGrid w:val="0"/>
          <w:color w:val="FF0000"/>
          <w:sz w:val="22"/>
          <w:szCs w:val="22"/>
        </w:rPr>
        <w:t xml:space="preserve"> </w:t>
      </w:r>
    </w:p>
    <w:p w:rsidR="00815F66" w:rsidRPr="00507D0E" w:rsidRDefault="00815F66" w:rsidP="00507D0E">
      <w:pPr>
        <w:pStyle w:val="Bezmezer"/>
        <w:rPr>
          <w:rFonts w:ascii="Arial" w:hAnsi="Arial" w:cs="Arial"/>
          <w:b/>
          <w:i/>
          <w:snapToGrid w:val="0"/>
          <w:sz w:val="20"/>
          <w:szCs w:val="20"/>
        </w:rPr>
      </w:pPr>
    </w:p>
    <w:p w:rsidR="00815F66" w:rsidRPr="00507D0E" w:rsidRDefault="00507D0E" w:rsidP="00267B77">
      <w:pPr>
        <w:pStyle w:val="Bezmezer"/>
        <w:spacing w:line="276" w:lineRule="auto"/>
        <w:rPr>
          <w:rFonts w:ascii="Arial" w:hAnsi="Arial" w:cs="Arial"/>
          <w:b/>
          <w:i/>
          <w:snapToGrid w:val="0"/>
          <w:sz w:val="20"/>
          <w:szCs w:val="20"/>
        </w:rPr>
      </w:pPr>
      <w:r w:rsidRPr="00507D0E">
        <w:rPr>
          <w:rFonts w:ascii="Arial" w:hAnsi="Arial" w:cs="Arial"/>
          <w:b/>
          <w:i/>
          <w:sz w:val="20"/>
          <w:szCs w:val="20"/>
        </w:rPr>
        <w:t xml:space="preserve">Obr. </w:t>
      </w:r>
      <w:r w:rsidRPr="00507D0E">
        <w:rPr>
          <w:rFonts w:ascii="Arial" w:hAnsi="Arial" w:cs="Arial"/>
          <w:b/>
          <w:i/>
          <w:sz w:val="20"/>
          <w:szCs w:val="20"/>
        </w:rPr>
        <w:fldChar w:fldCharType="begin"/>
      </w:r>
      <w:r w:rsidRPr="00507D0E">
        <w:rPr>
          <w:rFonts w:ascii="Arial" w:hAnsi="Arial" w:cs="Arial"/>
          <w:b/>
          <w:i/>
          <w:sz w:val="20"/>
          <w:szCs w:val="20"/>
        </w:rPr>
        <w:instrText xml:space="preserve"> SEQ Obr. \* ARABIC </w:instrText>
      </w:r>
      <w:r w:rsidRPr="00507D0E">
        <w:rPr>
          <w:rFonts w:ascii="Arial" w:hAnsi="Arial" w:cs="Arial"/>
          <w:b/>
          <w:i/>
          <w:sz w:val="20"/>
          <w:szCs w:val="20"/>
        </w:rPr>
        <w:fldChar w:fldCharType="separate"/>
      </w:r>
      <w:r w:rsidR="009E38FD">
        <w:rPr>
          <w:rFonts w:ascii="Arial" w:hAnsi="Arial" w:cs="Arial"/>
          <w:b/>
          <w:i/>
          <w:noProof/>
          <w:sz w:val="20"/>
          <w:szCs w:val="20"/>
        </w:rPr>
        <w:t>25</w:t>
      </w:r>
      <w:r w:rsidRPr="00507D0E">
        <w:rPr>
          <w:rFonts w:ascii="Arial" w:hAnsi="Arial" w:cs="Arial"/>
          <w:b/>
          <w:i/>
          <w:sz w:val="20"/>
          <w:szCs w:val="20"/>
        </w:rPr>
        <w:fldChar w:fldCharType="end"/>
      </w:r>
      <w:r w:rsidRPr="00507D0E">
        <w:rPr>
          <w:rFonts w:ascii="Arial" w:hAnsi="Arial" w:cs="Arial"/>
          <w:b/>
          <w:i/>
          <w:sz w:val="20"/>
          <w:szCs w:val="20"/>
        </w:rPr>
        <w:t xml:space="preserve">: </w:t>
      </w:r>
      <w:r w:rsidR="00815F66" w:rsidRPr="00507D0E">
        <w:rPr>
          <w:rFonts w:ascii="Arial" w:hAnsi="Arial" w:cs="Arial"/>
          <w:b/>
          <w:i/>
          <w:snapToGrid w:val="0"/>
          <w:sz w:val="20"/>
          <w:szCs w:val="20"/>
        </w:rPr>
        <w:t xml:space="preserve"> </w:t>
      </w:r>
      <w:r w:rsidRPr="00507D0E">
        <w:rPr>
          <w:rFonts w:ascii="Arial" w:hAnsi="Arial" w:cs="Arial"/>
          <w:b/>
          <w:i/>
          <w:snapToGrid w:val="0"/>
          <w:sz w:val="20"/>
          <w:szCs w:val="20"/>
        </w:rPr>
        <w:t xml:space="preserve">Podíl jednotlivých okresů v Jihomoravském kraji </w:t>
      </w:r>
      <w:r>
        <w:rPr>
          <w:rFonts w:ascii="Arial" w:hAnsi="Arial" w:cs="Arial"/>
          <w:b/>
          <w:i/>
          <w:snapToGrid w:val="0"/>
          <w:sz w:val="20"/>
          <w:szCs w:val="20"/>
        </w:rPr>
        <w:t>na celkovém počtu cizinců (</w:t>
      </w:r>
      <w:r w:rsidRPr="00507D0E">
        <w:rPr>
          <w:rFonts w:ascii="Arial" w:hAnsi="Arial" w:cs="Arial"/>
          <w:b/>
          <w:i/>
          <w:snapToGrid w:val="0"/>
          <w:sz w:val="20"/>
          <w:szCs w:val="20"/>
        </w:rPr>
        <w:t>včetně podnikatelů k 31.</w:t>
      </w:r>
      <w:r>
        <w:rPr>
          <w:rFonts w:ascii="Arial" w:hAnsi="Arial" w:cs="Arial"/>
          <w:b/>
          <w:i/>
          <w:snapToGrid w:val="0"/>
          <w:sz w:val="20"/>
          <w:szCs w:val="20"/>
        </w:rPr>
        <w:t xml:space="preserve"> </w:t>
      </w:r>
      <w:r w:rsidRPr="00507D0E">
        <w:rPr>
          <w:rFonts w:ascii="Arial" w:hAnsi="Arial" w:cs="Arial"/>
          <w:b/>
          <w:i/>
          <w:snapToGrid w:val="0"/>
          <w:sz w:val="20"/>
          <w:szCs w:val="20"/>
        </w:rPr>
        <w:t>12.</w:t>
      </w:r>
      <w:r>
        <w:rPr>
          <w:rFonts w:ascii="Arial" w:hAnsi="Arial" w:cs="Arial"/>
          <w:b/>
          <w:i/>
          <w:snapToGrid w:val="0"/>
          <w:sz w:val="20"/>
          <w:szCs w:val="20"/>
        </w:rPr>
        <w:t xml:space="preserve"> </w:t>
      </w:r>
      <w:r w:rsidRPr="00507D0E">
        <w:rPr>
          <w:rFonts w:ascii="Arial" w:hAnsi="Arial" w:cs="Arial"/>
          <w:b/>
          <w:i/>
          <w:snapToGrid w:val="0"/>
          <w:sz w:val="20"/>
          <w:szCs w:val="20"/>
        </w:rPr>
        <w:t xml:space="preserve">2014 </w:t>
      </w:r>
    </w:p>
    <w:p w:rsidR="00815F66" w:rsidRPr="00D445DD" w:rsidRDefault="00815F66" w:rsidP="00815F66">
      <w:pPr>
        <w:widowControl w:val="0"/>
        <w:jc w:val="both"/>
        <w:rPr>
          <w:rFonts w:ascii="Arial" w:hAnsi="Arial" w:cs="Arial"/>
          <w:b/>
          <w:snapToGrid w:val="0"/>
          <w:color w:val="FF0000"/>
          <w:sz w:val="22"/>
          <w:szCs w:val="22"/>
        </w:rPr>
      </w:pPr>
      <w:r>
        <w:rPr>
          <w:noProof/>
        </w:rPr>
        <w:drawing>
          <wp:inline distT="0" distB="0" distL="0" distR="0" wp14:anchorId="57DA16C1" wp14:editId="64A7C081">
            <wp:extent cx="5677592" cy="3424843"/>
            <wp:effectExtent l="0" t="0" r="18415" b="2349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15F66" w:rsidRDefault="00815F66" w:rsidP="00815F66">
      <w:pPr>
        <w:widowControl w:val="0"/>
        <w:jc w:val="center"/>
        <w:rPr>
          <w:rFonts w:ascii="Arial" w:hAnsi="Arial" w:cs="Arial"/>
          <w:snapToGrid w:val="0"/>
          <w:sz w:val="22"/>
          <w:szCs w:val="22"/>
        </w:rPr>
      </w:pPr>
    </w:p>
    <w:p w:rsidR="00815F66" w:rsidRDefault="00815F66" w:rsidP="00815F66">
      <w:pPr>
        <w:widowControl w:val="0"/>
        <w:jc w:val="both"/>
        <w:rPr>
          <w:rFonts w:ascii="Arial" w:hAnsi="Arial" w:cs="Arial"/>
          <w:snapToGrid w:val="0"/>
          <w:sz w:val="22"/>
          <w:szCs w:val="22"/>
        </w:rPr>
      </w:pPr>
      <w:r w:rsidRPr="00FA7DF7">
        <w:rPr>
          <w:rFonts w:ascii="Arial" w:hAnsi="Arial" w:cs="Arial"/>
          <w:b/>
          <w:snapToGrid w:val="0"/>
          <w:sz w:val="22"/>
          <w:szCs w:val="22"/>
        </w:rPr>
        <w:t>Zhruba tři čtvrtiny všech cizinců působících v kraji jsou koncentrovány ve městě Brně a jeho blízkém okolí</w:t>
      </w:r>
      <w:r>
        <w:rPr>
          <w:rFonts w:ascii="Arial" w:hAnsi="Arial" w:cs="Arial"/>
          <w:snapToGrid w:val="0"/>
          <w:sz w:val="22"/>
          <w:szCs w:val="22"/>
        </w:rPr>
        <w:t xml:space="preserve">. </w:t>
      </w:r>
      <w:r w:rsidRPr="00FA7DF7">
        <w:rPr>
          <w:rFonts w:ascii="Arial" w:hAnsi="Arial" w:cs="Arial"/>
          <w:snapToGrid w:val="0"/>
          <w:sz w:val="22"/>
          <w:szCs w:val="22"/>
        </w:rPr>
        <w:t>Zahraniční zaměstnanost je v současné době v Jihomoravském kraji relativně vysoká</w:t>
      </w:r>
      <w:r>
        <w:rPr>
          <w:rFonts w:ascii="Arial" w:hAnsi="Arial" w:cs="Arial"/>
          <w:snapToGrid w:val="0"/>
          <w:sz w:val="22"/>
          <w:szCs w:val="22"/>
        </w:rPr>
        <w:t xml:space="preserve"> </w:t>
      </w:r>
      <w:r w:rsidR="0060115A">
        <w:rPr>
          <w:rFonts w:ascii="Arial" w:hAnsi="Arial" w:cs="Arial"/>
          <w:snapToGrid w:val="0"/>
          <w:sz w:val="22"/>
          <w:szCs w:val="22"/>
        </w:rPr>
        <w:t>především</w:t>
      </w:r>
      <w:r>
        <w:rPr>
          <w:rFonts w:ascii="Arial" w:hAnsi="Arial" w:cs="Arial"/>
          <w:snapToGrid w:val="0"/>
          <w:sz w:val="22"/>
          <w:szCs w:val="22"/>
        </w:rPr>
        <w:t xml:space="preserve"> díky vysokému počtu zde pracujících občanů Slovenska. Brno však nabízí také velký počet pracovních příležitostí v nadnárodních společnostech, které sem umístily svá mezinárodní centra a požadují kvalifikovanou a hlavně dobře jazykově vybavenou pracovní sílu. Na tyto pozice směřují jak cizinci ze západní Evropy, tak i kvalifikovaná pracovní síla ze třetích zemí. </w:t>
      </w:r>
    </w:p>
    <w:p w:rsidR="00815F66" w:rsidRDefault="00815F66" w:rsidP="00815F66">
      <w:pPr>
        <w:widowControl w:val="0"/>
        <w:jc w:val="both"/>
        <w:rPr>
          <w:rFonts w:ascii="Arial" w:hAnsi="Arial" w:cs="Arial"/>
          <w:snapToGrid w:val="0"/>
          <w:sz w:val="22"/>
          <w:szCs w:val="22"/>
        </w:rPr>
      </w:pPr>
    </w:p>
    <w:p w:rsidR="00815F66" w:rsidRDefault="00815F66" w:rsidP="00815F66">
      <w:pPr>
        <w:widowControl w:val="0"/>
        <w:jc w:val="both"/>
        <w:rPr>
          <w:rFonts w:ascii="Arial" w:hAnsi="Arial" w:cs="Arial"/>
          <w:snapToGrid w:val="0"/>
          <w:sz w:val="22"/>
          <w:szCs w:val="22"/>
        </w:rPr>
      </w:pPr>
      <w:r>
        <w:rPr>
          <w:rFonts w:ascii="Arial" w:hAnsi="Arial" w:cs="Arial"/>
          <w:snapToGrid w:val="0"/>
          <w:sz w:val="22"/>
          <w:szCs w:val="22"/>
        </w:rPr>
        <w:t xml:space="preserve">Ve venkovských okresech kraje je zastoupení cizinců výrazně nižší a rozdílná je i jejich struktura. Zatímco v Brně převažují cizinci s maturitním a vysokoškolským vzděláním, ve venkovských okresech jsou to naopak cizinci se základním vzděláním a vyučení. Pracují zde nejčastěji v dělnických profesích ve zpracovatelském průmyslu a ve stavebnictví a také jako sezónní dělníci v zemědělství. </w:t>
      </w:r>
    </w:p>
    <w:p w:rsidR="00815F66" w:rsidRDefault="00815F66" w:rsidP="00815F66">
      <w:pPr>
        <w:widowControl w:val="0"/>
        <w:jc w:val="both"/>
        <w:rPr>
          <w:rFonts w:ascii="Arial" w:hAnsi="Arial" w:cs="Arial"/>
          <w:b/>
          <w:snapToGrid w:val="0"/>
          <w:sz w:val="22"/>
          <w:szCs w:val="22"/>
        </w:rPr>
      </w:pPr>
    </w:p>
    <w:p w:rsidR="00815F66" w:rsidRDefault="00815F66" w:rsidP="00815F66">
      <w:pPr>
        <w:spacing w:after="120"/>
        <w:jc w:val="both"/>
        <w:rPr>
          <w:rFonts w:ascii="Arial" w:hAnsi="Arial" w:cs="Arial"/>
          <w:b/>
          <w:sz w:val="22"/>
          <w:szCs w:val="22"/>
        </w:rPr>
      </w:pPr>
    </w:p>
    <w:p w:rsidR="00507D0E" w:rsidRDefault="00507D0E" w:rsidP="00815F66">
      <w:pPr>
        <w:spacing w:after="120"/>
        <w:jc w:val="both"/>
        <w:rPr>
          <w:rFonts w:ascii="Arial" w:hAnsi="Arial" w:cs="Arial"/>
          <w:b/>
          <w:sz w:val="22"/>
          <w:szCs w:val="22"/>
        </w:rPr>
      </w:pPr>
    </w:p>
    <w:p w:rsidR="00507D0E" w:rsidRDefault="00507D0E" w:rsidP="00815F66">
      <w:pPr>
        <w:spacing w:after="120"/>
        <w:jc w:val="both"/>
        <w:rPr>
          <w:rFonts w:ascii="Arial" w:hAnsi="Arial" w:cs="Arial"/>
          <w:b/>
          <w:sz w:val="22"/>
          <w:szCs w:val="22"/>
        </w:rPr>
      </w:pPr>
    </w:p>
    <w:p w:rsidR="00815F66" w:rsidRPr="00507D0E" w:rsidRDefault="00507D0E" w:rsidP="00267B77">
      <w:pPr>
        <w:pStyle w:val="Bezmezer"/>
        <w:spacing w:line="276" w:lineRule="auto"/>
        <w:rPr>
          <w:rFonts w:ascii="Arial" w:hAnsi="Arial" w:cs="Arial"/>
          <w:b/>
          <w:i/>
          <w:sz w:val="20"/>
          <w:szCs w:val="20"/>
        </w:rPr>
      </w:pPr>
      <w:r w:rsidRPr="00507D0E">
        <w:rPr>
          <w:rFonts w:ascii="Arial" w:hAnsi="Arial" w:cs="Arial"/>
          <w:b/>
          <w:i/>
          <w:sz w:val="20"/>
          <w:szCs w:val="20"/>
        </w:rPr>
        <w:t xml:space="preserve">Obr. </w:t>
      </w:r>
      <w:r w:rsidRPr="00507D0E">
        <w:rPr>
          <w:rFonts w:ascii="Arial" w:hAnsi="Arial" w:cs="Arial"/>
          <w:b/>
          <w:i/>
          <w:sz w:val="20"/>
          <w:szCs w:val="20"/>
        </w:rPr>
        <w:fldChar w:fldCharType="begin"/>
      </w:r>
      <w:r w:rsidRPr="00507D0E">
        <w:rPr>
          <w:rFonts w:ascii="Arial" w:hAnsi="Arial" w:cs="Arial"/>
          <w:b/>
          <w:i/>
          <w:sz w:val="20"/>
          <w:szCs w:val="20"/>
        </w:rPr>
        <w:instrText xml:space="preserve"> SEQ Obr. \* ARABIC </w:instrText>
      </w:r>
      <w:r w:rsidRPr="00507D0E">
        <w:rPr>
          <w:rFonts w:ascii="Arial" w:hAnsi="Arial" w:cs="Arial"/>
          <w:b/>
          <w:i/>
          <w:sz w:val="20"/>
          <w:szCs w:val="20"/>
        </w:rPr>
        <w:fldChar w:fldCharType="separate"/>
      </w:r>
      <w:r w:rsidR="009E38FD">
        <w:rPr>
          <w:rFonts w:ascii="Arial" w:hAnsi="Arial" w:cs="Arial"/>
          <w:b/>
          <w:i/>
          <w:noProof/>
          <w:sz w:val="20"/>
          <w:szCs w:val="20"/>
        </w:rPr>
        <w:t>26</w:t>
      </w:r>
      <w:r w:rsidRPr="00507D0E">
        <w:rPr>
          <w:rFonts w:ascii="Arial" w:hAnsi="Arial" w:cs="Arial"/>
          <w:b/>
          <w:i/>
          <w:sz w:val="20"/>
          <w:szCs w:val="20"/>
        </w:rPr>
        <w:fldChar w:fldCharType="end"/>
      </w:r>
      <w:r w:rsidRPr="00507D0E">
        <w:rPr>
          <w:rFonts w:ascii="Arial" w:hAnsi="Arial" w:cs="Arial"/>
          <w:b/>
          <w:i/>
          <w:sz w:val="20"/>
          <w:szCs w:val="20"/>
        </w:rPr>
        <w:t xml:space="preserve">: </w:t>
      </w:r>
      <w:r w:rsidR="00815F66" w:rsidRPr="00507D0E">
        <w:rPr>
          <w:rFonts w:ascii="Arial" w:hAnsi="Arial" w:cs="Arial"/>
          <w:b/>
          <w:i/>
          <w:sz w:val="20"/>
          <w:szCs w:val="20"/>
        </w:rPr>
        <w:t xml:space="preserve"> Kvalifikační struktura cizinců v</w:t>
      </w:r>
      <w:r w:rsidRPr="00507D0E">
        <w:rPr>
          <w:rFonts w:ascii="Arial" w:hAnsi="Arial" w:cs="Arial"/>
          <w:b/>
          <w:i/>
          <w:sz w:val="20"/>
          <w:szCs w:val="20"/>
        </w:rPr>
        <w:t> </w:t>
      </w:r>
      <w:r w:rsidR="00815F66" w:rsidRPr="00507D0E">
        <w:rPr>
          <w:rFonts w:ascii="Arial" w:hAnsi="Arial" w:cs="Arial"/>
          <w:b/>
          <w:i/>
          <w:sz w:val="20"/>
          <w:szCs w:val="20"/>
        </w:rPr>
        <w:t>Brně</w:t>
      </w:r>
      <w:r w:rsidRPr="00507D0E">
        <w:rPr>
          <w:rFonts w:ascii="Arial" w:hAnsi="Arial" w:cs="Arial"/>
          <w:b/>
          <w:i/>
          <w:sz w:val="20"/>
          <w:szCs w:val="20"/>
        </w:rPr>
        <w:t>-městě a ve venkovských okresech k</w:t>
      </w:r>
      <w:r w:rsidR="00815F66" w:rsidRPr="00507D0E">
        <w:rPr>
          <w:rFonts w:ascii="Arial" w:hAnsi="Arial" w:cs="Arial"/>
          <w:b/>
          <w:i/>
          <w:sz w:val="20"/>
          <w:szCs w:val="20"/>
        </w:rPr>
        <w:t xml:space="preserve"> 31.</w:t>
      </w:r>
      <w:r w:rsidRPr="00507D0E">
        <w:rPr>
          <w:rFonts w:ascii="Arial" w:hAnsi="Arial" w:cs="Arial"/>
          <w:b/>
          <w:i/>
          <w:sz w:val="20"/>
          <w:szCs w:val="20"/>
        </w:rPr>
        <w:t xml:space="preserve"> </w:t>
      </w:r>
      <w:r w:rsidR="00815F66" w:rsidRPr="00507D0E">
        <w:rPr>
          <w:rFonts w:ascii="Arial" w:hAnsi="Arial" w:cs="Arial"/>
          <w:b/>
          <w:i/>
          <w:sz w:val="20"/>
          <w:szCs w:val="20"/>
        </w:rPr>
        <w:t>12.</w:t>
      </w:r>
      <w:r w:rsidRPr="00507D0E">
        <w:rPr>
          <w:rFonts w:ascii="Arial" w:hAnsi="Arial" w:cs="Arial"/>
          <w:b/>
          <w:i/>
          <w:sz w:val="20"/>
          <w:szCs w:val="20"/>
        </w:rPr>
        <w:t xml:space="preserve"> </w:t>
      </w:r>
      <w:r w:rsidR="00815F66" w:rsidRPr="00507D0E">
        <w:rPr>
          <w:rFonts w:ascii="Arial" w:hAnsi="Arial" w:cs="Arial"/>
          <w:b/>
          <w:i/>
          <w:sz w:val="20"/>
          <w:szCs w:val="20"/>
        </w:rPr>
        <w:t>2014</w:t>
      </w:r>
    </w:p>
    <w:p w:rsidR="00815F66" w:rsidRDefault="00815F66" w:rsidP="00815F66">
      <w:pPr>
        <w:widowControl w:val="0"/>
        <w:jc w:val="both"/>
        <w:rPr>
          <w:rFonts w:ascii="Arial" w:hAnsi="Arial" w:cs="Arial"/>
          <w:snapToGrid w:val="0"/>
          <w:color w:val="FF0000"/>
          <w:sz w:val="22"/>
          <w:szCs w:val="22"/>
        </w:rPr>
      </w:pPr>
      <w:r>
        <w:rPr>
          <w:noProof/>
        </w:rPr>
        <w:drawing>
          <wp:inline distT="0" distB="0" distL="0" distR="0" wp14:anchorId="1601D49C" wp14:editId="5F461D51">
            <wp:extent cx="5718176" cy="3790950"/>
            <wp:effectExtent l="0" t="0" r="15875" b="1905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5F66" w:rsidRPr="00D445DD" w:rsidRDefault="00815F66" w:rsidP="00815F66">
      <w:pPr>
        <w:spacing w:after="120"/>
        <w:jc w:val="both"/>
        <w:rPr>
          <w:rFonts w:ascii="Arial" w:hAnsi="Arial" w:cs="Arial"/>
          <w:sz w:val="22"/>
          <w:szCs w:val="22"/>
        </w:rPr>
      </w:pPr>
    </w:p>
    <w:p w:rsidR="00815F66" w:rsidRPr="00507D0E" w:rsidRDefault="00507D0E" w:rsidP="00267B77">
      <w:pPr>
        <w:pStyle w:val="Bezmezer"/>
        <w:spacing w:line="276" w:lineRule="auto"/>
        <w:rPr>
          <w:rFonts w:ascii="Arial" w:hAnsi="Arial" w:cs="Arial"/>
          <w:b/>
          <w:i/>
          <w:sz w:val="20"/>
          <w:szCs w:val="20"/>
        </w:rPr>
      </w:pPr>
      <w:r w:rsidRPr="00507D0E">
        <w:rPr>
          <w:rFonts w:ascii="Arial" w:hAnsi="Arial" w:cs="Arial"/>
          <w:b/>
          <w:i/>
          <w:sz w:val="20"/>
          <w:szCs w:val="20"/>
        </w:rPr>
        <w:t xml:space="preserve">Obr. </w:t>
      </w:r>
      <w:r w:rsidRPr="00507D0E">
        <w:rPr>
          <w:rFonts w:ascii="Arial" w:hAnsi="Arial" w:cs="Arial"/>
          <w:b/>
          <w:i/>
          <w:sz w:val="20"/>
          <w:szCs w:val="20"/>
        </w:rPr>
        <w:fldChar w:fldCharType="begin"/>
      </w:r>
      <w:r w:rsidRPr="00507D0E">
        <w:rPr>
          <w:rFonts w:ascii="Arial" w:hAnsi="Arial" w:cs="Arial"/>
          <w:b/>
          <w:i/>
          <w:sz w:val="20"/>
          <w:szCs w:val="20"/>
        </w:rPr>
        <w:instrText xml:space="preserve"> SEQ Obr. \* ARABIC </w:instrText>
      </w:r>
      <w:r w:rsidRPr="00507D0E">
        <w:rPr>
          <w:rFonts w:ascii="Arial" w:hAnsi="Arial" w:cs="Arial"/>
          <w:b/>
          <w:i/>
          <w:sz w:val="20"/>
          <w:szCs w:val="20"/>
        </w:rPr>
        <w:fldChar w:fldCharType="separate"/>
      </w:r>
      <w:r w:rsidR="009E38FD">
        <w:rPr>
          <w:rFonts w:ascii="Arial" w:hAnsi="Arial" w:cs="Arial"/>
          <w:b/>
          <w:i/>
          <w:noProof/>
          <w:sz w:val="20"/>
          <w:szCs w:val="20"/>
        </w:rPr>
        <w:t>27</w:t>
      </w:r>
      <w:r w:rsidRPr="00507D0E">
        <w:rPr>
          <w:rFonts w:ascii="Arial" w:hAnsi="Arial" w:cs="Arial"/>
          <w:b/>
          <w:i/>
          <w:sz w:val="20"/>
          <w:szCs w:val="20"/>
        </w:rPr>
        <w:fldChar w:fldCharType="end"/>
      </w:r>
      <w:r w:rsidRPr="00507D0E">
        <w:rPr>
          <w:rFonts w:ascii="Arial" w:hAnsi="Arial" w:cs="Arial"/>
          <w:b/>
          <w:i/>
          <w:sz w:val="20"/>
          <w:szCs w:val="20"/>
        </w:rPr>
        <w:t>:</w:t>
      </w:r>
      <w:r w:rsidR="00815F66" w:rsidRPr="00507D0E">
        <w:rPr>
          <w:rFonts w:ascii="Arial" w:hAnsi="Arial" w:cs="Arial"/>
          <w:b/>
          <w:i/>
          <w:sz w:val="20"/>
          <w:szCs w:val="20"/>
        </w:rPr>
        <w:t xml:space="preserve"> Kvalifikační struktura cizinců v Jihomoravském kraji v letech 2006-2014 dle typu registrace</w:t>
      </w:r>
      <w:r w:rsidRPr="00507D0E">
        <w:rPr>
          <w:rFonts w:ascii="Arial" w:hAnsi="Arial" w:cs="Arial"/>
          <w:b/>
          <w:i/>
          <w:sz w:val="20"/>
          <w:szCs w:val="20"/>
        </w:rPr>
        <w:t xml:space="preserve"> k 31.</w:t>
      </w:r>
      <w:r>
        <w:rPr>
          <w:rFonts w:ascii="Arial" w:hAnsi="Arial" w:cs="Arial"/>
          <w:b/>
          <w:i/>
          <w:sz w:val="20"/>
          <w:szCs w:val="20"/>
        </w:rPr>
        <w:t xml:space="preserve"> </w:t>
      </w:r>
      <w:r w:rsidRPr="00507D0E">
        <w:rPr>
          <w:rFonts w:ascii="Arial" w:hAnsi="Arial" w:cs="Arial"/>
          <w:b/>
          <w:i/>
          <w:sz w:val="20"/>
          <w:szCs w:val="20"/>
        </w:rPr>
        <w:t>12.</w:t>
      </w:r>
      <w:r>
        <w:rPr>
          <w:rFonts w:ascii="Arial" w:hAnsi="Arial" w:cs="Arial"/>
          <w:b/>
          <w:i/>
          <w:sz w:val="20"/>
          <w:szCs w:val="20"/>
        </w:rPr>
        <w:t xml:space="preserve"> </w:t>
      </w:r>
      <w:r w:rsidRPr="00507D0E">
        <w:rPr>
          <w:rFonts w:ascii="Arial" w:hAnsi="Arial" w:cs="Arial"/>
          <w:b/>
          <w:i/>
          <w:sz w:val="20"/>
          <w:szCs w:val="20"/>
        </w:rPr>
        <w:t>2014</w:t>
      </w:r>
    </w:p>
    <w:p w:rsidR="00815F66" w:rsidRPr="009225B6" w:rsidRDefault="00815F66" w:rsidP="00815F66">
      <w:pPr>
        <w:spacing w:after="120"/>
        <w:jc w:val="both"/>
        <w:rPr>
          <w:rFonts w:ascii="Arial" w:hAnsi="Arial" w:cs="Arial"/>
          <w:b/>
          <w:sz w:val="20"/>
        </w:rPr>
      </w:pPr>
      <w:r>
        <w:rPr>
          <w:noProof/>
        </w:rPr>
        <w:drawing>
          <wp:inline distT="0" distB="0" distL="0" distR="0" wp14:anchorId="5E667EEA" wp14:editId="1D1FD185">
            <wp:extent cx="5760720" cy="3823854"/>
            <wp:effectExtent l="0" t="0" r="11430" b="2476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5F66" w:rsidRDefault="00815F66" w:rsidP="00815F66">
      <w:pPr>
        <w:widowControl w:val="0"/>
        <w:jc w:val="both"/>
        <w:rPr>
          <w:rFonts w:ascii="Arial" w:hAnsi="Arial" w:cs="Arial"/>
          <w:snapToGrid w:val="0"/>
          <w:sz w:val="22"/>
          <w:szCs w:val="22"/>
        </w:rPr>
      </w:pPr>
      <w:r>
        <w:rPr>
          <w:rFonts w:ascii="Arial" w:hAnsi="Arial" w:cs="Arial"/>
          <w:snapToGrid w:val="0"/>
          <w:sz w:val="22"/>
          <w:szCs w:val="22"/>
        </w:rPr>
        <w:t>Kvalifikační struktura zahraniční pracovní síly se ve srovnání s minulostí (roky 2008-2009) zlepšila v souvislosti s výrazným omezením vydávaných pracovních povolení pro nekvalifikovan</w:t>
      </w:r>
      <w:r w:rsidR="0060115A">
        <w:rPr>
          <w:rFonts w:ascii="Arial" w:hAnsi="Arial" w:cs="Arial"/>
          <w:snapToGrid w:val="0"/>
          <w:sz w:val="22"/>
          <w:szCs w:val="22"/>
        </w:rPr>
        <w:t>é</w:t>
      </w:r>
      <w:r>
        <w:rPr>
          <w:rFonts w:ascii="Arial" w:hAnsi="Arial" w:cs="Arial"/>
          <w:snapToGrid w:val="0"/>
          <w:sz w:val="22"/>
          <w:szCs w:val="22"/>
        </w:rPr>
        <w:t xml:space="preserve">, a v současné době je v rámci celku poměrně vyrovnaná. Necelých 30% cizinců má základní vzdělání, 22% tvoří vyučení, maturitní vzdělání má 28% a 21% vzdělání vysokoškolské. Rozdíly v kvalifikační struktuře cizinců jsou však jak regionální, jak již bylo uvedeno výše, tak z hlediska typu registrace. Jak je zřejmé z grafu, na pracovní povolení sem přichází buď nekvalifikovaná pracovní síla (sezónní zemědělští dělníci a málo kvalifikovaní dělníci ve zpracovatelském průmyslu), nebo naopak pracovní síla vysoce kvalifikovaná (odborníci v IT, manažeři, učitelé jazyků). Struktura pracovní síly ze zemí Evropské unie je naopak velmi vyrovnaná, což je dáno především vysokým zastoupením Slováků, kteří pracují téměř ve všech oborech. </w:t>
      </w:r>
    </w:p>
    <w:p w:rsidR="00815F66" w:rsidRDefault="00815F66" w:rsidP="00815F66">
      <w:pPr>
        <w:widowControl w:val="0"/>
        <w:jc w:val="both"/>
        <w:rPr>
          <w:rFonts w:ascii="Arial" w:hAnsi="Arial" w:cs="Arial"/>
          <w:snapToGrid w:val="0"/>
          <w:sz w:val="22"/>
          <w:szCs w:val="22"/>
        </w:rPr>
      </w:pPr>
    </w:p>
    <w:p w:rsidR="00815F66" w:rsidRDefault="00815F66" w:rsidP="00815F66">
      <w:pPr>
        <w:widowControl w:val="0"/>
        <w:jc w:val="both"/>
        <w:rPr>
          <w:rFonts w:ascii="Arial" w:hAnsi="Arial" w:cs="Arial"/>
          <w:snapToGrid w:val="0"/>
          <w:sz w:val="22"/>
          <w:szCs w:val="22"/>
        </w:rPr>
      </w:pPr>
      <w:r>
        <w:rPr>
          <w:rFonts w:ascii="Arial" w:hAnsi="Arial" w:cs="Arial"/>
          <w:snapToGrid w:val="0"/>
          <w:sz w:val="22"/>
          <w:szCs w:val="22"/>
        </w:rPr>
        <w:t>Geografická blízkost Slovenska, neexistence jazykové bariéry a poměrně dobrá dopravní dostupnost umožňují občanům SR uplatnění ve většině oblastí pracovního trhu.</w:t>
      </w:r>
      <w:r w:rsidRPr="00247310">
        <w:rPr>
          <w:rFonts w:ascii="Arial" w:hAnsi="Arial" w:cs="Arial"/>
          <w:snapToGrid w:val="0"/>
          <w:sz w:val="22"/>
          <w:szCs w:val="22"/>
        </w:rPr>
        <w:t xml:space="preserve"> </w:t>
      </w:r>
      <w:r>
        <w:rPr>
          <w:rFonts w:ascii="Arial" w:hAnsi="Arial" w:cs="Arial"/>
          <w:snapToGrid w:val="0"/>
          <w:sz w:val="22"/>
          <w:szCs w:val="22"/>
        </w:rPr>
        <w:t>Z cizinců registrovaných úřadem práce Slováci představují cca 65%. Druhou nejpočetnější skupinou jsou Ukrajinci (cca 8-9%), přičemž většina z nich zde má již trvalý pobyt. Následují občané Rumunska a Bulharska s cca 6-7%. Cizinci z třetích zemí se koncentrují především do Brna, ve venkovských okrese</w:t>
      </w:r>
      <w:r w:rsidRPr="00852DE4">
        <w:rPr>
          <w:rFonts w:ascii="Arial" w:hAnsi="Arial" w:cs="Arial"/>
          <w:b/>
          <w:snapToGrid w:val="0"/>
          <w:sz w:val="22"/>
          <w:szCs w:val="22"/>
        </w:rPr>
        <w:t>c</w:t>
      </w:r>
      <w:r>
        <w:rPr>
          <w:rFonts w:ascii="Arial" w:hAnsi="Arial" w:cs="Arial"/>
          <w:snapToGrid w:val="0"/>
          <w:sz w:val="22"/>
          <w:szCs w:val="22"/>
        </w:rPr>
        <w:t>h je (mimo Ukrajinců) jejich počet minimální. Výjimkou je pouze okres Blansko, kde pracuje přes 200 občanů Mongolska. Zhruba polovina z nich jich přitom již také získala trvalý pobyt.</w:t>
      </w:r>
    </w:p>
    <w:p w:rsidR="00815F66" w:rsidRDefault="00815F66" w:rsidP="00815F66">
      <w:pPr>
        <w:widowControl w:val="0"/>
        <w:jc w:val="both"/>
        <w:rPr>
          <w:rFonts w:ascii="Arial" w:hAnsi="Arial" w:cs="Arial"/>
          <w:snapToGrid w:val="0"/>
          <w:sz w:val="22"/>
          <w:szCs w:val="22"/>
        </w:rPr>
      </w:pPr>
    </w:p>
    <w:p w:rsidR="00815F66" w:rsidRPr="00D445DD" w:rsidRDefault="00815F66" w:rsidP="00815F66">
      <w:pPr>
        <w:widowControl w:val="0"/>
        <w:jc w:val="both"/>
        <w:rPr>
          <w:rFonts w:ascii="Arial" w:hAnsi="Arial" w:cs="Arial"/>
          <w:snapToGrid w:val="0"/>
          <w:color w:val="FF0000"/>
          <w:sz w:val="22"/>
          <w:szCs w:val="22"/>
        </w:rPr>
      </w:pPr>
    </w:p>
    <w:p w:rsidR="00815F66" w:rsidRPr="009225B6" w:rsidRDefault="00815F66" w:rsidP="00815F66">
      <w:pPr>
        <w:pStyle w:val="Zprva2"/>
        <w:spacing w:line="276" w:lineRule="auto"/>
        <w:rPr>
          <w:rFonts w:ascii="Arial" w:hAnsi="Arial" w:cs="Arial"/>
          <w:color w:val="auto"/>
          <w:sz w:val="24"/>
          <w:szCs w:val="24"/>
          <w:u w:val="single"/>
        </w:rPr>
      </w:pPr>
      <w:bookmarkStart w:id="49" w:name="_Toc318791895"/>
      <w:bookmarkStart w:id="50" w:name="_Toc320265229"/>
      <w:r w:rsidRPr="009225B6">
        <w:rPr>
          <w:rFonts w:ascii="Arial" w:hAnsi="Arial" w:cs="Arial"/>
          <w:color w:val="auto"/>
          <w:sz w:val="24"/>
          <w:szCs w:val="24"/>
          <w:u w:val="single"/>
        </w:rPr>
        <w:t>Informační karty - občané EU/EHP a Švýcarska</w:t>
      </w:r>
      <w:bookmarkEnd w:id="49"/>
      <w:bookmarkEnd w:id="50"/>
    </w:p>
    <w:p w:rsidR="00815F66" w:rsidRPr="00D445DD" w:rsidRDefault="00815F66" w:rsidP="00815F66">
      <w:pPr>
        <w:jc w:val="both"/>
        <w:rPr>
          <w:rFonts w:ascii="Arial" w:hAnsi="Arial" w:cs="Arial"/>
          <w:color w:val="FF0000"/>
          <w:sz w:val="22"/>
          <w:szCs w:val="22"/>
        </w:rPr>
      </w:pPr>
    </w:p>
    <w:p w:rsidR="00815F66" w:rsidRPr="00D445DD" w:rsidRDefault="00815F66" w:rsidP="00815F66">
      <w:pPr>
        <w:widowControl w:val="0"/>
        <w:jc w:val="both"/>
        <w:rPr>
          <w:rFonts w:ascii="Arial" w:hAnsi="Arial" w:cs="Arial"/>
          <w:b/>
          <w:snapToGrid w:val="0"/>
          <w:sz w:val="22"/>
          <w:szCs w:val="22"/>
        </w:rPr>
      </w:pPr>
      <w:r w:rsidRPr="00D445DD">
        <w:rPr>
          <w:rFonts w:ascii="Arial" w:hAnsi="Arial" w:cs="Arial"/>
          <w:b/>
          <w:snapToGrid w:val="0"/>
          <w:sz w:val="22"/>
          <w:szCs w:val="22"/>
        </w:rPr>
        <w:t>Ke konci roku 201</w:t>
      </w:r>
      <w:r>
        <w:rPr>
          <w:rFonts w:ascii="Arial" w:hAnsi="Arial" w:cs="Arial"/>
          <w:b/>
          <w:snapToGrid w:val="0"/>
          <w:sz w:val="22"/>
          <w:szCs w:val="22"/>
        </w:rPr>
        <w:t>4</w:t>
      </w:r>
      <w:r w:rsidRPr="00D445DD">
        <w:rPr>
          <w:rFonts w:ascii="Arial" w:hAnsi="Arial" w:cs="Arial"/>
          <w:b/>
          <w:snapToGrid w:val="0"/>
          <w:sz w:val="22"/>
          <w:szCs w:val="22"/>
        </w:rPr>
        <w:t xml:space="preserve"> </w:t>
      </w:r>
      <w:r>
        <w:rPr>
          <w:rFonts w:ascii="Arial" w:hAnsi="Arial" w:cs="Arial"/>
          <w:b/>
          <w:snapToGrid w:val="0"/>
          <w:sz w:val="22"/>
          <w:szCs w:val="22"/>
        </w:rPr>
        <w:t xml:space="preserve">bylo Úřadem práce registrováno v Jihomoravském kraji 25,4 tis. pracovníků ze zemí Evropské unie. </w:t>
      </w:r>
      <w:r w:rsidRPr="00D445DD">
        <w:rPr>
          <w:rFonts w:ascii="Arial" w:hAnsi="Arial" w:cs="Arial"/>
          <w:snapToGrid w:val="0"/>
          <w:sz w:val="22"/>
          <w:szCs w:val="22"/>
        </w:rPr>
        <w:t>Největší podíl na této pracovní síle</w:t>
      </w:r>
      <w:r>
        <w:rPr>
          <w:rFonts w:ascii="Arial" w:hAnsi="Arial" w:cs="Arial"/>
          <w:snapToGrid w:val="0"/>
          <w:sz w:val="22"/>
          <w:szCs w:val="22"/>
        </w:rPr>
        <w:t xml:space="preserve"> (cca 75%) </w:t>
      </w:r>
      <w:r w:rsidRPr="00D445DD">
        <w:rPr>
          <w:rFonts w:ascii="Arial" w:hAnsi="Arial" w:cs="Arial"/>
          <w:snapToGrid w:val="0"/>
          <w:sz w:val="22"/>
          <w:szCs w:val="22"/>
        </w:rPr>
        <w:t xml:space="preserve">mají občané Slovenska. Ti pracují kromě Brna především v příhraničních okresech Břeclav a Hodonín, kde </w:t>
      </w:r>
      <w:r w:rsidR="00166ABA">
        <w:rPr>
          <w:rFonts w:ascii="Arial" w:hAnsi="Arial" w:cs="Arial"/>
          <w:snapToGrid w:val="0"/>
          <w:sz w:val="22"/>
          <w:szCs w:val="22"/>
        </w:rPr>
        <w:t>v</w:t>
      </w:r>
      <w:r w:rsidRPr="00D445DD">
        <w:rPr>
          <w:rFonts w:ascii="Arial" w:hAnsi="Arial" w:cs="Arial"/>
          <w:snapToGrid w:val="0"/>
          <w:sz w:val="22"/>
          <w:szCs w:val="22"/>
        </w:rPr>
        <w:t>yužíva</w:t>
      </w:r>
      <w:r w:rsidR="00166ABA">
        <w:rPr>
          <w:rFonts w:ascii="Arial" w:hAnsi="Arial" w:cs="Arial"/>
          <w:snapToGrid w:val="0"/>
          <w:sz w:val="22"/>
          <w:szCs w:val="22"/>
        </w:rPr>
        <w:t>jí</w:t>
      </w:r>
      <w:r w:rsidRPr="00D445DD">
        <w:rPr>
          <w:rFonts w:ascii="Arial" w:hAnsi="Arial" w:cs="Arial"/>
          <w:snapToGrid w:val="0"/>
          <w:sz w:val="22"/>
          <w:szCs w:val="22"/>
        </w:rPr>
        <w:t xml:space="preserve"> denní dojížďky do zaměstnání, a dále také na území okresu Brno-venkov. Slovenští občané jsou nejčastěji zaměstnáváni jako dělníci ve strojírenství, ve stavebnictví a zemědělství, navíc se - díky neexistenci jazykové bariéry – velmi často uplatňují rovněž v obchodě, službách a zdravotnictví. V Brně však postupně roste podíl vysoce kvalifikované pracovní síly ze Slovenska, což je spojeno </w:t>
      </w:r>
      <w:r>
        <w:rPr>
          <w:rFonts w:ascii="Arial" w:hAnsi="Arial" w:cs="Arial"/>
          <w:snapToGrid w:val="0"/>
          <w:sz w:val="22"/>
          <w:szCs w:val="22"/>
        </w:rPr>
        <w:t>jednak</w:t>
      </w:r>
      <w:r w:rsidRPr="00D445DD">
        <w:rPr>
          <w:rFonts w:ascii="Arial" w:hAnsi="Arial" w:cs="Arial"/>
          <w:snapToGrid w:val="0"/>
          <w:sz w:val="22"/>
          <w:szCs w:val="22"/>
        </w:rPr>
        <w:t xml:space="preserve"> s rozmachem zaměstnavatelů poskytujících služby v oblasti informačních technologií</w:t>
      </w:r>
      <w:r>
        <w:rPr>
          <w:rFonts w:ascii="Arial" w:hAnsi="Arial" w:cs="Arial"/>
          <w:snapToGrid w:val="0"/>
          <w:sz w:val="22"/>
          <w:szCs w:val="22"/>
        </w:rPr>
        <w:t>, jednak s vysokým počtem slovenských studentů vysokých škol v Brně, kteří zde často po ukončení studia zůstávají a hledají si zaměstnání.</w:t>
      </w:r>
      <w:r w:rsidRPr="00D445DD">
        <w:rPr>
          <w:rFonts w:ascii="Arial" w:hAnsi="Arial" w:cs="Arial"/>
          <w:b/>
          <w:snapToGrid w:val="0"/>
          <w:sz w:val="22"/>
          <w:szCs w:val="22"/>
        </w:rPr>
        <w:t xml:space="preserve"> </w:t>
      </w:r>
    </w:p>
    <w:p w:rsidR="00815F66" w:rsidRDefault="00815F66" w:rsidP="00815F66">
      <w:pPr>
        <w:widowControl w:val="0"/>
        <w:spacing w:after="120"/>
        <w:jc w:val="both"/>
        <w:rPr>
          <w:rFonts w:ascii="Arial" w:hAnsi="Arial" w:cs="Arial"/>
          <w:snapToGrid w:val="0"/>
          <w:sz w:val="22"/>
          <w:szCs w:val="22"/>
        </w:rPr>
      </w:pPr>
    </w:p>
    <w:p w:rsidR="00815F66" w:rsidRPr="00D445DD" w:rsidRDefault="00815F66" w:rsidP="00815F66">
      <w:pPr>
        <w:widowControl w:val="0"/>
        <w:spacing w:after="120"/>
        <w:jc w:val="both"/>
        <w:rPr>
          <w:rFonts w:ascii="Arial" w:hAnsi="Arial" w:cs="Arial"/>
          <w:snapToGrid w:val="0"/>
          <w:sz w:val="22"/>
          <w:szCs w:val="22"/>
        </w:rPr>
      </w:pPr>
      <w:r w:rsidRPr="00D445DD">
        <w:rPr>
          <w:rFonts w:ascii="Arial" w:hAnsi="Arial" w:cs="Arial"/>
          <w:snapToGrid w:val="0"/>
          <w:sz w:val="22"/>
          <w:szCs w:val="22"/>
        </w:rPr>
        <w:t xml:space="preserve">Cizinci z ostatních zemí Evropské unie jsou koncentrováni především do Brna; </w:t>
      </w:r>
      <w:r>
        <w:rPr>
          <w:rFonts w:ascii="Arial" w:hAnsi="Arial" w:cs="Arial"/>
          <w:snapToGrid w:val="0"/>
          <w:sz w:val="22"/>
          <w:szCs w:val="22"/>
        </w:rPr>
        <w:t xml:space="preserve"> jedná se vesměs </w:t>
      </w:r>
      <w:r w:rsidRPr="00D445DD">
        <w:rPr>
          <w:rFonts w:ascii="Arial" w:hAnsi="Arial" w:cs="Arial"/>
          <w:snapToGrid w:val="0"/>
          <w:sz w:val="22"/>
          <w:szCs w:val="22"/>
        </w:rPr>
        <w:t>o vysoce kvalifikovanou pracovní sílu (programátoři, analytici a pracovníci operačních systémů, ale také u</w:t>
      </w:r>
      <w:r w:rsidR="00166ABA">
        <w:rPr>
          <w:rFonts w:ascii="Arial" w:hAnsi="Arial" w:cs="Arial"/>
          <w:snapToGrid w:val="0"/>
          <w:sz w:val="22"/>
          <w:szCs w:val="22"/>
        </w:rPr>
        <w:t>čitele jazyků, obchodní zástupci</w:t>
      </w:r>
      <w:r w:rsidRPr="00D445DD">
        <w:rPr>
          <w:rFonts w:ascii="Arial" w:hAnsi="Arial" w:cs="Arial"/>
          <w:snapToGrid w:val="0"/>
          <w:sz w:val="22"/>
          <w:szCs w:val="22"/>
        </w:rPr>
        <w:t xml:space="preserve"> a vedoucí a řídící pracovní</w:t>
      </w:r>
      <w:r w:rsidR="00166ABA">
        <w:rPr>
          <w:rFonts w:ascii="Arial" w:hAnsi="Arial" w:cs="Arial"/>
          <w:snapToGrid w:val="0"/>
          <w:sz w:val="22"/>
          <w:szCs w:val="22"/>
        </w:rPr>
        <w:t>ci)</w:t>
      </w:r>
      <w:r w:rsidRPr="00D445DD">
        <w:rPr>
          <w:rFonts w:ascii="Arial" w:hAnsi="Arial" w:cs="Arial"/>
          <w:snapToGrid w:val="0"/>
          <w:sz w:val="22"/>
          <w:szCs w:val="22"/>
        </w:rPr>
        <w:t xml:space="preserve">. </w:t>
      </w:r>
      <w:r>
        <w:rPr>
          <w:rFonts w:ascii="Arial" w:hAnsi="Arial" w:cs="Arial"/>
          <w:snapToGrid w:val="0"/>
          <w:sz w:val="22"/>
          <w:szCs w:val="22"/>
        </w:rPr>
        <w:t xml:space="preserve"> Největším zaměstnavatelem těchto cizinců je firma IBM.</w:t>
      </w:r>
    </w:p>
    <w:p w:rsidR="00815F66" w:rsidRPr="00D445DD" w:rsidRDefault="00815F66" w:rsidP="00815F66">
      <w:pPr>
        <w:widowControl w:val="0"/>
        <w:spacing w:after="120"/>
        <w:jc w:val="both"/>
        <w:rPr>
          <w:rFonts w:ascii="Arial" w:hAnsi="Arial" w:cs="Arial"/>
          <w:snapToGrid w:val="0"/>
          <w:sz w:val="22"/>
          <w:szCs w:val="22"/>
        </w:rPr>
      </w:pPr>
      <w:r w:rsidRPr="00D445DD">
        <w:rPr>
          <w:rFonts w:ascii="Arial" w:hAnsi="Arial" w:cs="Arial"/>
          <w:snapToGrid w:val="0"/>
          <w:sz w:val="22"/>
          <w:szCs w:val="22"/>
        </w:rPr>
        <w:t>V okrese Znojmo třetí nejpočetnější skupinu cizinců (po Slovácích a Ukrajincích) představují občané Rakouska, kteří působí především ve firmách s rakouskou majetkovou účastí a ve školství.</w:t>
      </w:r>
    </w:p>
    <w:p w:rsidR="00815F66" w:rsidRDefault="00815F66" w:rsidP="00815F66">
      <w:pPr>
        <w:widowControl w:val="0"/>
        <w:spacing w:after="120"/>
        <w:jc w:val="both"/>
        <w:rPr>
          <w:rFonts w:ascii="Arial" w:hAnsi="Arial" w:cs="Arial"/>
          <w:snapToGrid w:val="0"/>
          <w:sz w:val="22"/>
          <w:szCs w:val="22"/>
        </w:rPr>
      </w:pPr>
    </w:p>
    <w:p w:rsidR="00060EFF" w:rsidRDefault="00060EFF" w:rsidP="00815F66">
      <w:pPr>
        <w:widowControl w:val="0"/>
        <w:jc w:val="both"/>
        <w:rPr>
          <w:rFonts w:ascii="Arial" w:hAnsi="Arial" w:cs="Arial"/>
          <w:snapToGrid w:val="0"/>
          <w:sz w:val="22"/>
          <w:szCs w:val="22"/>
        </w:rPr>
      </w:pPr>
    </w:p>
    <w:p w:rsidR="00815F66" w:rsidRPr="004F46F8" w:rsidRDefault="00815F66" w:rsidP="00815F66">
      <w:pPr>
        <w:widowControl w:val="0"/>
        <w:jc w:val="both"/>
        <w:rPr>
          <w:rFonts w:ascii="Arial" w:hAnsi="Arial" w:cs="Arial"/>
          <w:snapToGrid w:val="0"/>
          <w:sz w:val="22"/>
          <w:szCs w:val="22"/>
        </w:rPr>
      </w:pPr>
      <w:r w:rsidRPr="00D445DD">
        <w:rPr>
          <w:rFonts w:ascii="Arial" w:hAnsi="Arial" w:cs="Arial"/>
          <w:snapToGrid w:val="0"/>
          <w:sz w:val="22"/>
          <w:szCs w:val="22"/>
        </w:rPr>
        <w:t>Počet v kraji registrovaných zahraničních pracovníků ze zemí EU/EHP sice v důsledku krize v první polovině roku 2009 mírně</w:t>
      </w:r>
      <w:r w:rsidRPr="00D445DD">
        <w:rPr>
          <w:rFonts w:ascii="Arial" w:hAnsi="Arial" w:cs="Arial"/>
          <w:b/>
          <w:snapToGrid w:val="0"/>
          <w:sz w:val="22"/>
          <w:szCs w:val="22"/>
        </w:rPr>
        <w:t xml:space="preserve"> </w:t>
      </w:r>
      <w:r w:rsidRPr="00D445DD">
        <w:rPr>
          <w:rFonts w:ascii="Arial" w:hAnsi="Arial" w:cs="Arial"/>
          <w:snapToGrid w:val="0"/>
          <w:sz w:val="22"/>
          <w:szCs w:val="22"/>
        </w:rPr>
        <w:t xml:space="preserve">poklesl (uvolňováni byli zejména agenturní pracovníci v dělnických profesích), </w:t>
      </w:r>
      <w:r w:rsidRPr="00D445DD">
        <w:rPr>
          <w:rFonts w:ascii="Arial" w:hAnsi="Arial" w:cs="Arial"/>
          <w:b/>
          <w:snapToGrid w:val="0"/>
          <w:sz w:val="22"/>
          <w:szCs w:val="22"/>
        </w:rPr>
        <w:t xml:space="preserve">od druhé poloviny roku 2009 však již jejich počet začal opět růst a již na konci roku 2010 byl vyšší než před počátkem krize. </w:t>
      </w:r>
      <w:r>
        <w:rPr>
          <w:rFonts w:ascii="Arial" w:hAnsi="Arial" w:cs="Arial"/>
          <w:snapToGrid w:val="0"/>
          <w:sz w:val="22"/>
          <w:szCs w:val="22"/>
        </w:rPr>
        <w:t>Tento trend</w:t>
      </w:r>
      <w:r w:rsidRPr="005C4649">
        <w:rPr>
          <w:rFonts w:ascii="Arial" w:hAnsi="Arial" w:cs="Arial"/>
          <w:snapToGrid w:val="0"/>
          <w:sz w:val="22"/>
          <w:szCs w:val="22"/>
        </w:rPr>
        <w:t xml:space="preserve"> pak pokračoval i </w:t>
      </w:r>
      <w:r>
        <w:rPr>
          <w:rFonts w:ascii="Arial" w:hAnsi="Arial" w:cs="Arial"/>
          <w:snapToGrid w:val="0"/>
          <w:sz w:val="22"/>
          <w:szCs w:val="22"/>
        </w:rPr>
        <w:t xml:space="preserve">v následujících </w:t>
      </w:r>
      <w:r w:rsidRPr="005C4649">
        <w:rPr>
          <w:rFonts w:ascii="Arial" w:hAnsi="Arial" w:cs="Arial"/>
          <w:snapToGrid w:val="0"/>
          <w:sz w:val="22"/>
          <w:szCs w:val="22"/>
        </w:rPr>
        <w:t>letech</w:t>
      </w:r>
      <w:r>
        <w:rPr>
          <w:rFonts w:ascii="Arial" w:hAnsi="Arial" w:cs="Arial"/>
          <w:snapToGrid w:val="0"/>
          <w:sz w:val="22"/>
          <w:szCs w:val="22"/>
        </w:rPr>
        <w:t xml:space="preserve">, výrazné navýšení počtu po roce 2011 však může být do jisté míry důsledkem nepřesností v databázích ÚP a neplnění odhlašovacích povinností ze strany zaměstnavatelů. </w:t>
      </w:r>
      <w:r w:rsidRPr="00D445DD">
        <w:rPr>
          <w:rFonts w:ascii="Arial" w:hAnsi="Arial" w:cs="Arial"/>
          <w:b/>
          <w:snapToGrid w:val="0"/>
          <w:sz w:val="22"/>
          <w:szCs w:val="22"/>
        </w:rPr>
        <w:t xml:space="preserve"> </w:t>
      </w:r>
      <w:r>
        <w:rPr>
          <w:rFonts w:ascii="Arial" w:hAnsi="Arial" w:cs="Arial"/>
          <w:snapToGrid w:val="0"/>
          <w:sz w:val="22"/>
          <w:szCs w:val="22"/>
        </w:rPr>
        <w:t xml:space="preserve">V roce 2014 se </w:t>
      </w:r>
      <w:r w:rsidR="00166ABA">
        <w:rPr>
          <w:rFonts w:ascii="Arial" w:hAnsi="Arial" w:cs="Arial"/>
          <w:snapToGrid w:val="0"/>
          <w:sz w:val="22"/>
          <w:szCs w:val="22"/>
        </w:rPr>
        <w:t xml:space="preserve">tento </w:t>
      </w:r>
      <w:r>
        <w:rPr>
          <w:rFonts w:ascii="Arial" w:hAnsi="Arial" w:cs="Arial"/>
          <w:snapToGrid w:val="0"/>
          <w:sz w:val="22"/>
          <w:szCs w:val="22"/>
        </w:rPr>
        <w:t>nárůst zastavil a došlo pravděpodobně i k mírnému poklesu. (Za Brno město jsou počty sice stále jen odhadovány, avšak údaje ze zbývajících okresů tyto odhady potvrzují). Důvodem je pravděpodobně menší zájem občanů Slovenska o práci v ČR v důsledku klesajícího kurzu české koruny.</w:t>
      </w:r>
    </w:p>
    <w:p w:rsidR="00815F66" w:rsidRPr="00D445DD" w:rsidRDefault="00815F66" w:rsidP="00815F66">
      <w:pPr>
        <w:pStyle w:val="Zprva2"/>
        <w:spacing w:line="276" w:lineRule="auto"/>
        <w:rPr>
          <w:rFonts w:ascii="Arial" w:hAnsi="Arial" w:cs="Arial"/>
          <w:snapToGrid/>
          <w:color w:val="auto"/>
          <w:sz w:val="22"/>
          <w:szCs w:val="22"/>
        </w:rPr>
      </w:pPr>
    </w:p>
    <w:p w:rsidR="00815F66" w:rsidRDefault="00815F66" w:rsidP="00815F66">
      <w:pPr>
        <w:pStyle w:val="Zprva2"/>
        <w:spacing w:line="276" w:lineRule="auto"/>
        <w:rPr>
          <w:rFonts w:ascii="Arial" w:hAnsi="Arial" w:cs="Arial"/>
          <w:color w:val="auto"/>
          <w:sz w:val="24"/>
          <w:szCs w:val="24"/>
          <w:u w:val="single"/>
        </w:rPr>
      </w:pPr>
      <w:bookmarkStart w:id="51" w:name="_Toc318791896"/>
      <w:bookmarkStart w:id="52" w:name="_Toc320265232"/>
    </w:p>
    <w:p w:rsidR="00815F66" w:rsidRPr="005C4649" w:rsidRDefault="00815F66" w:rsidP="00815F66">
      <w:pPr>
        <w:pStyle w:val="Zprva2"/>
        <w:spacing w:line="276" w:lineRule="auto"/>
        <w:rPr>
          <w:rFonts w:ascii="Arial" w:hAnsi="Arial" w:cs="Arial"/>
          <w:snapToGrid/>
          <w:color w:val="auto"/>
          <w:sz w:val="24"/>
          <w:szCs w:val="24"/>
          <w:u w:val="single"/>
        </w:rPr>
      </w:pPr>
      <w:r w:rsidRPr="005C4649">
        <w:rPr>
          <w:rFonts w:ascii="Arial" w:hAnsi="Arial" w:cs="Arial"/>
          <w:color w:val="auto"/>
          <w:sz w:val="24"/>
          <w:szCs w:val="24"/>
          <w:u w:val="single"/>
        </w:rPr>
        <w:t>Pracovní povolení</w:t>
      </w:r>
      <w:bookmarkEnd w:id="51"/>
      <w:bookmarkEnd w:id="52"/>
      <w:r>
        <w:rPr>
          <w:rFonts w:ascii="Arial" w:hAnsi="Arial" w:cs="Arial"/>
          <w:color w:val="auto"/>
          <w:sz w:val="24"/>
          <w:szCs w:val="24"/>
          <w:u w:val="single"/>
        </w:rPr>
        <w:t xml:space="preserve"> a zaměstnanecké karty</w:t>
      </w:r>
    </w:p>
    <w:p w:rsidR="00815F66" w:rsidRPr="00D445DD" w:rsidRDefault="00815F66" w:rsidP="00815F66">
      <w:pPr>
        <w:pStyle w:val="Zprva2"/>
        <w:spacing w:line="276" w:lineRule="auto"/>
        <w:rPr>
          <w:rFonts w:ascii="Arial" w:hAnsi="Arial" w:cs="Arial"/>
          <w:color w:val="auto"/>
          <w:sz w:val="22"/>
          <w:szCs w:val="22"/>
        </w:rPr>
      </w:pPr>
    </w:p>
    <w:p w:rsidR="00815F66" w:rsidRDefault="00815F66" w:rsidP="00815F66">
      <w:pPr>
        <w:spacing w:after="120"/>
        <w:jc w:val="both"/>
        <w:rPr>
          <w:rFonts w:ascii="Arial" w:hAnsi="Arial" w:cs="Arial"/>
          <w:sz w:val="22"/>
          <w:szCs w:val="22"/>
        </w:rPr>
      </w:pPr>
      <w:r>
        <w:rPr>
          <w:rFonts w:ascii="Arial" w:hAnsi="Arial" w:cs="Arial"/>
          <w:snapToGrid w:val="0"/>
          <w:sz w:val="22"/>
          <w:szCs w:val="22"/>
        </w:rPr>
        <w:t xml:space="preserve">V polovině roku 2014 došlo k významné změně v oblasti vydávání pracovních povolení pro cizince. </w:t>
      </w:r>
      <w:r>
        <w:rPr>
          <w:rFonts w:ascii="Arial" w:hAnsi="Arial" w:cs="Arial"/>
          <w:sz w:val="22"/>
          <w:szCs w:val="22"/>
        </w:rPr>
        <w:t xml:space="preserve">Dne </w:t>
      </w:r>
      <w:r w:rsidRPr="00572BC8">
        <w:rPr>
          <w:rFonts w:ascii="Arial" w:hAnsi="Arial" w:cs="Arial"/>
          <w:b/>
          <w:sz w:val="22"/>
          <w:szCs w:val="22"/>
        </w:rPr>
        <w:t>24. 6. 2014 vstoupila v platnost novela zákona o pobytu cizinců</w:t>
      </w:r>
      <w:r w:rsidRPr="006E6967">
        <w:rPr>
          <w:rFonts w:ascii="Arial" w:hAnsi="Arial" w:cs="Arial"/>
          <w:sz w:val="22"/>
          <w:szCs w:val="22"/>
        </w:rPr>
        <w:t xml:space="preserve"> a zákona o zaměstnanosti, </w:t>
      </w:r>
      <w:r w:rsidRPr="00572BC8">
        <w:rPr>
          <w:rFonts w:ascii="Arial" w:hAnsi="Arial" w:cs="Arial"/>
          <w:b/>
          <w:sz w:val="22"/>
          <w:szCs w:val="22"/>
        </w:rPr>
        <w:t>která zavádí</w:t>
      </w:r>
      <w:r>
        <w:rPr>
          <w:rFonts w:ascii="Arial" w:hAnsi="Arial" w:cs="Arial"/>
          <w:sz w:val="22"/>
          <w:szCs w:val="22"/>
        </w:rPr>
        <w:t xml:space="preserve"> </w:t>
      </w:r>
      <w:r w:rsidRPr="0070302C">
        <w:rPr>
          <w:rFonts w:ascii="Arial" w:hAnsi="Arial" w:cs="Arial"/>
          <w:sz w:val="22"/>
          <w:szCs w:val="22"/>
        </w:rPr>
        <w:t>nový druh povolení k dlouhodobému pobytu na území ČR</w:t>
      </w:r>
      <w:r>
        <w:rPr>
          <w:rFonts w:ascii="Arial" w:hAnsi="Arial" w:cs="Arial"/>
          <w:sz w:val="22"/>
          <w:szCs w:val="22"/>
        </w:rPr>
        <w:t xml:space="preserve"> – tzv. </w:t>
      </w:r>
      <w:r w:rsidRPr="007A5DC6">
        <w:rPr>
          <w:rFonts w:ascii="Arial" w:hAnsi="Arial" w:cs="Arial"/>
          <w:b/>
          <w:sz w:val="22"/>
          <w:szCs w:val="22"/>
        </w:rPr>
        <w:t>zaměstnanecké karty.</w:t>
      </w:r>
      <w:r>
        <w:rPr>
          <w:rFonts w:ascii="Arial" w:hAnsi="Arial" w:cs="Arial"/>
          <w:sz w:val="22"/>
          <w:szCs w:val="22"/>
        </w:rPr>
        <w:t xml:space="preserve"> Ty spojují do jednoho dokladu pracovní povolení a povolení k pobytu a vydává je Ministerstvo vnitra. Úřad práce k vydání těchto karet vydává závazné stanovisko, posuzující možnost obsazení daného pracovního místa českými uchazeči o zaměstnání. V kompetenci Úřadu práce nadále </w:t>
      </w:r>
      <w:r w:rsidR="00166ABA">
        <w:rPr>
          <w:rFonts w:ascii="Arial" w:hAnsi="Arial" w:cs="Arial"/>
          <w:sz w:val="22"/>
          <w:szCs w:val="22"/>
        </w:rPr>
        <w:t>zůstává vydávání</w:t>
      </w:r>
      <w:r>
        <w:rPr>
          <w:rFonts w:ascii="Arial" w:hAnsi="Arial" w:cs="Arial"/>
          <w:sz w:val="22"/>
          <w:szCs w:val="22"/>
        </w:rPr>
        <w:t xml:space="preserve"> </w:t>
      </w:r>
      <w:r w:rsidR="00166ABA">
        <w:rPr>
          <w:rFonts w:ascii="Arial" w:hAnsi="Arial" w:cs="Arial"/>
          <w:sz w:val="22"/>
          <w:szCs w:val="22"/>
        </w:rPr>
        <w:t xml:space="preserve">pracovních povolení </w:t>
      </w:r>
      <w:r>
        <w:rPr>
          <w:rFonts w:ascii="Arial" w:hAnsi="Arial" w:cs="Arial"/>
          <w:sz w:val="22"/>
          <w:szCs w:val="22"/>
        </w:rPr>
        <w:t>pro společníky a členy družstev. V souvislosti s touto právní úpravou není stále dořešeno zpětné informování Úřadu práce o počtu vydaných zaměstnaneckých karet a o skutečném obsazení pracovních pozic cizinci. Dále uváděné údaje o počtu cizinců s platným pracovním povolením a zaměstnaneckou kartou je tedy nutno brát jako orientační. Vycházejí z počtu cizinců s platným pracovním povolením dle staré úpravy a počtu souhlasných stanovisek vydaných Úřadem práce.</w:t>
      </w:r>
    </w:p>
    <w:p w:rsidR="00815F66" w:rsidRDefault="00815F66" w:rsidP="00815F66">
      <w:pPr>
        <w:widowControl w:val="0"/>
        <w:spacing w:after="120"/>
        <w:jc w:val="both"/>
        <w:rPr>
          <w:rFonts w:ascii="Arial" w:hAnsi="Arial" w:cs="Arial"/>
          <w:snapToGrid w:val="0"/>
          <w:sz w:val="22"/>
          <w:szCs w:val="22"/>
        </w:rPr>
      </w:pPr>
      <w:r w:rsidRPr="003D1BB8">
        <w:rPr>
          <w:rFonts w:ascii="Arial" w:hAnsi="Arial" w:cs="Arial"/>
          <w:b/>
          <w:snapToGrid w:val="0"/>
          <w:sz w:val="22"/>
          <w:szCs w:val="22"/>
        </w:rPr>
        <w:t>Ke 31.</w:t>
      </w:r>
      <w:r w:rsidR="00060EFF">
        <w:rPr>
          <w:rFonts w:ascii="Arial" w:hAnsi="Arial" w:cs="Arial"/>
          <w:b/>
          <w:snapToGrid w:val="0"/>
          <w:sz w:val="22"/>
          <w:szCs w:val="22"/>
        </w:rPr>
        <w:t xml:space="preserve"> </w:t>
      </w:r>
      <w:r w:rsidRPr="003D1BB8">
        <w:rPr>
          <w:rFonts w:ascii="Arial" w:hAnsi="Arial" w:cs="Arial"/>
          <w:b/>
          <w:snapToGrid w:val="0"/>
          <w:sz w:val="22"/>
          <w:szCs w:val="22"/>
        </w:rPr>
        <w:t>12.</w:t>
      </w:r>
      <w:r w:rsidR="00060EFF">
        <w:rPr>
          <w:rFonts w:ascii="Arial" w:hAnsi="Arial" w:cs="Arial"/>
          <w:b/>
          <w:snapToGrid w:val="0"/>
          <w:sz w:val="22"/>
          <w:szCs w:val="22"/>
        </w:rPr>
        <w:t xml:space="preserve"> </w:t>
      </w:r>
      <w:r w:rsidRPr="003D1BB8">
        <w:rPr>
          <w:rFonts w:ascii="Arial" w:hAnsi="Arial" w:cs="Arial"/>
          <w:b/>
          <w:snapToGrid w:val="0"/>
          <w:sz w:val="22"/>
          <w:szCs w:val="22"/>
        </w:rPr>
        <w:t>201</w:t>
      </w:r>
      <w:r>
        <w:rPr>
          <w:rFonts w:ascii="Arial" w:hAnsi="Arial" w:cs="Arial"/>
          <w:b/>
          <w:snapToGrid w:val="0"/>
          <w:sz w:val="22"/>
          <w:szCs w:val="22"/>
        </w:rPr>
        <w:t>4</w:t>
      </w:r>
      <w:r>
        <w:rPr>
          <w:rFonts w:ascii="Arial" w:hAnsi="Arial" w:cs="Arial"/>
          <w:snapToGrid w:val="0"/>
          <w:sz w:val="22"/>
          <w:szCs w:val="22"/>
        </w:rPr>
        <w:t xml:space="preserve"> bylo v Jihomoravském kraji přibližně </w:t>
      </w:r>
      <w:r w:rsidRPr="003D1BB8">
        <w:rPr>
          <w:rFonts w:ascii="Arial" w:hAnsi="Arial" w:cs="Arial"/>
          <w:b/>
          <w:snapToGrid w:val="0"/>
          <w:sz w:val="22"/>
          <w:szCs w:val="22"/>
        </w:rPr>
        <w:t>1</w:t>
      </w:r>
      <w:r>
        <w:rPr>
          <w:rFonts w:ascii="Arial" w:hAnsi="Arial" w:cs="Arial"/>
          <w:b/>
          <w:snapToGrid w:val="0"/>
          <w:sz w:val="22"/>
          <w:szCs w:val="22"/>
        </w:rPr>
        <w:t xml:space="preserve"> 090 </w:t>
      </w:r>
      <w:r w:rsidRPr="003D1BB8">
        <w:rPr>
          <w:rFonts w:ascii="Arial" w:hAnsi="Arial" w:cs="Arial"/>
          <w:b/>
          <w:snapToGrid w:val="0"/>
          <w:sz w:val="22"/>
          <w:szCs w:val="22"/>
        </w:rPr>
        <w:t>cizinců s platným pracovním povolením</w:t>
      </w:r>
      <w:r>
        <w:rPr>
          <w:rFonts w:ascii="Arial" w:hAnsi="Arial" w:cs="Arial"/>
          <w:snapToGrid w:val="0"/>
          <w:sz w:val="22"/>
          <w:szCs w:val="22"/>
        </w:rPr>
        <w:t xml:space="preserve"> </w:t>
      </w:r>
      <w:r w:rsidRPr="007A5DC6">
        <w:rPr>
          <w:rFonts w:ascii="Arial" w:hAnsi="Arial" w:cs="Arial"/>
          <w:b/>
          <w:snapToGrid w:val="0"/>
          <w:sz w:val="22"/>
          <w:szCs w:val="22"/>
        </w:rPr>
        <w:t>nebo zaměstnaneckou kartou</w:t>
      </w:r>
      <w:r>
        <w:rPr>
          <w:rFonts w:ascii="Arial" w:hAnsi="Arial" w:cs="Arial"/>
          <w:b/>
          <w:snapToGrid w:val="0"/>
          <w:sz w:val="22"/>
          <w:szCs w:val="22"/>
        </w:rPr>
        <w:t>.</w:t>
      </w:r>
      <w:r>
        <w:rPr>
          <w:rFonts w:ascii="Arial" w:hAnsi="Arial" w:cs="Arial"/>
          <w:snapToGrid w:val="0"/>
          <w:sz w:val="22"/>
          <w:szCs w:val="22"/>
        </w:rPr>
        <w:t xml:space="preserve"> </w:t>
      </w:r>
      <w:r w:rsidRPr="00D445DD">
        <w:rPr>
          <w:rFonts w:ascii="Arial" w:hAnsi="Arial" w:cs="Arial"/>
          <w:snapToGrid w:val="0"/>
          <w:sz w:val="22"/>
          <w:szCs w:val="22"/>
        </w:rPr>
        <w:t xml:space="preserve">Tato pracovní síla představuje v současné době </w:t>
      </w:r>
      <w:r>
        <w:rPr>
          <w:rFonts w:ascii="Arial" w:hAnsi="Arial" w:cs="Arial"/>
          <w:snapToGrid w:val="0"/>
          <w:sz w:val="22"/>
          <w:szCs w:val="22"/>
        </w:rPr>
        <w:t xml:space="preserve">pouze 3 </w:t>
      </w:r>
      <w:r w:rsidRPr="00D445DD">
        <w:rPr>
          <w:rFonts w:ascii="Arial" w:hAnsi="Arial" w:cs="Arial"/>
          <w:snapToGrid w:val="0"/>
          <w:sz w:val="22"/>
          <w:szCs w:val="22"/>
        </w:rPr>
        <w:t xml:space="preserve">% cizinců </w:t>
      </w:r>
      <w:r>
        <w:rPr>
          <w:rFonts w:ascii="Arial" w:hAnsi="Arial" w:cs="Arial"/>
          <w:snapToGrid w:val="0"/>
          <w:sz w:val="22"/>
          <w:szCs w:val="22"/>
        </w:rPr>
        <w:t xml:space="preserve">pohybující se na trhu práce </w:t>
      </w:r>
      <w:r w:rsidRPr="00D445DD">
        <w:rPr>
          <w:rFonts w:ascii="Arial" w:hAnsi="Arial" w:cs="Arial"/>
          <w:snapToGrid w:val="0"/>
          <w:sz w:val="22"/>
          <w:szCs w:val="22"/>
        </w:rPr>
        <w:t xml:space="preserve">v kraji. </w:t>
      </w:r>
    </w:p>
    <w:p w:rsidR="00815F66" w:rsidRPr="00D445DD" w:rsidRDefault="00815F66" w:rsidP="00815F66">
      <w:pPr>
        <w:widowControl w:val="0"/>
        <w:spacing w:after="120"/>
        <w:jc w:val="both"/>
        <w:rPr>
          <w:rFonts w:ascii="Arial" w:hAnsi="Arial" w:cs="Arial"/>
          <w:snapToGrid w:val="0"/>
          <w:sz w:val="22"/>
          <w:szCs w:val="22"/>
        </w:rPr>
      </w:pPr>
      <w:r>
        <w:rPr>
          <w:rFonts w:ascii="Arial" w:hAnsi="Arial" w:cs="Arial"/>
          <w:snapToGrid w:val="0"/>
          <w:sz w:val="22"/>
          <w:szCs w:val="22"/>
        </w:rPr>
        <w:t>Pro vydávání souhlasných stanovisek k vydání zaměstnanecké karty jsou uplatňována obdobná kritéria, jaká byla v roce 2011 nastavena pro vydávání pracovních povolení. Souhlasná stanoviska jsou vydávána pouze pro kvalifikovanou pracovní sílu (vyučeni a více), při změně místa výkonu práce, či při specifických požadavcích zaměstnavatele, kdy úřad práce není schopen nabídnout zaměstnavateli pracovníky s odpovídající kvalifikací či zdravotním stavem a ochotou pracovat. Prodlužování starších povolení pak je posuzováno zejména s ohledem na dobu, po kterou zde již žadatel žije a s ohledem na rodinné poměry. Někteří cizinci totiž nechtějí žádat o trvalý pobyt, přestože na území ČR již dlouhodobě žijí i se svými rodinami.</w:t>
      </w:r>
    </w:p>
    <w:p w:rsidR="00815F66" w:rsidRPr="00880C33" w:rsidRDefault="00815F66" w:rsidP="00815F66">
      <w:pPr>
        <w:widowControl w:val="0"/>
        <w:spacing w:after="120"/>
        <w:jc w:val="both"/>
        <w:rPr>
          <w:rFonts w:ascii="Arial" w:hAnsi="Arial" w:cs="Arial"/>
          <w:snapToGrid w:val="0"/>
          <w:sz w:val="22"/>
          <w:szCs w:val="22"/>
        </w:rPr>
      </w:pPr>
      <w:r>
        <w:rPr>
          <w:rFonts w:ascii="Arial" w:hAnsi="Arial" w:cs="Arial"/>
          <w:snapToGrid w:val="0"/>
          <w:sz w:val="22"/>
          <w:szCs w:val="22"/>
        </w:rPr>
        <w:t xml:space="preserve">Stále značná část pracovních povolení je využívána pro méně kvalifikované, často sezónní práce v zemědělství či stavebnictví. Jedná se však o případy, kdy ÚP není schopen nabídnout a zajistit odpovídající pracovní sílu, a to zejména z důvodů nezájmu ze strany českých uchazečů o zaměstnání (fyzicky náročná a málo placená práce). V Brně se jedná především o stavební dělníky a pracovníky v úklidu, ve venkovských okresech pak většinou o sezónní práce v rostlinné výrobě. Výjimkou je </w:t>
      </w:r>
      <w:r w:rsidRPr="00D445DD">
        <w:rPr>
          <w:rFonts w:ascii="Arial" w:hAnsi="Arial" w:cs="Arial"/>
          <w:sz w:val="22"/>
          <w:szCs w:val="22"/>
        </w:rPr>
        <w:t>okres Blansko</w:t>
      </w:r>
      <w:r>
        <w:rPr>
          <w:rFonts w:ascii="Arial" w:hAnsi="Arial" w:cs="Arial"/>
          <w:sz w:val="22"/>
          <w:szCs w:val="22"/>
        </w:rPr>
        <w:t xml:space="preserve">, kde </w:t>
      </w:r>
      <w:r w:rsidRPr="00880C33">
        <w:rPr>
          <w:rFonts w:ascii="Arial" w:hAnsi="Arial" w:cs="Arial"/>
          <w:sz w:val="22"/>
          <w:szCs w:val="22"/>
        </w:rPr>
        <w:t xml:space="preserve">největším zaměstnavatelem cizinců je firma APOS-AUTO, s.r.o. zaměstnávající cizince – především občany Mongolska - při obšívání volantů kůží. Jedná se o specifickou výrobu, s požadavkem na manuální zručnost. Zaměstnavatel se potýká s velkou fluktuací zaměstnanců a opakovaně hlásí na ÚP volná pracovní místa, která se dlouhodobě nedaří obsazovat českými uchazeči. </w:t>
      </w:r>
    </w:p>
    <w:p w:rsidR="00815F66" w:rsidRPr="00D445DD" w:rsidRDefault="00815F66" w:rsidP="00815F66">
      <w:pPr>
        <w:widowControl w:val="0"/>
        <w:spacing w:after="120"/>
        <w:jc w:val="both"/>
        <w:rPr>
          <w:rFonts w:ascii="Arial" w:hAnsi="Arial" w:cs="Arial"/>
          <w:snapToGrid w:val="0"/>
          <w:sz w:val="22"/>
          <w:szCs w:val="22"/>
        </w:rPr>
      </w:pPr>
      <w:r>
        <w:rPr>
          <w:rFonts w:ascii="Arial" w:hAnsi="Arial" w:cs="Arial"/>
          <w:snapToGrid w:val="0"/>
          <w:sz w:val="22"/>
          <w:szCs w:val="22"/>
        </w:rPr>
        <w:t>Č</w:t>
      </w:r>
      <w:r w:rsidRPr="00D445DD">
        <w:rPr>
          <w:rFonts w:ascii="Arial" w:hAnsi="Arial" w:cs="Arial"/>
          <w:snapToGrid w:val="0"/>
          <w:sz w:val="22"/>
          <w:szCs w:val="22"/>
        </w:rPr>
        <w:t xml:space="preserve">ást cizinců z Ukrajiny </w:t>
      </w:r>
      <w:r>
        <w:rPr>
          <w:rFonts w:ascii="Arial" w:hAnsi="Arial" w:cs="Arial"/>
          <w:snapToGrid w:val="0"/>
          <w:sz w:val="22"/>
          <w:szCs w:val="22"/>
        </w:rPr>
        <w:t>i</w:t>
      </w:r>
      <w:r w:rsidRPr="00D445DD">
        <w:rPr>
          <w:rFonts w:ascii="Arial" w:hAnsi="Arial" w:cs="Arial"/>
          <w:snapToGrid w:val="0"/>
          <w:sz w:val="22"/>
          <w:szCs w:val="22"/>
        </w:rPr>
        <w:t xml:space="preserve"> dalších východoevropských zemí</w:t>
      </w:r>
      <w:r>
        <w:rPr>
          <w:rFonts w:ascii="Arial" w:hAnsi="Arial" w:cs="Arial"/>
          <w:snapToGrid w:val="0"/>
          <w:sz w:val="22"/>
          <w:szCs w:val="22"/>
        </w:rPr>
        <w:t xml:space="preserve"> však působí </w:t>
      </w:r>
      <w:r w:rsidRPr="00D445DD">
        <w:rPr>
          <w:rFonts w:ascii="Arial" w:hAnsi="Arial" w:cs="Arial"/>
          <w:snapToGrid w:val="0"/>
          <w:sz w:val="22"/>
          <w:szCs w:val="22"/>
        </w:rPr>
        <w:t xml:space="preserve">i </w:t>
      </w:r>
      <w:r w:rsidRPr="00D445DD">
        <w:rPr>
          <w:rFonts w:ascii="Arial" w:hAnsi="Arial" w:cs="Arial"/>
          <w:b/>
          <w:snapToGrid w:val="0"/>
          <w:sz w:val="22"/>
          <w:szCs w:val="22"/>
        </w:rPr>
        <w:t>v kvalifikovaných dělnických profesích</w:t>
      </w:r>
      <w:r w:rsidRPr="00D445DD">
        <w:rPr>
          <w:rFonts w:ascii="Arial" w:hAnsi="Arial" w:cs="Arial"/>
          <w:snapToGrid w:val="0"/>
          <w:sz w:val="22"/>
          <w:szCs w:val="22"/>
        </w:rPr>
        <w:t xml:space="preserve"> (svářeči, zámečníci, brusiči, frézaři, zedníci, tesaři, elektromechanici), které</w:t>
      </w:r>
      <w:r>
        <w:rPr>
          <w:rFonts w:ascii="Arial" w:hAnsi="Arial" w:cs="Arial"/>
          <w:snapToGrid w:val="0"/>
          <w:sz w:val="22"/>
          <w:szCs w:val="22"/>
        </w:rPr>
        <w:t xml:space="preserve"> jsou na trhu práce (zejména pokud jde o strojírenské profese) trvale nedostatkové. </w:t>
      </w:r>
    </w:p>
    <w:p w:rsidR="00815F66" w:rsidRDefault="00815F66" w:rsidP="00815F66">
      <w:pPr>
        <w:jc w:val="both"/>
        <w:rPr>
          <w:rFonts w:ascii="Arial" w:hAnsi="Arial" w:cs="Arial"/>
          <w:color w:val="333333"/>
          <w:sz w:val="22"/>
          <w:szCs w:val="22"/>
        </w:rPr>
      </w:pPr>
      <w:r w:rsidRPr="00477266">
        <w:rPr>
          <w:rFonts w:ascii="Arial" w:hAnsi="Arial" w:cs="Arial"/>
          <w:b/>
          <w:sz w:val="22"/>
          <w:szCs w:val="22"/>
        </w:rPr>
        <w:t>Vysokoškolsky kvalifikovaná pracovní síla</w:t>
      </w:r>
      <w:r>
        <w:rPr>
          <w:rFonts w:ascii="Arial" w:hAnsi="Arial" w:cs="Arial"/>
          <w:sz w:val="22"/>
          <w:szCs w:val="22"/>
        </w:rPr>
        <w:t xml:space="preserve"> je soustředěna především do Brna, a jejím největším zaměstnavatelem je firma IBM (</w:t>
      </w:r>
      <w:r w:rsidRPr="003724DE">
        <w:rPr>
          <w:rFonts w:ascii="Arial" w:hAnsi="Arial" w:cs="Arial"/>
          <w:color w:val="333333"/>
          <w:sz w:val="22"/>
          <w:szCs w:val="22"/>
        </w:rPr>
        <w:t>IBM Global Services Delivery Centre Czech Republic, s.r.o</w:t>
      </w:r>
      <w:r>
        <w:rPr>
          <w:rFonts w:ascii="Arial" w:hAnsi="Arial" w:cs="Arial"/>
          <w:color w:val="333333"/>
          <w:sz w:val="22"/>
          <w:szCs w:val="22"/>
        </w:rPr>
        <w:t>), poskytující služby v oblasti informačních technologií</w:t>
      </w:r>
      <w:r w:rsidRPr="003724DE">
        <w:rPr>
          <w:rFonts w:ascii="Arial" w:hAnsi="Arial" w:cs="Arial"/>
          <w:color w:val="333333"/>
          <w:sz w:val="22"/>
          <w:szCs w:val="22"/>
        </w:rPr>
        <w:t>.</w:t>
      </w:r>
      <w:r>
        <w:rPr>
          <w:rFonts w:ascii="Arial" w:hAnsi="Arial" w:cs="Arial"/>
          <w:color w:val="333333"/>
          <w:sz w:val="22"/>
          <w:szCs w:val="22"/>
        </w:rPr>
        <w:t xml:space="preserve"> Důvodem zaměstnávání cizinců je především nedostatečná jazyková vybavenost českých uchazečů, neboť vedle počítačové odbornosti je zde vyžadována výborná znalost minimálně jednoho světového jazyka. Z mimoevropských zemí jsou zde zaměstnáni především Indové. </w:t>
      </w:r>
    </w:p>
    <w:p w:rsidR="00815F66" w:rsidRPr="00D445DD" w:rsidRDefault="00815F66" w:rsidP="00815F66">
      <w:pPr>
        <w:jc w:val="both"/>
        <w:rPr>
          <w:rFonts w:ascii="Arial" w:hAnsi="Arial" w:cs="Arial"/>
          <w:sz w:val="22"/>
          <w:szCs w:val="22"/>
        </w:rPr>
      </w:pPr>
      <w:r>
        <w:rPr>
          <w:rFonts w:ascii="Arial" w:hAnsi="Arial" w:cs="Arial"/>
          <w:sz w:val="22"/>
          <w:szCs w:val="22"/>
        </w:rPr>
        <w:t>Další</w:t>
      </w:r>
      <w:r w:rsidRPr="00D445DD">
        <w:rPr>
          <w:rFonts w:ascii="Arial" w:hAnsi="Arial" w:cs="Arial"/>
          <w:sz w:val="22"/>
          <w:szCs w:val="22"/>
        </w:rPr>
        <w:t xml:space="preserve"> cizinci působí </w:t>
      </w:r>
      <w:r>
        <w:rPr>
          <w:rFonts w:ascii="Arial" w:hAnsi="Arial" w:cs="Arial"/>
          <w:sz w:val="22"/>
          <w:szCs w:val="22"/>
        </w:rPr>
        <w:t xml:space="preserve">v Brně </w:t>
      </w:r>
      <w:r w:rsidRPr="00D445DD">
        <w:rPr>
          <w:rFonts w:ascii="Arial" w:hAnsi="Arial" w:cs="Arial"/>
          <w:sz w:val="22"/>
          <w:szCs w:val="22"/>
        </w:rPr>
        <w:t>na vysoce kvalifikovaných pozi</w:t>
      </w:r>
      <w:r>
        <w:rPr>
          <w:rFonts w:ascii="Arial" w:hAnsi="Arial" w:cs="Arial"/>
          <w:sz w:val="22"/>
          <w:szCs w:val="22"/>
        </w:rPr>
        <w:t xml:space="preserve">cích </w:t>
      </w:r>
      <w:r w:rsidRPr="00D445DD">
        <w:rPr>
          <w:rFonts w:ascii="Arial" w:hAnsi="Arial" w:cs="Arial"/>
          <w:sz w:val="22"/>
          <w:szCs w:val="22"/>
        </w:rPr>
        <w:t xml:space="preserve">především jako manažeři, učitelé cizího jazyka, odborní a pedagogičtí </w:t>
      </w:r>
      <w:r>
        <w:rPr>
          <w:rFonts w:ascii="Arial" w:hAnsi="Arial" w:cs="Arial"/>
          <w:sz w:val="22"/>
          <w:szCs w:val="22"/>
        </w:rPr>
        <w:t xml:space="preserve">pracovníci na vysokých školách. </w:t>
      </w:r>
    </w:p>
    <w:p w:rsidR="00815F66" w:rsidRPr="00D445DD" w:rsidRDefault="00815F66" w:rsidP="00815F66">
      <w:pPr>
        <w:widowControl w:val="0"/>
        <w:jc w:val="both"/>
        <w:rPr>
          <w:rFonts w:ascii="Arial" w:hAnsi="Arial" w:cs="Arial"/>
          <w:snapToGrid w:val="0"/>
          <w:color w:val="FF0000"/>
          <w:sz w:val="22"/>
          <w:szCs w:val="22"/>
        </w:rPr>
      </w:pPr>
      <w:r w:rsidRPr="00A404E7">
        <w:rPr>
          <w:szCs w:val="22"/>
        </w:rPr>
        <w:t xml:space="preserve">  </w:t>
      </w:r>
    </w:p>
    <w:p w:rsidR="00815F66" w:rsidRPr="003D1BB8" w:rsidRDefault="00815F66" w:rsidP="00815F66">
      <w:pPr>
        <w:pStyle w:val="Zprva2"/>
        <w:spacing w:line="276" w:lineRule="auto"/>
        <w:rPr>
          <w:rFonts w:ascii="Arial" w:hAnsi="Arial" w:cs="Arial"/>
          <w:snapToGrid/>
          <w:color w:val="auto"/>
          <w:sz w:val="24"/>
          <w:szCs w:val="24"/>
          <w:u w:val="single"/>
        </w:rPr>
      </w:pPr>
      <w:bookmarkStart w:id="53" w:name="_Toc318791897"/>
      <w:bookmarkStart w:id="54" w:name="_Toc320265235"/>
      <w:r w:rsidRPr="003D1BB8">
        <w:rPr>
          <w:rFonts w:ascii="Arial" w:hAnsi="Arial" w:cs="Arial"/>
          <w:color w:val="auto"/>
          <w:sz w:val="24"/>
          <w:szCs w:val="24"/>
          <w:u w:val="single"/>
        </w:rPr>
        <w:t xml:space="preserve">Informační karty </w:t>
      </w:r>
      <w:bookmarkEnd w:id="53"/>
      <w:bookmarkEnd w:id="54"/>
      <w:r>
        <w:rPr>
          <w:rFonts w:ascii="Arial" w:hAnsi="Arial" w:cs="Arial"/>
          <w:color w:val="auto"/>
          <w:sz w:val="24"/>
          <w:szCs w:val="24"/>
          <w:u w:val="single"/>
        </w:rPr>
        <w:t>dle § 98 Zákona o zaměstnanosti</w:t>
      </w:r>
    </w:p>
    <w:p w:rsidR="00815F66" w:rsidRPr="00D445DD" w:rsidRDefault="00815F66" w:rsidP="00815F66">
      <w:pPr>
        <w:widowControl w:val="0"/>
        <w:jc w:val="both"/>
        <w:rPr>
          <w:rFonts w:ascii="Arial" w:hAnsi="Arial" w:cs="Arial"/>
          <w:snapToGrid w:val="0"/>
          <w:sz w:val="22"/>
          <w:szCs w:val="22"/>
        </w:rPr>
      </w:pPr>
    </w:p>
    <w:p w:rsidR="00815F66" w:rsidRPr="00D445DD" w:rsidRDefault="00815F66" w:rsidP="00815F66">
      <w:pPr>
        <w:widowControl w:val="0"/>
        <w:jc w:val="both"/>
        <w:rPr>
          <w:rFonts w:ascii="Arial" w:hAnsi="Arial" w:cs="Arial"/>
          <w:snapToGrid w:val="0"/>
          <w:sz w:val="22"/>
          <w:szCs w:val="22"/>
        </w:rPr>
      </w:pPr>
      <w:r w:rsidRPr="00D445DD">
        <w:rPr>
          <w:rFonts w:ascii="Arial" w:hAnsi="Arial" w:cs="Arial"/>
          <w:snapToGrid w:val="0"/>
          <w:sz w:val="22"/>
          <w:szCs w:val="22"/>
        </w:rPr>
        <w:t xml:space="preserve">Cizinci z třetích zemí, kteří působí v ČR na základě zvláštních předpisů (cizinci s povolením k trvalému pobytu, vědečtí pracovníci, stáže, rodinní příslušníci občana EU apod.), jsou úřady práce také pouze registrováni a nepotřebují pracovní povolení. Jejich počet i význam </w:t>
      </w:r>
      <w:r w:rsidRPr="00D445DD">
        <w:rPr>
          <w:rFonts w:ascii="Arial" w:hAnsi="Arial" w:cs="Arial"/>
          <w:snapToGrid w:val="0"/>
          <w:sz w:val="22"/>
          <w:szCs w:val="22"/>
        </w:rPr>
        <w:br/>
        <w:t xml:space="preserve">na pracovním trhu </w:t>
      </w:r>
      <w:r>
        <w:rPr>
          <w:rFonts w:ascii="Arial" w:hAnsi="Arial" w:cs="Arial"/>
          <w:snapToGrid w:val="0"/>
          <w:sz w:val="22"/>
          <w:szCs w:val="22"/>
        </w:rPr>
        <w:t xml:space="preserve">rychle </w:t>
      </w:r>
      <w:r w:rsidRPr="00D445DD">
        <w:rPr>
          <w:rFonts w:ascii="Arial" w:hAnsi="Arial" w:cs="Arial"/>
          <w:snapToGrid w:val="0"/>
          <w:sz w:val="22"/>
          <w:szCs w:val="22"/>
        </w:rPr>
        <w:t>roste. Zejména díky poměrně snadnému způsobu získávání trvalého pobytu tak v této skupině cizinců již nepřevládají vysoce kvalifikovaní pracovníci jako v předchozích letech, ale naopak osoby s nízkou kvalifikací, p</w:t>
      </w:r>
      <w:r>
        <w:rPr>
          <w:rFonts w:ascii="Arial" w:hAnsi="Arial" w:cs="Arial"/>
          <w:snapToGrid w:val="0"/>
          <w:sz w:val="22"/>
          <w:szCs w:val="22"/>
        </w:rPr>
        <w:t>ochá</w:t>
      </w:r>
      <w:r w:rsidRPr="00D445DD">
        <w:rPr>
          <w:rFonts w:ascii="Arial" w:hAnsi="Arial" w:cs="Arial"/>
          <w:snapToGrid w:val="0"/>
          <w:sz w:val="22"/>
          <w:szCs w:val="22"/>
        </w:rPr>
        <w:t>zející z východoevropských a asijských zemí. Ke 31.12.201</w:t>
      </w:r>
      <w:r>
        <w:rPr>
          <w:rFonts w:ascii="Arial" w:hAnsi="Arial" w:cs="Arial"/>
          <w:snapToGrid w:val="0"/>
          <w:sz w:val="22"/>
          <w:szCs w:val="22"/>
        </w:rPr>
        <w:t xml:space="preserve">4 </w:t>
      </w:r>
      <w:r w:rsidRPr="00D445DD">
        <w:rPr>
          <w:rFonts w:ascii="Arial" w:hAnsi="Arial" w:cs="Arial"/>
          <w:snapToGrid w:val="0"/>
          <w:sz w:val="22"/>
          <w:szCs w:val="22"/>
        </w:rPr>
        <w:t xml:space="preserve">bylo touto formou v Jihomoravském kraji evidováno </w:t>
      </w:r>
      <w:r>
        <w:rPr>
          <w:rFonts w:ascii="Arial" w:hAnsi="Arial" w:cs="Arial"/>
          <w:snapToGrid w:val="0"/>
          <w:sz w:val="22"/>
          <w:szCs w:val="22"/>
        </w:rPr>
        <w:t>5 357</w:t>
      </w:r>
      <w:r w:rsidRPr="00D445DD">
        <w:rPr>
          <w:rFonts w:ascii="Arial" w:hAnsi="Arial" w:cs="Arial"/>
          <w:snapToGrid w:val="0"/>
          <w:sz w:val="22"/>
          <w:szCs w:val="22"/>
        </w:rPr>
        <w:t xml:space="preserve"> cizinců, tedy </w:t>
      </w:r>
      <w:r>
        <w:rPr>
          <w:rFonts w:ascii="Arial" w:hAnsi="Arial" w:cs="Arial"/>
          <w:snapToGrid w:val="0"/>
          <w:sz w:val="22"/>
          <w:szCs w:val="22"/>
        </w:rPr>
        <w:t>již pětkrát více než</w:t>
      </w:r>
      <w:r w:rsidRPr="00D445DD">
        <w:rPr>
          <w:rFonts w:ascii="Arial" w:hAnsi="Arial" w:cs="Arial"/>
          <w:snapToGrid w:val="0"/>
          <w:sz w:val="22"/>
          <w:szCs w:val="22"/>
        </w:rPr>
        <w:t xml:space="preserve"> současný počet cizinců působících </w:t>
      </w:r>
      <w:r>
        <w:rPr>
          <w:rFonts w:ascii="Arial" w:hAnsi="Arial" w:cs="Arial"/>
          <w:snapToGrid w:val="0"/>
          <w:sz w:val="22"/>
          <w:szCs w:val="22"/>
        </w:rPr>
        <w:br/>
      </w:r>
      <w:r w:rsidRPr="00D445DD">
        <w:rPr>
          <w:rFonts w:ascii="Arial" w:hAnsi="Arial" w:cs="Arial"/>
          <w:snapToGrid w:val="0"/>
          <w:sz w:val="22"/>
          <w:szCs w:val="22"/>
        </w:rPr>
        <w:t>v kraji na základě pracovního povolení.</w:t>
      </w:r>
      <w:r>
        <w:rPr>
          <w:rFonts w:ascii="Arial" w:hAnsi="Arial" w:cs="Arial"/>
          <w:snapToGrid w:val="0"/>
          <w:sz w:val="22"/>
          <w:szCs w:val="22"/>
        </w:rPr>
        <w:t xml:space="preserve"> Zhruba 50% těchto cizinců v Jihomoravském kraji představují nyní Ukrajinci. </w:t>
      </w:r>
    </w:p>
    <w:p w:rsidR="00815F66" w:rsidRPr="00D445DD" w:rsidRDefault="00815F66" w:rsidP="00815F66">
      <w:pPr>
        <w:widowControl w:val="0"/>
        <w:jc w:val="both"/>
        <w:rPr>
          <w:rFonts w:ascii="Arial" w:hAnsi="Arial" w:cs="Arial"/>
          <w:snapToGrid w:val="0"/>
          <w:sz w:val="22"/>
          <w:szCs w:val="22"/>
        </w:rPr>
      </w:pPr>
    </w:p>
    <w:p w:rsidR="00815F66" w:rsidRPr="003D1BB8" w:rsidRDefault="00815F66" w:rsidP="00815F66">
      <w:pPr>
        <w:pStyle w:val="Zprva2"/>
        <w:spacing w:line="276" w:lineRule="auto"/>
        <w:rPr>
          <w:rFonts w:ascii="Arial" w:hAnsi="Arial" w:cs="Arial"/>
          <w:snapToGrid/>
          <w:color w:val="auto"/>
          <w:sz w:val="24"/>
          <w:szCs w:val="24"/>
          <w:u w:val="single"/>
        </w:rPr>
      </w:pPr>
      <w:bookmarkStart w:id="55" w:name="_Toc318791898"/>
      <w:bookmarkStart w:id="56" w:name="_Toc320265236"/>
      <w:r w:rsidRPr="003D1BB8">
        <w:rPr>
          <w:rFonts w:ascii="Arial" w:hAnsi="Arial" w:cs="Arial"/>
          <w:color w:val="auto"/>
          <w:sz w:val="24"/>
          <w:szCs w:val="24"/>
          <w:u w:val="single"/>
        </w:rPr>
        <w:t>Zelené karty</w:t>
      </w:r>
      <w:bookmarkEnd w:id="55"/>
      <w:bookmarkEnd w:id="56"/>
    </w:p>
    <w:p w:rsidR="00815F66" w:rsidRPr="00D445DD" w:rsidRDefault="00815F66" w:rsidP="00815F66">
      <w:pPr>
        <w:widowControl w:val="0"/>
        <w:jc w:val="both"/>
        <w:rPr>
          <w:rFonts w:ascii="Arial" w:hAnsi="Arial" w:cs="Arial"/>
          <w:snapToGrid w:val="0"/>
          <w:sz w:val="22"/>
          <w:szCs w:val="22"/>
        </w:rPr>
      </w:pPr>
    </w:p>
    <w:p w:rsidR="00815F66" w:rsidRDefault="00815F66" w:rsidP="00815F66">
      <w:pPr>
        <w:widowControl w:val="0"/>
        <w:jc w:val="both"/>
        <w:rPr>
          <w:rFonts w:ascii="Arial" w:hAnsi="Arial" w:cs="Arial"/>
          <w:snapToGrid w:val="0"/>
          <w:sz w:val="22"/>
          <w:szCs w:val="22"/>
        </w:rPr>
      </w:pPr>
      <w:r w:rsidRPr="00D445DD">
        <w:rPr>
          <w:rFonts w:ascii="Arial" w:hAnsi="Arial" w:cs="Arial"/>
          <w:snapToGrid w:val="0"/>
          <w:sz w:val="22"/>
          <w:szCs w:val="22"/>
        </w:rPr>
        <w:t xml:space="preserve">Možnost zaměstnávat cizince na tzv. </w:t>
      </w:r>
      <w:r w:rsidRPr="00D445DD">
        <w:rPr>
          <w:rFonts w:ascii="Arial" w:hAnsi="Arial" w:cs="Arial"/>
          <w:b/>
          <w:snapToGrid w:val="0"/>
          <w:sz w:val="22"/>
          <w:szCs w:val="22"/>
        </w:rPr>
        <w:t>“zelené karty“</w:t>
      </w:r>
      <w:r w:rsidRPr="00D445DD">
        <w:rPr>
          <w:rFonts w:ascii="Arial" w:hAnsi="Arial" w:cs="Arial"/>
          <w:snapToGrid w:val="0"/>
          <w:sz w:val="22"/>
          <w:szCs w:val="22"/>
        </w:rPr>
        <w:t xml:space="preserve"> </w:t>
      </w:r>
      <w:r>
        <w:rPr>
          <w:rFonts w:ascii="Arial" w:hAnsi="Arial" w:cs="Arial"/>
          <w:snapToGrid w:val="0"/>
          <w:sz w:val="22"/>
          <w:szCs w:val="22"/>
        </w:rPr>
        <w:t>byla využívána</w:t>
      </w:r>
      <w:r w:rsidRPr="00D445DD">
        <w:rPr>
          <w:rFonts w:ascii="Arial" w:hAnsi="Arial" w:cs="Arial"/>
          <w:snapToGrid w:val="0"/>
          <w:sz w:val="22"/>
          <w:szCs w:val="22"/>
        </w:rPr>
        <w:t xml:space="preserve"> poměrně zřídka</w:t>
      </w:r>
      <w:r>
        <w:rPr>
          <w:rFonts w:ascii="Arial" w:hAnsi="Arial" w:cs="Arial"/>
          <w:snapToGrid w:val="0"/>
          <w:sz w:val="22"/>
          <w:szCs w:val="22"/>
        </w:rPr>
        <w:t>, vzhledem ke složitosti celého procesu. Podle novely zákona</w:t>
      </w:r>
      <w:r w:rsidRPr="00D445DD">
        <w:rPr>
          <w:rFonts w:ascii="Arial" w:hAnsi="Arial" w:cs="Arial"/>
          <w:snapToGrid w:val="0"/>
          <w:sz w:val="22"/>
          <w:szCs w:val="22"/>
        </w:rPr>
        <w:t xml:space="preserve"> </w:t>
      </w:r>
      <w:r>
        <w:rPr>
          <w:rFonts w:ascii="Arial" w:hAnsi="Arial" w:cs="Arial"/>
          <w:snapToGrid w:val="0"/>
          <w:sz w:val="22"/>
          <w:szCs w:val="22"/>
        </w:rPr>
        <w:t>o pobytu cizinců platné od poloviny roku 2014 již nebudou zelené karty dále vydávány.</w:t>
      </w:r>
      <w:r w:rsidRPr="00D445DD">
        <w:rPr>
          <w:rFonts w:ascii="Arial" w:hAnsi="Arial" w:cs="Arial"/>
          <w:snapToGrid w:val="0"/>
          <w:sz w:val="22"/>
          <w:szCs w:val="22"/>
        </w:rPr>
        <w:t xml:space="preserve"> Ke 31.</w:t>
      </w:r>
      <w:r w:rsidR="00060EFF">
        <w:rPr>
          <w:rFonts w:ascii="Arial" w:hAnsi="Arial" w:cs="Arial"/>
          <w:snapToGrid w:val="0"/>
          <w:sz w:val="22"/>
          <w:szCs w:val="22"/>
        </w:rPr>
        <w:t xml:space="preserve"> </w:t>
      </w:r>
      <w:r w:rsidRPr="00D445DD">
        <w:rPr>
          <w:rFonts w:ascii="Arial" w:hAnsi="Arial" w:cs="Arial"/>
          <w:snapToGrid w:val="0"/>
          <w:sz w:val="22"/>
          <w:szCs w:val="22"/>
        </w:rPr>
        <w:t>12.</w:t>
      </w:r>
      <w:r w:rsidR="00060EFF">
        <w:rPr>
          <w:rFonts w:ascii="Arial" w:hAnsi="Arial" w:cs="Arial"/>
          <w:snapToGrid w:val="0"/>
          <w:sz w:val="22"/>
          <w:szCs w:val="22"/>
        </w:rPr>
        <w:t xml:space="preserve"> </w:t>
      </w:r>
      <w:r w:rsidRPr="00D445DD">
        <w:rPr>
          <w:rFonts w:ascii="Arial" w:hAnsi="Arial" w:cs="Arial"/>
          <w:snapToGrid w:val="0"/>
          <w:sz w:val="22"/>
          <w:szCs w:val="22"/>
        </w:rPr>
        <w:t>201</w:t>
      </w:r>
      <w:r>
        <w:rPr>
          <w:rFonts w:ascii="Arial" w:hAnsi="Arial" w:cs="Arial"/>
          <w:snapToGrid w:val="0"/>
          <w:sz w:val="22"/>
          <w:szCs w:val="22"/>
        </w:rPr>
        <w:t xml:space="preserve">4 </w:t>
      </w:r>
      <w:r w:rsidRPr="00D445DD">
        <w:rPr>
          <w:rFonts w:ascii="Arial" w:hAnsi="Arial" w:cs="Arial"/>
          <w:snapToGrid w:val="0"/>
          <w:sz w:val="22"/>
          <w:szCs w:val="22"/>
        </w:rPr>
        <w:t>pracoval</w:t>
      </w:r>
      <w:r>
        <w:rPr>
          <w:rFonts w:ascii="Arial" w:hAnsi="Arial" w:cs="Arial"/>
          <w:snapToGrid w:val="0"/>
          <w:sz w:val="22"/>
          <w:szCs w:val="22"/>
        </w:rPr>
        <w:t>o</w:t>
      </w:r>
      <w:r w:rsidRPr="00D445DD">
        <w:rPr>
          <w:rFonts w:ascii="Arial" w:hAnsi="Arial" w:cs="Arial"/>
          <w:snapToGrid w:val="0"/>
          <w:sz w:val="22"/>
          <w:szCs w:val="22"/>
        </w:rPr>
        <w:t xml:space="preserve"> v Jihomoravském kraji </w:t>
      </w:r>
      <w:r>
        <w:rPr>
          <w:rFonts w:ascii="Arial" w:hAnsi="Arial" w:cs="Arial"/>
          <w:snapToGrid w:val="0"/>
          <w:sz w:val="22"/>
          <w:szCs w:val="22"/>
        </w:rPr>
        <w:t>na zelené karty pouze 21 cizinců, z toho 20</w:t>
      </w:r>
      <w:r w:rsidRPr="00D445DD">
        <w:rPr>
          <w:rFonts w:ascii="Arial" w:hAnsi="Arial" w:cs="Arial"/>
          <w:snapToGrid w:val="0"/>
          <w:sz w:val="22"/>
          <w:szCs w:val="22"/>
        </w:rPr>
        <w:t xml:space="preserve"> v okrese Brno-město. </w:t>
      </w:r>
    </w:p>
    <w:p w:rsidR="00815F66" w:rsidRDefault="00815F66" w:rsidP="00815F66">
      <w:pPr>
        <w:widowControl w:val="0"/>
        <w:jc w:val="both"/>
        <w:rPr>
          <w:rFonts w:ascii="Arial" w:hAnsi="Arial" w:cs="Arial"/>
          <w:snapToGrid w:val="0"/>
          <w:sz w:val="22"/>
          <w:szCs w:val="22"/>
        </w:rPr>
      </w:pPr>
    </w:p>
    <w:p w:rsidR="00815F66" w:rsidRPr="003D1BB8" w:rsidRDefault="00815F66" w:rsidP="00815F66">
      <w:pPr>
        <w:pStyle w:val="Zprva2"/>
        <w:spacing w:line="276" w:lineRule="auto"/>
        <w:rPr>
          <w:rFonts w:ascii="Arial" w:hAnsi="Arial" w:cs="Arial"/>
          <w:snapToGrid/>
          <w:color w:val="auto"/>
          <w:sz w:val="24"/>
          <w:szCs w:val="24"/>
          <w:u w:val="single"/>
        </w:rPr>
      </w:pPr>
      <w:r>
        <w:rPr>
          <w:rFonts w:ascii="Arial" w:hAnsi="Arial" w:cs="Arial"/>
          <w:color w:val="auto"/>
          <w:sz w:val="24"/>
          <w:szCs w:val="24"/>
          <w:u w:val="single"/>
        </w:rPr>
        <w:t>Modré</w:t>
      </w:r>
      <w:r w:rsidRPr="003D1BB8">
        <w:rPr>
          <w:rFonts w:ascii="Arial" w:hAnsi="Arial" w:cs="Arial"/>
          <w:color w:val="auto"/>
          <w:sz w:val="24"/>
          <w:szCs w:val="24"/>
          <w:u w:val="single"/>
        </w:rPr>
        <w:t xml:space="preserve"> karty</w:t>
      </w:r>
    </w:p>
    <w:p w:rsidR="00815F66" w:rsidRDefault="00815F66" w:rsidP="00815F66">
      <w:pPr>
        <w:widowControl w:val="0"/>
        <w:jc w:val="both"/>
        <w:rPr>
          <w:rFonts w:ascii="Arial" w:hAnsi="Arial" w:cs="Arial"/>
          <w:snapToGrid w:val="0"/>
          <w:sz w:val="22"/>
          <w:szCs w:val="22"/>
        </w:rPr>
      </w:pPr>
    </w:p>
    <w:p w:rsidR="00815F66" w:rsidRPr="003311F0" w:rsidRDefault="00815F66" w:rsidP="00815F66">
      <w:pPr>
        <w:widowControl w:val="0"/>
        <w:jc w:val="both"/>
        <w:rPr>
          <w:rFonts w:ascii="Arial" w:hAnsi="Arial" w:cs="Arial"/>
          <w:snapToGrid w:val="0"/>
          <w:sz w:val="22"/>
          <w:szCs w:val="22"/>
        </w:rPr>
      </w:pPr>
      <w:r w:rsidRPr="003311F0">
        <w:rPr>
          <w:rFonts w:ascii="Arial" w:hAnsi="Arial" w:cs="Arial"/>
          <w:snapToGrid w:val="0"/>
          <w:sz w:val="22"/>
          <w:szCs w:val="22"/>
        </w:rPr>
        <w:t xml:space="preserve">Modrá karta vydaná Českou republikou je povolení k dlouhodobému pobytu na území České republiky za účelem výkonu zaměstnání vyžadujícího vysokou kvalifikaci. Cizinec, který má modrou kartu, je oprávněn: </w:t>
      </w:r>
    </w:p>
    <w:p w:rsidR="00815F66" w:rsidRPr="003311F0" w:rsidRDefault="00815F66" w:rsidP="00815F66">
      <w:pPr>
        <w:widowControl w:val="0"/>
        <w:numPr>
          <w:ilvl w:val="0"/>
          <w:numId w:val="27"/>
        </w:numPr>
        <w:suppressAutoHyphens/>
        <w:jc w:val="both"/>
        <w:rPr>
          <w:rFonts w:ascii="Arial" w:hAnsi="Arial" w:cs="Arial"/>
          <w:snapToGrid w:val="0"/>
          <w:sz w:val="22"/>
          <w:szCs w:val="22"/>
        </w:rPr>
      </w:pPr>
      <w:r w:rsidRPr="003311F0">
        <w:rPr>
          <w:rFonts w:ascii="Arial" w:hAnsi="Arial" w:cs="Arial"/>
          <w:snapToGrid w:val="0"/>
          <w:sz w:val="22"/>
          <w:szCs w:val="22"/>
        </w:rPr>
        <w:t xml:space="preserve">pobývat na území České republiky a </w:t>
      </w:r>
    </w:p>
    <w:p w:rsidR="00815F66" w:rsidRPr="003311F0" w:rsidRDefault="00815F66" w:rsidP="00815F66">
      <w:pPr>
        <w:widowControl w:val="0"/>
        <w:numPr>
          <w:ilvl w:val="0"/>
          <w:numId w:val="27"/>
        </w:numPr>
        <w:suppressAutoHyphens/>
        <w:jc w:val="both"/>
        <w:rPr>
          <w:rFonts w:ascii="Arial" w:hAnsi="Arial" w:cs="Arial"/>
          <w:snapToGrid w:val="0"/>
          <w:sz w:val="22"/>
          <w:szCs w:val="22"/>
        </w:rPr>
      </w:pPr>
      <w:r w:rsidRPr="003311F0">
        <w:rPr>
          <w:rFonts w:ascii="Arial" w:hAnsi="Arial" w:cs="Arial"/>
          <w:snapToGrid w:val="0"/>
          <w:sz w:val="22"/>
          <w:szCs w:val="22"/>
        </w:rPr>
        <w:t xml:space="preserve">pracovat na pracovním místě, na které byla modrá karta vydána, a případně toto místo za definovaných podmínek změnit. </w:t>
      </w:r>
    </w:p>
    <w:p w:rsidR="00815F66" w:rsidRDefault="00815F66" w:rsidP="00815F66">
      <w:pPr>
        <w:widowControl w:val="0"/>
        <w:jc w:val="both"/>
        <w:rPr>
          <w:rFonts w:ascii="Arial" w:hAnsi="Arial" w:cs="Arial"/>
          <w:snapToGrid w:val="0"/>
          <w:sz w:val="22"/>
          <w:szCs w:val="22"/>
        </w:rPr>
      </w:pPr>
    </w:p>
    <w:p w:rsidR="00815F66" w:rsidRPr="003311F0" w:rsidRDefault="00815F66" w:rsidP="00815F66">
      <w:pPr>
        <w:widowControl w:val="0"/>
        <w:jc w:val="both"/>
        <w:rPr>
          <w:rFonts w:ascii="Arial" w:hAnsi="Arial" w:cs="Arial"/>
          <w:snapToGrid w:val="0"/>
          <w:sz w:val="22"/>
          <w:szCs w:val="22"/>
        </w:rPr>
      </w:pPr>
      <w:r w:rsidRPr="003311F0">
        <w:rPr>
          <w:rFonts w:ascii="Arial" w:hAnsi="Arial" w:cs="Arial"/>
          <w:snapToGrid w:val="0"/>
          <w:sz w:val="22"/>
          <w:szCs w:val="22"/>
        </w:rPr>
        <w:t xml:space="preserve">Modrá karta tedy </w:t>
      </w:r>
      <w:r>
        <w:rPr>
          <w:rFonts w:ascii="Arial" w:hAnsi="Arial" w:cs="Arial"/>
          <w:snapToGrid w:val="0"/>
          <w:sz w:val="22"/>
          <w:szCs w:val="22"/>
        </w:rPr>
        <w:t xml:space="preserve">(obdobně jako zaměstnanecká karta) </w:t>
      </w:r>
      <w:r w:rsidRPr="003311F0">
        <w:rPr>
          <w:rFonts w:ascii="Arial" w:hAnsi="Arial" w:cs="Arial"/>
          <w:snapToGrid w:val="0"/>
          <w:sz w:val="22"/>
          <w:szCs w:val="22"/>
        </w:rPr>
        <w:t xml:space="preserve">spojuje povolení k pobytu i povolení k zaměstnání. </w:t>
      </w:r>
    </w:p>
    <w:p w:rsidR="00815F66" w:rsidRPr="003311F0" w:rsidRDefault="00815F66" w:rsidP="00815F66">
      <w:pPr>
        <w:widowControl w:val="0"/>
        <w:jc w:val="both"/>
        <w:rPr>
          <w:rFonts w:ascii="Arial" w:hAnsi="Arial" w:cs="Arial"/>
          <w:snapToGrid w:val="0"/>
          <w:sz w:val="22"/>
          <w:szCs w:val="22"/>
        </w:rPr>
      </w:pPr>
      <w:r w:rsidRPr="003311F0">
        <w:rPr>
          <w:rFonts w:ascii="Arial" w:hAnsi="Arial" w:cs="Arial"/>
          <w:snapToGrid w:val="0"/>
          <w:sz w:val="22"/>
          <w:szCs w:val="22"/>
        </w:rPr>
        <w:t>Modrá karta se vydává pracovníkům s vyšším odborným nebo vysokoškolským vzděláním, kteří mají pracovní smlouvu nejméně na dobu jednoho roku na zákonem stanovenou týdenní pracovní dobu a sjednanou hrubou měsíční nebo roční mzdu, jejíž výše odpovídá alespoň 1,5</w:t>
      </w:r>
      <w:r>
        <w:rPr>
          <w:rFonts w:ascii="Arial" w:hAnsi="Arial" w:cs="Arial"/>
          <w:snapToGrid w:val="0"/>
          <w:sz w:val="22"/>
          <w:szCs w:val="22"/>
        </w:rPr>
        <w:t xml:space="preserve"> </w:t>
      </w:r>
      <w:r w:rsidRPr="003311F0">
        <w:rPr>
          <w:rFonts w:ascii="Arial" w:hAnsi="Arial" w:cs="Arial"/>
          <w:snapToGrid w:val="0"/>
          <w:sz w:val="22"/>
          <w:szCs w:val="22"/>
        </w:rPr>
        <w:t xml:space="preserve">násobku </w:t>
      </w:r>
      <w:hyperlink r:id="rId40" w:history="1">
        <w:r w:rsidRPr="00166ABA">
          <w:rPr>
            <w:rStyle w:val="Hypertextovodkaz"/>
            <w:rFonts w:ascii="Arial" w:hAnsi="Arial" w:cs="Arial"/>
            <w:snapToGrid w:val="0"/>
            <w:color w:val="auto"/>
            <w:sz w:val="22"/>
            <w:szCs w:val="22"/>
            <w:u w:val="none"/>
          </w:rPr>
          <w:t>průměrné hrubé roční mzdy</w:t>
        </w:r>
      </w:hyperlink>
      <w:r w:rsidRPr="00166ABA">
        <w:rPr>
          <w:rFonts w:ascii="Arial" w:hAnsi="Arial" w:cs="Arial"/>
          <w:snapToGrid w:val="0"/>
          <w:sz w:val="22"/>
          <w:szCs w:val="22"/>
        </w:rPr>
        <w:t xml:space="preserve"> v</w:t>
      </w:r>
      <w:r>
        <w:rPr>
          <w:rFonts w:ascii="Arial" w:hAnsi="Arial" w:cs="Arial"/>
          <w:snapToGrid w:val="0"/>
          <w:sz w:val="22"/>
          <w:szCs w:val="22"/>
        </w:rPr>
        <w:t xml:space="preserve"> České republice. </w:t>
      </w:r>
      <w:r w:rsidRPr="003311F0">
        <w:rPr>
          <w:rFonts w:ascii="Arial" w:hAnsi="Arial" w:cs="Arial"/>
          <w:snapToGrid w:val="0"/>
          <w:sz w:val="22"/>
          <w:szCs w:val="22"/>
        </w:rPr>
        <w:t>Platnost modré karty je na dobu výkonu zaměstnání stanovenou v pracovní smlouvě plus 3 měsíce, nejdéle však na 2 roky.</w:t>
      </w:r>
    </w:p>
    <w:p w:rsidR="00815F66" w:rsidRDefault="00815F66" w:rsidP="00815F66">
      <w:pPr>
        <w:widowControl w:val="0"/>
        <w:jc w:val="both"/>
        <w:rPr>
          <w:rFonts w:ascii="Arial" w:hAnsi="Arial" w:cs="Arial"/>
          <w:snapToGrid w:val="0"/>
          <w:sz w:val="22"/>
          <w:szCs w:val="22"/>
        </w:rPr>
      </w:pPr>
    </w:p>
    <w:p w:rsidR="00B03B0C" w:rsidRDefault="00060EFF" w:rsidP="00815F66">
      <w:pPr>
        <w:widowControl w:val="0"/>
        <w:jc w:val="both"/>
        <w:rPr>
          <w:rFonts w:ascii="Arial" w:hAnsi="Arial" w:cs="Arial"/>
          <w:snapToGrid w:val="0"/>
          <w:sz w:val="22"/>
          <w:szCs w:val="22"/>
        </w:rPr>
      </w:pPr>
      <w:r>
        <w:rPr>
          <w:rFonts w:ascii="Arial" w:hAnsi="Arial" w:cs="Arial"/>
          <w:snapToGrid w:val="0"/>
          <w:sz w:val="22"/>
          <w:szCs w:val="22"/>
        </w:rPr>
        <w:t>K</w:t>
      </w:r>
      <w:r w:rsidR="00815F66" w:rsidRPr="00D445DD">
        <w:rPr>
          <w:rFonts w:ascii="Arial" w:hAnsi="Arial" w:cs="Arial"/>
          <w:snapToGrid w:val="0"/>
          <w:sz w:val="22"/>
          <w:szCs w:val="22"/>
        </w:rPr>
        <w:t xml:space="preserve"> 31.</w:t>
      </w:r>
      <w:r>
        <w:rPr>
          <w:rFonts w:ascii="Arial" w:hAnsi="Arial" w:cs="Arial"/>
          <w:snapToGrid w:val="0"/>
          <w:sz w:val="22"/>
          <w:szCs w:val="22"/>
        </w:rPr>
        <w:t xml:space="preserve"> </w:t>
      </w:r>
      <w:r w:rsidR="00815F66" w:rsidRPr="00D445DD">
        <w:rPr>
          <w:rFonts w:ascii="Arial" w:hAnsi="Arial" w:cs="Arial"/>
          <w:snapToGrid w:val="0"/>
          <w:sz w:val="22"/>
          <w:szCs w:val="22"/>
        </w:rPr>
        <w:t>12.</w:t>
      </w:r>
      <w:r>
        <w:rPr>
          <w:rFonts w:ascii="Arial" w:hAnsi="Arial" w:cs="Arial"/>
          <w:snapToGrid w:val="0"/>
          <w:sz w:val="22"/>
          <w:szCs w:val="22"/>
        </w:rPr>
        <w:t xml:space="preserve"> </w:t>
      </w:r>
      <w:r w:rsidR="00815F66" w:rsidRPr="00D445DD">
        <w:rPr>
          <w:rFonts w:ascii="Arial" w:hAnsi="Arial" w:cs="Arial"/>
          <w:snapToGrid w:val="0"/>
          <w:sz w:val="22"/>
          <w:szCs w:val="22"/>
        </w:rPr>
        <w:t>201</w:t>
      </w:r>
      <w:r w:rsidR="00815F66">
        <w:rPr>
          <w:rFonts w:ascii="Arial" w:hAnsi="Arial" w:cs="Arial"/>
          <w:snapToGrid w:val="0"/>
          <w:sz w:val="22"/>
          <w:szCs w:val="22"/>
        </w:rPr>
        <w:t xml:space="preserve">4 </w:t>
      </w:r>
      <w:r w:rsidR="00815F66" w:rsidRPr="00D445DD">
        <w:rPr>
          <w:rFonts w:ascii="Arial" w:hAnsi="Arial" w:cs="Arial"/>
          <w:snapToGrid w:val="0"/>
          <w:sz w:val="22"/>
          <w:szCs w:val="22"/>
        </w:rPr>
        <w:t>pracoval</w:t>
      </w:r>
      <w:r w:rsidR="00815F66">
        <w:rPr>
          <w:rFonts w:ascii="Arial" w:hAnsi="Arial" w:cs="Arial"/>
          <w:snapToGrid w:val="0"/>
          <w:sz w:val="22"/>
          <w:szCs w:val="22"/>
        </w:rPr>
        <w:t>o</w:t>
      </w:r>
      <w:r w:rsidR="00815F66" w:rsidRPr="00D445DD">
        <w:rPr>
          <w:rFonts w:ascii="Arial" w:hAnsi="Arial" w:cs="Arial"/>
          <w:snapToGrid w:val="0"/>
          <w:sz w:val="22"/>
          <w:szCs w:val="22"/>
        </w:rPr>
        <w:t xml:space="preserve"> v Jihomoravském kraji </w:t>
      </w:r>
      <w:r w:rsidR="00815F66">
        <w:rPr>
          <w:rFonts w:ascii="Arial" w:hAnsi="Arial" w:cs="Arial"/>
          <w:snapToGrid w:val="0"/>
          <w:sz w:val="22"/>
          <w:szCs w:val="22"/>
        </w:rPr>
        <w:t xml:space="preserve">na </w:t>
      </w:r>
      <w:r w:rsidR="00166ABA">
        <w:rPr>
          <w:rFonts w:ascii="Arial" w:hAnsi="Arial" w:cs="Arial"/>
          <w:snapToGrid w:val="0"/>
          <w:sz w:val="22"/>
          <w:szCs w:val="22"/>
        </w:rPr>
        <w:t>modré</w:t>
      </w:r>
      <w:r w:rsidR="00815F66">
        <w:rPr>
          <w:rFonts w:ascii="Arial" w:hAnsi="Arial" w:cs="Arial"/>
          <w:snapToGrid w:val="0"/>
          <w:sz w:val="22"/>
          <w:szCs w:val="22"/>
        </w:rPr>
        <w:t xml:space="preserve"> karty 27 cizinců, z toho 25 </w:t>
      </w:r>
      <w:r w:rsidR="00815F66" w:rsidRPr="00D445DD">
        <w:rPr>
          <w:rFonts w:ascii="Arial" w:hAnsi="Arial" w:cs="Arial"/>
          <w:snapToGrid w:val="0"/>
          <w:sz w:val="22"/>
          <w:szCs w:val="22"/>
        </w:rPr>
        <w:t xml:space="preserve">v okrese Brno-město. </w:t>
      </w:r>
    </w:p>
    <w:p w:rsidR="00B03B0C" w:rsidRDefault="00B03B0C">
      <w:pPr>
        <w:spacing w:after="200"/>
        <w:rPr>
          <w:rFonts w:ascii="Arial" w:hAnsi="Arial" w:cs="Arial"/>
          <w:snapToGrid w:val="0"/>
          <w:sz w:val="22"/>
          <w:szCs w:val="22"/>
        </w:rPr>
      </w:pPr>
      <w:r>
        <w:rPr>
          <w:rFonts w:ascii="Arial" w:hAnsi="Arial" w:cs="Arial"/>
          <w:snapToGrid w:val="0"/>
          <w:sz w:val="22"/>
          <w:szCs w:val="22"/>
        </w:rPr>
        <w:br w:type="page"/>
      </w:r>
    </w:p>
    <w:p w:rsidR="00B03B0C" w:rsidRPr="00A01584" w:rsidRDefault="00B03B0C" w:rsidP="00B03B0C">
      <w:pPr>
        <w:pStyle w:val="Nadpis1"/>
        <w:rPr>
          <w:rFonts w:cs="Arial"/>
          <w:snapToGrid w:val="0"/>
          <w:sz w:val="22"/>
          <w:szCs w:val="22"/>
        </w:rPr>
      </w:pPr>
      <w:bookmarkStart w:id="57" w:name="_Toc381372895"/>
      <w:bookmarkStart w:id="58" w:name="_Toc411611477"/>
      <w:r>
        <w:t>5</w:t>
      </w:r>
      <w:r w:rsidRPr="00DC6EF7">
        <w:t xml:space="preserve">. </w:t>
      </w:r>
      <w:r>
        <w:t xml:space="preserve"> </w:t>
      </w:r>
      <w:r w:rsidRPr="00DC6EF7">
        <w:t>Prognóza vývoje</w:t>
      </w:r>
      <w:r>
        <w:t xml:space="preserve"> </w:t>
      </w:r>
      <w:r w:rsidRPr="00DC6EF7">
        <w:t>trhu práce na</w:t>
      </w:r>
      <w:r>
        <w:t xml:space="preserve"> rok </w:t>
      </w:r>
      <w:r w:rsidRPr="00DC6EF7">
        <w:t>201</w:t>
      </w:r>
      <w:bookmarkEnd w:id="57"/>
      <w:r>
        <w:t>5</w:t>
      </w:r>
      <w:bookmarkEnd w:id="58"/>
    </w:p>
    <w:p w:rsidR="00B03B0C" w:rsidRDefault="00B03B0C" w:rsidP="00B03B0C">
      <w:pPr>
        <w:rPr>
          <w:rFonts w:ascii="Arial" w:hAnsi="Arial" w:cs="Arial"/>
          <w:b/>
        </w:rPr>
      </w:pPr>
    </w:p>
    <w:p w:rsidR="00B03B0C" w:rsidRPr="00DC6EF7" w:rsidRDefault="00B03B0C" w:rsidP="00E70281">
      <w:pPr>
        <w:pStyle w:val="Zprva2"/>
        <w:spacing w:line="276" w:lineRule="auto"/>
        <w:rPr>
          <w:rFonts w:ascii="Arial" w:hAnsi="Arial" w:cs="Arial"/>
          <w:color w:val="auto"/>
          <w:sz w:val="22"/>
          <w:szCs w:val="22"/>
        </w:rPr>
      </w:pPr>
      <w:bookmarkStart w:id="59" w:name="_Toc189017549"/>
      <w:bookmarkStart w:id="60" w:name="_Toc257635479"/>
      <w:bookmarkStart w:id="61" w:name="_Toc320265246"/>
      <w:r w:rsidRPr="00DC6EF7">
        <w:rPr>
          <w:rFonts w:ascii="Arial" w:hAnsi="Arial" w:cs="Arial"/>
          <w:color w:val="auto"/>
          <w:sz w:val="22"/>
          <w:szCs w:val="22"/>
        </w:rPr>
        <w:t xml:space="preserve">Předpokládaný vývoj </w:t>
      </w:r>
      <w:bookmarkEnd w:id="59"/>
      <w:r w:rsidRPr="00DC6EF7">
        <w:rPr>
          <w:rFonts w:ascii="Arial" w:hAnsi="Arial" w:cs="Arial"/>
          <w:color w:val="auto"/>
          <w:sz w:val="22"/>
          <w:szCs w:val="22"/>
        </w:rPr>
        <w:t>na trhu práce v Jihomoravském kraji</w:t>
      </w:r>
      <w:bookmarkStart w:id="62" w:name="_Toc320265247"/>
      <w:bookmarkEnd w:id="60"/>
      <w:bookmarkEnd w:id="61"/>
      <w:r w:rsidRPr="00DC6EF7">
        <w:rPr>
          <w:rFonts w:ascii="Arial" w:hAnsi="Arial" w:cs="Arial"/>
          <w:color w:val="auto"/>
          <w:sz w:val="22"/>
          <w:szCs w:val="22"/>
        </w:rPr>
        <w:t>. Varianty možného vývoje nezaměstnanosti</w:t>
      </w:r>
      <w:bookmarkEnd w:id="62"/>
    </w:p>
    <w:p w:rsidR="00B03B0C" w:rsidRPr="00DC6EF7" w:rsidRDefault="00B03B0C" w:rsidP="00E70281">
      <w:pPr>
        <w:pStyle w:val="Zkladntext"/>
        <w:jc w:val="both"/>
        <w:rPr>
          <w:rFonts w:ascii="Arial" w:hAnsi="Arial" w:cs="Arial"/>
          <w:b w:val="0"/>
          <w:color w:val="FF0000"/>
          <w:sz w:val="22"/>
          <w:szCs w:val="22"/>
        </w:rPr>
      </w:pPr>
    </w:p>
    <w:p w:rsidR="00B03B0C" w:rsidRPr="00873D3F" w:rsidRDefault="00B03B0C" w:rsidP="00E70281">
      <w:pPr>
        <w:pStyle w:val="Zkladntext"/>
        <w:tabs>
          <w:tab w:val="left" w:pos="426"/>
        </w:tabs>
        <w:jc w:val="both"/>
        <w:rPr>
          <w:rFonts w:ascii="Arial" w:hAnsi="Arial" w:cs="Arial"/>
          <w:b w:val="0"/>
          <w:sz w:val="22"/>
          <w:szCs w:val="22"/>
        </w:rPr>
      </w:pPr>
      <w:r w:rsidRPr="00873D3F">
        <w:rPr>
          <w:rFonts w:ascii="Arial" w:hAnsi="Arial" w:cs="Arial"/>
          <w:b w:val="0"/>
          <w:sz w:val="22"/>
          <w:szCs w:val="22"/>
        </w:rPr>
        <w:t>Očekáváme, že nezaměstnanost v Jihomoravském kraji bude</w:t>
      </w:r>
      <w:r w:rsidR="00166ABA">
        <w:rPr>
          <w:rFonts w:ascii="Arial" w:hAnsi="Arial" w:cs="Arial"/>
          <w:b w:val="0"/>
          <w:sz w:val="22"/>
          <w:szCs w:val="22"/>
        </w:rPr>
        <w:t xml:space="preserve"> </w:t>
      </w:r>
      <w:r w:rsidR="00166ABA" w:rsidRPr="00873D3F">
        <w:rPr>
          <w:rFonts w:ascii="Arial" w:hAnsi="Arial" w:cs="Arial"/>
          <w:b w:val="0"/>
          <w:sz w:val="22"/>
          <w:szCs w:val="22"/>
        </w:rPr>
        <w:t>v roce 201</w:t>
      </w:r>
      <w:r w:rsidR="00166ABA">
        <w:rPr>
          <w:rFonts w:ascii="Arial" w:hAnsi="Arial" w:cs="Arial"/>
          <w:b w:val="0"/>
          <w:sz w:val="22"/>
          <w:szCs w:val="22"/>
        </w:rPr>
        <w:t>5  -</w:t>
      </w:r>
      <w:r w:rsidRPr="00873D3F">
        <w:rPr>
          <w:rFonts w:ascii="Arial" w:hAnsi="Arial" w:cs="Arial"/>
          <w:b w:val="0"/>
          <w:sz w:val="22"/>
          <w:szCs w:val="22"/>
        </w:rPr>
        <w:t xml:space="preserve"> </w:t>
      </w:r>
      <w:r w:rsidR="00166ABA">
        <w:rPr>
          <w:rFonts w:ascii="Arial" w:hAnsi="Arial" w:cs="Arial"/>
          <w:b w:val="0"/>
          <w:sz w:val="22"/>
          <w:szCs w:val="22"/>
        </w:rPr>
        <w:t>za předpokladu že nedojde k neočekávaným událostem ve vývoji jak domácí, tak zahraniční ekonomiky</w:t>
      </w:r>
      <w:r w:rsidR="00166ABA" w:rsidRPr="00873D3F">
        <w:rPr>
          <w:rFonts w:ascii="Arial" w:hAnsi="Arial" w:cs="Arial"/>
          <w:b w:val="0"/>
          <w:sz w:val="22"/>
          <w:szCs w:val="22"/>
        </w:rPr>
        <w:t xml:space="preserve"> </w:t>
      </w:r>
      <w:r w:rsidR="00166ABA">
        <w:rPr>
          <w:rFonts w:ascii="Arial" w:hAnsi="Arial" w:cs="Arial"/>
          <w:b w:val="0"/>
          <w:sz w:val="22"/>
          <w:szCs w:val="22"/>
        </w:rPr>
        <w:t>- sledovat obdobný vývoj jako v roce 2014  - tedy</w:t>
      </w:r>
      <w:r w:rsidRPr="00873D3F">
        <w:rPr>
          <w:rFonts w:ascii="Arial" w:hAnsi="Arial" w:cs="Arial"/>
          <w:b w:val="0"/>
          <w:sz w:val="22"/>
          <w:szCs w:val="22"/>
        </w:rPr>
        <w:t xml:space="preserve"> </w:t>
      </w:r>
      <w:r w:rsidR="00166ABA">
        <w:rPr>
          <w:rFonts w:ascii="Arial" w:hAnsi="Arial" w:cs="Arial"/>
          <w:b w:val="0"/>
          <w:sz w:val="22"/>
          <w:szCs w:val="22"/>
        </w:rPr>
        <w:t xml:space="preserve">pokračující </w:t>
      </w:r>
      <w:r w:rsidR="00C6264C">
        <w:rPr>
          <w:rFonts w:ascii="Arial" w:hAnsi="Arial" w:cs="Arial"/>
          <w:b w:val="0"/>
          <w:sz w:val="22"/>
          <w:szCs w:val="22"/>
        </w:rPr>
        <w:t>oživení ekonomiky a</w:t>
      </w:r>
      <w:r w:rsidR="00166ABA">
        <w:rPr>
          <w:rFonts w:ascii="Arial" w:hAnsi="Arial" w:cs="Arial"/>
          <w:b w:val="0"/>
          <w:sz w:val="22"/>
          <w:szCs w:val="22"/>
        </w:rPr>
        <w:t xml:space="preserve"> mírný pokles nezaměstnanosti,.</w:t>
      </w:r>
    </w:p>
    <w:p w:rsidR="00B03B0C" w:rsidRPr="00873D3F" w:rsidRDefault="00166ABA" w:rsidP="00E70281">
      <w:pPr>
        <w:pStyle w:val="Zkladntext"/>
        <w:tabs>
          <w:tab w:val="left" w:pos="426"/>
        </w:tabs>
        <w:jc w:val="both"/>
        <w:rPr>
          <w:rFonts w:ascii="Arial" w:hAnsi="Arial" w:cs="Arial"/>
          <w:b w:val="0"/>
          <w:sz w:val="22"/>
          <w:szCs w:val="22"/>
        </w:rPr>
      </w:pPr>
      <w:r>
        <w:rPr>
          <w:rFonts w:ascii="Arial" w:hAnsi="Arial" w:cs="Arial"/>
          <w:b w:val="0"/>
          <w:sz w:val="22"/>
          <w:szCs w:val="22"/>
        </w:rPr>
        <w:t>N</w:t>
      </w:r>
      <w:r w:rsidR="00B03B0C" w:rsidRPr="00873D3F">
        <w:rPr>
          <w:rFonts w:ascii="Arial" w:hAnsi="Arial" w:cs="Arial"/>
          <w:b w:val="0"/>
          <w:sz w:val="22"/>
          <w:szCs w:val="22"/>
        </w:rPr>
        <w:t xml:space="preserve">árůst počtu evidovaných, k němuž </w:t>
      </w:r>
      <w:r w:rsidR="00C6264C">
        <w:rPr>
          <w:rFonts w:ascii="Arial" w:hAnsi="Arial" w:cs="Arial"/>
          <w:b w:val="0"/>
          <w:sz w:val="22"/>
          <w:szCs w:val="22"/>
        </w:rPr>
        <w:t>dochází</w:t>
      </w:r>
      <w:r w:rsidR="00B03B0C" w:rsidRPr="00873D3F">
        <w:rPr>
          <w:rFonts w:ascii="Arial" w:hAnsi="Arial" w:cs="Arial"/>
          <w:b w:val="0"/>
          <w:sz w:val="22"/>
          <w:szCs w:val="22"/>
        </w:rPr>
        <w:t xml:space="preserve"> na počátku roku, vystřídá v jarních měsících pokles nezaměstnanosti spojený s nástupem sezónních prací v zemědělství, stavebnictví a turistickém ruchu. K výraznějšímu poklesu dojde zejména v jižních okresech kraje (Hodonín, Znojmo, Břeclav).  Domníváme se, že v průběhu 1. pololetí 201</w:t>
      </w:r>
      <w:r w:rsidR="00C6264C">
        <w:rPr>
          <w:rFonts w:ascii="Arial" w:hAnsi="Arial" w:cs="Arial"/>
          <w:b w:val="0"/>
          <w:sz w:val="22"/>
          <w:szCs w:val="22"/>
        </w:rPr>
        <w:t>5</w:t>
      </w:r>
      <w:r w:rsidR="00B03B0C" w:rsidRPr="00873D3F">
        <w:rPr>
          <w:rFonts w:ascii="Arial" w:hAnsi="Arial" w:cs="Arial"/>
          <w:b w:val="0"/>
          <w:sz w:val="22"/>
          <w:szCs w:val="22"/>
        </w:rPr>
        <w:t xml:space="preserve"> by se stav nezaměstnaných evidovaných na kontaktních pracovištích úřadu práce v kraji mohl snížit o 2,0 tis. – 5. tis. osob. Předpokládáme, že v závěru druhého pololetí 201</w:t>
      </w:r>
      <w:r w:rsidR="00C6264C">
        <w:rPr>
          <w:rFonts w:ascii="Arial" w:hAnsi="Arial" w:cs="Arial"/>
          <w:b w:val="0"/>
          <w:sz w:val="22"/>
          <w:szCs w:val="22"/>
        </w:rPr>
        <w:t>5</w:t>
      </w:r>
      <w:r w:rsidR="00B03B0C" w:rsidRPr="00873D3F">
        <w:rPr>
          <w:rFonts w:ascii="Arial" w:hAnsi="Arial" w:cs="Arial"/>
          <w:b w:val="0"/>
          <w:sz w:val="22"/>
          <w:szCs w:val="22"/>
        </w:rPr>
        <w:t xml:space="preserve"> bude nezaměstnano</w:t>
      </w:r>
      <w:r w:rsidR="00C6264C">
        <w:rPr>
          <w:rFonts w:ascii="Arial" w:hAnsi="Arial" w:cs="Arial"/>
          <w:b w:val="0"/>
          <w:sz w:val="22"/>
          <w:szCs w:val="22"/>
        </w:rPr>
        <w:t xml:space="preserve">st v kraji opět mírně </w:t>
      </w:r>
      <w:r w:rsidR="00B03B0C" w:rsidRPr="00873D3F">
        <w:rPr>
          <w:rFonts w:ascii="Arial" w:hAnsi="Arial" w:cs="Arial"/>
          <w:b w:val="0"/>
          <w:sz w:val="22"/>
          <w:szCs w:val="22"/>
        </w:rPr>
        <w:t>růst (vstup absolventů na trh práce a postupné ukončování sezónních prací) v důsledku čehož by se výsledný počet registrovaných nezaměstnaných v Jihomoravském kraji mohl k 31.</w:t>
      </w:r>
      <w:r w:rsidR="00B03B0C">
        <w:rPr>
          <w:rFonts w:ascii="Arial" w:hAnsi="Arial" w:cs="Arial"/>
          <w:b w:val="0"/>
          <w:sz w:val="22"/>
          <w:szCs w:val="22"/>
        </w:rPr>
        <w:t xml:space="preserve"> </w:t>
      </w:r>
      <w:r w:rsidR="00B03B0C" w:rsidRPr="00873D3F">
        <w:rPr>
          <w:rFonts w:ascii="Arial" w:hAnsi="Arial" w:cs="Arial"/>
          <w:b w:val="0"/>
          <w:sz w:val="22"/>
          <w:szCs w:val="22"/>
        </w:rPr>
        <w:t>12</w:t>
      </w:r>
      <w:r w:rsidR="00B03B0C">
        <w:rPr>
          <w:rFonts w:ascii="Arial" w:hAnsi="Arial" w:cs="Arial"/>
          <w:b w:val="0"/>
          <w:sz w:val="22"/>
          <w:szCs w:val="22"/>
        </w:rPr>
        <w:t xml:space="preserve">. </w:t>
      </w:r>
      <w:r w:rsidR="00B03B0C" w:rsidRPr="00873D3F">
        <w:rPr>
          <w:rFonts w:ascii="Arial" w:hAnsi="Arial" w:cs="Arial"/>
          <w:b w:val="0"/>
          <w:sz w:val="22"/>
          <w:szCs w:val="22"/>
        </w:rPr>
        <w:t>201</w:t>
      </w:r>
      <w:r w:rsidR="00C6264C">
        <w:rPr>
          <w:rFonts w:ascii="Arial" w:hAnsi="Arial" w:cs="Arial"/>
          <w:b w:val="0"/>
          <w:sz w:val="22"/>
          <w:szCs w:val="22"/>
        </w:rPr>
        <w:t>5</w:t>
      </w:r>
      <w:r w:rsidR="00B03B0C" w:rsidRPr="00873D3F">
        <w:rPr>
          <w:rFonts w:ascii="Arial" w:hAnsi="Arial" w:cs="Arial"/>
          <w:b w:val="0"/>
          <w:sz w:val="22"/>
          <w:szCs w:val="22"/>
        </w:rPr>
        <w:t xml:space="preserve"> pohybovat v rozmezí </w:t>
      </w:r>
      <w:r w:rsidR="00C6264C">
        <w:rPr>
          <w:rFonts w:ascii="Arial" w:hAnsi="Arial" w:cs="Arial"/>
          <w:b w:val="0"/>
          <w:sz w:val="22"/>
          <w:szCs w:val="22"/>
        </w:rPr>
        <w:t>60</w:t>
      </w:r>
      <w:r w:rsidR="00B03B0C" w:rsidRPr="00873D3F">
        <w:rPr>
          <w:rFonts w:ascii="Arial" w:hAnsi="Arial" w:cs="Arial"/>
          <w:b w:val="0"/>
          <w:sz w:val="22"/>
          <w:szCs w:val="22"/>
        </w:rPr>
        <w:t xml:space="preserve">,0 – </w:t>
      </w:r>
      <w:r w:rsidR="00C6264C">
        <w:rPr>
          <w:rFonts w:ascii="Arial" w:hAnsi="Arial" w:cs="Arial"/>
          <w:b w:val="0"/>
          <w:sz w:val="22"/>
          <w:szCs w:val="22"/>
        </w:rPr>
        <w:t>6</w:t>
      </w:r>
      <w:r w:rsidR="00B03B0C" w:rsidRPr="00873D3F">
        <w:rPr>
          <w:rFonts w:ascii="Arial" w:hAnsi="Arial" w:cs="Arial"/>
          <w:b w:val="0"/>
          <w:sz w:val="22"/>
          <w:szCs w:val="22"/>
        </w:rPr>
        <w:t xml:space="preserve">5,0 tis. osob. </w:t>
      </w:r>
    </w:p>
    <w:p w:rsidR="00E70281" w:rsidRDefault="00E70281" w:rsidP="00E70281">
      <w:pPr>
        <w:pStyle w:val="Odstavecseseznamem"/>
        <w:spacing w:after="120"/>
        <w:ind w:left="0"/>
        <w:jc w:val="both"/>
        <w:rPr>
          <w:rFonts w:ascii="Arial" w:hAnsi="Arial" w:cs="Arial"/>
          <w:sz w:val="22"/>
          <w:szCs w:val="22"/>
        </w:rPr>
      </w:pPr>
    </w:p>
    <w:p w:rsidR="00B03B0C" w:rsidRPr="00873D3F" w:rsidRDefault="00B03B0C" w:rsidP="00E70281">
      <w:pPr>
        <w:pStyle w:val="Odstavecseseznamem"/>
        <w:spacing w:after="120"/>
        <w:ind w:left="0"/>
        <w:jc w:val="both"/>
        <w:rPr>
          <w:rFonts w:ascii="Arial" w:hAnsi="Arial" w:cs="Arial"/>
          <w:sz w:val="22"/>
          <w:szCs w:val="22"/>
        </w:rPr>
      </w:pPr>
      <w:r w:rsidRPr="00873D3F">
        <w:rPr>
          <w:rFonts w:ascii="Arial" w:hAnsi="Arial" w:cs="Arial"/>
          <w:sz w:val="22"/>
          <w:szCs w:val="22"/>
        </w:rPr>
        <w:t>Zaměstnavatelé očekávají v </w:t>
      </w:r>
      <w:r w:rsidR="00C6264C">
        <w:rPr>
          <w:rFonts w:ascii="Arial" w:hAnsi="Arial" w:cs="Arial"/>
          <w:sz w:val="22"/>
          <w:szCs w:val="22"/>
        </w:rPr>
        <w:t xml:space="preserve">nadcházejícím období nejčastěji </w:t>
      </w:r>
      <w:r w:rsidRPr="00873D3F">
        <w:rPr>
          <w:rFonts w:ascii="Arial" w:hAnsi="Arial" w:cs="Arial"/>
          <w:sz w:val="22"/>
          <w:szCs w:val="22"/>
        </w:rPr>
        <w:t>mírný nárůst počtu pracovníků (dle získaných zakázek). S významnějším zvýšením počtu zaměstnanců počítá pouze několik větších zaměstnavatelů</w:t>
      </w:r>
      <w:r w:rsidR="00C6264C">
        <w:rPr>
          <w:rFonts w:ascii="Arial" w:hAnsi="Arial" w:cs="Arial"/>
          <w:sz w:val="22"/>
          <w:szCs w:val="22"/>
        </w:rPr>
        <w:t>. P</w:t>
      </w:r>
      <w:r w:rsidRPr="00873D3F">
        <w:rPr>
          <w:rFonts w:ascii="Arial" w:hAnsi="Arial" w:cs="Arial"/>
          <w:sz w:val="22"/>
          <w:szCs w:val="22"/>
        </w:rPr>
        <w:t>ožadavky na sezónní pracovníky v nekvalifikovaných profesích firmy stále častěji řeší zaměstnáváním zahraničních pracovníků, kteří jsou ochotni - na rozdíl od domácích uchazečů - akceptovat minimální mzdu a náročné pracovní podmínky.</w:t>
      </w:r>
    </w:p>
    <w:p w:rsidR="001C4200" w:rsidRDefault="00B03B0C" w:rsidP="00E70281">
      <w:pPr>
        <w:jc w:val="both"/>
        <w:rPr>
          <w:rFonts w:ascii="Arial" w:hAnsi="Arial" w:cs="Arial"/>
          <w:sz w:val="22"/>
          <w:szCs w:val="22"/>
        </w:rPr>
      </w:pPr>
      <w:r w:rsidRPr="00DA40F2">
        <w:rPr>
          <w:rFonts w:ascii="Arial" w:hAnsi="Arial" w:cs="Arial"/>
          <w:sz w:val="22"/>
          <w:szCs w:val="22"/>
        </w:rPr>
        <w:t>Celkově v rámci kraje předpokládáme v průběhu roku 201</w:t>
      </w:r>
      <w:r w:rsidR="00C6264C">
        <w:rPr>
          <w:rFonts w:ascii="Arial" w:hAnsi="Arial" w:cs="Arial"/>
          <w:sz w:val="22"/>
          <w:szCs w:val="22"/>
        </w:rPr>
        <w:t>5</w:t>
      </w:r>
      <w:r w:rsidRPr="00DA40F2">
        <w:rPr>
          <w:rFonts w:ascii="Arial" w:hAnsi="Arial" w:cs="Arial"/>
          <w:sz w:val="22"/>
          <w:szCs w:val="22"/>
        </w:rPr>
        <w:t xml:space="preserve"> </w:t>
      </w:r>
      <w:r w:rsidR="00C6264C">
        <w:rPr>
          <w:rFonts w:ascii="Arial" w:hAnsi="Arial" w:cs="Arial"/>
          <w:sz w:val="22"/>
          <w:szCs w:val="22"/>
        </w:rPr>
        <w:t>pokrač</w:t>
      </w:r>
      <w:r w:rsidR="00166ABA">
        <w:rPr>
          <w:rFonts w:ascii="Arial" w:hAnsi="Arial" w:cs="Arial"/>
          <w:sz w:val="22"/>
          <w:szCs w:val="22"/>
        </w:rPr>
        <w:t>ující</w:t>
      </w:r>
      <w:r w:rsidRPr="00DA40F2">
        <w:rPr>
          <w:rFonts w:ascii="Arial" w:hAnsi="Arial" w:cs="Arial"/>
          <w:sz w:val="22"/>
          <w:szCs w:val="22"/>
        </w:rPr>
        <w:t xml:space="preserve"> oživení trhu a nárůst zaměstnanosti. </w:t>
      </w:r>
      <w:r w:rsidRPr="00873D3F">
        <w:rPr>
          <w:rFonts w:ascii="Arial" w:hAnsi="Arial" w:cs="Arial"/>
          <w:sz w:val="22"/>
          <w:szCs w:val="22"/>
        </w:rPr>
        <w:t>Lze předpokládat, že v průběhu roku 201</w:t>
      </w:r>
      <w:r w:rsidR="00C6264C">
        <w:rPr>
          <w:rFonts w:ascii="Arial" w:hAnsi="Arial" w:cs="Arial"/>
          <w:sz w:val="22"/>
          <w:szCs w:val="22"/>
        </w:rPr>
        <w:t>5</w:t>
      </w:r>
      <w:r w:rsidRPr="00873D3F">
        <w:rPr>
          <w:rFonts w:ascii="Arial" w:hAnsi="Arial" w:cs="Arial"/>
          <w:sz w:val="22"/>
          <w:szCs w:val="22"/>
        </w:rPr>
        <w:t xml:space="preserve"> zůstanou na regionálním trhu práce vymezeny věkové, vzdělanostní i profesní skupiny osob, u nichž je </w:t>
      </w:r>
      <w:r w:rsidR="00A41D99">
        <w:rPr>
          <w:rFonts w:ascii="Arial" w:hAnsi="Arial" w:cs="Arial"/>
          <w:sz w:val="22"/>
          <w:szCs w:val="22"/>
        </w:rPr>
        <w:t>získání pracovního uplatnění na volném trhu práce velmi ztíženo</w:t>
      </w:r>
      <w:r w:rsidRPr="00873D3F">
        <w:rPr>
          <w:rFonts w:ascii="Arial" w:hAnsi="Arial" w:cs="Arial"/>
          <w:sz w:val="22"/>
          <w:szCs w:val="22"/>
        </w:rPr>
        <w:t>. K nejvíce ohroženým skupinám uchazečů budou v kraji stále náležet nekvalifikovaní pracovníci, uchazeči starší 50-ti let, uchazeči pečující o děti do 15 let věku a občané zdravotně postižení.</w:t>
      </w:r>
      <w:r w:rsidR="00A41D99">
        <w:rPr>
          <w:rFonts w:ascii="Arial" w:hAnsi="Arial" w:cs="Arial"/>
          <w:sz w:val="22"/>
          <w:szCs w:val="22"/>
        </w:rPr>
        <w:t xml:space="preserve"> Uplatnění těchto uchazečů bude nadále nutno podporovat v rámci aktivní politiky zaměstnanosti.</w:t>
      </w:r>
    </w:p>
    <w:p w:rsidR="001C4200" w:rsidRDefault="001C4200" w:rsidP="001C4200">
      <w:r>
        <w:br w:type="page"/>
      </w:r>
    </w:p>
    <w:p w:rsidR="001C4200" w:rsidRPr="00064838" w:rsidRDefault="001C4200" w:rsidP="001C4200">
      <w:pPr>
        <w:pStyle w:val="Nadpis1"/>
      </w:pPr>
      <w:bookmarkStart w:id="63" w:name="_Toc381372896"/>
      <w:bookmarkStart w:id="64" w:name="_Toc411611478"/>
      <w:r w:rsidRPr="00064838">
        <w:t>6. Realizace aktivní politiky zaměstnanosti v roce 201</w:t>
      </w:r>
      <w:bookmarkEnd w:id="63"/>
      <w:r>
        <w:t>4</w:t>
      </w:r>
      <w:bookmarkEnd w:id="64"/>
    </w:p>
    <w:p w:rsidR="001C4200" w:rsidRPr="005F6FBB" w:rsidRDefault="001C4200" w:rsidP="001C4200">
      <w:pPr>
        <w:snapToGrid w:val="0"/>
        <w:jc w:val="both"/>
        <w:rPr>
          <w:rFonts w:asciiTheme="minorHAnsi" w:hAnsiTheme="minorHAnsi" w:cs="Arial"/>
          <w:b/>
          <w:bCs/>
        </w:rPr>
      </w:pPr>
    </w:p>
    <w:p w:rsidR="001C4200" w:rsidRPr="005F6FBB" w:rsidRDefault="001C4200" w:rsidP="001C4200">
      <w:pPr>
        <w:widowControl w:val="0"/>
        <w:spacing w:after="120"/>
        <w:jc w:val="both"/>
        <w:rPr>
          <w:rFonts w:ascii="Arial" w:hAnsi="Arial" w:cs="Arial"/>
          <w:snapToGrid w:val="0"/>
          <w:sz w:val="22"/>
          <w:szCs w:val="22"/>
        </w:rPr>
      </w:pPr>
      <w:r w:rsidRPr="005F6FBB">
        <w:rPr>
          <w:rFonts w:ascii="Arial" w:hAnsi="Arial" w:cs="Arial"/>
          <w:b/>
          <w:snapToGrid w:val="0"/>
          <w:sz w:val="22"/>
          <w:szCs w:val="22"/>
        </w:rPr>
        <w:t>Na aktivní politiku zaměstnanosti bylo v roce 201</w:t>
      </w:r>
      <w:r>
        <w:rPr>
          <w:rFonts w:ascii="Arial" w:hAnsi="Arial" w:cs="Arial"/>
          <w:b/>
          <w:snapToGrid w:val="0"/>
          <w:sz w:val="22"/>
          <w:szCs w:val="22"/>
        </w:rPr>
        <w:t>4</w:t>
      </w:r>
      <w:r w:rsidRPr="005F6FBB">
        <w:rPr>
          <w:rFonts w:ascii="Arial" w:hAnsi="Arial" w:cs="Arial"/>
          <w:b/>
          <w:snapToGrid w:val="0"/>
          <w:sz w:val="22"/>
          <w:szCs w:val="22"/>
        </w:rPr>
        <w:t xml:space="preserve"> vynaloženo</w:t>
      </w:r>
      <w:r w:rsidRPr="005F6FBB">
        <w:rPr>
          <w:rFonts w:ascii="Arial" w:hAnsi="Arial" w:cs="Arial"/>
          <w:snapToGrid w:val="0"/>
          <w:sz w:val="22"/>
          <w:szCs w:val="22"/>
        </w:rPr>
        <w:t xml:space="preserve"> celkem </w:t>
      </w:r>
      <w:r>
        <w:rPr>
          <w:rFonts w:ascii="Arial" w:hAnsi="Arial" w:cs="Arial"/>
          <w:b/>
          <w:snapToGrid w:val="0"/>
          <w:sz w:val="22"/>
          <w:szCs w:val="22"/>
        </w:rPr>
        <w:t>701,2</w:t>
      </w:r>
      <w:r w:rsidRPr="005F6FBB">
        <w:rPr>
          <w:rFonts w:ascii="Arial" w:hAnsi="Arial" w:cs="Arial"/>
          <w:b/>
          <w:snapToGrid w:val="0"/>
          <w:sz w:val="22"/>
          <w:szCs w:val="22"/>
        </w:rPr>
        <w:t xml:space="preserve"> mil Kč,</w:t>
      </w:r>
      <w:r w:rsidRPr="005F6FBB">
        <w:rPr>
          <w:rFonts w:ascii="Arial" w:hAnsi="Arial" w:cs="Arial"/>
          <w:snapToGrid w:val="0"/>
          <w:sz w:val="22"/>
          <w:szCs w:val="22"/>
        </w:rPr>
        <w:t xml:space="preserve"> z toho v rámci národní APZ </w:t>
      </w:r>
      <w:r>
        <w:rPr>
          <w:rFonts w:ascii="Arial" w:hAnsi="Arial" w:cs="Arial"/>
          <w:snapToGrid w:val="0"/>
          <w:sz w:val="22"/>
          <w:szCs w:val="22"/>
        </w:rPr>
        <w:t>106,4</w:t>
      </w:r>
      <w:r w:rsidRPr="005F6FBB">
        <w:rPr>
          <w:rFonts w:ascii="Arial" w:hAnsi="Arial" w:cs="Arial"/>
          <w:snapToGrid w:val="0"/>
          <w:sz w:val="22"/>
          <w:szCs w:val="22"/>
        </w:rPr>
        <w:t xml:space="preserve"> mil Kč a z prostředků ESF-OPLZZ </w:t>
      </w:r>
      <w:r>
        <w:rPr>
          <w:rFonts w:ascii="Arial" w:hAnsi="Arial" w:cs="Arial"/>
          <w:snapToGrid w:val="0"/>
          <w:sz w:val="22"/>
          <w:szCs w:val="22"/>
        </w:rPr>
        <w:t>594,8</w:t>
      </w:r>
      <w:r w:rsidRPr="005F6FBB">
        <w:rPr>
          <w:rFonts w:ascii="Arial" w:hAnsi="Arial" w:cs="Arial"/>
          <w:snapToGrid w:val="0"/>
          <w:sz w:val="22"/>
          <w:szCs w:val="22"/>
        </w:rPr>
        <w:t xml:space="preserve"> mil Kč. Z celkového objemu prostředků vyčleněných na APZ (ze schváleného rozpočtu na rok 201</w:t>
      </w:r>
      <w:r>
        <w:rPr>
          <w:rFonts w:ascii="Arial" w:hAnsi="Arial" w:cs="Arial"/>
          <w:snapToGrid w:val="0"/>
          <w:sz w:val="22"/>
          <w:szCs w:val="22"/>
        </w:rPr>
        <w:t>4</w:t>
      </w:r>
      <w:r w:rsidRPr="005F6FBB">
        <w:rPr>
          <w:rFonts w:ascii="Arial" w:hAnsi="Arial" w:cs="Arial"/>
          <w:snapToGrid w:val="0"/>
          <w:sz w:val="22"/>
          <w:szCs w:val="22"/>
        </w:rPr>
        <w:t xml:space="preserve">) tak bylo vyčerpáno cca </w:t>
      </w:r>
      <w:r>
        <w:rPr>
          <w:rFonts w:ascii="Arial" w:hAnsi="Arial" w:cs="Arial"/>
          <w:snapToGrid w:val="0"/>
          <w:sz w:val="22"/>
          <w:szCs w:val="22"/>
        </w:rPr>
        <w:t xml:space="preserve">86,9 </w:t>
      </w:r>
      <w:r w:rsidRPr="005F6FBB">
        <w:rPr>
          <w:rFonts w:ascii="Arial" w:hAnsi="Arial" w:cs="Arial"/>
          <w:snapToGrid w:val="0"/>
          <w:sz w:val="22"/>
          <w:szCs w:val="22"/>
        </w:rPr>
        <w:t>%.</w:t>
      </w:r>
    </w:p>
    <w:p w:rsidR="001C4200" w:rsidRDefault="001C4200" w:rsidP="001C4200">
      <w:pPr>
        <w:widowControl w:val="0"/>
        <w:jc w:val="both"/>
        <w:rPr>
          <w:rFonts w:ascii="Arial" w:hAnsi="Arial" w:cs="Arial"/>
          <w:snapToGrid w:val="0"/>
          <w:sz w:val="22"/>
          <w:szCs w:val="22"/>
        </w:rPr>
      </w:pPr>
      <w:r w:rsidRPr="005F6FBB">
        <w:rPr>
          <w:rFonts w:ascii="Arial" w:hAnsi="Arial" w:cs="Arial"/>
          <w:bCs/>
          <w:snapToGrid w:val="0"/>
          <w:sz w:val="22"/>
          <w:szCs w:val="22"/>
        </w:rPr>
        <w:t>V rámci APZ bylo v Jihomoravském kraji v  roce 201</w:t>
      </w:r>
      <w:r>
        <w:rPr>
          <w:rFonts w:ascii="Arial" w:hAnsi="Arial" w:cs="Arial"/>
          <w:bCs/>
          <w:snapToGrid w:val="0"/>
          <w:sz w:val="22"/>
          <w:szCs w:val="22"/>
        </w:rPr>
        <w:t>4</w:t>
      </w:r>
      <w:r w:rsidRPr="005F6FBB">
        <w:rPr>
          <w:rFonts w:ascii="Arial" w:hAnsi="Arial" w:cs="Arial"/>
          <w:bCs/>
          <w:snapToGrid w:val="0"/>
          <w:sz w:val="22"/>
          <w:szCs w:val="22"/>
        </w:rPr>
        <w:t xml:space="preserve"> </w:t>
      </w:r>
      <w:r w:rsidRPr="005F6FBB">
        <w:rPr>
          <w:rFonts w:ascii="Arial" w:hAnsi="Arial" w:cs="Arial"/>
          <w:b/>
          <w:bCs/>
          <w:snapToGrid w:val="0"/>
          <w:sz w:val="22"/>
          <w:szCs w:val="22"/>
        </w:rPr>
        <w:t xml:space="preserve">vytvořeno celkem </w:t>
      </w:r>
      <w:r>
        <w:rPr>
          <w:rFonts w:ascii="Arial" w:hAnsi="Arial" w:cs="Arial"/>
          <w:b/>
          <w:bCs/>
          <w:snapToGrid w:val="0"/>
          <w:sz w:val="22"/>
          <w:szCs w:val="22"/>
        </w:rPr>
        <w:t>6 690</w:t>
      </w:r>
      <w:r w:rsidRPr="005F6FBB">
        <w:rPr>
          <w:rFonts w:ascii="Arial" w:hAnsi="Arial" w:cs="Arial"/>
          <w:b/>
          <w:bCs/>
          <w:snapToGrid w:val="0"/>
          <w:sz w:val="22"/>
          <w:szCs w:val="22"/>
        </w:rPr>
        <w:t xml:space="preserve"> pracovních míst</w:t>
      </w:r>
      <w:r w:rsidRPr="005F6FBB">
        <w:rPr>
          <w:rFonts w:ascii="Arial" w:hAnsi="Arial" w:cs="Arial"/>
          <w:bCs/>
          <w:snapToGrid w:val="0"/>
          <w:sz w:val="22"/>
          <w:szCs w:val="22"/>
        </w:rPr>
        <w:t xml:space="preserve"> a </w:t>
      </w:r>
      <w:r w:rsidRPr="005F6FBB">
        <w:rPr>
          <w:rFonts w:ascii="Arial" w:hAnsi="Arial" w:cs="Arial"/>
          <w:snapToGrid w:val="0"/>
          <w:sz w:val="22"/>
          <w:szCs w:val="22"/>
        </w:rPr>
        <w:t xml:space="preserve">na tato místa bylo umístěno </w:t>
      </w:r>
      <w:r>
        <w:rPr>
          <w:rFonts w:ascii="Arial" w:hAnsi="Arial" w:cs="Arial"/>
          <w:snapToGrid w:val="0"/>
          <w:sz w:val="22"/>
          <w:szCs w:val="22"/>
        </w:rPr>
        <w:t>6 623</w:t>
      </w:r>
      <w:r w:rsidRPr="005F6FBB">
        <w:rPr>
          <w:rFonts w:ascii="Arial" w:hAnsi="Arial" w:cs="Arial"/>
          <w:snapToGrid w:val="0"/>
          <w:sz w:val="22"/>
          <w:szCs w:val="22"/>
        </w:rPr>
        <w:t xml:space="preserve"> uchazečů o zaměstnání. </w:t>
      </w:r>
      <w:r>
        <w:rPr>
          <w:rFonts w:ascii="Arial" w:hAnsi="Arial" w:cs="Arial"/>
          <w:snapToGrid w:val="0"/>
          <w:sz w:val="22"/>
          <w:szCs w:val="22"/>
        </w:rPr>
        <w:t>Celkem</w:t>
      </w:r>
      <w:r w:rsidRPr="005F6FBB">
        <w:rPr>
          <w:rFonts w:ascii="Arial" w:hAnsi="Arial" w:cs="Arial"/>
          <w:snapToGrid w:val="0"/>
          <w:sz w:val="22"/>
          <w:szCs w:val="22"/>
        </w:rPr>
        <w:t xml:space="preserve"> </w:t>
      </w:r>
      <w:r>
        <w:rPr>
          <w:rFonts w:ascii="Arial" w:hAnsi="Arial" w:cs="Arial"/>
          <w:b/>
          <w:snapToGrid w:val="0"/>
          <w:sz w:val="22"/>
          <w:szCs w:val="22"/>
        </w:rPr>
        <w:t>5 042</w:t>
      </w:r>
      <w:r w:rsidRPr="005F6FBB">
        <w:rPr>
          <w:rFonts w:ascii="Arial" w:hAnsi="Arial" w:cs="Arial"/>
          <w:b/>
          <w:snapToGrid w:val="0"/>
          <w:sz w:val="22"/>
          <w:szCs w:val="22"/>
        </w:rPr>
        <w:t xml:space="preserve"> osob bylo rekvalifikováno</w:t>
      </w:r>
      <w:r w:rsidRPr="005F6FBB">
        <w:rPr>
          <w:rFonts w:ascii="Arial" w:hAnsi="Arial" w:cs="Arial"/>
          <w:snapToGrid w:val="0"/>
          <w:sz w:val="22"/>
          <w:szCs w:val="22"/>
        </w:rPr>
        <w:t xml:space="preserve"> a </w:t>
      </w:r>
      <w:r>
        <w:rPr>
          <w:rFonts w:ascii="Arial" w:hAnsi="Arial" w:cs="Arial"/>
          <w:snapToGrid w:val="0"/>
          <w:sz w:val="22"/>
          <w:szCs w:val="22"/>
        </w:rPr>
        <w:t>429</w:t>
      </w:r>
      <w:r w:rsidRPr="005F6FBB">
        <w:rPr>
          <w:rFonts w:ascii="Arial" w:hAnsi="Arial" w:cs="Arial"/>
          <w:snapToGrid w:val="0"/>
          <w:sz w:val="22"/>
          <w:szCs w:val="22"/>
        </w:rPr>
        <w:t xml:space="preserve"> osob bylo zařazeno do poradenských programů</w:t>
      </w:r>
      <w:r>
        <w:rPr>
          <w:rFonts w:ascii="Arial" w:hAnsi="Arial" w:cs="Arial"/>
          <w:snapToGrid w:val="0"/>
          <w:sz w:val="22"/>
          <w:szCs w:val="22"/>
        </w:rPr>
        <w:t xml:space="preserve"> a pracovní rehabilitace</w:t>
      </w:r>
      <w:r w:rsidRPr="005F6FBB">
        <w:rPr>
          <w:rFonts w:ascii="Arial" w:hAnsi="Arial" w:cs="Arial"/>
          <w:snapToGrid w:val="0"/>
          <w:sz w:val="22"/>
          <w:szCs w:val="22"/>
        </w:rPr>
        <w:t xml:space="preserve">. </w:t>
      </w:r>
      <w:bookmarkStart w:id="65" w:name="_Toc193524221"/>
      <w:bookmarkStart w:id="66" w:name="_Toc209496511"/>
      <w:bookmarkStart w:id="67" w:name="_Toc257635474"/>
      <w:bookmarkStart w:id="68" w:name="_Toc320265239"/>
    </w:p>
    <w:p w:rsidR="001C4200" w:rsidRPr="004F0F91" w:rsidRDefault="001C4200" w:rsidP="001C4200">
      <w:pPr>
        <w:widowControl w:val="0"/>
        <w:jc w:val="both"/>
        <w:rPr>
          <w:rFonts w:ascii="Arial" w:hAnsi="Arial" w:cs="Arial"/>
        </w:rPr>
      </w:pPr>
    </w:p>
    <w:p w:rsidR="001C4200" w:rsidRPr="00064838" w:rsidRDefault="00543D58" w:rsidP="001C4200">
      <w:pPr>
        <w:pStyle w:val="Nadpis2"/>
      </w:pPr>
      <w:bookmarkStart w:id="69" w:name="_Toc381372897"/>
      <w:bookmarkStart w:id="70" w:name="_Toc411611479"/>
      <w:r>
        <w:t>6.1</w:t>
      </w:r>
      <w:r w:rsidR="001C4200" w:rsidRPr="00064838">
        <w:t xml:space="preserve"> </w:t>
      </w:r>
      <w:bookmarkEnd w:id="65"/>
      <w:bookmarkEnd w:id="66"/>
      <w:r w:rsidR="001C4200" w:rsidRPr="00064838">
        <w:t>Realizace jednotlivých nástrojů APZ</w:t>
      </w:r>
      <w:bookmarkEnd w:id="67"/>
      <w:bookmarkEnd w:id="68"/>
      <w:r w:rsidR="001C4200" w:rsidRPr="00064838">
        <w:t xml:space="preserve"> v roce 2013</w:t>
      </w:r>
      <w:bookmarkEnd w:id="69"/>
      <w:bookmarkEnd w:id="70"/>
    </w:p>
    <w:p w:rsidR="001C4200" w:rsidRPr="00064838" w:rsidRDefault="001C4200" w:rsidP="001C4200">
      <w:pPr>
        <w:pStyle w:val="Zprva2"/>
        <w:spacing w:line="276" w:lineRule="auto"/>
        <w:rPr>
          <w:rFonts w:ascii="Arial" w:hAnsi="Arial" w:cs="Arial"/>
          <w:color w:val="auto"/>
          <w:sz w:val="22"/>
          <w:szCs w:val="22"/>
        </w:rPr>
      </w:pPr>
    </w:p>
    <w:p w:rsidR="001C4200" w:rsidRPr="00077B75" w:rsidRDefault="001C4200" w:rsidP="001C4200">
      <w:pPr>
        <w:jc w:val="both"/>
        <w:rPr>
          <w:rFonts w:ascii="Arial" w:hAnsi="Arial" w:cs="Arial"/>
          <w:sz w:val="22"/>
          <w:szCs w:val="22"/>
        </w:rPr>
      </w:pPr>
      <w:r w:rsidRPr="00077B75">
        <w:rPr>
          <w:rFonts w:ascii="Arial" w:hAnsi="Arial" w:cs="Arial"/>
          <w:sz w:val="22"/>
          <w:szCs w:val="22"/>
        </w:rPr>
        <w:t xml:space="preserve">Realizace aktivní politiky zaměstnanosti byla v roce 2014 ve všech okresech Jihomoravského kraje prováděna v souladu s Normativní instrukcí MPSV 1/2014, Směrnicemi GŘ 8/2014 a 9/2014. Na základě této metodiky byly příspěvky z APZ podpořeny přednostně kategorie uchazečů o zaměstnání znevýhodněných na trhu práce: uchazeči do 25 let a nad 55 let věku, ženy vracející se na trh práce po rodičovské dovolené, osoby se zdravotním postižením, uchazeči ohrožení dlouhodobou nezaměstnaností a uchazeči, kterým je třeba věnovat zvýšenou péči při zprostředkování zaměstnání. </w:t>
      </w:r>
    </w:p>
    <w:p w:rsidR="001C4200" w:rsidRPr="00077B75" w:rsidRDefault="001C4200" w:rsidP="001C4200">
      <w:pPr>
        <w:jc w:val="both"/>
        <w:rPr>
          <w:rFonts w:ascii="Arial" w:hAnsi="Arial" w:cs="Arial"/>
          <w:sz w:val="22"/>
          <w:szCs w:val="22"/>
        </w:rPr>
      </w:pPr>
    </w:p>
    <w:p w:rsidR="001C4200" w:rsidRPr="00077B75" w:rsidRDefault="001C4200" w:rsidP="001C4200">
      <w:pPr>
        <w:jc w:val="both"/>
        <w:rPr>
          <w:rFonts w:ascii="Arial" w:hAnsi="Arial" w:cs="Arial"/>
          <w:sz w:val="22"/>
          <w:szCs w:val="22"/>
        </w:rPr>
      </w:pPr>
      <w:r w:rsidRPr="00077B75">
        <w:rPr>
          <w:rFonts w:ascii="Arial" w:hAnsi="Arial" w:cs="Arial"/>
          <w:sz w:val="22"/>
          <w:szCs w:val="22"/>
        </w:rPr>
        <w:t xml:space="preserve">Z nástrojů APZ byly </w:t>
      </w:r>
      <w:r w:rsidRPr="00077B75">
        <w:rPr>
          <w:rFonts w:ascii="Arial" w:hAnsi="Arial" w:cs="Arial"/>
          <w:b/>
          <w:sz w:val="22"/>
          <w:szCs w:val="22"/>
        </w:rPr>
        <w:t>nejvíce využívány veřejně prospěšné práce a společensky účelná pracovní místa s příspěvkem na vyhrazení</w:t>
      </w:r>
      <w:r w:rsidRPr="00077B75">
        <w:rPr>
          <w:rFonts w:ascii="Arial" w:hAnsi="Arial" w:cs="Arial"/>
          <w:sz w:val="22"/>
          <w:szCs w:val="22"/>
        </w:rPr>
        <w:t>, u kterých byla preferována místa s perspektivou trvalého umístění. Oba tyto nástroje byly vytvářeny převážně v rámci NIP VSPR! - Pracovní příležitosti a financovány v rámci OP LZZ, méně pak s využitím rozpočtu národních prostředků na APZ.  V oblasti podpory zaměstnávání osob se zdravotním postižením bylo preferováno jejich umísťování na otevřeném trhu práce, v odůvodněných případech byla vymezována nebo zřizována chráněná pracovní místa. Při poskytování příspěvků na podporu zaměstnávání OZP byla preferována podpora vzniku nových pracovních míst.</w:t>
      </w:r>
    </w:p>
    <w:p w:rsidR="001C4200" w:rsidRPr="00077B75" w:rsidRDefault="001C4200" w:rsidP="001C4200">
      <w:pPr>
        <w:jc w:val="both"/>
        <w:rPr>
          <w:rFonts w:ascii="Arial" w:hAnsi="Arial" w:cs="Arial"/>
          <w:sz w:val="22"/>
          <w:szCs w:val="22"/>
        </w:rPr>
      </w:pPr>
    </w:p>
    <w:p w:rsidR="001C4200" w:rsidRPr="00077B75" w:rsidRDefault="001C4200" w:rsidP="001C4200">
      <w:pPr>
        <w:jc w:val="both"/>
        <w:rPr>
          <w:rFonts w:ascii="Arial" w:hAnsi="Arial" w:cs="Arial"/>
          <w:sz w:val="22"/>
          <w:szCs w:val="22"/>
        </w:rPr>
      </w:pPr>
      <w:r w:rsidRPr="00077B75">
        <w:rPr>
          <w:rFonts w:ascii="Arial" w:hAnsi="Arial" w:cs="Arial"/>
          <w:sz w:val="22"/>
          <w:szCs w:val="22"/>
        </w:rPr>
        <w:t>Intenzita využití nástrojů APZ je v jednotlivých okresech rozdílná. Dlouhodobě mezi okresy s nejvyššími počty vytvářených pracovních míst patří okres Brno – město, Hodonín a Znojmo. V okrese Brno – město převažuje využívání SÚPM vyhrazených, o vytváření VPP je zde ze strany starostů městských částí nižší zájem než ve zbytku kraje. Naopak v okrese Znojmo dlouhodobě převažuje tvorba míst v rámci VPP a žádostí zaměstnavatelů o vytváření SÚPM je méně.</w:t>
      </w:r>
    </w:p>
    <w:p w:rsidR="001C4200" w:rsidRPr="00077B75"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rPr>
          <w:rFonts w:ascii="Arial" w:hAnsi="Arial" w:cs="Arial"/>
          <w:b/>
          <w:i/>
          <w:sz w:val="20"/>
          <w:szCs w:val="20"/>
        </w:rPr>
      </w:pPr>
    </w:p>
    <w:p w:rsidR="001C4200" w:rsidRPr="001C4200" w:rsidRDefault="001C4200" w:rsidP="001C4200">
      <w:pPr>
        <w:rPr>
          <w:rFonts w:ascii="Arial" w:hAnsi="Arial" w:cs="Arial"/>
          <w:b/>
          <w:i/>
          <w:sz w:val="20"/>
          <w:szCs w:val="20"/>
        </w:rPr>
      </w:pPr>
      <w:r w:rsidRPr="001C4200">
        <w:rPr>
          <w:rFonts w:ascii="Arial" w:hAnsi="Arial" w:cs="Arial"/>
          <w:b/>
          <w:i/>
          <w:sz w:val="20"/>
          <w:szCs w:val="20"/>
        </w:rPr>
        <w:t xml:space="preserve">Tab. </w:t>
      </w:r>
      <w:r w:rsidRPr="001C4200">
        <w:rPr>
          <w:rFonts w:ascii="Arial" w:hAnsi="Arial" w:cs="Arial"/>
          <w:b/>
          <w:i/>
          <w:sz w:val="20"/>
          <w:szCs w:val="20"/>
        </w:rPr>
        <w:fldChar w:fldCharType="begin"/>
      </w:r>
      <w:r w:rsidRPr="001C4200">
        <w:rPr>
          <w:rFonts w:ascii="Arial" w:hAnsi="Arial" w:cs="Arial"/>
          <w:b/>
          <w:i/>
          <w:sz w:val="20"/>
          <w:szCs w:val="20"/>
        </w:rPr>
        <w:instrText xml:space="preserve"> SEQ Tab. \* ARABIC </w:instrText>
      </w:r>
      <w:r w:rsidRPr="001C4200">
        <w:rPr>
          <w:rFonts w:ascii="Arial" w:hAnsi="Arial" w:cs="Arial"/>
          <w:b/>
          <w:i/>
          <w:sz w:val="20"/>
          <w:szCs w:val="20"/>
        </w:rPr>
        <w:fldChar w:fldCharType="separate"/>
      </w:r>
      <w:r w:rsidR="004378F3">
        <w:rPr>
          <w:rFonts w:ascii="Arial" w:hAnsi="Arial" w:cs="Arial"/>
          <w:b/>
          <w:i/>
          <w:noProof/>
          <w:sz w:val="20"/>
          <w:szCs w:val="20"/>
        </w:rPr>
        <w:t>18</w:t>
      </w:r>
      <w:r w:rsidRPr="001C4200">
        <w:rPr>
          <w:rFonts w:ascii="Arial" w:hAnsi="Arial" w:cs="Arial"/>
          <w:b/>
          <w:i/>
          <w:sz w:val="20"/>
          <w:szCs w:val="20"/>
        </w:rPr>
        <w:fldChar w:fldCharType="end"/>
      </w:r>
      <w:r w:rsidRPr="001C4200">
        <w:rPr>
          <w:rFonts w:ascii="Arial" w:hAnsi="Arial" w:cs="Arial"/>
          <w:b/>
          <w:i/>
          <w:sz w:val="20"/>
          <w:szCs w:val="20"/>
        </w:rPr>
        <w:t>: Využití nástrojů APZ  v Jihomoravském kraji v roce 2014</w:t>
      </w:r>
    </w:p>
    <w:tbl>
      <w:tblPr>
        <w:tblW w:w="8832" w:type="dxa"/>
        <w:tblInd w:w="55" w:type="dxa"/>
        <w:tblCellMar>
          <w:left w:w="70" w:type="dxa"/>
          <w:right w:w="70" w:type="dxa"/>
        </w:tblCellMar>
        <w:tblLook w:val="04A0" w:firstRow="1" w:lastRow="0" w:firstColumn="1" w:lastColumn="0" w:noHBand="0" w:noVBand="1"/>
      </w:tblPr>
      <w:tblGrid>
        <w:gridCol w:w="3607"/>
        <w:gridCol w:w="1045"/>
        <w:gridCol w:w="1045"/>
        <w:gridCol w:w="1045"/>
        <w:gridCol w:w="1045"/>
        <w:gridCol w:w="1045"/>
      </w:tblGrid>
      <w:tr w:rsidR="001C4200" w:rsidRPr="00C67AE7" w:rsidTr="001C4200">
        <w:trPr>
          <w:trHeight w:val="2091"/>
        </w:trPr>
        <w:tc>
          <w:tcPr>
            <w:tcW w:w="3607"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1C4200" w:rsidRPr="001C4200" w:rsidRDefault="001C4200" w:rsidP="001C4200">
            <w:pPr>
              <w:spacing w:line="240" w:lineRule="auto"/>
              <w:jc w:val="center"/>
              <w:rPr>
                <w:rFonts w:asciiTheme="minorHAnsi" w:hAnsiTheme="minorHAnsi"/>
                <w:b/>
                <w:color w:val="000000"/>
                <w:sz w:val="20"/>
                <w:szCs w:val="20"/>
              </w:rPr>
            </w:pPr>
            <w:r w:rsidRPr="001C4200">
              <w:rPr>
                <w:rFonts w:asciiTheme="minorHAnsi" w:hAnsiTheme="minorHAnsi"/>
                <w:b/>
                <w:color w:val="000000"/>
                <w:sz w:val="20"/>
                <w:szCs w:val="20"/>
              </w:rPr>
              <w:t>Nástroj APZ</w:t>
            </w:r>
          </w:p>
        </w:tc>
        <w:tc>
          <w:tcPr>
            <w:tcW w:w="1045" w:type="dxa"/>
            <w:tcBorders>
              <w:top w:val="single" w:sz="12" w:space="0" w:color="auto"/>
              <w:left w:val="nil"/>
              <w:bottom w:val="single" w:sz="12" w:space="0" w:color="auto"/>
              <w:right w:val="single" w:sz="8" w:space="0" w:color="auto"/>
            </w:tcBorders>
            <w:shd w:val="clear" w:color="auto" w:fill="auto"/>
            <w:textDirection w:val="btLr"/>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Počet vtvořených míst</w:t>
            </w:r>
          </w:p>
        </w:tc>
        <w:tc>
          <w:tcPr>
            <w:tcW w:w="1045" w:type="dxa"/>
            <w:tcBorders>
              <w:top w:val="single" w:sz="12" w:space="0" w:color="auto"/>
              <w:left w:val="nil"/>
              <w:bottom w:val="single" w:sz="12" w:space="0" w:color="auto"/>
              <w:right w:val="single" w:sz="8" w:space="0" w:color="auto"/>
            </w:tcBorders>
            <w:shd w:val="clear" w:color="000000" w:fill="FFFFFF"/>
            <w:textDirection w:val="btLr"/>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Počet umístěných uchazečů</w:t>
            </w:r>
          </w:p>
        </w:tc>
        <w:tc>
          <w:tcPr>
            <w:tcW w:w="1045" w:type="dxa"/>
            <w:tcBorders>
              <w:top w:val="single" w:sz="12" w:space="0" w:color="auto"/>
              <w:left w:val="nil"/>
              <w:bottom w:val="single" w:sz="12" w:space="0" w:color="auto"/>
              <w:right w:val="single" w:sz="8" w:space="0" w:color="auto"/>
            </w:tcBorders>
            <w:shd w:val="clear" w:color="000000" w:fill="FFFFFF"/>
            <w:textDirection w:val="btLr"/>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Z toho OZP</w:t>
            </w:r>
          </w:p>
        </w:tc>
        <w:tc>
          <w:tcPr>
            <w:tcW w:w="1045" w:type="dxa"/>
            <w:tcBorders>
              <w:top w:val="single" w:sz="12" w:space="0" w:color="auto"/>
              <w:left w:val="nil"/>
              <w:bottom w:val="single" w:sz="12" w:space="0" w:color="auto"/>
              <w:right w:val="single" w:sz="8" w:space="0" w:color="auto"/>
            </w:tcBorders>
            <w:shd w:val="clear" w:color="000000" w:fill="FFFFFF"/>
            <w:textDirection w:val="btLr"/>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Schválený rozpočet v tis. Kč</w:t>
            </w:r>
          </w:p>
        </w:tc>
        <w:tc>
          <w:tcPr>
            <w:tcW w:w="1045" w:type="dxa"/>
            <w:tcBorders>
              <w:top w:val="single" w:sz="12" w:space="0" w:color="auto"/>
              <w:left w:val="nil"/>
              <w:bottom w:val="single" w:sz="12" w:space="0" w:color="auto"/>
              <w:right w:val="single" w:sz="12" w:space="0" w:color="auto"/>
            </w:tcBorders>
            <w:shd w:val="clear" w:color="000000" w:fill="FFFFFF"/>
            <w:textDirection w:val="btLr"/>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čerpání v %</w:t>
            </w:r>
          </w:p>
        </w:tc>
      </w:tr>
      <w:tr w:rsidR="001C4200" w:rsidRPr="00C67AE7" w:rsidTr="001C4200">
        <w:trPr>
          <w:trHeight w:val="421"/>
        </w:trPr>
        <w:tc>
          <w:tcPr>
            <w:tcW w:w="8832" w:type="dxa"/>
            <w:gridSpan w:val="6"/>
            <w:tcBorders>
              <w:top w:val="single" w:sz="12" w:space="0" w:color="auto"/>
              <w:left w:val="single" w:sz="12" w:space="0" w:color="auto"/>
              <w:bottom w:val="single" w:sz="12" w:space="0" w:color="auto"/>
              <w:right w:val="single" w:sz="12" w:space="0" w:color="auto"/>
            </w:tcBorders>
            <w:shd w:val="clear" w:color="000000" w:fill="BFBFBF"/>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národní APZ</w:t>
            </w:r>
          </w:p>
        </w:tc>
      </w:tr>
      <w:tr w:rsidR="001C4200" w:rsidRPr="00C67AE7" w:rsidTr="001C4200">
        <w:trPr>
          <w:trHeight w:val="387"/>
        </w:trPr>
        <w:tc>
          <w:tcPr>
            <w:tcW w:w="3607"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VPP</w:t>
            </w:r>
          </w:p>
        </w:tc>
        <w:tc>
          <w:tcPr>
            <w:tcW w:w="1045" w:type="dxa"/>
            <w:tcBorders>
              <w:top w:val="single" w:sz="12" w:space="0" w:color="auto"/>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382</w:t>
            </w:r>
          </w:p>
        </w:tc>
        <w:tc>
          <w:tcPr>
            <w:tcW w:w="1045" w:type="dxa"/>
            <w:tcBorders>
              <w:top w:val="single" w:sz="12" w:space="0" w:color="auto"/>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397</w:t>
            </w:r>
          </w:p>
        </w:tc>
        <w:tc>
          <w:tcPr>
            <w:tcW w:w="1045" w:type="dxa"/>
            <w:tcBorders>
              <w:top w:val="single" w:sz="12" w:space="0" w:color="auto"/>
              <w:left w:val="nil"/>
              <w:bottom w:val="single" w:sz="8" w:space="0" w:color="auto"/>
              <w:right w:val="single" w:sz="8" w:space="0" w:color="auto"/>
            </w:tcBorders>
            <w:shd w:val="clear" w:color="auto" w:fill="auto"/>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43</w:t>
            </w:r>
          </w:p>
        </w:tc>
        <w:tc>
          <w:tcPr>
            <w:tcW w:w="1045" w:type="dxa"/>
            <w:tcBorders>
              <w:top w:val="single" w:sz="12" w:space="0" w:color="auto"/>
              <w:left w:val="nil"/>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44 424</w:t>
            </w:r>
          </w:p>
        </w:tc>
        <w:tc>
          <w:tcPr>
            <w:tcW w:w="1045" w:type="dxa"/>
            <w:tcBorders>
              <w:top w:val="single" w:sz="12" w:space="0" w:color="auto"/>
              <w:left w:val="nil"/>
              <w:bottom w:val="single" w:sz="8" w:space="0" w:color="auto"/>
              <w:right w:val="single" w:sz="12" w:space="0" w:color="auto"/>
            </w:tcBorders>
            <w:shd w:val="clear" w:color="auto" w:fill="auto"/>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38,2</w:t>
            </w:r>
          </w:p>
        </w:tc>
      </w:tr>
      <w:tr w:rsidR="001C4200" w:rsidRPr="00C67AE7" w:rsidTr="001C4200">
        <w:trPr>
          <w:trHeight w:val="387"/>
        </w:trPr>
        <w:tc>
          <w:tcPr>
            <w:tcW w:w="3607"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SÚPM zřízená zaměstnavatelem</w:t>
            </w:r>
          </w:p>
        </w:tc>
        <w:tc>
          <w:tcPr>
            <w:tcW w:w="1045" w:type="dxa"/>
            <w:tcBorders>
              <w:top w:val="single" w:sz="8" w:space="0" w:color="auto"/>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tcBorders>
              <w:top w:val="single" w:sz="8" w:space="0" w:color="auto"/>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tcBorders>
              <w:top w:val="single" w:sz="8" w:space="0" w:color="auto"/>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103 200</w:t>
            </w:r>
          </w:p>
        </w:tc>
        <w:tc>
          <w:tcPr>
            <w:tcW w:w="1045" w:type="dxa"/>
            <w:vMerge w:val="restart"/>
            <w:tcBorders>
              <w:top w:val="single" w:sz="8" w:space="0" w:color="auto"/>
              <w:left w:val="single" w:sz="8" w:space="0" w:color="auto"/>
              <w:bottom w:val="single" w:sz="8" w:space="0" w:color="000000"/>
              <w:right w:val="single" w:sz="12" w:space="0" w:color="auto"/>
            </w:tcBorders>
            <w:shd w:val="clear" w:color="auto" w:fill="auto"/>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59,1</w:t>
            </w: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SÚPM vyhrazená zaměstnavatelem</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1 074</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1 074</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51</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single" w:sz="8" w:space="0" w:color="auto"/>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SÚPM - SVČ zřízená UoZ</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415</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415</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16</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single" w:sz="8" w:space="0" w:color="auto"/>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CHPM zřízená zaměstnavatelem</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111</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104</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101</w:t>
            </w:r>
          </w:p>
        </w:tc>
        <w:tc>
          <w:tcPr>
            <w:tcW w:w="10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12 847</w:t>
            </w:r>
          </w:p>
        </w:tc>
        <w:tc>
          <w:tcPr>
            <w:tcW w:w="1045" w:type="dxa"/>
            <w:vMerge w:val="restart"/>
            <w:tcBorders>
              <w:top w:val="nil"/>
              <w:left w:val="single" w:sz="8" w:space="0" w:color="auto"/>
              <w:bottom w:val="single" w:sz="8" w:space="0" w:color="000000"/>
              <w:right w:val="single" w:sz="12" w:space="0" w:color="auto"/>
            </w:tcBorders>
            <w:shd w:val="clear" w:color="auto" w:fill="auto"/>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73,5</w:t>
            </w: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CHPM - SVČ osob se ZP</w:t>
            </w:r>
          </w:p>
        </w:tc>
        <w:tc>
          <w:tcPr>
            <w:tcW w:w="1045" w:type="dxa"/>
            <w:tcBorders>
              <w:top w:val="nil"/>
              <w:left w:val="nil"/>
              <w:bottom w:val="single" w:sz="8" w:space="0" w:color="auto"/>
              <w:right w:val="single" w:sz="8" w:space="0" w:color="auto"/>
            </w:tcBorders>
            <w:shd w:val="clear" w:color="auto" w:fill="auto"/>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2</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2</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2</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CHPM, CHPD, CHPM SVČ – provoz</w:t>
            </w:r>
          </w:p>
        </w:tc>
        <w:tc>
          <w:tcPr>
            <w:tcW w:w="1045" w:type="dxa"/>
            <w:tcBorders>
              <w:top w:val="nil"/>
              <w:left w:val="nil"/>
              <w:bottom w:val="single" w:sz="8" w:space="0" w:color="auto"/>
              <w:right w:val="single" w:sz="8" w:space="0" w:color="auto"/>
            </w:tcBorders>
            <w:shd w:val="clear" w:color="auto" w:fill="auto"/>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4</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4</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příspěvek na zapracování</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24 929</w:t>
            </w:r>
          </w:p>
        </w:tc>
        <w:tc>
          <w:tcPr>
            <w:tcW w:w="1045" w:type="dxa"/>
            <w:vMerge w:val="restart"/>
            <w:tcBorders>
              <w:top w:val="nil"/>
              <w:left w:val="single" w:sz="8" w:space="0" w:color="auto"/>
              <w:bottom w:val="single" w:sz="8" w:space="0" w:color="000000"/>
              <w:right w:val="single" w:sz="12" w:space="0" w:color="auto"/>
            </w:tcBorders>
            <w:shd w:val="clear" w:color="auto" w:fill="auto"/>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76,1</w:t>
            </w: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překlenovací příspěvek</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68</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4</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rekvalifikace (bez zvolené)</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1 148</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zvolená ekvalifikace</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419</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8</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poradenské činnosti</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427</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19</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pracovní rehabilitace</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2</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0</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12" w:space="0" w:color="auto"/>
              <w:right w:val="single" w:sz="8" w:space="0" w:color="auto"/>
            </w:tcBorders>
            <w:shd w:val="clear" w:color="000000" w:fill="FFC000"/>
            <w:vAlign w:val="center"/>
            <w:hideMark/>
          </w:tcPr>
          <w:p w:rsidR="001C4200" w:rsidRPr="001C4200" w:rsidRDefault="001C4200" w:rsidP="001C4200">
            <w:pPr>
              <w:spacing w:line="240" w:lineRule="auto"/>
              <w:jc w:val="both"/>
              <w:rPr>
                <w:rFonts w:asciiTheme="minorHAnsi" w:hAnsiTheme="minorHAnsi"/>
                <w:b/>
                <w:bCs/>
                <w:i/>
                <w:iCs/>
                <w:color w:val="000000"/>
                <w:sz w:val="20"/>
                <w:szCs w:val="20"/>
              </w:rPr>
            </w:pPr>
            <w:r w:rsidRPr="001C4200">
              <w:rPr>
                <w:rFonts w:asciiTheme="minorHAnsi" w:hAnsiTheme="minorHAnsi"/>
                <w:b/>
                <w:bCs/>
                <w:i/>
                <w:iCs/>
                <w:color w:val="000000"/>
                <w:sz w:val="20"/>
                <w:szCs w:val="20"/>
              </w:rPr>
              <w:t>celkem národní APZ</w:t>
            </w:r>
          </w:p>
        </w:tc>
        <w:tc>
          <w:tcPr>
            <w:tcW w:w="1045" w:type="dxa"/>
            <w:tcBorders>
              <w:top w:val="nil"/>
              <w:left w:val="nil"/>
              <w:bottom w:val="single" w:sz="12" w:space="0" w:color="auto"/>
              <w:right w:val="single" w:sz="8" w:space="0" w:color="auto"/>
            </w:tcBorders>
            <w:shd w:val="clear" w:color="000000" w:fill="FFC000"/>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1 984</w:t>
            </w:r>
          </w:p>
        </w:tc>
        <w:tc>
          <w:tcPr>
            <w:tcW w:w="1045" w:type="dxa"/>
            <w:tcBorders>
              <w:top w:val="nil"/>
              <w:left w:val="nil"/>
              <w:bottom w:val="single" w:sz="12" w:space="0" w:color="auto"/>
              <w:right w:val="single" w:sz="8" w:space="0" w:color="auto"/>
            </w:tcBorders>
            <w:shd w:val="clear" w:color="000000" w:fill="FFC000"/>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4 060</w:t>
            </w:r>
          </w:p>
        </w:tc>
        <w:tc>
          <w:tcPr>
            <w:tcW w:w="1045" w:type="dxa"/>
            <w:tcBorders>
              <w:top w:val="nil"/>
              <w:left w:val="nil"/>
              <w:bottom w:val="single" w:sz="12" w:space="0" w:color="auto"/>
              <w:right w:val="single" w:sz="8" w:space="0" w:color="auto"/>
            </w:tcBorders>
            <w:shd w:val="clear" w:color="000000" w:fill="FFC000"/>
            <w:noWrap/>
            <w:vAlign w:val="center"/>
            <w:hideMark/>
          </w:tcPr>
          <w:p w:rsidR="001C4200" w:rsidRPr="001C4200" w:rsidRDefault="001C4200" w:rsidP="001C4200">
            <w:pPr>
              <w:spacing w:line="240" w:lineRule="auto"/>
              <w:ind w:firstLineChars="100" w:firstLine="201"/>
              <w:jc w:val="right"/>
              <w:rPr>
                <w:rFonts w:asciiTheme="minorHAnsi" w:hAnsiTheme="minorHAnsi"/>
                <w:b/>
                <w:bCs/>
                <w:color w:val="000000"/>
                <w:sz w:val="20"/>
                <w:szCs w:val="20"/>
              </w:rPr>
            </w:pPr>
            <w:r w:rsidRPr="001C4200">
              <w:rPr>
                <w:rFonts w:asciiTheme="minorHAnsi" w:hAnsiTheme="minorHAnsi"/>
                <w:b/>
                <w:bCs/>
                <w:color w:val="000000"/>
                <w:sz w:val="20"/>
                <w:szCs w:val="20"/>
              </w:rPr>
              <w:t>248</w:t>
            </w:r>
          </w:p>
        </w:tc>
        <w:tc>
          <w:tcPr>
            <w:tcW w:w="1045" w:type="dxa"/>
            <w:tcBorders>
              <w:top w:val="nil"/>
              <w:left w:val="nil"/>
              <w:bottom w:val="single" w:sz="12" w:space="0" w:color="auto"/>
              <w:right w:val="single" w:sz="8" w:space="0" w:color="auto"/>
            </w:tcBorders>
            <w:shd w:val="clear" w:color="000000" w:fill="FFC000"/>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185 400</w:t>
            </w:r>
          </w:p>
        </w:tc>
        <w:tc>
          <w:tcPr>
            <w:tcW w:w="1045" w:type="dxa"/>
            <w:tcBorders>
              <w:top w:val="nil"/>
              <w:left w:val="nil"/>
              <w:bottom w:val="single" w:sz="12" w:space="0" w:color="auto"/>
              <w:right w:val="single" w:sz="12" w:space="0" w:color="auto"/>
            </w:tcBorders>
            <w:shd w:val="clear" w:color="000000" w:fill="FFC000"/>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57,4</w:t>
            </w:r>
          </w:p>
        </w:tc>
      </w:tr>
      <w:tr w:rsidR="001C4200" w:rsidRPr="00C67AE7" w:rsidTr="001C4200">
        <w:trPr>
          <w:trHeight w:val="387"/>
        </w:trPr>
        <w:tc>
          <w:tcPr>
            <w:tcW w:w="8832" w:type="dxa"/>
            <w:gridSpan w:val="6"/>
            <w:tcBorders>
              <w:top w:val="single" w:sz="12" w:space="0" w:color="auto"/>
              <w:left w:val="single" w:sz="12" w:space="0" w:color="auto"/>
              <w:bottom w:val="single" w:sz="12" w:space="0" w:color="auto"/>
              <w:right w:val="single" w:sz="12" w:space="0" w:color="auto"/>
            </w:tcBorders>
            <w:shd w:val="clear" w:color="000000" w:fill="BFBFBF"/>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ESF - OP LZZ</w:t>
            </w:r>
          </w:p>
        </w:tc>
      </w:tr>
      <w:tr w:rsidR="001C4200" w:rsidRPr="00C67AE7" w:rsidTr="001C4200">
        <w:trPr>
          <w:trHeight w:val="387"/>
        </w:trPr>
        <w:tc>
          <w:tcPr>
            <w:tcW w:w="3607"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VPP NIP</w:t>
            </w:r>
          </w:p>
        </w:tc>
        <w:tc>
          <w:tcPr>
            <w:tcW w:w="1045" w:type="dxa"/>
            <w:tcBorders>
              <w:top w:val="single" w:sz="12" w:space="0" w:color="auto"/>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1 817</w:t>
            </w:r>
          </w:p>
        </w:tc>
        <w:tc>
          <w:tcPr>
            <w:tcW w:w="1045" w:type="dxa"/>
            <w:tcBorders>
              <w:top w:val="single" w:sz="12" w:space="0" w:color="auto"/>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1 772</w:t>
            </w:r>
          </w:p>
        </w:tc>
        <w:tc>
          <w:tcPr>
            <w:tcW w:w="1045" w:type="dxa"/>
            <w:tcBorders>
              <w:top w:val="single" w:sz="12" w:space="0" w:color="auto"/>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160</w:t>
            </w:r>
          </w:p>
        </w:tc>
        <w:tc>
          <w:tcPr>
            <w:tcW w:w="1045" w:type="dxa"/>
            <w:tcBorders>
              <w:top w:val="single" w:sz="12" w:space="0" w:color="auto"/>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196 592</w:t>
            </w:r>
          </w:p>
        </w:tc>
        <w:tc>
          <w:tcPr>
            <w:tcW w:w="1045" w:type="dxa"/>
            <w:tcBorders>
              <w:top w:val="single" w:sz="12" w:space="0" w:color="auto"/>
              <w:left w:val="nil"/>
              <w:bottom w:val="single" w:sz="8" w:space="0" w:color="auto"/>
              <w:right w:val="single" w:sz="12" w:space="0" w:color="auto"/>
            </w:tcBorders>
            <w:shd w:val="clear" w:color="000000" w:fill="FFFFFF"/>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94,5</w:t>
            </w: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SÚPM NIP</w:t>
            </w:r>
          </w:p>
        </w:tc>
        <w:tc>
          <w:tcPr>
            <w:tcW w:w="1045" w:type="dxa"/>
            <w:tcBorders>
              <w:top w:val="nil"/>
              <w:left w:val="nil"/>
              <w:bottom w:val="single" w:sz="8" w:space="0" w:color="auto"/>
              <w:right w:val="single" w:sz="8" w:space="0" w:color="auto"/>
            </w:tcBorders>
            <w:shd w:val="clear" w:color="000000" w:fill="FFFFFF"/>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1 924</w:t>
            </w:r>
          </w:p>
        </w:tc>
        <w:tc>
          <w:tcPr>
            <w:tcW w:w="1045" w:type="dxa"/>
            <w:tcBorders>
              <w:top w:val="nil"/>
              <w:left w:val="nil"/>
              <w:bottom w:val="single" w:sz="8" w:space="0" w:color="auto"/>
              <w:right w:val="single" w:sz="8" w:space="0" w:color="auto"/>
            </w:tcBorders>
            <w:shd w:val="clear" w:color="auto" w:fill="auto"/>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1 894</w:t>
            </w:r>
          </w:p>
        </w:tc>
        <w:tc>
          <w:tcPr>
            <w:tcW w:w="1045" w:type="dxa"/>
            <w:tcBorders>
              <w:top w:val="nil"/>
              <w:left w:val="nil"/>
              <w:bottom w:val="single" w:sz="8" w:space="0" w:color="auto"/>
              <w:right w:val="single" w:sz="8" w:space="0" w:color="auto"/>
            </w:tcBorders>
            <w:shd w:val="clear" w:color="auto" w:fill="auto"/>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107</w:t>
            </w:r>
          </w:p>
        </w:tc>
        <w:tc>
          <w:tcPr>
            <w:tcW w:w="1045" w:type="dxa"/>
            <w:tcBorders>
              <w:top w:val="nil"/>
              <w:left w:val="nil"/>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135 072</w:t>
            </w:r>
          </w:p>
        </w:tc>
        <w:tc>
          <w:tcPr>
            <w:tcW w:w="1045" w:type="dxa"/>
            <w:tcBorders>
              <w:top w:val="nil"/>
              <w:left w:val="nil"/>
              <w:bottom w:val="single" w:sz="8" w:space="0" w:color="auto"/>
              <w:right w:val="single" w:sz="12" w:space="0" w:color="auto"/>
            </w:tcBorders>
            <w:shd w:val="clear" w:color="000000" w:fill="FFFFFF"/>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95,3</w:t>
            </w: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rekvalifikace NIP (bez zvolené)</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0</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464</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w:t>
            </w:r>
          </w:p>
        </w:tc>
        <w:tc>
          <w:tcPr>
            <w:tcW w:w="104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19 520</w:t>
            </w:r>
          </w:p>
        </w:tc>
        <w:tc>
          <w:tcPr>
            <w:tcW w:w="1045" w:type="dxa"/>
            <w:vMerge w:val="restart"/>
            <w:tcBorders>
              <w:top w:val="nil"/>
              <w:left w:val="single" w:sz="8" w:space="0" w:color="auto"/>
              <w:bottom w:val="single" w:sz="8" w:space="0" w:color="000000"/>
              <w:right w:val="single" w:sz="12" w:space="0" w:color="auto"/>
            </w:tcBorders>
            <w:shd w:val="clear" w:color="000000" w:fill="FFFFFF"/>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86,9</w:t>
            </w: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zvolená rekvalifikace NIP</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0</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1 042</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103</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poradenské činnosti NIP</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0</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214</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9</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pracovní rehabilitace NIP</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0</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0</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0</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RIP OP LZZ (bez odborných praxí)</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382</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382</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2</w:t>
            </w:r>
          </w:p>
        </w:tc>
        <w:tc>
          <w:tcPr>
            <w:tcW w:w="104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255 886</w:t>
            </w:r>
          </w:p>
        </w:tc>
        <w:tc>
          <w:tcPr>
            <w:tcW w:w="1045" w:type="dxa"/>
            <w:vMerge w:val="restart"/>
            <w:tcBorders>
              <w:top w:val="nil"/>
              <w:left w:val="single" w:sz="8" w:space="0" w:color="auto"/>
              <w:bottom w:val="single" w:sz="8" w:space="0" w:color="000000"/>
              <w:right w:val="single" w:sz="12" w:space="0" w:color="auto"/>
            </w:tcBorders>
            <w:shd w:val="clear" w:color="000000" w:fill="FFFFFF"/>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98,2</w:t>
            </w: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odborné praxe pro mladé do 30 let</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583</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583</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0</w:t>
            </w:r>
          </w:p>
        </w:tc>
        <w:tc>
          <w:tcPr>
            <w:tcW w:w="1045" w:type="dxa"/>
            <w:vMerge/>
            <w:tcBorders>
              <w:top w:val="nil"/>
              <w:left w:val="single" w:sz="8" w:space="0" w:color="auto"/>
              <w:bottom w:val="single" w:sz="8" w:space="0" w:color="000000"/>
              <w:right w:val="single" w:sz="8"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c>
          <w:tcPr>
            <w:tcW w:w="1045" w:type="dxa"/>
            <w:vMerge/>
            <w:tcBorders>
              <w:top w:val="nil"/>
              <w:left w:val="single" w:sz="8" w:space="0" w:color="auto"/>
              <w:bottom w:val="single" w:sz="8" w:space="0" w:color="000000"/>
              <w:right w:val="single" w:sz="12" w:space="0" w:color="auto"/>
            </w:tcBorders>
            <w:vAlign w:val="center"/>
            <w:hideMark/>
          </w:tcPr>
          <w:p w:rsidR="001C4200" w:rsidRPr="001C4200" w:rsidRDefault="001C4200" w:rsidP="001C4200">
            <w:pPr>
              <w:spacing w:line="240" w:lineRule="auto"/>
              <w:rPr>
                <w:rFonts w:asciiTheme="minorHAnsi" w:hAnsiTheme="minorHAnsi"/>
                <w:b/>
                <w:bCs/>
                <w:color w:val="000000"/>
                <w:sz w:val="20"/>
                <w:szCs w:val="20"/>
              </w:rPr>
            </w:pPr>
          </w:p>
        </w:tc>
      </w:tr>
      <w:tr w:rsidR="001C4200" w:rsidRPr="00C67AE7" w:rsidTr="001C4200">
        <w:trPr>
          <w:trHeight w:val="387"/>
        </w:trPr>
        <w:tc>
          <w:tcPr>
            <w:tcW w:w="3607" w:type="dxa"/>
            <w:tcBorders>
              <w:top w:val="nil"/>
              <w:left w:val="single" w:sz="12" w:space="0" w:color="auto"/>
              <w:bottom w:val="single" w:sz="8" w:space="0" w:color="auto"/>
              <w:right w:val="single" w:sz="8" w:space="0" w:color="auto"/>
            </w:tcBorders>
            <w:shd w:val="clear" w:color="auto" w:fill="auto"/>
            <w:vAlign w:val="center"/>
            <w:hideMark/>
          </w:tcPr>
          <w:p w:rsidR="001C4200" w:rsidRPr="001C4200" w:rsidRDefault="001C4200" w:rsidP="001C4200">
            <w:pPr>
              <w:spacing w:line="240" w:lineRule="auto"/>
              <w:jc w:val="both"/>
              <w:rPr>
                <w:rFonts w:asciiTheme="minorHAnsi" w:hAnsiTheme="minorHAnsi"/>
                <w:color w:val="000000"/>
                <w:sz w:val="20"/>
                <w:szCs w:val="20"/>
              </w:rPr>
            </w:pPr>
            <w:r w:rsidRPr="001C4200">
              <w:rPr>
                <w:rFonts w:asciiTheme="minorHAnsi" w:hAnsiTheme="minorHAnsi"/>
                <w:color w:val="000000"/>
                <w:sz w:val="20"/>
                <w:szCs w:val="20"/>
              </w:rPr>
              <w:t>grantové projekty ESF</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0</w:t>
            </w:r>
          </w:p>
        </w:tc>
        <w:tc>
          <w:tcPr>
            <w:tcW w:w="1045" w:type="dxa"/>
            <w:tcBorders>
              <w:top w:val="nil"/>
              <w:left w:val="nil"/>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202</w:t>
            </w:r>
          </w:p>
        </w:tc>
        <w:tc>
          <w:tcPr>
            <w:tcW w:w="1045" w:type="dxa"/>
            <w:tcBorders>
              <w:top w:val="nil"/>
              <w:left w:val="nil"/>
              <w:bottom w:val="single" w:sz="8" w:space="0" w:color="auto"/>
              <w:right w:val="nil"/>
            </w:tcBorders>
            <w:shd w:val="clear" w:color="auto" w:fill="auto"/>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22</w:t>
            </w:r>
          </w:p>
        </w:tc>
        <w:tc>
          <w:tcPr>
            <w:tcW w:w="1045" w:type="dxa"/>
            <w:tcBorders>
              <w:top w:val="nil"/>
              <w:left w:val="single" w:sz="8" w:space="0" w:color="auto"/>
              <w:bottom w:val="single" w:sz="8" w:space="0" w:color="auto"/>
              <w:right w:val="single" w:sz="8" w:space="0" w:color="auto"/>
            </w:tcBorders>
            <w:shd w:val="clear" w:color="auto" w:fill="auto"/>
            <w:noWrap/>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_</w:t>
            </w:r>
          </w:p>
        </w:tc>
        <w:tc>
          <w:tcPr>
            <w:tcW w:w="1045" w:type="dxa"/>
            <w:tcBorders>
              <w:top w:val="nil"/>
              <w:left w:val="nil"/>
              <w:bottom w:val="single" w:sz="8" w:space="0" w:color="auto"/>
              <w:right w:val="single" w:sz="12" w:space="0" w:color="auto"/>
            </w:tcBorders>
            <w:shd w:val="clear" w:color="000000" w:fill="FFFFFF"/>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_</w:t>
            </w:r>
          </w:p>
        </w:tc>
      </w:tr>
      <w:tr w:rsidR="001C4200" w:rsidRPr="00C67AE7" w:rsidTr="001C4200">
        <w:trPr>
          <w:trHeight w:val="387"/>
        </w:trPr>
        <w:tc>
          <w:tcPr>
            <w:tcW w:w="3607" w:type="dxa"/>
            <w:tcBorders>
              <w:top w:val="nil"/>
              <w:left w:val="single" w:sz="12" w:space="0" w:color="auto"/>
              <w:bottom w:val="single" w:sz="12" w:space="0" w:color="auto"/>
              <w:right w:val="single" w:sz="8" w:space="0" w:color="auto"/>
            </w:tcBorders>
            <w:shd w:val="clear" w:color="000000" w:fill="FFC000"/>
            <w:vAlign w:val="center"/>
            <w:hideMark/>
          </w:tcPr>
          <w:p w:rsidR="001C4200" w:rsidRPr="001C4200" w:rsidRDefault="001C4200" w:rsidP="001C4200">
            <w:pPr>
              <w:spacing w:line="240" w:lineRule="auto"/>
              <w:jc w:val="both"/>
              <w:rPr>
                <w:rFonts w:asciiTheme="minorHAnsi" w:hAnsiTheme="minorHAnsi"/>
                <w:b/>
                <w:bCs/>
                <w:i/>
                <w:iCs/>
                <w:color w:val="000000"/>
                <w:sz w:val="20"/>
                <w:szCs w:val="20"/>
              </w:rPr>
            </w:pPr>
            <w:r w:rsidRPr="001C4200">
              <w:rPr>
                <w:rFonts w:asciiTheme="minorHAnsi" w:hAnsiTheme="minorHAnsi"/>
                <w:b/>
                <w:bCs/>
                <w:i/>
                <w:iCs/>
                <w:color w:val="000000"/>
                <w:sz w:val="20"/>
                <w:szCs w:val="20"/>
              </w:rPr>
              <w:t>celkem ESF - OP LZZ</w:t>
            </w:r>
          </w:p>
        </w:tc>
        <w:tc>
          <w:tcPr>
            <w:tcW w:w="1045" w:type="dxa"/>
            <w:tcBorders>
              <w:top w:val="nil"/>
              <w:left w:val="nil"/>
              <w:bottom w:val="single" w:sz="12" w:space="0" w:color="auto"/>
              <w:right w:val="single" w:sz="8" w:space="0" w:color="auto"/>
            </w:tcBorders>
            <w:shd w:val="clear" w:color="000000" w:fill="FFC000"/>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4 706</w:t>
            </w:r>
          </w:p>
        </w:tc>
        <w:tc>
          <w:tcPr>
            <w:tcW w:w="1045" w:type="dxa"/>
            <w:tcBorders>
              <w:top w:val="nil"/>
              <w:left w:val="nil"/>
              <w:bottom w:val="single" w:sz="12" w:space="0" w:color="auto"/>
              <w:right w:val="single" w:sz="8" w:space="0" w:color="auto"/>
            </w:tcBorders>
            <w:shd w:val="clear" w:color="000000" w:fill="FFC000"/>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6 553</w:t>
            </w:r>
          </w:p>
        </w:tc>
        <w:tc>
          <w:tcPr>
            <w:tcW w:w="1045" w:type="dxa"/>
            <w:tcBorders>
              <w:top w:val="nil"/>
              <w:left w:val="nil"/>
              <w:bottom w:val="single" w:sz="12" w:space="0" w:color="auto"/>
              <w:right w:val="single" w:sz="8" w:space="0" w:color="auto"/>
            </w:tcBorders>
            <w:shd w:val="clear" w:color="000000" w:fill="FFC000"/>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403</w:t>
            </w:r>
          </w:p>
        </w:tc>
        <w:tc>
          <w:tcPr>
            <w:tcW w:w="1045" w:type="dxa"/>
            <w:tcBorders>
              <w:top w:val="nil"/>
              <w:left w:val="nil"/>
              <w:bottom w:val="single" w:sz="12" w:space="0" w:color="auto"/>
              <w:right w:val="single" w:sz="8" w:space="0" w:color="auto"/>
            </w:tcBorders>
            <w:shd w:val="clear" w:color="000000" w:fill="FFC000"/>
            <w:noWrap/>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607 070</w:t>
            </w:r>
          </w:p>
        </w:tc>
        <w:tc>
          <w:tcPr>
            <w:tcW w:w="1045" w:type="dxa"/>
            <w:tcBorders>
              <w:top w:val="nil"/>
              <w:left w:val="nil"/>
              <w:bottom w:val="single" w:sz="12" w:space="0" w:color="auto"/>
              <w:right w:val="single" w:sz="12" w:space="0" w:color="auto"/>
            </w:tcBorders>
            <w:shd w:val="clear" w:color="000000" w:fill="FFC000"/>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96,0</w:t>
            </w:r>
          </w:p>
        </w:tc>
      </w:tr>
      <w:tr w:rsidR="001C4200" w:rsidRPr="00C67AE7" w:rsidTr="001C4200">
        <w:trPr>
          <w:trHeight w:val="387"/>
        </w:trPr>
        <w:tc>
          <w:tcPr>
            <w:tcW w:w="3607" w:type="dxa"/>
            <w:tcBorders>
              <w:top w:val="single" w:sz="12" w:space="0" w:color="auto"/>
              <w:left w:val="single" w:sz="12" w:space="0" w:color="auto"/>
              <w:bottom w:val="single" w:sz="12" w:space="0" w:color="auto"/>
              <w:right w:val="single" w:sz="8" w:space="0" w:color="auto"/>
            </w:tcBorders>
            <w:shd w:val="clear" w:color="000000" w:fill="FF0000"/>
            <w:vAlign w:val="center"/>
            <w:hideMark/>
          </w:tcPr>
          <w:p w:rsidR="001C4200" w:rsidRPr="001C4200" w:rsidRDefault="001C4200" w:rsidP="001C4200">
            <w:pPr>
              <w:spacing w:line="240" w:lineRule="auto"/>
              <w:jc w:val="both"/>
              <w:rPr>
                <w:rFonts w:asciiTheme="minorHAnsi" w:hAnsiTheme="minorHAnsi"/>
                <w:b/>
                <w:bCs/>
                <w:color w:val="000000"/>
                <w:sz w:val="20"/>
                <w:szCs w:val="20"/>
              </w:rPr>
            </w:pPr>
            <w:r w:rsidRPr="001C4200">
              <w:rPr>
                <w:rFonts w:asciiTheme="minorHAnsi" w:hAnsiTheme="minorHAnsi"/>
                <w:b/>
                <w:bCs/>
                <w:color w:val="000000"/>
                <w:sz w:val="20"/>
                <w:szCs w:val="20"/>
              </w:rPr>
              <w:t>celkem nár. APZ + ESF</w:t>
            </w:r>
          </w:p>
        </w:tc>
        <w:tc>
          <w:tcPr>
            <w:tcW w:w="1045" w:type="dxa"/>
            <w:tcBorders>
              <w:top w:val="single" w:sz="12" w:space="0" w:color="auto"/>
              <w:left w:val="nil"/>
              <w:bottom w:val="single" w:sz="12" w:space="0" w:color="auto"/>
              <w:right w:val="single" w:sz="8" w:space="0" w:color="auto"/>
            </w:tcBorders>
            <w:shd w:val="clear" w:color="000000" w:fill="FF0000"/>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6 690</w:t>
            </w:r>
          </w:p>
        </w:tc>
        <w:tc>
          <w:tcPr>
            <w:tcW w:w="1045" w:type="dxa"/>
            <w:tcBorders>
              <w:top w:val="single" w:sz="12" w:space="0" w:color="auto"/>
              <w:left w:val="nil"/>
              <w:bottom w:val="single" w:sz="12" w:space="0" w:color="auto"/>
              <w:right w:val="single" w:sz="8" w:space="0" w:color="auto"/>
            </w:tcBorders>
            <w:shd w:val="clear" w:color="000000" w:fill="FF0000"/>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10 613</w:t>
            </w:r>
          </w:p>
        </w:tc>
        <w:tc>
          <w:tcPr>
            <w:tcW w:w="1045" w:type="dxa"/>
            <w:tcBorders>
              <w:top w:val="single" w:sz="12" w:space="0" w:color="auto"/>
              <w:left w:val="nil"/>
              <w:bottom w:val="single" w:sz="12" w:space="0" w:color="auto"/>
              <w:right w:val="single" w:sz="8" w:space="0" w:color="auto"/>
            </w:tcBorders>
            <w:shd w:val="clear" w:color="000000" w:fill="FF0000"/>
            <w:noWrap/>
            <w:vAlign w:val="center"/>
            <w:hideMark/>
          </w:tcPr>
          <w:p w:rsidR="001C4200" w:rsidRPr="001C4200" w:rsidRDefault="001C4200" w:rsidP="001C4200">
            <w:pPr>
              <w:spacing w:line="240" w:lineRule="auto"/>
              <w:ind w:firstLineChars="100" w:firstLine="201"/>
              <w:jc w:val="right"/>
              <w:rPr>
                <w:rFonts w:asciiTheme="minorHAnsi" w:hAnsiTheme="minorHAnsi"/>
                <w:b/>
                <w:bCs/>
                <w:sz w:val="20"/>
                <w:szCs w:val="20"/>
              </w:rPr>
            </w:pPr>
            <w:r w:rsidRPr="001C4200">
              <w:rPr>
                <w:rFonts w:asciiTheme="minorHAnsi" w:hAnsiTheme="minorHAnsi"/>
                <w:b/>
                <w:bCs/>
                <w:sz w:val="20"/>
                <w:szCs w:val="20"/>
              </w:rPr>
              <w:t>651</w:t>
            </w:r>
          </w:p>
        </w:tc>
        <w:tc>
          <w:tcPr>
            <w:tcW w:w="1045" w:type="dxa"/>
            <w:tcBorders>
              <w:top w:val="single" w:sz="12" w:space="0" w:color="auto"/>
              <w:left w:val="nil"/>
              <w:bottom w:val="single" w:sz="12" w:space="0" w:color="auto"/>
              <w:right w:val="single" w:sz="8" w:space="0" w:color="auto"/>
            </w:tcBorders>
            <w:shd w:val="clear" w:color="000000" w:fill="FF0000"/>
            <w:noWrap/>
            <w:vAlign w:val="center"/>
            <w:hideMark/>
          </w:tcPr>
          <w:p w:rsidR="001C4200" w:rsidRPr="001C4200" w:rsidRDefault="001C4200" w:rsidP="001C4200">
            <w:pPr>
              <w:spacing w:line="240" w:lineRule="auto"/>
              <w:jc w:val="right"/>
              <w:rPr>
                <w:rFonts w:asciiTheme="minorHAnsi" w:hAnsiTheme="minorHAnsi"/>
                <w:b/>
                <w:bCs/>
                <w:color w:val="000000"/>
                <w:sz w:val="20"/>
                <w:szCs w:val="20"/>
              </w:rPr>
            </w:pPr>
            <w:r w:rsidRPr="001C4200">
              <w:rPr>
                <w:rFonts w:asciiTheme="minorHAnsi" w:hAnsiTheme="minorHAnsi"/>
                <w:b/>
                <w:bCs/>
                <w:color w:val="000000"/>
                <w:sz w:val="20"/>
                <w:szCs w:val="20"/>
              </w:rPr>
              <w:t>792 470</w:t>
            </w:r>
          </w:p>
        </w:tc>
        <w:tc>
          <w:tcPr>
            <w:tcW w:w="1045" w:type="dxa"/>
            <w:tcBorders>
              <w:top w:val="single" w:sz="12" w:space="0" w:color="auto"/>
              <w:left w:val="nil"/>
              <w:bottom w:val="single" w:sz="12" w:space="0" w:color="auto"/>
              <w:right w:val="single" w:sz="12" w:space="0" w:color="auto"/>
            </w:tcBorders>
            <w:shd w:val="clear" w:color="000000" w:fill="FF0000"/>
            <w:vAlign w:val="center"/>
            <w:hideMark/>
          </w:tcPr>
          <w:p w:rsidR="001C4200" w:rsidRPr="001C4200" w:rsidRDefault="001C4200" w:rsidP="001C4200">
            <w:pPr>
              <w:spacing w:line="240" w:lineRule="auto"/>
              <w:jc w:val="center"/>
              <w:rPr>
                <w:rFonts w:asciiTheme="minorHAnsi" w:hAnsiTheme="minorHAnsi"/>
                <w:b/>
                <w:bCs/>
                <w:color w:val="000000"/>
                <w:sz w:val="20"/>
                <w:szCs w:val="20"/>
              </w:rPr>
            </w:pPr>
            <w:r w:rsidRPr="001C4200">
              <w:rPr>
                <w:rFonts w:asciiTheme="minorHAnsi" w:hAnsiTheme="minorHAnsi"/>
                <w:b/>
                <w:bCs/>
                <w:color w:val="000000"/>
                <w:sz w:val="20"/>
                <w:szCs w:val="20"/>
              </w:rPr>
              <w:t>86,9</w:t>
            </w:r>
          </w:p>
        </w:tc>
      </w:tr>
    </w:tbl>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Pr="00077B75" w:rsidRDefault="001C4200" w:rsidP="001C4200">
      <w:pPr>
        <w:jc w:val="both"/>
        <w:rPr>
          <w:rFonts w:ascii="Arial" w:hAnsi="Arial" w:cs="Arial"/>
          <w:sz w:val="22"/>
          <w:szCs w:val="22"/>
        </w:rPr>
      </w:pPr>
      <w:r w:rsidRPr="00077B75">
        <w:rPr>
          <w:rFonts w:ascii="Arial" w:hAnsi="Arial" w:cs="Arial"/>
          <w:sz w:val="22"/>
          <w:szCs w:val="22"/>
        </w:rPr>
        <w:t>Přehled o využití nástrojů APZ v jednotlivých okresech podává následující tabulka:</w:t>
      </w:r>
    </w:p>
    <w:p w:rsidR="001C4200" w:rsidRPr="00077B75" w:rsidRDefault="001C4200" w:rsidP="001C4200">
      <w:pPr>
        <w:jc w:val="both"/>
        <w:rPr>
          <w:rFonts w:ascii="Arial" w:hAnsi="Arial" w:cs="Arial"/>
          <w:sz w:val="22"/>
          <w:szCs w:val="22"/>
        </w:rPr>
      </w:pPr>
    </w:p>
    <w:p w:rsidR="001C4200" w:rsidRPr="001C4200" w:rsidRDefault="001C4200" w:rsidP="001C4200">
      <w:pPr>
        <w:rPr>
          <w:rFonts w:ascii="Arial" w:hAnsi="Arial" w:cs="Arial"/>
          <w:b/>
          <w:i/>
          <w:sz w:val="20"/>
          <w:szCs w:val="20"/>
        </w:rPr>
      </w:pPr>
      <w:r w:rsidRPr="001C4200">
        <w:rPr>
          <w:rFonts w:ascii="Arial" w:hAnsi="Arial" w:cs="Arial"/>
          <w:b/>
          <w:i/>
          <w:sz w:val="20"/>
          <w:szCs w:val="20"/>
        </w:rPr>
        <w:t xml:space="preserve">Tab. </w:t>
      </w:r>
      <w:r w:rsidRPr="001C4200">
        <w:rPr>
          <w:rFonts w:ascii="Arial" w:hAnsi="Arial" w:cs="Arial"/>
          <w:b/>
          <w:i/>
          <w:sz w:val="20"/>
          <w:szCs w:val="20"/>
        </w:rPr>
        <w:fldChar w:fldCharType="begin"/>
      </w:r>
      <w:r w:rsidRPr="001C4200">
        <w:rPr>
          <w:rFonts w:ascii="Arial" w:hAnsi="Arial" w:cs="Arial"/>
          <w:b/>
          <w:i/>
          <w:sz w:val="20"/>
          <w:szCs w:val="20"/>
        </w:rPr>
        <w:instrText xml:space="preserve"> SEQ Tab. \* ARABIC </w:instrText>
      </w:r>
      <w:r w:rsidRPr="001C4200">
        <w:rPr>
          <w:rFonts w:ascii="Arial" w:hAnsi="Arial" w:cs="Arial"/>
          <w:b/>
          <w:i/>
          <w:sz w:val="20"/>
          <w:szCs w:val="20"/>
        </w:rPr>
        <w:fldChar w:fldCharType="separate"/>
      </w:r>
      <w:r w:rsidR="004378F3">
        <w:rPr>
          <w:rFonts w:ascii="Arial" w:hAnsi="Arial" w:cs="Arial"/>
          <w:b/>
          <w:i/>
          <w:noProof/>
          <w:sz w:val="20"/>
          <w:szCs w:val="20"/>
        </w:rPr>
        <w:t>19</w:t>
      </w:r>
      <w:r w:rsidRPr="001C4200">
        <w:rPr>
          <w:rFonts w:ascii="Arial" w:hAnsi="Arial" w:cs="Arial"/>
          <w:b/>
          <w:i/>
          <w:sz w:val="20"/>
          <w:szCs w:val="20"/>
        </w:rPr>
        <w:fldChar w:fldCharType="end"/>
      </w:r>
      <w:r w:rsidRPr="001C4200">
        <w:rPr>
          <w:rFonts w:ascii="Arial" w:hAnsi="Arial" w:cs="Arial"/>
          <w:b/>
          <w:i/>
          <w:sz w:val="20"/>
          <w:szCs w:val="20"/>
        </w:rPr>
        <w:t>: Uchazeči podpořeni vybranými nástroji APZ v roce 2014</w:t>
      </w:r>
    </w:p>
    <w:p w:rsidR="001C4200" w:rsidRPr="00E241D1" w:rsidRDefault="001C4200" w:rsidP="001C4200">
      <w:pPr>
        <w:jc w:val="both"/>
        <w:rPr>
          <w:rFonts w:ascii="Arial" w:hAnsi="Arial" w:cs="Arial"/>
        </w:rPr>
      </w:pPr>
      <w:r>
        <w:rPr>
          <w:rFonts w:ascii="Arial" w:hAnsi="Arial" w:cs="Arial"/>
          <w:noProof/>
        </w:rPr>
        <w:drawing>
          <wp:inline distT="0" distB="0" distL="0" distR="0" wp14:anchorId="11B2BB40" wp14:editId="10C63409">
            <wp:extent cx="6018415" cy="2133134"/>
            <wp:effectExtent l="0" t="0" r="1905" b="635"/>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0024" cy="2133704"/>
                    </a:xfrm>
                    <a:prstGeom prst="rect">
                      <a:avLst/>
                    </a:prstGeom>
                    <a:noFill/>
                    <a:ln>
                      <a:noFill/>
                    </a:ln>
                  </pic:spPr>
                </pic:pic>
              </a:graphicData>
            </a:graphic>
          </wp:inline>
        </w:drawing>
      </w:r>
    </w:p>
    <w:p w:rsidR="001C4200" w:rsidRPr="004737D5" w:rsidRDefault="001C4200" w:rsidP="001C4200">
      <w:pPr>
        <w:pStyle w:val="Odstavecseseznamem"/>
        <w:jc w:val="both"/>
        <w:rPr>
          <w:rFonts w:ascii="Arial" w:hAnsi="Arial" w:cs="Arial"/>
        </w:rPr>
      </w:pPr>
    </w:p>
    <w:p w:rsidR="001C4200" w:rsidRPr="00696275" w:rsidRDefault="001C4200" w:rsidP="001C4200">
      <w:pPr>
        <w:pStyle w:val="Odstavecseseznamem"/>
        <w:numPr>
          <w:ilvl w:val="0"/>
          <w:numId w:val="30"/>
        </w:numPr>
        <w:contextualSpacing/>
        <w:jc w:val="both"/>
        <w:rPr>
          <w:rFonts w:ascii="Arial" w:hAnsi="Arial" w:cs="Arial"/>
          <w:u w:val="single"/>
        </w:rPr>
      </w:pPr>
      <w:r w:rsidRPr="00696275">
        <w:rPr>
          <w:rFonts w:ascii="Arial" w:hAnsi="Arial" w:cs="Arial"/>
          <w:b/>
          <w:u w:val="single"/>
        </w:rPr>
        <w:t>Veřejně prospěšné práce</w:t>
      </w:r>
    </w:p>
    <w:p w:rsidR="001C4200" w:rsidRPr="00077B75" w:rsidRDefault="001C4200" w:rsidP="001C4200">
      <w:pPr>
        <w:pStyle w:val="Odstavecseseznamem"/>
        <w:jc w:val="both"/>
        <w:rPr>
          <w:rFonts w:ascii="Arial" w:hAnsi="Arial" w:cs="Arial"/>
          <w:sz w:val="22"/>
          <w:szCs w:val="22"/>
        </w:rPr>
      </w:pPr>
    </w:p>
    <w:p w:rsidR="001C4200" w:rsidRPr="00077B75" w:rsidRDefault="001C4200" w:rsidP="001C4200">
      <w:pPr>
        <w:jc w:val="both"/>
        <w:rPr>
          <w:rFonts w:ascii="Arial" w:hAnsi="Arial" w:cs="Arial"/>
          <w:sz w:val="22"/>
          <w:szCs w:val="22"/>
        </w:rPr>
      </w:pPr>
      <w:r w:rsidRPr="00077B75">
        <w:rPr>
          <w:rFonts w:ascii="Arial" w:hAnsi="Arial" w:cs="Arial"/>
          <w:sz w:val="22"/>
          <w:szCs w:val="22"/>
        </w:rPr>
        <w:t>Nástroj je využíván především pro časově omezené umísťování dlouhodobě evidovaných uchazečů o zaměstnání s nižší kvalifikací, u kterých je důležitá obnova pracovních návyků.  VPP jsou vytvářeny ve spolupráci s městskými a obecními úřady, také v neziskové sféře a charitativních organizacích. Následně je podporován i postup uchazeče mezi nástroji VPP a SÚPM, aby došlo k podpoře plynulého začlenění uchazeče na trh práce s perspektivou trvalého pracovního uplatnění.</w:t>
      </w:r>
    </w:p>
    <w:p w:rsidR="001C4200" w:rsidRPr="00077B75" w:rsidRDefault="001C4200" w:rsidP="001C4200">
      <w:pPr>
        <w:jc w:val="both"/>
        <w:rPr>
          <w:rFonts w:ascii="Arial" w:hAnsi="Arial" w:cs="Arial"/>
          <w:sz w:val="22"/>
          <w:szCs w:val="22"/>
        </w:rPr>
      </w:pPr>
    </w:p>
    <w:p w:rsidR="001C4200" w:rsidRPr="00077B75" w:rsidRDefault="001C4200" w:rsidP="001C4200">
      <w:pPr>
        <w:jc w:val="both"/>
        <w:rPr>
          <w:rFonts w:ascii="Arial" w:hAnsi="Arial" w:cs="Arial"/>
          <w:sz w:val="22"/>
          <w:szCs w:val="22"/>
        </w:rPr>
      </w:pPr>
      <w:r w:rsidRPr="00077B75">
        <w:rPr>
          <w:rFonts w:ascii="Arial" w:hAnsi="Arial" w:cs="Arial"/>
          <w:sz w:val="22"/>
          <w:szCs w:val="22"/>
        </w:rPr>
        <w:t xml:space="preserve">Počty vytvářených VPP jsou podmíněny zájmem obcí tato místa zřizovat. V menších obcích je o tento produkt mezi starosty stále velký zájem, obce VPP </w:t>
      </w:r>
      <w:r w:rsidRPr="00077B75">
        <w:rPr>
          <w:rFonts w:ascii="Arial" w:hAnsi="Arial" w:cs="Arial"/>
          <w:b/>
          <w:sz w:val="22"/>
          <w:szCs w:val="22"/>
        </w:rPr>
        <w:t xml:space="preserve">využívají především na úklid a údržbu veřejných prostranství. </w:t>
      </w:r>
      <w:r w:rsidRPr="00077B75">
        <w:rPr>
          <w:rFonts w:ascii="Arial" w:hAnsi="Arial" w:cs="Arial"/>
          <w:sz w:val="22"/>
          <w:szCs w:val="22"/>
        </w:rPr>
        <w:t>Okresy s nejvyššími počty vytvářených VPP jsou tradičně Znojmo a Hodonín.</w:t>
      </w:r>
    </w:p>
    <w:p w:rsidR="001C4200" w:rsidRPr="00077B75"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r w:rsidRPr="00077B75">
        <w:rPr>
          <w:rFonts w:ascii="Arial" w:hAnsi="Arial" w:cs="Arial"/>
          <w:sz w:val="22"/>
          <w:szCs w:val="22"/>
        </w:rPr>
        <w:t>Ve větších městech je dlouhodobě zájem nižší než v menších obcích, ve městě Brně mají zájem o vytváření VPP i školy a neziskový sektor, tradičním zájemcem je i Zoologická zahrada Brno. Rozpočtová a nezisková sféra využívá VPP často jako pomocné sociální pracovníky</w:t>
      </w:r>
      <w:r>
        <w:rPr>
          <w:rFonts w:ascii="Arial" w:hAnsi="Arial" w:cs="Arial"/>
          <w:sz w:val="22"/>
          <w:szCs w:val="22"/>
        </w:rPr>
        <w:t xml:space="preserve">. </w:t>
      </w:r>
    </w:p>
    <w:p w:rsidR="001C4200" w:rsidRDefault="001C4200" w:rsidP="001C4200">
      <w:pPr>
        <w:jc w:val="both"/>
        <w:rPr>
          <w:rFonts w:ascii="Arial" w:hAnsi="Arial" w:cs="Arial"/>
          <w:sz w:val="22"/>
          <w:szCs w:val="22"/>
        </w:rPr>
      </w:pPr>
    </w:p>
    <w:p w:rsidR="001C4200" w:rsidRPr="00696275" w:rsidRDefault="001C4200" w:rsidP="001C4200">
      <w:pPr>
        <w:spacing w:after="120"/>
        <w:jc w:val="both"/>
        <w:rPr>
          <w:rFonts w:ascii="Arial" w:hAnsi="Arial" w:cs="Arial"/>
          <w:sz w:val="22"/>
          <w:szCs w:val="22"/>
        </w:rPr>
      </w:pPr>
      <w:r w:rsidRPr="00696275">
        <w:rPr>
          <w:rFonts w:ascii="Arial" w:hAnsi="Arial" w:cs="Arial"/>
          <w:sz w:val="22"/>
          <w:szCs w:val="22"/>
        </w:rPr>
        <w:t>Z hlediska administrace je pro ÚP nevhodné postupné navyšování alokace projektu VSPR! - PP v průběhu celého roku. Relativní nedostatek volných prostředků v alokaci v jarních měsících roku 2014, tedy v době, kdy se uzavírá největší množství dohod o zřízení míst na VPP nutí ke kratší době platnosti těchto dohod. Následně jsou uzavírány dodatky k prodlužování dohod, což zbytečně zvyšuje administrativní náročnost nejen pro samotné pracovníky ÚP, ale i zaměstnavatele. Vhodnější by bylo uvolnit celou alokaci na počátku roku.</w:t>
      </w:r>
      <w:r>
        <w:rPr>
          <w:rFonts w:ascii="Arial" w:hAnsi="Arial" w:cs="Arial"/>
          <w:sz w:val="22"/>
          <w:szCs w:val="22"/>
        </w:rPr>
        <w:t xml:space="preserve"> </w:t>
      </w:r>
      <w:r w:rsidRPr="00696275">
        <w:rPr>
          <w:rFonts w:ascii="Arial" w:hAnsi="Arial" w:cs="Arial"/>
          <w:sz w:val="22"/>
          <w:szCs w:val="22"/>
        </w:rPr>
        <w:t>Ze strany starostů obcí se také zvyšuje tlak na opakované zaměstnávání uchazečů na VPP</w:t>
      </w:r>
      <w:r w:rsidRPr="00696275">
        <w:rPr>
          <w:rFonts w:ascii="Arial" w:hAnsi="Arial" w:cs="Arial"/>
          <w:color w:val="00B050"/>
          <w:sz w:val="22"/>
          <w:szCs w:val="22"/>
        </w:rPr>
        <w:t>.</w:t>
      </w:r>
    </w:p>
    <w:p w:rsidR="001C4200" w:rsidRPr="00696275" w:rsidRDefault="001C4200" w:rsidP="001C4200">
      <w:pPr>
        <w:jc w:val="both"/>
        <w:rPr>
          <w:rFonts w:ascii="Arial" w:hAnsi="Arial" w:cs="Arial"/>
          <w:b/>
          <w:sz w:val="22"/>
          <w:szCs w:val="22"/>
        </w:rPr>
      </w:pPr>
      <w:r w:rsidRPr="00077B75">
        <w:rPr>
          <w:rFonts w:ascii="Arial" w:hAnsi="Arial" w:cs="Arial"/>
          <w:b/>
          <w:sz w:val="22"/>
          <w:szCs w:val="22"/>
        </w:rPr>
        <w:t>Celkem bylo v rámci VPP vytvořeno 2 169 pracovních míst, nejvíce v okresech Hodonín a Znojmo.</w:t>
      </w:r>
      <w:r>
        <w:rPr>
          <w:rFonts w:ascii="Arial" w:hAnsi="Arial" w:cs="Arial"/>
          <w:b/>
          <w:sz w:val="22"/>
          <w:szCs w:val="22"/>
        </w:rPr>
        <w:t xml:space="preserve"> </w:t>
      </w:r>
      <w:r w:rsidRPr="002D39EA">
        <w:rPr>
          <w:rFonts w:ascii="Arial" w:hAnsi="Arial" w:cs="Arial"/>
          <w:sz w:val="22"/>
          <w:szCs w:val="22"/>
        </w:rPr>
        <w:t>Většina těchto míst byl</w:t>
      </w:r>
      <w:r>
        <w:rPr>
          <w:rFonts w:ascii="Arial" w:hAnsi="Arial" w:cs="Arial"/>
          <w:sz w:val="22"/>
          <w:szCs w:val="22"/>
        </w:rPr>
        <w:t>a</w:t>
      </w:r>
      <w:r w:rsidRPr="002D39EA">
        <w:rPr>
          <w:rFonts w:ascii="Arial" w:hAnsi="Arial" w:cs="Arial"/>
          <w:sz w:val="22"/>
          <w:szCs w:val="22"/>
        </w:rPr>
        <w:t xml:space="preserve"> v roce 2014 financována ze zdrojů ESF.</w:t>
      </w:r>
    </w:p>
    <w:p w:rsidR="001C4200" w:rsidRDefault="001C4200" w:rsidP="001C4200">
      <w:pPr>
        <w:jc w:val="both"/>
        <w:rPr>
          <w:rFonts w:ascii="Arial" w:hAnsi="Arial" w:cs="Arial"/>
          <w:sz w:val="22"/>
          <w:szCs w:val="22"/>
        </w:rPr>
      </w:pPr>
    </w:p>
    <w:p w:rsidR="001C4200" w:rsidRPr="007804C0" w:rsidRDefault="001C4200" w:rsidP="001C4200">
      <w:pPr>
        <w:pStyle w:val="Odstavecseseznamem"/>
        <w:numPr>
          <w:ilvl w:val="0"/>
          <w:numId w:val="15"/>
        </w:numPr>
        <w:spacing w:after="200"/>
        <w:contextualSpacing/>
        <w:jc w:val="both"/>
        <w:rPr>
          <w:rFonts w:ascii="Arial" w:hAnsi="Arial" w:cs="Arial"/>
          <w:u w:val="single"/>
        </w:rPr>
      </w:pPr>
      <w:r>
        <w:rPr>
          <w:rFonts w:ascii="Arial" w:hAnsi="Arial" w:cs="Arial"/>
          <w:b/>
          <w:u w:val="single"/>
        </w:rPr>
        <w:t>Společensky účelná pracovní místa vyhrazená u zaměstnavatele</w:t>
      </w:r>
    </w:p>
    <w:p w:rsidR="001C4200" w:rsidRDefault="001C4200" w:rsidP="001C4200">
      <w:pPr>
        <w:jc w:val="both"/>
        <w:rPr>
          <w:rFonts w:ascii="Arial" w:hAnsi="Arial" w:cs="Arial"/>
          <w:sz w:val="22"/>
          <w:szCs w:val="22"/>
        </w:rPr>
      </w:pPr>
      <w:r>
        <w:rPr>
          <w:rFonts w:ascii="Arial" w:hAnsi="Arial" w:cs="Arial"/>
          <w:sz w:val="22"/>
          <w:szCs w:val="22"/>
        </w:rPr>
        <w:t>Tento n</w:t>
      </w:r>
      <w:r w:rsidRPr="00077B75">
        <w:rPr>
          <w:rFonts w:ascii="Arial" w:hAnsi="Arial" w:cs="Arial"/>
          <w:sz w:val="22"/>
          <w:szCs w:val="22"/>
        </w:rPr>
        <w:t xml:space="preserve">ástroj je využíván pro umístění uchazečů, jejichž uplatnění nelze zajistit jiným způsobem, a preferována jsou místa umožňující získání nových odborných kompetencí pro další uplatnění na trhu práce. </w:t>
      </w: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r w:rsidRPr="00077B75">
        <w:rPr>
          <w:rFonts w:ascii="Arial" w:hAnsi="Arial" w:cs="Arial"/>
          <w:sz w:val="22"/>
          <w:szCs w:val="22"/>
        </w:rPr>
        <w:t xml:space="preserve">Zájem o využívání tohoto nástroje je především ze strany menších a středních firem, žádosti podávají více firmy podnikající v oblasti služeb a obchodu, méně výrobní podniky. Zájem zaměstnavatelů o využití příspěvku na vyhrazené pracovní místo se během roku 2014 výrazně zvýšil, pravděpodobně i díky masívnějšímu informování zaměstnavatelů o APZ v rámci prováděného monitoringu firem.  </w:t>
      </w:r>
    </w:p>
    <w:p w:rsidR="001C4200" w:rsidRDefault="001C4200" w:rsidP="001C4200">
      <w:pPr>
        <w:jc w:val="both"/>
        <w:rPr>
          <w:rFonts w:ascii="Arial" w:hAnsi="Arial" w:cs="Arial"/>
          <w:sz w:val="22"/>
          <w:szCs w:val="22"/>
        </w:rPr>
      </w:pPr>
    </w:p>
    <w:p w:rsidR="001C4200" w:rsidRPr="00077B75" w:rsidRDefault="001C4200" w:rsidP="001C4200">
      <w:pPr>
        <w:jc w:val="both"/>
        <w:rPr>
          <w:rFonts w:ascii="Arial" w:hAnsi="Arial" w:cs="Arial"/>
          <w:sz w:val="22"/>
          <w:szCs w:val="22"/>
        </w:rPr>
      </w:pPr>
      <w:r w:rsidRPr="00077B75">
        <w:rPr>
          <w:rFonts w:ascii="Arial" w:hAnsi="Arial" w:cs="Arial"/>
          <w:sz w:val="22"/>
          <w:szCs w:val="22"/>
        </w:rPr>
        <w:t xml:space="preserve">V roce 2014 bylo vytvořeno celkem </w:t>
      </w:r>
      <w:r w:rsidRPr="00077B75">
        <w:rPr>
          <w:rFonts w:ascii="Arial" w:hAnsi="Arial" w:cs="Arial"/>
          <w:b/>
          <w:sz w:val="22"/>
          <w:szCs w:val="22"/>
        </w:rPr>
        <w:t>2 998</w:t>
      </w:r>
      <w:r w:rsidRPr="00077B75">
        <w:rPr>
          <w:rFonts w:ascii="Arial" w:hAnsi="Arial" w:cs="Arial"/>
          <w:sz w:val="22"/>
          <w:szCs w:val="22"/>
        </w:rPr>
        <w:t xml:space="preserve"> SÚPM u zaměstnavatelů,</w:t>
      </w:r>
      <w:r>
        <w:rPr>
          <w:rFonts w:ascii="Arial" w:hAnsi="Arial" w:cs="Arial"/>
          <w:sz w:val="22"/>
          <w:szCs w:val="22"/>
        </w:rPr>
        <w:t xml:space="preserve"> </w:t>
      </w:r>
      <w:r w:rsidRPr="00077B75">
        <w:rPr>
          <w:rFonts w:ascii="Arial" w:hAnsi="Arial" w:cs="Arial"/>
          <w:sz w:val="22"/>
          <w:szCs w:val="22"/>
        </w:rPr>
        <w:t>nejvíce v okresech Hodonín a Brno – město.</w:t>
      </w:r>
      <w:r>
        <w:rPr>
          <w:rFonts w:ascii="Arial" w:hAnsi="Arial" w:cs="Arial"/>
          <w:sz w:val="22"/>
          <w:szCs w:val="22"/>
        </w:rPr>
        <w:t xml:space="preserve"> Zhruba dvě třetiny vytvořených míst byly financovány ze zdrojů ESF, třetina pak z národní APZ.</w:t>
      </w:r>
    </w:p>
    <w:p w:rsidR="001C4200" w:rsidRDefault="001C4200" w:rsidP="001C4200">
      <w:pPr>
        <w:jc w:val="both"/>
        <w:rPr>
          <w:rFonts w:ascii="Arial" w:hAnsi="Arial" w:cs="Arial"/>
          <w:sz w:val="22"/>
          <w:szCs w:val="22"/>
        </w:rPr>
      </w:pPr>
    </w:p>
    <w:p w:rsidR="001C4200" w:rsidRPr="007804C0" w:rsidRDefault="001C4200" w:rsidP="001C4200">
      <w:pPr>
        <w:pStyle w:val="Odstavecseseznamem"/>
        <w:numPr>
          <w:ilvl w:val="0"/>
          <w:numId w:val="15"/>
        </w:numPr>
        <w:spacing w:after="200"/>
        <w:contextualSpacing/>
        <w:jc w:val="both"/>
        <w:rPr>
          <w:rFonts w:ascii="Arial" w:hAnsi="Arial" w:cs="Arial"/>
          <w:u w:val="single"/>
        </w:rPr>
      </w:pPr>
      <w:r>
        <w:rPr>
          <w:rFonts w:ascii="Arial" w:hAnsi="Arial" w:cs="Arial"/>
          <w:b/>
          <w:u w:val="single"/>
        </w:rPr>
        <w:t>Společensky účelná pracovní místa zřízená u zaměstnavatele</w:t>
      </w:r>
    </w:p>
    <w:p w:rsidR="001C4200" w:rsidRPr="00064838" w:rsidRDefault="001C4200" w:rsidP="001C4200">
      <w:pPr>
        <w:jc w:val="both"/>
        <w:rPr>
          <w:rFonts w:ascii="Arial" w:hAnsi="Arial" w:cs="Arial"/>
          <w:sz w:val="22"/>
          <w:szCs w:val="22"/>
        </w:rPr>
      </w:pPr>
      <w:r w:rsidRPr="00064838">
        <w:rPr>
          <w:rFonts w:ascii="Arial" w:hAnsi="Arial" w:cs="Arial"/>
          <w:sz w:val="22"/>
          <w:szCs w:val="22"/>
        </w:rPr>
        <w:t xml:space="preserve">Zřízená společensky účelná pracovní místa jsou nástrojem, kterého zaměstnavatelé využívají pouze zřídka z důvodu jeho poměrně náročné a komplikované administrace. Zaměstnavatelé raději volí pro obě strany bezpečnější a jednodušší formu příspěvku na mzdu (SÚPM vyhrazená). </w:t>
      </w:r>
      <w:r w:rsidRPr="002D39EA">
        <w:rPr>
          <w:rFonts w:ascii="Arial" w:hAnsi="Arial" w:cs="Arial"/>
          <w:b/>
          <w:sz w:val="22"/>
          <w:szCs w:val="22"/>
        </w:rPr>
        <w:t>V roce 2014</w:t>
      </w:r>
      <w:r>
        <w:rPr>
          <w:rFonts w:ascii="Arial" w:hAnsi="Arial" w:cs="Arial"/>
          <w:sz w:val="22"/>
          <w:szCs w:val="22"/>
        </w:rPr>
        <w:t xml:space="preserve"> nebylo v rámci tohoto nástroje vytvořeno v Jihomoravském kraji </w:t>
      </w:r>
      <w:r w:rsidRPr="002D39EA">
        <w:rPr>
          <w:rFonts w:ascii="Arial" w:hAnsi="Arial" w:cs="Arial"/>
          <w:b/>
          <w:sz w:val="22"/>
          <w:szCs w:val="22"/>
        </w:rPr>
        <w:t>žádné pracovní místo</w:t>
      </w:r>
      <w:r>
        <w:rPr>
          <w:rFonts w:ascii="Arial" w:hAnsi="Arial" w:cs="Arial"/>
          <w:sz w:val="22"/>
          <w:szCs w:val="22"/>
        </w:rPr>
        <w:t>.</w:t>
      </w:r>
    </w:p>
    <w:p w:rsidR="001C4200" w:rsidRDefault="001C4200" w:rsidP="001C4200">
      <w:pPr>
        <w:jc w:val="both"/>
        <w:rPr>
          <w:rFonts w:ascii="Arial" w:hAnsi="Arial" w:cs="Arial"/>
          <w:sz w:val="22"/>
          <w:szCs w:val="22"/>
        </w:rPr>
      </w:pPr>
    </w:p>
    <w:p w:rsidR="001C4200" w:rsidRPr="00B1735C" w:rsidRDefault="001C4200" w:rsidP="001C4200">
      <w:pPr>
        <w:pStyle w:val="Odstavecseseznamem"/>
        <w:numPr>
          <w:ilvl w:val="0"/>
          <w:numId w:val="15"/>
        </w:numPr>
        <w:spacing w:after="200"/>
        <w:contextualSpacing/>
        <w:jc w:val="both"/>
        <w:rPr>
          <w:rFonts w:ascii="Arial" w:hAnsi="Arial" w:cs="Arial"/>
          <w:u w:val="single"/>
        </w:rPr>
      </w:pPr>
      <w:r>
        <w:rPr>
          <w:rFonts w:ascii="Arial" w:hAnsi="Arial" w:cs="Arial"/>
          <w:b/>
          <w:u w:val="single"/>
        </w:rPr>
        <w:t>Společensky účelná pracovní místa zřízená uchazečem o zaměstnání pro účel výkonu SVČ</w:t>
      </w: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r w:rsidRPr="00077B75">
        <w:rPr>
          <w:rFonts w:ascii="Arial" w:hAnsi="Arial" w:cs="Arial"/>
          <w:sz w:val="22"/>
          <w:szCs w:val="22"/>
        </w:rPr>
        <w:t xml:space="preserve">Příspěvky z APZ na zahájení </w:t>
      </w:r>
      <w:r w:rsidRPr="00077B75">
        <w:rPr>
          <w:rFonts w:ascii="Arial" w:hAnsi="Arial" w:cs="Arial"/>
          <w:b/>
          <w:sz w:val="22"/>
          <w:szCs w:val="22"/>
        </w:rPr>
        <w:t>samostatné výdělečné činnosti (SÚPM – SVČ)</w:t>
      </w:r>
      <w:r w:rsidRPr="00077B75">
        <w:rPr>
          <w:rFonts w:ascii="Arial" w:hAnsi="Arial" w:cs="Arial"/>
          <w:sz w:val="22"/>
          <w:szCs w:val="22"/>
        </w:rPr>
        <w:t xml:space="preserve"> slouží uchazečům k částečnému krytí nákladů potřebných k zahájení podnikání. Těchto míst bylo v kraji nově zřízeno celkem </w:t>
      </w:r>
      <w:r w:rsidRPr="00077B75">
        <w:rPr>
          <w:rFonts w:ascii="Arial" w:hAnsi="Arial" w:cs="Arial"/>
          <w:b/>
          <w:sz w:val="22"/>
          <w:szCs w:val="22"/>
        </w:rPr>
        <w:t>415</w:t>
      </w:r>
      <w:r w:rsidRPr="00077B75">
        <w:rPr>
          <w:rFonts w:ascii="Arial" w:hAnsi="Arial" w:cs="Arial"/>
          <w:sz w:val="22"/>
          <w:szCs w:val="22"/>
        </w:rPr>
        <w:t xml:space="preserve">.  Jedná se o významnou pomoc v případech, kdy pro uchazeče není na trhu práce vhodné volné místo, ale jeho kvalifikace umožňuje, aby si své budoucí pracovní místo vytvořil sám. </w:t>
      </w: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r w:rsidRPr="00077B75">
        <w:rPr>
          <w:rFonts w:ascii="Arial" w:hAnsi="Arial" w:cs="Arial"/>
          <w:sz w:val="22"/>
          <w:szCs w:val="22"/>
        </w:rPr>
        <w:t xml:space="preserve">Zájem o zahájení samostatné výdělečné činnosti s pomocí příspěvku od Úřadu práce se ve srovnání s rokem 2013 mírně zvýšil. </w:t>
      </w:r>
      <w:r>
        <w:rPr>
          <w:rFonts w:ascii="Arial" w:hAnsi="Arial" w:cs="Arial"/>
          <w:sz w:val="22"/>
          <w:szCs w:val="22"/>
        </w:rPr>
        <w:t>K</w:t>
      </w:r>
      <w:r w:rsidRPr="00696275">
        <w:rPr>
          <w:rFonts w:ascii="Arial" w:hAnsi="Arial" w:cs="Arial"/>
          <w:sz w:val="22"/>
          <w:szCs w:val="22"/>
        </w:rPr>
        <w:t xml:space="preserve">lesá </w:t>
      </w:r>
      <w:r>
        <w:rPr>
          <w:rFonts w:ascii="Arial" w:hAnsi="Arial" w:cs="Arial"/>
          <w:sz w:val="22"/>
          <w:szCs w:val="22"/>
        </w:rPr>
        <w:t>bohužel</w:t>
      </w:r>
      <w:r w:rsidRPr="00696275">
        <w:rPr>
          <w:rFonts w:ascii="Arial" w:hAnsi="Arial" w:cs="Arial"/>
          <w:sz w:val="22"/>
          <w:szCs w:val="22"/>
        </w:rPr>
        <w:t xml:space="preserve"> kvalita podaných žádostí. Většina žádostí je směrována do oblasti služeb pro obyvatele (kosmetika, kadeřnictví, pedikůra, manikůra, modeláž nehtů), jen velice málo žádostí je zaměřeno na řemeslné profese. S ohledem na znění uzavíraných dohod, nebylo při průběžných kontrolách zjištěno porušení plnění dohod, např. neoznámené předčasné ukončení SVČ. Postupně se však zvyšuje počet úřadem práce podpořených OSVČ, které nastupují do trvalých pracovních poměrů jako zaměstnanci, ale na OSSZ jsou stále vedeni jako osoby samostatně výdělečně činné. Domníváme se, že v těchto případech </w:t>
      </w:r>
      <w:r>
        <w:rPr>
          <w:rFonts w:ascii="Arial" w:hAnsi="Arial" w:cs="Arial"/>
          <w:sz w:val="22"/>
          <w:szCs w:val="22"/>
        </w:rPr>
        <w:t>z</w:t>
      </w:r>
      <w:r w:rsidRPr="00696275">
        <w:rPr>
          <w:rFonts w:ascii="Arial" w:hAnsi="Arial" w:cs="Arial"/>
          <w:sz w:val="22"/>
          <w:szCs w:val="22"/>
        </w:rPr>
        <w:t xml:space="preserve">trácí poskytování příspěvku smysl. Bylo by vhodné upravit znění uzavíraných dohod tak, aby podpoření </w:t>
      </w:r>
      <w:r>
        <w:rPr>
          <w:rFonts w:ascii="Arial" w:hAnsi="Arial" w:cs="Arial"/>
          <w:sz w:val="22"/>
          <w:szCs w:val="22"/>
        </w:rPr>
        <w:t>uchazeči</w:t>
      </w:r>
      <w:r w:rsidRPr="00696275">
        <w:rPr>
          <w:rFonts w:ascii="Arial" w:hAnsi="Arial" w:cs="Arial"/>
          <w:sz w:val="22"/>
          <w:szCs w:val="22"/>
        </w:rPr>
        <w:t xml:space="preserve"> byli např. po dobu platnosti dohody povinni za sebe hradit odvody (ZP a SP) v zákonné podobě. </w:t>
      </w:r>
    </w:p>
    <w:p w:rsidR="001C4200" w:rsidRDefault="001C4200" w:rsidP="001C4200">
      <w:pPr>
        <w:jc w:val="both"/>
        <w:rPr>
          <w:rFonts w:ascii="Arial" w:hAnsi="Arial" w:cs="Arial"/>
          <w:sz w:val="22"/>
          <w:szCs w:val="22"/>
        </w:rPr>
      </w:pPr>
    </w:p>
    <w:p w:rsidR="001C4200" w:rsidRPr="00696275" w:rsidRDefault="001C4200" w:rsidP="001C4200">
      <w:pPr>
        <w:jc w:val="both"/>
        <w:rPr>
          <w:rFonts w:ascii="Arial" w:hAnsi="Arial" w:cs="Arial"/>
          <w:sz w:val="22"/>
          <w:szCs w:val="22"/>
        </w:rPr>
      </w:pPr>
    </w:p>
    <w:p w:rsidR="001C4200" w:rsidRPr="004D6287" w:rsidRDefault="001C4200" w:rsidP="001C4200">
      <w:pPr>
        <w:pStyle w:val="Odstavecseseznamem"/>
        <w:numPr>
          <w:ilvl w:val="0"/>
          <w:numId w:val="15"/>
        </w:numPr>
        <w:spacing w:after="200"/>
        <w:contextualSpacing/>
        <w:jc w:val="both"/>
        <w:rPr>
          <w:rFonts w:ascii="Arial" w:hAnsi="Arial" w:cs="Arial"/>
          <w:u w:val="single"/>
        </w:rPr>
      </w:pPr>
      <w:r>
        <w:rPr>
          <w:rFonts w:ascii="Arial" w:hAnsi="Arial" w:cs="Arial"/>
          <w:b/>
          <w:u w:val="single"/>
        </w:rPr>
        <w:t>Chráněná pracovní místa</w:t>
      </w:r>
    </w:p>
    <w:p w:rsidR="001C4200" w:rsidRDefault="001C4200" w:rsidP="001C4200">
      <w:pPr>
        <w:jc w:val="both"/>
        <w:rPr>
          <w:rFonts w:ascii="Arial" w:hAnsi="Arial" w:cs="Arial"/>
          <w:sz w:val="22"/>
          <w:szCs w:val="22"/>
        </w:rPr>
      </w:pPr>
      <w:r w:rsidRPr="00077B75">
        <w:rPr>
          <w:rFonts w:ascii="Arial" w:hAnsi="Arial" w:cs="Arial"/>
          <w:sz w:val="22"/>
          <w:szCs w:val="22"/>
        </w:rPr>
        <w:t xml:space="preserve">Příspěvek na </w:t>
      </w:r>
      <w:r w:rsidRPr="00077B75">
        <w:rPr>
          <w:rFonts w:ascii="Arial" w:hAnsi="Arial" w:cs="Arial"/>
          <w:b/>
          <w:sz w:val="22"/>
          <w:szCs w:val="22"/>
        </w:rPr>
        <w:t xml:space="preserve">zřízení chráněných pracovních míst </w:t>
      </w:r>
      <w:r w:rsidRPr="00077B75">
        <w:rPr>
          <w:rFonts w:ascii="Arial" w:hAnsi="Arial" w:cs="Arial"/>
          <w:sz w:val="22"/>
          <w:szCs w:val="22"/>
        </w:rPr>
        <w:t xml:space="preserve">byl poskytnut v celkové částce </w:t>
      </w:r>
      <w:r w:rsidRPr="00077B75">
        <w:rPr>
          <w:rFonts w:ascii="Arial" w:hAnsi="Arial" w:cs="Arial"/>
          <w:b/>
          <w:sz w:val="22"/>
          <w:szCs w:val="22"/>
        </w:rPr>
        <w:t>9 332 150,- Kč,</w:t>
      </w:r>
      <w:r w:rsidRPr="00077B75">
        <w:rPr>
          <w:rFonts w:ascii="Arial" w:hAnsi="Arial" w:cs="Arial"/>
          <w:sz w:val="22"/>
          <w:szCs w:val="22"/>
        </w:rPr>
        <w:t xml:space="preserve"> celkem bylo zřízeno </w:t>
      </w:r>
      <w:r w:rsidRPr="00077B75">
        <w:rPr>
          <w:rFonts w:ascii="Arial" w:hAnsi="Arial" w:cs="Arial"/>
          <w:b/>
          <w:sz w:val="22"/>
          <w:szCs w:val="22"/>
        </w:rPr>
        <w:t>11</w:t>
      </w:r>
      <w:r>
        <w:rPr>
          <w:rFonts w:ascii="Arial" w:hAnsi="Arial" w:cs="Arial"/>
          <w:b/>
          <w:sz w:val="22"/>
          <w:szCs w:val="22"/>
        </w:rPr>
        <w:t>0</w:t>
      </w:r>
      <w:r>
        <w:rPr>
          <w:rFonts w:ascii="Arial" w:hAnsi="Arial" w:cs="Arial"/>
          <w:sz w:val="22"/>
          <w:szCs w:val="22"/>
        </w:rPr>
        <w:t xml:space="preserve"> chráněných pracovních míst, z toho polovina v okrese Brno-město.</w:t>
      </w:r>
    </w:p>
    <w:p w:rsidR="001C4200" w:rsidRDefault="001C4200" w:rsidP="001C4200">
      <w:pPr>
        <w:jc w:val="both"/>
        <w:rPr>
          <w:rFonts w:ascii="Arial" w:hAnsi="Arial" w:cs="Arial"/>
          <w:b/>
          <w:sz w:val="22"/>
          <w:szCs w:val="22"/>
        </w:rPr>
      </w:pPr>
    </w:p>
    <w:p w:rsidR="001C4200" w:rsidRPr="00077B75" w:rsidRDefault="001C4200" w:rsidP="001C4200">
      <w:pPr>
        <w:jc w:val="both"/>
        <w:rPr>
          <w:rFonts w:ascii="Arial" w:hAnsi="Arial" w:cs="Arial"/>
          <w:b/>
          <w:sz w:val="22"/>
          <w:szCs w:val="22"/>
        </w:rPr>
      </w:pPr>
      <w:r w:rsidRPr="00077B75">
        <w:rPr>
          <w:rFonts w:ascii="Arial" w:hAnsi="Arial" w:cs="Arial"/>
          <w:sz w:val="22"/>
          <w:szCs w:val="22"/>
        </w:rPr>
        <w:t xml:space="preserve">Příspěvek na částečnou </w:t>
      </w:r>
      <w:r w:rsidRPr="00962300">
        <w:rPr>
          <w:rFonts w:ascii="Arial" w:hAnsi="Arial" w:cs="Arial"/>
          <w:b/>
          <w:sz w:val="22"/>
          <w:szCs w:val="22"/>
        </w:rPr>
        <w:t>úhradu provozních nákladů</w:t>
      </w:r>
      <w:r w:rsidRPr="00077B75">
        <w:rPr>
          <w:rFonts w:ascii="Arial" w:hAnsi="Arial" w:cs="Arial"/>
          <w:sz w:val="22"/>
          <w:szCs w:val="22"/>
        </w:rPr>
        <w:t xml:space="preserve"> CHPM byl vyplacen celkem v částce </w:t>
      </w:r>
      <w:r w:rsidRPr="00077B75">
        <w:rPr>
          <w:rFonts w:ascii="Arial" w:hAnsi="Arial" w:cs="Arial"/>
          <w:b/>
          <w:sz w:val="22"/>
          <w:szCs w:val="22"/>
        </w:rPr>
        <w:t>128 620,- Kč.</w:t>
      </w:r>
      <w:r w:rsidRPr="00077B75">
        <w:rPr>
          <w:rFonts w:ascii="Arial" w:hAnsi="Arial" w:cs="Arial"/>
          <w:sz w:val="22"/>
          <w:szCs w:val="22"/>
        </w:rPr>
        <w:t xml:space="preserve">  Celkové prostředky vynaložené na podporu zaměstnávání osob se zdravotním postižením na chráněných pracovních místech ve srovnání s rokem 2013 výrazně poklesly. (v r. 2013 bylo vyplaceno 14 430 tis.</w:t>
      </w:r>
      <w:r>
        <w:rPr>
          <w:rFonts w:ascii="Arial" w:hAnsi="Arial" w:cs="Arial"/>
          <w:sz w:val="22"/>
          <w:szCs w:val="22"/>
        </w:rPr>
        <w:t xml:space="preserve"> Kč</w:t>
      </w:r>
      <w:r w:rsidRPr="00077B75">
        <w:rPr>
          <w:rFonts w:ascii="Arial" w:hAnsi="Arial" w:cs="Arial"/>
          <w:sz w:val="22"/>
          <w:szCs w:val="22"/>
        </w:rPr>
        <w:t>)  Byla tak naplněna priorita strategie APZ umísťovat OZP především na volném trhu práce. (Na SÚPM vyhrazených bylo celkem umístěno 158 OZP).</w:t>
      </w:r>
    </w:p>
    <w:p w:rsidR="001C4200" w:rsidRPr="00077B75" w:rsidRDefault="001C4200" w:rsidP="001C4200">
      <w:pPr>
        <w:jc w:val="both"/>
        <w:rPr>
          <w:rFonts w:ascii="Arial" w:hAnsi="Arial" w:cs="Arial"/>
          <w:sz w:val="22"/>
          <w:szCs w:val="22"/>
        </w:rPr>
      </w:pPr>
    </w:p>
    <w:p w:rsidR="001C4200" w:rsidRPr="00064838" w:rsidRDefault="001C4200" w:rsidP="001C4200">
      <w:pPr>
        <w:shd w:val="clear" w:color="auto" w:fill="FFFFFF"/>
        <w:jc w:val="both"/>
        <w:rPr>
          <w:rFonts w:ascii="Arial" w:hAnsi="Arial" w:cs="Arial"/>
          <w:sz w:val="22"/>
          <w:szCs w:val="22"/>
        </w:rPr>
      </w:pPr>
      <w:r w:rsidRPr="00064838">
        <w:rPr>
          <w:rFonts w:ascii="Arial" w:hAnsi="Arial" w:cs="Arial"/>
          <w:sz w:val="22"/>
          <w:szCs w:val="22"/>
        </w:rPr>
        <w:t xml:space="preserve">Počet míst, na která byl poskytnut </w:t>
      </w:r>
      <w:r w:rsidRPr="00064838">
        <w:rPr>
          <w:rFonts w:ascii="Arial" w:hAnsi="Arial" w:cs="Arial"/>
          <w:b/>
          <w:sz w:val="22"/>
          <w:szCs w:val="22"/>
        </w:rPr>
        <w:t>příspěvek na úhradu provozních nákladů</w:t>
      </w:r>
      <w:r w:rsidRPr="00064838">
        <w:rPr>
          <w:rFonts w:ascii="Arial" w:hAnsi="Arial" w:cs="Arial"/>
          <w:sz w:val="22"/>
          <w:szCs w:val="22"/>
        </w:rPr>
        <w:t xml:space="preserve"> </w:t>
      </w:r>
      <w:r>
        <w:rPr>
          <w:rFonts w:ascii="Arial" w:hAnsi="Arial" w:cs="Arial"/>
          <w:sz w:val="22"/>
          <w:szCs w:val="22"/>
        </w:rPr>
        <w:t>je nízký, bdobně jako v roce 2013 to byla pouhá</w:t>
      </w:r>
      <w:r w:rsidRPr="00064838">
        <w:rPr>
          <w:rFonts w:ascii="Arial" w:hAnsi="Arial" w:cs="Arial"/>
          <w:b/>
          <w:sz w:val="22"/>
          <w:szCs w:val="22"/>
        </w:rPr>
        <w:t xml:space="preserve"> 4 místa</w:t>
      </w:r>
      <w:r w:rsidRPr="00064838">
        <w:rPr>
          <w:rFonts w:ascii="Arial" w:hAnsi="Arial" w:cs="Arial"/>
          <w:sz w:val="22"/>
          <w:szCs w:val="22"/>
        </w:rPr>
        <w:t xml:space="preserve">. </w:t>
      </w:r>
    </w:p>
    <w:p w:rsidR="001C4200" w:rsidRPr="00064838" w:rsidRDefault="001C4200" w:rsidP="001C4200">
      <w:pPr>
        <w:shd w:val="clear" w:color="auto" w:fill="FFFFFF"/>
        <w:jc w:val="both"/>
        <w:rPr>
          <w:rFonts w:ascii="Arial" w:hAnsi="Arial" w:cs="Arial"/>
          <w:sz w:val="22"/>
          <w:szCs w:val="22"/>
        </w:rPr>
      </w:pPr>
    </w:p>
    <w:p w:rsidR="001C4200" w:rsidRPr="00064838" w:rsidRDefault="001C4200" w:rsidP="001C4200">
      <w:pPr>
        <w:jc w:val="both"/>
        <w:rPr>
          <w:rFonts w:ascii="Arial" w:hAnsi="Arial" w:cs="Arial"/>
          <w:sz w:val="22"/>
          <w:szCs w:val="22"/>
        </w:rPr>
      </w:pPr>
      <w:r w:rsidRPr="00064838">
        <w:rPr>
          <w:rFonts w:ascii="Arial" w:hAnsi="Arial" w:cs="Arial"/>
          <w:sz w:val="22"/>
          <w:szCs w:val="22"/>
        </w:rPr>
        <w:t xml:space="preserve">Zaměstnavatelé raději upřednostňují </w:t>
      </w:r>
      <w:r w:rsidRPr="00064838">
        <w:rPr>
          <w:rFonts w:ascii="Arial" w:hAnsi="Arial" w:cs="Arial"/>
          <w:b/>
          <w:sz w:val="22"/>
          <w:szCs w:val="22"/>
        </w:rPr>
        <w:t xml:space="preserve">příspěvek na podporu zaměstnávání osob se zdravotním postižením na chráněném pracovním místě dle § 78 </w:t>
      </w:r>
      <w:r w:rsidRPr="00064838">
        <w:rPr>
          <w:rFonts w:ascii="Arial" w:hAnsi="Arial" w:cs="Arial"/>
          <w:sz w:val="22"/>
          <w:szCs w:val="22"/>
        </w:rPr>
        <w:t>zákona  č. 435/2004 Sb., o zaměstnanosti</w:t>
      </w:r>
      <w:r>
        <w:rPr>
          <w:rFonts w:ascii="Arial" w:hAnsi="Arial" w:cs="Arial"/>
          <w:sz w:val="22"/>
          <w:szCs w:val="22"/>
        </w:rPr>
        <w:t>.</w:t>
      </w:r>
      <w:r w:rsidRPr="00064838">
        <w:rPr>
          <w:rFonts w:ascii="Arial" w:hAnsi="Arial" w:cs="Arial"/>
          <w:sz w:val="22"/>
          <w:szCs w:val="22"/>
        </w:rPr>
        <w:t xml:space="preserve"> Příspěvek je poskytován zaměstnavatelům zaměstnávajícím</w:t>
      </w:r>
      <w:r w:rsidRPr="00064838">
        <w:rPr>
          <w:rFonts w:ascii="Arial" w:hAnsi="Arial" w:cs="Arial"/>
          <w:b/>
          <w:bCs/>
          <w:sz w:val="22"/>
          <w:szCs w:val="22"/>
        </w:rPr>
        <w:t xml:space="preserve"> </w:t>
      </w:r>
      <w:r w:rsidRPr="00064838">
        <w:rPr>
          <w:rFonts w:ascii="Arial" w:hAnsi="Arial" w:cs="Arial"/>
          <w:bCs/>
          <w:sz w:val="22"/>
          <w:szCs w:val="22"/>
        </w:rPr>
        <w:t>na vymezených či chráněných pracovních místech</w:t>
      </w:r>
      <w:r w:rsidRPr="00064838">
        <w:rPr>
          <w:rFonts w:ascii="Arial" w:hAnsi="Arial" w:cs="Arial"/>
          <w:sz w:val="22"/>
          <w:szCs w:val="22"/>
        </w:rPr>
        <w:t xml:space="preserve"> více než 50 % osob se zdravotním postižením z celkového počtu zaměstnanců.  Příspěvek náleží zaměstnavateli měsíčně ve výši skutečně vynaložených mzdových nákladů na zaměstnance, který je osobou se zdravotním postižením, včetně pojistného na sociální zabezpečení a příspěvku na státní politiku zaměstnanosti a pojistného na veřejné zdravotní pojištění,  nejvýše však 8 000 Kč.</w:t>
      </w:r>
    </w:p>
    <w:p w:rsidR="001C4200" w:rsidRDefault="001C4200" w:rsidP="001C4200">
      <w:pPr>
        <w:jc w:val="both"/>
        <w:rPr>
          <w:rFonts w:ascii="Arial" w:hAnsi="Arial" w:cs="Arial"/>
          <w:sz w:val="22"/>
          <w:szCs w:val="22"/>
        </w:rPr>
      </w:pPr>
    </w:p>
    <w:p w:rsidR="001C4200" w:rsidRPr="00064838" w:rsidRDefault="001C4200" w:rsidP="001C4200">
      <w:pPr>
        <w:jc w:val="both"/>
        <w:rPr>
          <w:rFonts w:ascii="Arial" w:hAnsi="Arial" w:cs="Arial"/>
          <w:sz w:val="22"/>
          <w:szCs w:val="22"/>
        </w:rPr>
      </w:pPr>
      <w:r w:rsidRPr="00064838">
        <w:rPr>
          <w:rFonts w:ascii="Arial" w:hAnsi="Arial" w:cs="Arial"/>
          <w:sz w:val="22"/>
          <w:szCs w:val="22"/>
        </w:rPr>
        <w:t>Nově vymezeno bylo v průběhu roku 201</w:t>
      </w:r>
      <w:r>
        <w:rPr>
          <w:rFonts w:ascii="Arial" w:hAnsi="Arial" w:cs="Arial"/>
          <w:sz w:val="22"/>
          <w:szCs w:val="22"/>
        </w:rPr>
        <w:t>4</w:t>
      </w:r>
      <w:r w:rsidRPr="00064838">
        <w:rPr>
          <w:rFonts w:ascii="Arial" w:hAnsi="Arial" w:cs="Arial"/>
          <w:sz w:val="22"/>
          <w:szCs w:val="22"/>
        </w:rPr>
        <w:t xml:space="preserve"> v kraji 7</w:t>
      </w:r>
      <w:r>
        <w:rPr>
          <w:rFonts w:ascii="Arial" w:hAnsi="Arial" w:cs="Arial"/>
          <w:sz w:val="22"/>
          <w:szCs w:val="22"/>
        </w:rPr>
        <w:t>5</w:t>
      </w:r>
      <w:r w:rsidRPr="00064838">
        <w:rPr>
          <w:rFonts w:ascii="Arial" w:hAnsi="Arial" w:cs="Arial"/>
          <w:sz w:val="22"/>
          <w:szCs w:val="22"/>
        </w:rPr>
        <w:t xml:space="preserve">0 míst, z toho </w:t>
      </w:r>
      <w:r>
        <w:rPr>
          <w:rFonts w:ascii="Arial" w:hAnsi="Arial" w:cs="Arial"/>
          <w:sz w:val="22"/>
          <w:szCs w:val="22"/>
        </w:rPr>
        <w:t>nejvíce v okresech Hodonín (295) a Brno-město (216)</w:t>
      </w:r>
      <w:r w:rsidRPr="00064838">
        <w:rPr>
          <w:rFonts w:ascii="Arial" w:hAnsi="Arial" w:cs="Arial"/>
          <w:sz w:val="22"/>
          <w:szCs w:val="22"/>
        </w:rPr>
        <w:t>.</w:t>
      </w:r>
    </w:p>
    <w:p w:rsidR="001C4200" w:rsidRDefault="001C4200" w:rsidP="001C4200">
      <w:pPr>
        <w:jc w:val="both"/>
        <w:rPr>
          <w:rFonts w:ascii="Arial" w:hAnsi="Arial" w:cs="Arial"/>
          <w:sz w:val="22"/>
          <w:szCs w:val="22"/>
        </w:rPr>
      </w:pPr>
    </w:p>
    <w:p w:rsidR="001C4200" w:rsidRPr="00064838" w:rsidRDefault="001C4200" w:rsidP="001C4200">
      <w:pPr>
        <w:jc w:val="both"/>
        <w:rPr>
          <w:rFonts w:ascii="Arial" w:hAnsi="Arial" w:cs="Arial"/>
          <w:sz w:val="22"/>
          <w:szCs w:val="22"/>
        </w:rPr>
      </w:pPr>
      <w:r>
        <w:rPr>
          <w:rFonts w:ascii="Arial" w:hAnsi="Arial" w:cs="Arial"/>
          <w:b/>
          <w:sz w:val="22"/>
          <w:szCs w:val="22"/>
        </w:rPr>
        <w:t xml:space="preserve">Celkem </w:t>
      </w:r>
      <w:r w:rsidRPr="00077B75">
        <w:rPr>
          <w:rFonts w:ascii="Arial" w:hAnsi="Arial" w:cs="Arial"/>
          <w:sz w:val="22"/>
          <w:szCs w:val="22"/>
        </w:rPr>
        <w:t xml:space="preserve">bylo v kraji </w:t>
      </w:r>
      <w:r>
        <w:rPr>
          <w:rFonts w:ascii="Arial" w:hAnsi="Arial" w:cs="Arial"/>
          <w:sz w:val="22"/>
          <w:szCs w:val="22"/>
        </w:rPr>
        <w:t xml:space="preserve">ke 31.14.2014 </w:t>
      </w:r>
      <w:r w:rsidRPr="00077B75">
        <w:rPr>
          <w:rFonts w:ascii="Arial" w:hAnsi="Arial" w:cs="Arial"/>
          <w:b/>
          <w:sz w:val="22"/>
          <w:szCs w:val="22"/>
        </w:rPr>
        <w:t xml:space="preserve">vymezeno </w:t>
      </w:r>
      <w:r>
        <w:rPr>
          <w:rFonts w:ascii="Arial" w:hAnsi="Arial" w:cs="Arial"/>
          <w:b/>
          <w:sz w:val="22"/>
          <w:szCs w:val="22"/>
        </w:rPr>
        <w:t>6 213</w:t>
      </w:r>
      <w:r w:rsidRPr="00077B75">
        <w:rPr>
          <w:rFonts w:ascii="Arial" w:hAnsi="Arial" w:cs="Arial"/>
          <w:b/>
          <w:sz w:val="22"/>
          <w:szCs w:val="22"/>
        </w:rPr>
        <w:t xml:space="preserve"> </w:t>
      </w:r>
      <w:r>
        <w:rPr>
          <w:rFonts w:ascii="Arial" w:hAnsi="Arial" w:cs="Arial"/>
          <w:b/>
          <w:sz w:val="22"/>
          <w:szCs w:val="22"/>
        </w:rPr>
        <w:t>takovýchto</w:t>
      </w:r>
      <w:r w:rsidRPr="00077B75">
        <w:rPr>
          <w:rFonts w:ascii="Arial" w:hAnsi="Arial" w:cs="Arial"/>
          <w:b/>
          <w:sz w:val="22"/>
          <w:szCs w:val="22"/>
        </w:rPr>
        <w:t xml:space="preserve"> pracovních míst</w:t>
      </w:r>
      <w:r>
        <w:rPr>
          <w:rFonts w:ascii="Arial" w:hAnsi="Arial" w:cs="Arial"/>
          <w:b/>
          <w:sz w:val="22"/>
          <w:szCs w:val="22"/>
        </w:rPr>
        <w:t>, z toho polovina jich je v krajském městě.</w:t>
      </w:r>
      <w:r w:rsidRPr="00C67AE7">
        <w:rPr>
          <w:rFonts w:ascii="Arial" w:hAnsi="Arial" w:cs="Arial"/>
          <w:sz w:val="22"/>
          <w:szCs w:val="22"/>
        </w:rPr>
        <w:t xml:space="preserve"> </w:t>
      </w:r>
      <w:r>
        <w:rPr>
          <w:rFonts w:ascii="Arial" w:hAnsi="Arial" w:cs="Arial"/>
          <w:sz w:val="22"/>
          <w:szCs w:val="22"/>
        </w:rPr>
        <w:t>O</w:t>
      </w:r>
      <w:r w:rsidRPr="00064838">
        <w:rPr>
          <w:rFonts w:ascii="Arial" w:hAnsi="Arial" w:cs="Arial"/>
          <w:sz w:val="22"/>
          <w:szCs w:val="22"/>
        </w:rPr>
        <w:t>bjem příspěvků vyplacených za rok 201</w:t>
      </w:r>
      <w:r>
        <w:rPr>
          <w:rFonts w:ascii="Arial" w:hAnsi="Arial" w:cs="Arial"/>
          <w:sz w:val="22"/>
          <w:szCs w:val="22"/>
        </w:rPr>
        <w:t>4</w:t>
      </w:r>
      <w:r w:rsidRPr="00064838">
        <w:rPr>
          <w:rFonts w:ascii="Arial" w:hAnsi="Arial" w:cs="Arial"/>
          <w:sz w:val="22"/>
          <w:szCs w:val="22"/>
        </w:rPr>
        <w:t xml:space="preserve"> dle § 78 dosáhl částky </w:t>
      </w:r>
      <w:r w:rsidRPr="00430EE1">
        <w:rPr>
          <w:rFonts w:ascii="Arial" w:hAnsi="Arial" w:cs="Arial"/>
          <w:b/>
          <w:sz w:val="22"/>
          <w:szCs w:val="22"/>
        </w:rPr>
        <w:t>489,3 </w:t>
      </w:r>
      <w:r w:rsidRPr="00064838">
        <w:rPr>
          <w:rFonts w:ascii="Arial" w:hAnsi="Arial" w:cs="Arial"/>
          <w:b/>
          <w:sz w:val="22"/>
          <w:szCs w:val="22"/>
        </w:rPr>
        <w:t>mil. Kč.</w:t>
      </w:r>
    </w:p>
    <w:p w:rsidR="001C4200" w:rsidRDefault="001C4200" w:rsidP="001C4200">
      <w:pPr>
        <w:jc w:val="both"/>
        <w:rPr>
          <w:rFonts w:ascii="Arial" w:hAnsi="Arial" w:cs="Arial"/>
          <w:b/>
          <w:sz w:val="22"/>
          <w:szCs w:val="22"/>
        </w:rPr>
      </w:pPr>
    </w:p>
    <w:p w:rsidR="001C4200" w:rsidRPr="00064838" w:rsidRDefault="00543D58" w:rsidP="001C4200">
      <w:pPr>
        <w:pStyle w:val="Nadpis2"/>
      </w:pPr>
      <w:bookmarkStart w:id="71" w:name="_Toc381372898"/>
      <w:bookmarkStart w:id="72" w:name="_Toc411611480"/>
      <w:r>
        <w:t>6.2</w:t>
      </w:r>
      <w:r w:rsidR="001C4200" w:rsidRPr="00064838">
        <w:t xml:space="preserve"> Rekvalifikace a poradenství</w:t>
      </w:r>
      <w:bookmarkEnd w:id="71"/>
      <w:bookmarkEnd w:id="72"/>
    </w:p>
    <w:p w:rsidR="001C4200" w:rsidRDefault="001C4200" w:rsidP="001C4200">
      <w:pPr>
        <w:pStyle w:val="Zprva2"/>
        <w:spacing w:line="276" w:lineRule="auto"/>
        <w:rPr>
          <w:rFonts w:ascii="Arial" w:hAnsi="Arial" w:cs="Arial"/>
          <w:color w:val="auto"/>
        </w:rPr>
      </w:pPr>
    </w:p>
    <w:p w:rsidR="001C4200" w:rsidRPr="008C20B9" w:rsidRDefault="001C4200" w:rsidP="001C4200">
      <w:pPr>
        <w:jc w:val="both"/>
        <w:rPr>
          <w:rFonts w:ascii="Arial" w:hAnsi="Arial" w:cs="Arial"/>
          <w:snapToGrid w:val="0"/>
          <w:sz w:val="22"/>
          <w:szCs w:val="22"/>
        </w:rPr>
      </w:pPr>
      <w:r w:rsidRPr="00064838">
        <w:rPr>
          <w:rFonts w:ascii="Arial" w:hAnsi="Arial" w:cs="Arial"/>
          <w:snapToGrid w:val="0"/>
          <w:sz w:val="22"/>
          <w:szCs w:val="22"/>
        </w:rPr>
        <w:t>Do rekvalifikačních a poradenských programů v Jihomoravském kraji bylo v roce 201</w:t>
      </w:r>
      <w:r>
        <w:rPr>
          <w:rFonts w:ascii="Arial" w:hAnsi="Arial" w:cs="Arial"/>
          <w:snapToGrid w:val="0"/>
          <w:sz w:val="22"/>
          <w:szCs w:val="22"/>
        </w:rPr>
        <w:t xml:space="preserve">4 </w:t>
      </w:r>
      <w:r w:rsidRPr="00064838">
        <w:rPr>
          <w:rFonts w:ascii="Arial" w:hAnsi="Arial" w:cs="Arial"/>
          <w:b/>
          <w:snapToGrid w:val="0"/>
          <w:sz w:val="22"/>
          <w:szCs w:val="22"/>
        </w:rPr>
        <w:t xml:space="preserve">nově zařazeno celkem </w:t>
      </w:r>
      <w:r>
        <w:rPr>
          <w:rFonts w:ascii="Arial" w:hAnsi="Arial" w:cs="Arial"/>
          <w:b/>
          <w:snapToGrid w:val="0"/>
          <w:sz w:val="22"/>
          <w:szCs w:val="22"/>
        </w:rPr>
        <w:t>5 042</w:t>
      </w:r>
      <w:r w:rsidRPr="00064838">
        <w:rPr>
          <w:rFonts w:ascii="Arial" w:hAnsi="Arial" w:cs="Arial"/>
          <w:b/>
          <w:snapToGrid w:val="0"/>
          <w:sz w:val="22"/>
          <w:szCs w:val="22"/>
        </w:rPr>
        <w:t xml:space="preserve"> uchazečů </w:t>
      </w:r>
      <w:r>
        <w:rPr>
          <w:rFonts w:ascii="Arial" w:hAnsi="Arial" w:cs="Arial"/>
          <w:snapToGrid w:val="0"/>
          <w:sz w:val="22"/>
          <w:szCs w:val="22"/>
        </w:rPr>
        <w:t xml:space="preserve">a zájemců o zaměstnání, z toho </w:t>
      </w:r>
      <w:r w:rsidRPr="008C20B9">
        <w:rPr>
          <w:rFonts w:ascii="Arial" w:hAnsi="Arial" w:cs="Arial"/>
          <w:b/>
          <w:snapToGrid w:val="0"/>
          <w:sz w:val="22"/>
          <w:szCs w:val="22"/>
        </w:rPr>
        <w:t>3 073 v rámci národních individuálních projektů a národní APZ</w:t>
      </w:r>
      <w:r>
        <w:rPr>
          <w:rFonts w:ascii="Arial" w:hAnsi="Arial" w:cs="Arial"/>
          <w:snapToGrid w:val="0"/>
          <w:sz w:val="22"/>
          <w:szCs w:val="22"/>
        </w:rPr>
        <w:t xml:space="preserve">, dalších 1 969 pak prošlo rekvalifikacemi v projektech RIP a v grantových projektech realizovaných jinými subjekty. </w:t>
      </w:r>
      <w:r w:rsidRPr="00064838">
        <w:rPr>
          <w:rFonts w:ascii="Arial" w:hAnsi="Arial" w:cs="Arial"/>
          <w:sz w:val="22"/>
          <w:szCs w:val="22"/>
        </w:rPr>
        <w:t>Aktivity byly hrazeny především z Evropského sociálního fondu a státního rozpočtu ČR prostřednictvím Operačního progra</w:t>
      </w:r>
      <w:r>
        <w:rPr>
          <w:rFonts w:ascii="Arial" w:hAnsi="Arial" w:cs="Arial"/>
          <w:sz w:val="22"/>
          <w:szCs w:val="22"/>
        </w:rPr>
        <w:t>mu Lidské zdroje a zaměstnanost a</w:t>
      </w:r>
      <w:r w:rsidRPr="00064838">
        <w:rPr>
          <w:rFonts w:ascii="Arial" w:hAnsi="Arial" w:cs="Arial"/>
          <w:sz w:val="22"/>
          <w:szCs w:val="22"/>
        </w:rPr>
        <w:t xml:space="preserve"> z prostředků národní APZ. </w:t>
      </w:r>
      <w:r>
        <w:rPr>
          <w:rFonts w:ascii="Arial" w:hAnsi="Arial" w:cs="Arial"/>
          <w:sz w:val="22"/>
          <w:szCs w:val="22"/>
        </w:rPr>
        <w:t>N</w:t>
      </w:r>
      <w:r w:rsidRPr="00064838">
        <w:rPr>
          <w:rFonts w:ascii="Arial" w:hAnsi="Arial" w:cs="Arial"/>
          <w:sz w:val="22"/>
          <w:szCs w:val="22"/>
        </w:rPr>
        <w:t>a rekvalifikační programy v</w:t>
      </w:r>
      <w:r>
        <w:rPr>
          <w:rFonts w:ascii="Arial" w:hAnsi="Arial" w:cs="Arial"/>
          <w:sz w:val="22"/>
          <w:szCs w:val="22"/>
        </w:rPr>
        <w:t xml:space="preserve"> rámci národní APZ bylo v </w:t>
      </w:r>
      <w:r w:rsidRPr="00064838">
        <w:rPr>
          <w:rFonts w:ascii="Arial" w:hAnsi="Arial" w:cs="Arial"/>
          <w:sz w:val="22"/>
          <w:szCs w:val="22"/>
        </w:rPr>
        <w:t>roce 201</w:t>
      </w:r>
      <w:r>
        <w:rPr>
          <w:rFonts w:ascii="Arial" w:hAnsi="Arial" w:cs="Arial"/>
          <w:sz w:val="22"/>
          <w:szCs w:val="22"/>
        </w:rPr>
        <w:t>4</w:t>
      </w:r>
      <w:r w:rsidRPr="00064838">
        <w:rPr>
          <w:rFonts w:ascii="Arial" w:hAnsi="Arial" w:cs="Arial"/>
          <w:sz w:val="22"/>
          <w:szCs w:val="22"/>
        </w:rPr>
        <w:t xml:space="preserve"> </w:t>
      </w:r>
      <w:r w:rsidRPr="00D92DB2">
        <w:rPr>
          <w:rFonts w:ascii="Arial" w:hAnsi="Arial" w:cs="Arial"/>
          <w:sz w:val="22"/>
          <w:szCs w:val="22"/>
        </w:rPr>
        <w:t>vynaloženo 18,9 mil. Kč,</w:t>
      </w:r>
      <w:r w:rsidRPr="00064838">
        <w:rPr>
          <w:rFonts w:ascii="Arial" w:hAnsi="Arial" w:cs="Arial"/>
          <w:sz w:val="22"/>
          <w:szCs w:val="22"/>
        </w:rPr>
        <w:t xml:space="preserve"> </w:t>
      </w:r>
      <w:r>
        <w:rPr>
          <w:rFonts w:ascii="Arial" w:hAnsi="Arial" w:cs="Arial"/>
          <w:sz w:val="22"/>
          <w:szCs w:val="22"/>
        </w:rPr>
        <w:t>na rekvalifikace v rámci NIP 16,9 mil. Kč</w:t>
      </w:r>
      <w:r w:rsidRPr="00064838">
        <w:rPr>
          <w:rFonts w:ascii="Arial" w:hAnsi="Arial" w:cs="Arial"/>
          <w:sz w:val="22"/>
          <w:szCs w:val="22"/>
        </w:rPr>
        <w:t>.</w:t>
      </w:r>
      <w:r>
        <w:rPr>
          <w:rFonts w:ascii="Arial" w:hAnsi="Arial" w:cs="Arial"/>
          <w:sz w:val="22"/>
          <w:szCs w:val="22"/>
        </w:rPr>
        <w:t xml:space="preserve"> </w:t>
      </w:r>
    </w:p>
    <w:p w:rsidR="001C4200" w:rsidRPr="00064838" w:rsidRDefault="001C4200" w:rsidP="001C4200">
      <w:pPr>
        <w:jc w:val="both"/>
        <w:rPr>
          <w:rFonts w:ascii="Arial" w:hAnsi="Arial" w:cs="Arial"/>
          <w:sz w:val="22"/>
          <w:szCs w:val="22"/>
        </w:rPr>
      </w:pPr>
    </w:p>
    <w:p w:rsidR="001C4200" w:rsidRPr="00064838" w:rsidRDefault="001C4200" w:rsidP="001C4200">
      <w:pPr>
        <w:widowControl w:val="0"/>
        <w:jc w:val="both"/>
        <w:rPr>
          <w:rFonts w:ascii="Arial" w:hAnsi="Arial" w:cs="Arial"/>
          <w:snapToGrid w:val="0"/>
          <w:sz w:val="22"/>
          <w:szCs w:val="22"/>
        </w:rPr>
      </w:pPr>
      <w:r w:rsidRPr="00064838">
        <w:rPr>
          <w:rFonts w:ascii="Arial" w:hAnsi="Arial" w:cs="Arial"/>
          <w:snapToGrid w:val="0"/>
          <w:sz w:val="22"/>
          <w:szCs w:val="22"/>
        </w:rPr>
        <w:t>Přehled o počtech uchazečů a zájemců o zaměstnání zařazených do rekvalifikací a poradenství dle jednotlivých způsobů financování podává následující tabulka.</w:t>
      </w:r>
    </w:p>
    <w:p w:rsidR="001C4200" w:rsidRDefault="001C4200" w:rsidP="001C4200">
      <w:pPr>
        <w:rPr>
          <w:rFonts w:ascii="Arial" w:hAnsi="Arial" w:cs="Arial"/>
          <w:b/>
          <w:i/>
          <w:sz w:val="22"/>
          <w:szCs w:val="22"/>
        </w:rPr>
      </w:pPr>
    </w:p>
    <w:p w:rsidR="001C4200" w:rsidRPr="00D27DAE" w:rsidRDefault="00D27DAE" w:rsidP="00D27DAE">
      <w:pPr>
        <w:rPr>
          <w:rFonts w:ascii="Arial" w:hAnsi="Arial" w:cs="Arial"/>
          <w:b/>
          <w:i/>
          <w:sz w:val="20"/>
          <w:szCs w:val="20"/>
        </w:rPr>
      </w:pPr>
      <w:r w:rsidRPr="00D27DAE">
        <w:rPr>
          <w:rFonts w:ascii="Arial" w:hAnsi="Arial" w:cs="Arial"/>
          <w:b/>
          <w:i/>
          <w:sz w:val="20"/>
          <w:szCs w:val="20"/>
        </w:rPr>
        <w:t xml:space="preserve">Tab. </w:t>
      </w:r>
      <w:r w:rsidRPr="00D27DAE">
        <w:rPr>
          <w:rFonts w:ascii="Arial" w:hAnsi="Arial" w:cs="Arial"/>
          <w:b/>
          <w:i/>
          <w:sz w:val="20"/>
          <w:szCs w:val="20"/>
        </w:rPr>
        <w:fldChar w:fldCharType="begin"/>
      </w:r>
      <w:r w:rsidRPr="00D27DAE">
        <w:rPr>
          <w:rFonts w:ascii="Arial" w:hAnsi="Arial" w:cs="Arial"/>
          <w:b/>
          <w:i/>
          <w:sz w:val="20"/>
          <w:szCs w:val="20"/>
        </w:rPr>
        <w:instrText xml:space="preserve"> SEQ Tab. \* ARABIC </w:instrText>
      </w:r>
      <w:r w:rsidRPr="00D27DAE">
        <w:rPr>
          <w:rFonts w:ascii="Arial" w:hAnsi="Arial" w:cs="Arial"/>
          <w:b/>
          <w:i/>
          <w:sz w:val="20"/>
          <w:szCs w:val="20"/>
        </w:rPr>
        <w:fldChar w:fldCharType="separate"/>
      </w:r>
      <w:r w:rsidR="004378F3">
        <w:rPr>
          <w:rFonts w:ascii="Arial" w:hAnsi="Arial" w:cs="Arial"/>
          <w:b/>
          <w:i/>
          <w:noProof/>
          <w:sz w:val="20"/>
          <w:szCs w:val="20"/>
        </w:rPr>
        <w:t>20</w:t>
      </w:r>
      <w:r w:rsidRPr="00D27DAE">
        <w:rPr>
          <w:rFonts w:ascii="Arial" w:hAnsi="Arial" w:cs="Arial"/>
          <w:b/>
          <w:i/>
          <w:sz w:val="20"/>
          <w:szCs w:val="20"/>
        </w:rPr>
        <w:fldChar w:fldCharType="end"/>
      </w:r>
      <w:r w:rsidR="001C4200" w:rsidRPr="00D27DAE">
        <w:rPr>
          <w:rFonts w:ascii="Arial" w:hAnsi="Arial" w:cs="Arial"/>
          <w:b/>
          <w:i/>
          <w:sz w:val="20"/>
          <w:szCs w:val="20"/>
        </w:rPr>
        <w:t>: Počty uchazečů a zájemců o zaměstnání zařazených do rekvalifikací v roce 2014</w:t>
      </w:r>
    </w:p>
    <w:tbl>
      <w:tblPr>
        <w:tblW w:w="8859"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0"/>
        <w:gridCol w:w="1679"/>
      </w:tblGrid>
      <w:tr w:rsidR="001C4200" w:rsidRPr="00566739" w:rsidTr="00D27DAE">
        <w:trPr>
          <w:trHeight w:val="592"/>
        </w:trPr>
        <w:tc>
          <w:tcPr>
            <w:tcW w:w="7180" w:type="dxa"/>
            <w:tcBorders>
              <w:top w:val="single" w:sz="12" w:space="0" w:color="auto"/>
              <w:bottom w:val="single" w:sz="12" w:space="0" w:color="auto"/>
            </w:tcBorders>
            <w:shd w:val="clear" w:color="000000" w:fill="D9D9D9"/>
            <w:vAlign w:val="center"/>
            <w:hideMark/>
          </w:tcPr>
          <w:p w:rsidR="001C4200" w:rsidRPr="00D27DAE" w:rsidRDefault="001C4200" w:rsidP="00D27DAE">
            <w:pPr>
              <w:spacing w:line="240" w:lineRule="auto"/>
              <w:rPr>
                <w:rFonts w:asciiTheme="minorHAnsi" w:hAnsiTheme="minorHAnsi" w:cs="Arial"/>
                <w:b/>
                <w:bCs/>
                <w:sz w:val="22"/>
                <w:szCs w:val="22"/>
              </w:rPr>
            </w:pPr>
            <w:r w:rsidRPr="00D27DAE">
              <w:rPr>
                <w:rFonts w:asciiTheme="minorHAnsi" w:hAnsiTheme="minorHAnsi" w:cs="Arial"/>
                <w:b/>
                <w:bCs/>
                <w:sz w:val="22"/>
                <w:szCs w:val="22"/>
              </w:rPr>
              <w:t>počet uchazečů zařazených do rekvalifikací</w:t>
            </w:r>
          </w:p>
        </w:tc>
        <w:tc>
          <w:tcPr>
            <w:tcW w:w="1679" w:type="dxa"/>
            <w:tcBorders>
              <w:top w:val="single" w:sz="12" w:space="0" w:color="auto"/>
              <w:bottom w:val="single" w:sz="12" w:space="0" w:color="auto"/>
            </w:tcBorders>
            <w:shd w:val="clear" w:color="000000" w:fill="D9D9D9"/>
            <w:noWrap/>
            <w:vAlign w:val="center"/>
            <w:hideMark/>
          </w:tcPr>
          <w:p w:rsidR="001C4200" w:rsidRPr="00D27DAE" w:rsidRDefault="001C4200" w:rsidP="001C4200">
            <w:pPr>
              <w:spacing w:line="240" w:lineRule="auto"/>
              <w:jc w:val="center"/>
              <w:rPr>
                <w:rFonts w:asciiTheme="minorHAnsi" w:hAnsiTheme="minorHAnsi"/>
                <w:b/>
                <w:bCs/>
                <w:sz w:val="22"/>
                <w:szCs w:val="22"/>
              </w:rPr>
            </w:pPr>
            <w:r w:rsidRPr="00D27DAE">
              <w:rPr>
                <w:rFonts w:asciiTheme="minorHAnsi" w:hAnsiTheme="minorHAnsi"/>
                <w:b/>
                <w:bCs/>
                <w:sz w:val="22"/>
                <w:szCs w:val="22"/>
              </w:rPr>
              <w:t>počet</w:t>
            </w:r>
          </w:p>
        </w:tc>
      </w:tr>
      <w:tr w:rsidR="001C4200" w:rsidRPr="00566739" w:rsidTr="00D27DAE">
        <w:trPr>
          <w:trHeight w:val="487"/>
        </w:trPr>
        <w:tc>
          <w:tcPr>
            <w:tcW w:w="7180" w:type="dxa"/>
            <w:tcBorders>
              <w:top w:val="single" w:sz="12" w:space="0" w:color="auto"/>
            </w:tcBorders>
            <w:shd w:val="clear" w:color="auto" w:fill="auto"/>
            <w:vAlign w:val="center"/>
            <w:hideMark/>
          </w:tcPr>
          <w:p w:rsidR="001C4200" w:rsidRPr="00D27DAE" w:rsidRDefault="001C4200" w:rsidP="00D27DAE">
            <w:pPr>
              <w:spacing w:line="240" w:lineRule="auto"/>
              <w:rPr>
                <w:rFonts w:asciiTheme="minorHAnsi" w:hAnsiTheme="minorHAnsi" w:cs="Arial"/>
                <w:color w:val="000000"/>
                <w:sz w:val="22"/>
                <w:szCs w:val="22"/>
              </w:rPr>
            </w:pPr>
            <w:r w:rsidRPr="00D27DAE">
              <w:rPr>
                <w:rFonts w:asciiTheme="minorHAnsi" w:hAnsiTheme="minorHAnsi" w:cs="Arial"/>
                <w:color w:val="000000"/>
                <w:sz w:val="22"/>
                <w:szCs w:val="22"/>
              </w:rPr>
              <w:t xml:space="preserve">uchazeči a zájemci, zařazení do </w:t>
            </w:r>
            <w:r w:rsidRPr="00D27DAE">
              <w:rPr>
                <w:rFonts w:asciiTheme="minorHAnsi" w:hAnsiTheme="minorHAnsi" w:cs="Arial"/>
                <w:b/>
                <w:bCs/>
                <w:color w:val="000000"/>
                <w:sz w:val="22"/>
                <w:szCs w:val="22"/>
              </w:rPr>
              <w:t>rekvalifikace v rámci APZ</w:t>
            </w:r>
          </w:p>
        </w:tc>
        <w:tc>
          <w:tcPr>
            <w:tcW w:w="1679" w:type="dxa"/>
            <w:tcBorders>
              <w:top w:val="single" w:sz="12" w:space="0" w:color="auto"/>
            </w:tcBorders>
            <w:shd w:val="clear" w:color="auto" w:fill="auto"/>
            <w:noWrap/>
            <w:vAlign w:val="center"/>
            <w:hideMark/>
          </w:tcPr>
          <w:p w:rsidR="001C4200" w:rsidRPr="00D27DAE" w:rsidRDefault="001C4200" w:rsidP="00D27DAE">
            <w:pPr>
              <w:spacing w:line="240" w:lineRule="auto"/>
              <w:ind w:firstLineChars="100" w:firstLine="220"/>
              <w:jc w:val="right"/>
              <w:rPr>
                <w:rFonts w:asciiTheme="minorHAnsi" w:hAnsiTheme="minorHAnsi" w:cs="Arial"/>
                <w:color w:val="000000"/>
                <w:sz w:val="22"/>
                <w:szCs w:val="22"/>
              </w:rPr>
            </w:pPr>
            <w:r w:rsidRPr="00D27DAE">
              <w:rPr>
                <w:rFonts w:asciiTheme="minorHAnsi" w:hAnsiTheme="minorHAnsi" w:cs="Arial"/>
                <w:color w:val="000000"/>
                <w:sz w:val="22"/>
                <w:szCs w:val="22"/>
              </w:rPr>
              <w:t>1 148</w:t>
            </w:r>
          </w:p>
        </w:tc>
      </w:tr>
      <w:tr w:rsidR="001C4200" w:rsidRPr="00566739" w:rsidTr="00D27DAE">
        <w:trPr>
          <w:trHeight w:val="487"/>
        </w:trPr>
        <w:tc>
          <w:tcPr>
            <w:tcW w:w="7180" w:type="dxa"/>
            <w:shd w:val="clear" w:color="auto" w:fill="auto"/>
            <w:vAlign w:val="center"/>
            <w:hideMark/>
          </w:tcPr>
          <w:p w:rsidR="001C4200" w:rsidRPr="00D27DAE" w:rsidRDefault="001C4200" w:rsidP="00D27DAE">
            <w:pPr>
              <w:spacing w:line="240" w:lineRule="auto"/>
              <w:rPr>
                <w:rFonts w:asciiTheme="minorHAnsi" w:hAnsiTheme="minorHAnsi" w:cs="Arial"/>
                <w:color w:val="000000"/>
                <w:sz w:val="22"/>
                <w:szCs w:val="22"/>
              </w:rPr>
            </w:pPr>
            <w:r w:rsidRPr="00D27DAE">
              <w:rPr>
                <w:rFonts w:asciiTheme="minorHAnsi" w:hAnsiTheme="minorHAnsi" w:cs="Arial"/>
                <w:color w:val="000000"/>
                <w:sz w:val="22"/>
                <w:szCs w:val="22"/>
              </w:rPr>
              <w:t xml:space="preserve">uchazeči a zájemci, zařazení do </w:t>
            </w:r>
            <w:r w:rsidRPr="00D27DAE">
              <w:rPr>
                <w:rFonts w:asciiTheme="minorHAnsi" w:hAnsiTheme="minorHAnsi" w:cs="Arial"/>
                <w:b/>
                <w:bCs/>
                <w:color w:val="000000"/>
                <w:sz w:val="22"/>
                <w:szCs w:val="22"/>
              </w:rPr>
              <w:t>rekvalifikace v rámci NIP</w:t>
            </w:r>
          </w:p>
        </w:tc>
        <w:tc>
          <w:tcPr>
            <w:tcW w:w="1679" w:type="dxa"/>
            <w:shd w:val="clear" w:color="auto" w:fill="auto"/>
            <w:noWrap/>
            <w:vAlign w:val="center"/>
            <w:hideMark/>
          </w:tcPr>
          <w:p w:rsidR="001C4200" w:rsidRPr="00D27DAE" w:rsidRDefault="001C4200" w:rsidP="00D27DAE">
            <w:pPr>
              <w:spacing w:line="240" w:lineRule="auto"/>
              <w:ind w:firstLineChars="100" w:firstLine="220"/>
              <w:jc w:val="right"/>
              <w:rPr>
                <w:rFonts w:asciiTheme="minorHAnsi" w:hAnsiTheme="minorHAnsi" w:cs="Arial"/>
                <w:color w:val="000000"/>
                <w:sz w:val="22"/>
                <w:szCs w:val="22"/>
              </w:rPr>
            </w:pPr>
            <w:r w:rsidRPr="00D27DAE">
              <w:rPr>
                <w:rFonts w:asciiTheme="minorHAnsi" w:hAnsiTheme="minorHAnsi" w:cs="Arial"/>
                <w:color w:val="000000"/>
                <w:sz w:val="22"/>
                <w:szCs w:val="22"/>
              </w:rPr>
              <w:t>464</w:t>
            </w:r>
          </w:p>
        </w:tc>
      </w:tr>
      <w:tr w:rsidR="001C4200" w:rsidRPr="00566739" w:rsidTr="00D27DAE">
        <w:trPr>
          <w:trHeight w:val="487"/>
        </w:trPr>
        <w:tc>
          <w:tcPr>
            <w:tcW w:w="7180" w:type="dxa"/>
            <w:shd w:val="clear" w:color="auto" w:fill="auto"/>
            <w:vAlign w:val="center"/>
            <w:hideMark/>
          </w:tcPr>
          <w:p w:rsidR="001C4200" w:rsidRPr="00D27DAE" w:rsidRDefault="001C4200" w:rsidP="00D27DAE">
            <w:pPr>
              <w:spacing w:line="240" w:lineRule="auto"/>
              <w:rPr>
                <w:rFonts w:asciiTheme="minorHAnsi" w:hAnsiTheme="minorHAnsi" w:cs="Arial"/>
                <w:color w:val="000000"/>
                <w:sz w:val="22"/>
                <w:szCs w:val="22"/>
              </w:rPr>
            </w:pPr>
            <w:r w:rsidRPr="00D27DAE">
              <w:rPr>
                <w:rFonts w:asciiTheme="minorHAnsi" w:hAnsiTheme="minorHAnsi" w:cs="Arial"/>
                <w:color w:val="000000"/>
                <w:sz w:val="22"/>
                <w:szCs w:val="22"/>
              </w:rPr>
              <w:t xml:space="preserve">uchazeči a zájemci, kteří zahájili </w:t>
            </w:r>
            <w:r w:rsidRPr="00D27DAE">
              <w:rPr>
                <w:rFonts w:asciiTheme="minorHAnsi" w:hAnsiTheme="minorHAnsi" w:cs="Arial"/>
                <w:b/>
                <w:bCs/>
                <w:color w:val="000000"/>
                <w:sz w:val="22"/>
                <w:szCs w:val="22"/>
              </w:rPr>
              <w:t>zvolenou rekvalifikaci v rámci APZ</w:t>
            </w:r>
          </w:p>
        </w:tc>
        <w:tc>
          <w:tcPr>
            <w:tcW w:w="1679" w:type="dxa"/>
            <w:shd w:val="clear" w:color="auto" w:fill="auto"/>
            <w:noWrap/>
            <w:vAlign w:val="center"/>
            <w:hideMark/>
          </w:tcPr>
          <w:p w:rsidR="001C4200" w:rsidRPr="00D27DAE" w:rsidRDefault="001C4200" w:rsidP="00D27DAE">
            <w:pPr>
              <w:spacing w:line="240" w:lineRule="auto"/>
              <w:ind w:firstLineChars="100" w:firstLine="220"/>
              <w:jc w:val="right"/>
              <w:rPr>
                <w:rFonts w:asciiTheme="minorHAnsi" w:hAnsiTheme="minorHAnsi" w:cs="Arial"/>
                <w:color w:val="000000"/>
                <w:sz w:val="22"/>
                <w:szCs w:val="22"/>
              </w:rPr>
            </w:pPr>
            <w:r w:rsidRPr="00D27DAE">
              <w:rPr>
                <w:rFonts w:asciiTheme="minorHAnsi" w:hAnsiTheme="minorHAnsi" w:cs="Arial"/>
                <w:color w:val="000000"/>
                <w:sz w:val="22"/>
                <w:szCs w:val="22"/>
              </w:rPr>
              <w:t>419</w:t>
            </w:r>
          </w:p>
        </w:tc>
      </w:tr>
      <w:tr w:rsidR="001C4200" w:rsidRPr="00566739" w:rsidTr="00D27DAE">
        <w:trPr>
          <w:trHeight w:val="487"/>
        </w:trPr>
        <w:tc>
          <w:tcPr>
            <w:tcW w:w="7180" w:type="dxa"/>
            <w:shd w:val="clear" w:color="auto" w:fill="auto"/>
            <w:vAlign w:val="center"/>
            <w:hideMark/>
          </w:tcPr>
          <w:p w:rsidR="001C4200" w:rsidRPr="00D27DAE" w:rsidRDefault="001C4200" w:rsidP="00D27DAE">
            <w:pPr>
              <w:spacing w:line="240" w:lineRule="auto"/>
              <w:rPr>
                <w:rFonts w:asciiTheme="minorHAnsi" w:hAnsiTheme="minorHAnsi" w:cs="Arial"/>
                <w:color w:val="000000"/>
                <w:sz w:val="22"/>
                <w:szCs w:val="22"/>
              </w:rPr>
            </w:pPr>
            <w:r w:rsidRPr="00D27DAE">
              <w:rPr>
                <w:rFonts w:asciiTheme="minorHAnsi" w:hAnsiTheme="minorHAnsi" w:cs="Arial"/>
                <w:color w:val="000000"/>
                <w:sz w:val="22"/>
                <w:szCs w:val="22"/>
              </w:rPr>
              <w:t xml:space="preserve">uchazeči a zájemci, kteří zahájili </w:t>
            </w:r>
            <w:r w:rsidRPr="00D27DAE">
              <w:rPr>
                <w:rFonts w:asciiTheme="minorHAnsi" w:hAnsiTheme="minorHAnsi" w:cs="Arial"/>
                <w:b/>
                <w:bCs/>
                <w:color w:val="000000"/>
                <w:sz w:val="22"/>
                <w:szCs w:val="22"/>
              </w:rPr>
              <w:t>zvolenou rekvalifikaci v rámci NIP</w:t>
            </w:r>
          </w:p>
        </w:tc>
        <w:tc>
          <w:tcPr>
            <w:tcW w:w="1679" w:type="dxa"/>
            <w:shd w:val="clear" w:color="auto" w:fill="auto"/>
            <w:noWrap/>
            <w:vAlign w:val="center"/>
            <w:hideMark/>
          </w:tcPr>
          <w:p w:rsidR="001C4200" w:rsidRPr="00D27DAE" w:rsidRDefault="001C4200" w:rsidP="00D27DAE">
            <w:pPr>
              <w:spacing w:line="240" w:lineRule="auto"/>
              <w:ind w:firstLineChars="100" w:firstLine="220"/>
              <w:jc w:val="right"/>
              <w:rPr>
                <w:rFonts w:asciiTheme="minorHAnsi" w:hAnsiTheme="minorHAnsi" w:cs="Arial"/>
                <w:color w:val="000000"/>
                <w:sz w:val="22"/>
                <w:szCs w:val="22"/>
              </w:rPr>
            </w:pPr>
            <w:r w:rsidRPr="00D27DAE">
              <w:rPr>
                <w:rFonts w:asciiTheme="minorHAnsi" w:hAnsiTheme="minorHAnsi" w:cs="Arial"/>
                <w:color w:val="000000"/>
                <w:sz w:val="22"/>
                <w:szCs w:val="22"/>
              </w:rPr>
              <w:t>1 042</w:t>
            </w:r>
          </w:p>
        </w:tc>
      </w:tr>
      <w:tr w:rsidR="001C4200" w:rsidRPr="00566739" w:rsidTr="00D27DAE">
        <w:trPr>
          <w:trHeight w:val="447"/>
        </w:trPr>
        <w:tc>
          <w:tcPr>
            <w:tcW w:w="7180" w:type="dxa"/>
            <w:shd w:val="clear" w:color="auto" w:fill="auto"/>
            <w:noWrap/>
            <w:vAlign w:val="center"/>
            <w:hideMark/>
          </w:tcPr>
          <w:p w:rsidR="001C4200" w:rsidRPr="00D27DAE" w:rsidRDefault="001C4200" w:rsidP="00D27DAE">
            <w:pPr>
              <w:spacing w:line="240" w:lineRule="auto"/>
              <w:rPr>
                <w:rFonts w:asciiTheme="minorHAnsi" w:hAnsiTheme="minorHAnsi"/>
                <w:color w:val="000000"/>
                <w:sz w:val="22"/>
                <w:szCs w:val="22"/>
              </w:rPr>
            </w:pPr>
            <w:r w:rsidRPr="00D27DAE">
              <w:rPr>
                <w:rFonts w:asciiTheme="minorHAnsi" w:hAnsiTheme="minorHAnsi" w:cs="Arial"/>
                <w:color w:val="000000"/>
                <w:sz w:val="22"/>
                <w:szCs w:val="22"/>
              </w:rPr>
              <w:t xml:space="preserve">uchazeči a zájemci, zařazení do </w:t>
            </w:r>
            <w:r w:rsidRPr="00D27DAE">
              <w:rPr>
                <w:rFonts w:asciiTheme="minorHAnsi" w:hAnsiTheme="minorHAnsi" w:cs="Arial"/>
                <w:b/>
                <w:bCs/>
                <w:color w:val="000000"/>
                <w:sz w:val="22"/>
                <w:szCs w:val="22"/>
              </w:rPr>
              <w:t>rekvalifikace v rámci RIP</w:t>
            </w:r>
          </w:p>
        </w:tc>
        <w:tc>
          <w:tcPr>
            <w:tcW w:w="1679" w:type="dxa"/>
            <w:shd w:val="clear" w:color="auto" w:fill="auto"/>
            <w:noWrap/>
            <w:vAlign w:val="center"/>
            <w:hideMark/>
          </w:tcPr>
          <w:p w:rsidR="001C4200" w:rsidRPr="00D27DAE" w:rsidRDefault="001C4200" w:rsidP="00D27DAE">
            <w:pPr>
              <w:spacing w:line="240" w:lineRule="auto"/>
              <w:ind w:firstLineChars="100" w:firstLine="220"/>
              <w:jc w:val="right"/>
              <w:rPr>
                <w:rFonts w:asciiTheme="minorHAnsi" w:hAnsiTheme="minorHAnsi"/>
                <w:color w:val="000000"/>
                <w:sz w:val="22"/>
                <w:szCs w:val="22"/>
              </w:rPr>
            </w:pPr>
            <w:r w:rsidRPr="00D27DAE">
              <w:rPr>
                <w:rFonts w:asciiTheme="minorHAnsi" w:hAnsiTheme="minorHAnsi" w:cs="Arial"/>
                <w:color w:val="000000"/>
                <w:sz w:val="22"/>
                <w:szCs w:val="22"/>
              </w:rPr>
              <w:t>1 777</w:t>
            </w:r>
          </w:p>
        </w:tc>
      </w:tr>
      <w:tr w:rsidR="001C4200" w:rsidRPr="00566739" w:rsidTr="00D27DAE">
        <w:trPr>
          <w:trHeight w:val="487"/>
        </w:trPr>
        <w:tc>
          <w:tcPr>
            <w:tcW w:w="7180" w:type="dxa"/>
            <w:tcBorders>
              <w:bottom w:val="single" w:sz="12" w:space="0" w:color="auto"/>
            </w:tcBorders>
            <w:shd w:val="clear" w:color="auto" w:fill="auto"/>
            <w:vAlign w:val="center"/>
            <w:hideMark/>
          </w:tcPr>
          <w:p w:rsidR="001C4200" w:rsidRPr="00D27DAE" w:rsidRDefault="001C4200" w:rsidP="00D27DAE">
            <w:pPr>
              <w:spacing w:line="240" w:lineRule="auto"/>
              <w:rPr>
                <w:rFonts w:asciiTheme="minorHAnsi" w:hAnsiTheme="minorHAnsi" w:cs="Arial"/>
                <w:color w:val="000000"/>
                <w:sz w:val="22"/>
                <w:szCs w:val="22"/>
              </w:rPr>
            </w:pPr>
            <w:r w:rsidRPr="00D27DAE">
              <w:rPr>
                <w:rFonts w:asciiTheme="minorHAnsi" w:hAnsiTheme="minorHAnsi" w:cs="Arial"/>
                <w:color w:val="000000"/>
                <w:sz w:val="22"/>
                <w:szCs w:val="22"/>
              </w:rPr>
              <w:t xml:space="preserve">uchazeči a zájemci, zařazení do </w:t>
            </w:r>
            <w:r w:rsidRPr="00D27DAE">
              <w:rPr>
                <w:rFonts w:asciiTheme="minorHAnsi" w:hAnsiTheme="minorHAnsi" w:cs="Arial"/>
                <w:b/>
                <w:bCs/>
                <w:color w:val="000000"/>
                <w:sz w:val="22"/>
                <w:szCs w:val="22"/>
              </w:rPr>
              <w:t>rekvalifikace v rámci GP</w:t>
            </w:r>
          </w:p>
        </w:tc>
        <w:tc>
          <w:tcPr>
            <w:tcW w:w="1679" w:type="dxa"/>
            <w:tcBorders>
              <w:bottom w:val="single" w:sz="12" w:space="0" w:color="auto"/>
            </w:tcBorders>
            <w:shd w:val="clear" w:color="auto" w:fill="auto"/>
            <w:noWrap/>
            <w:vAlign w:val="center"/>
            <w:hideMark/>
          </w:tcPr>
          <w:p w:rsidR="001C4200" w:rsidRPr="00D27DAE" w:rsidRDefault="001C4200" w:rsidP="00D27DAE">
            <w:pPr>
              <w:spacing w:line="240" w:lineRule="auto"/>
              <w:ind w:firstLineChars="100" w:firstLine="220"/>
              <w:jc w:val="right"/>
              <w:rPr>
                <w:rFonts w:asciiTheme="minorHAnsi" w:hAnsiTheme="minorHAnsi" w:cs="Arial"/>
                <w:color w:val="000000"/>
                <w:sz w:val="22"/>
                <w:szCs w:val="22"/>
              </w:rPr>
            </w:pPr>
            <w:r w:rsidRPr="00D27DAE">
              <w:rPr>
                <w:rFonts w:asciiTheme="minorHAnsi" w:hAnsiTheme="minorHAnsi" w:cs="Arial"/>
                <w:color w:val="000000"/>
                <w:sz w:val="22"/>
                <w:szCs w:val="22"/>
              </w:rPr>
              <w:t>192</w:t>
            </w:r>
          </w:p>
        </w:tc>
      </w:tr>
      <w:tr w:rsidR="001C4200" w:rsidRPr="00566739" w:rsidTr="00D27DAE">
        <w:trPr>
          <w:trHeight w:val="487"/>
        </w:trPr>
        <w:tc>
          <w:tcPr>
            <w:tcW w:w="7180" w:type="dxa"/>
            <w:tcBorders>
              <w:top w:val="single" w:sz="12" w:space="0" w:color="auto"/>
              <w:bottom w:val="single" w:sz="12" w:space="0" w:color="auto"/>
            </w:tcBorders>
            <w:shd w:val="clear" w:color="000000" w:fill="D9D9D9"/>
            <w:vAlign w:val="center"/>
            <w:hideMark/>
          </w:tcPr>
          <w:p w:rsidR="001C4200" w:rsidRPr="00D27DAE" w:rsidRDefault="001C4200" w:rsidP="00D27DAE">
            <w:pPr>
              <w:spacing w:line="240" w:lineRule="auto"/>
              <w:rPr>
                <w:rFonts w:asciiTheme="minorHAnsi" w:hAnsiTheme="minorHAnsi" w:cs="Arial"/>
                <w:color w:val="000000"/>
                <w:sz w:val="22"/>
                <w:szCs w:val="22"/>
              </w:rPr>
            </w:pPr>
            <w:r w:rsidRPr="00D27DAE">
              <w:rPr>
                <w:rFonts w:asciiTheme="minorHAnsi" w:hAnsiTheme="minorHAnsi" w:cs="Arial"/>
                <w:b/>
                <w:bCs/>
                <w:color w:val="000000"/>
                <w:sz w:val="22"/>
                <w:szCs w:val="22"/>
              </w:rPr>
              <w:t>celkem</w:t>
            </w:r>
          </w:p>
        </w:tc>
        <w:tc>
          <w:tcPr>
            <w:tcW w:w="1679" w:type="dxa"/>
            <w:tcBorders>
              <w:top w:val="single" w:sz="12" w:space="0" w:color="auto"/>
              <w:bottom w:val="single" w:sz="12" w:space="0" w:color="auto"/>
            </w:tcBorders>
            <w:shd w:val="clear" w:color="000000" w:fill="D9D9D9"/>
            <w:noWrap/>
            <w:vAlign w:val="center"/>
            <w:hideMark/>
          </w:tcPr>
          <w:p w:rsidR="001C4200" w:rsidRPr="00D27DAE" w:rsidRDefault="001C4200" w:rsidP="001C4200">
            <w:pPr>
              <w:spacing w:line="240" w:lineRule="auto"/>
              <w:ind w:firstLineChars="100" w:firstLine="221"/>
              <w:jc w:val="right"/>
              <w:rPr>
                <w:rFonts w:asciiTheme="minorHAnsi" w:hAnsiTheme="minorHAnsi" w:cs="Arial"/>
                <w:b/>
                <w:color w:val="000000"/>
                <w:sz w:val="22"/>
                <w:szCs w:val="22"/>
              </w:rPr>
            </w:pPr>
            <w:r w:rsidRPr="00D27DAE">
              <w:rPr>
                <w:rFonts w:asciiTheme="minorHAnsi" w:hAnsiTheme="minorHAnsi"/>
                <w:b/>
                <w:color w:val="000000"/>
                <w:sz w:val="22"/>
                <w:szCs w:val="22"/>
              </w:rPr>
              <w:t>5 042</w:t>
            </w:r>
          </w:p>
        </w:tc>
      </w:tr>
    </w:tbl>
    <w:p w:rsidR="001C4200" w:rsidRPr="009A494A" w:rsidRDefault="001C4200" w:rsidP="001C4200">
      <w:pPr>
        <w:rPr>
          <w:rFonts w:ascii="Arial" w:hAnsi="Arial" w:cs="Arial"/>
          <w:b/>
          <w:i/>
          <w:sz w:val="22"/>
          <w:szCs w:val="22"/>
        </w:rPr>
      </w:pPr>
    </w:p>
    <w:p w:rsidR="001C4200" w:rsidRDefault="001C4200" w:rsidP="001C4200">
      <w:pPr>
        <w:jc w:val="both"/>
        <w:rPr>
          <w:rFonts w:ascii="Arial" w:hAnsi="Arial" w:cs="Arial"/>
          <w:sz w:val="22"/>
          <w:szCs w:val="22"/>
        </w:rPr>
      </w:pPr>
      <w:r w:rsidRPr="00392D37">
        <w:rPr>
          <w:rFonts w:ascii="Arial" w:hAnsi="Arial" w:cs="Arial"/>
          <w:sz w:val="22"/>
          <w:szCs w:val="22"/>
        </w:rPr>
        <w:t xml:space="preserve">Do </w:t>
      </w:r>
      <w:r w:rsidRPr="00392D37">
        <w:rPr>
          <w:rFonts w:ascii="Arial" w:hAnsi="Arial" w:cs="Arial"/>
          <w:b/>
          <w:sz w:val="22"/>
          <w:szCs w:val="22"/>
        </w:rPr>
        <w:t>rekvalifikací</w:t>
      </w:r>
      <w:r w:rsidRPr="00392D37">
        <w:rPr>
          <w:rFonts w:ascii="Arial" w:hAnsi="Arial" w:cs="Arial"/>
          <w:sz w:val="22"/>
          <w:szCs w:val="22"/>
        </w:rPr>
        <w:t xml:space="preserve"> byli uchazeči a zájemci o zaměstnání zařazování na základě profesně poradenského pohovoru. Doporučování pak byli zejména ti, jimž je při zprostředkování zaměstnání věnována zvýšen</w:t>
      </w:r>
      <w:r>
        <w:rPr>
          <w:rFonts w:ascii="Arial" w:hAnsi="Arial" w:cs="Arial"/>
          <w:sz w:val="22"/>
          <w:szCs w:val="22"/>
        </w:rPr>
        <w:t xml:space="preserve">á péče dle § 33 odst. 1 zákona </w:t>
      </w:r>
      <w:r w:rsidRPr="00392D37">
        <w:rPr>
          <w:rFonts w:ascii="Arial" w:hAnsi="Arial" w:cs="Arial"/>
          <w:sz w:val="22"/>
          <w:szCs w:val="22"/>
        </w:rPr>
        <w:t xml:space="preserve">o zaměstnanosti, a dále ti, jimž je z důvodu nízké či nevhodné kvalifikace ztížen vstup na trh práce – absolventi škol, osoby nad 55 let věku. Rekvalifikační kurzy byly nabízeny uchazečům s ohledem na vzdělání, dosavadní praxi, pracovní perspektivu a individuální akční plán. Také byl kladen důraz na dodržování principů rovných příležitostí žen a mužů, aktivního stárnutí a prevenci proti sociálnímu vyloučení. </w:t>
      </w:r>
    </w:p>
    <w:p w:rsidR="001C4200" w:rsidRDefault="001C4200" w:rsidP="001C4200">
      <w:pPr>
        <w:jc w:val="both"/>
        <w:rPr>
          <w:rFonts w:ascii="Arial" w:hAnsi="Arial" w:cs="Arial"/>
          <w:sz w:val="22"/>
          <w:szCs w:val="22"/>
        </w:rPr>
      </w:pPr>
    </w:p>
    <w:p w:rsidR="001C4200" w:rsidRPr="008162FC" w:rsidRDefault="001C4200" w:rsidP="001C4200">
      <w:pPr>
        <w:jc w:val="both"/>
        <w:rPr>
          <w:rFonts w:ascii="Arial" w:hAnsi="Arial" w:cs="Arial"/>
          <w:sz w:val="22"/>
          <w:szCs w:val="22"/>
        </w:rPr>
      </w:pPr>
      <w:r>
        <w:rPr>
          <w:rFonts w:ascii="Arial" w:hAnsi="Arial" w:cs="Arial"/>
          <w:sz w:val="22"/>
          <w:szCs w:val="22"/>
        </w:rPr>
        <w:t xml:space="preserve">O rekvalifikace mají největší zájem uchazeči se středoškolským vzděláním (ať už vyučení či s maturitou). </w:t>
      </w:r>
      <w:r w:rsidRPr="008162FC">
        <w:rPr>
          <w:rFonts w:ascii="Arial" w:hAnsi="Arial" w:cs="Arial"/>
          <w:sz w:val="22"/>
          <w:szCs w:val="22"/>
        </w:rPr>
        <w:t>Z</w:t>
      </w:r>
      <w:r>
        <w:rPr>
          <w:rFonts w:ascii="Arial" w:hAnsi="Arial" w:cs="Arial"/>
          <w:sz w:val="22"/>
          <w:szCs w:val="22"/>
        </w:rPr>
        <w:t xml:space="preserve"> hlediska </w:t>
      </w:r>
      <w:r w:rsidRPr="008162FC">
        <w:rPr>
          <w:rFonts w:ascii="Arial" w:hAnsi="Arial" w:cs="Arial"/>
          <w:sz w:val="22"/>
          <w:szCs w:val="22"/>
        </w:rPr>
        <w:t xml:space="preserve">věku velmi záleží na zaměření konkrétních kurzů. Např. u </w:t>
      </w:r>
      <w:r>
        <w:rPr>
          <w:rFonts w:ascii="Arial" w:hAnsi="Arial" w:cs="Arial"/>
          <w:sz w:val="22"/>
          <w:szCs w:val="22"/>
        </w:rPr>
        <w:t>kurzů pro s</w:t>
      </w:r>
      <w:r w:rsidRPr="008162FC">
        <w:rPr>
          <w:rFonts w:ascii="Arial" w:hAnsi="Arial" w:cs="Arial"/>
          <w:sz w:val="22"/>
          <w:szCs w:val="22"/>
        </w:rPr>
        <w:t>trážn</w:t>
      </w:r>
      <w:r>
        <w:rPr>
          <w:rFonts w:ascii="Arial" w:hAnsi="Arial" w:cs="Arial"/>
          <w:sz w:val="22"/>
          <w:szCs w:val="22"/>
        </w:rPr>
        <w:t>é</w:t>
      </w:r>
      <w:r w:rsidRPr="008162FC">
        <w:rPr>
          <w:rFonts w:ascii="Arial" w:hAnsi="Arial" w:cs="Arial"/>
          <w:sz w:val="22"/>
          <w:szCs w:val="22"/>
        </w:rPr>
        <w:t xml:space="preserve"> převaž</w:t>
      </w:r>
      <w:r>
        <w:rPr>
          <w:rFonts w:ascii="Arial" w:hAnsi="Arial" w:cs="Arial"/>
          <w:sz w:val="22"/>
          <w:szCs w:val="22"/>
        </w:rPr>
        <w:t>uje</w:t>
      </w:r>
      <w:r w:rsidRPr="008162FC">
        <w:rPr>
          <w:rFonts w:ascii="Arial" w:hAnsi="Arial" w:cs="Arial"/>
          <w:sz w:val="22"/>
          <w:szCs w:val="22"/>
        </w:rPr>
        <w:t xml:space="preserve"> zájem v kategorii nad </w:t>
      </w:r>
      <w:r>
        <w:rPr>
          <w:rFonts w:ascii="Arial" w:hAnsi="Arial" w:cs="Arial"/>
          <w:sz w:val="22"/>
          <w:szCs w:val="22"/>
        </w:rPr>
        <w:t>45</w:t>
      </w:r>
      <w:r w:rsidRPr="008162FC">
        <w:rPr>
          <w:rFonts w:ascii="Arial" w:hAnsi="Arial" w:cs="Arial"/>
          <w:sz w:val="22"/>
          <w:szCs w:val="22"/>
        </w:rPr>
        <w:t xml:space="preserve"> let věku, uchazeči do 30 let věku </w:t>
      </w:r>
      <w:r>
        <w:rPr>
          <w:rFonts w:ascii="Arial" w:hAnsi="Arial" w:cs="Arial"/>
          <w:sz w:val="22"/>
          <w:szCs w:val="22"/>
        </w:rPr>
        <w:t xml:space="preserve">(muži) </w:t>
      </w:r>
      <w:r w:rsidRPr="008162FC">
        <w:rPr>
          <w:rFonts w:ascii="Arial" w:hAnsi="Arial" w:cs="Arial"/>
          <w:sz w:val="22"/>
          <w:szCs w:val="22"/>
        </w:rPr>
        <w:t>m</w:t>
      </w:r>
      <w:r>
        <w:rPr>
          <w:rFonts w:ascii="Arial" w:hAnsi="Arial" w:cs="Arial"/>
          <w:sz w:val="22"/>
          <w:szCs w:val="22"/>
        </w:rPr>
        <w:t>ají</w:t>
      </w:r>
      <w:r w:rsidRPr="008162FC">
        <w:rPr>
          <w:rFonts w:ascii="Arial" w:hAnsi="Arial" w:cs="Arial"/>
          <w:sz w:val="22"/>
          <w:szCs w:val="22"/>
        </w:rPr>
        <w:t xml:space="preserve"> výraznější zájem o přípravu pro profesi řidiče z povolání – konkrétně o získání řidičských oprávnění sk. C., C+E a Vstupní školení odborné způsobilosti řidičů. U ostatních </w:t>
      </w:r>
      <w:r>
        <w:rPr>
          <w:rFonts w:ascii="Arial" w:hAnsi="Arial" w:cs="Arial"/>
          <w:sz w:val="22"/>
          <w:szCs w:val="22"/>
        </w:rPr>
        <w:t xml:space="preserve">rekvalifikačních kurzů </w:t>
      </w:r>
      <w:r w:rsidRPr="008162FC">
        <w:rPr>
          <w:rFonts w:ascii="Arial" w:hAnsi="Arial" w:cs="Arial"/>
          <w:sz w:val="22"/>
          <w:szCs w:val="22"/>
        </w:rPr>
        <w:t xml:space="preserve">jsou zastoupeny všechny věkové kategorie </w:t>
      </w:r>
      <w:r>
        <w:rPr>
          <w:rFonts w:ascii="Arial" w:hAnsi="Arial" w:cs="Arial"/>
          <w:sz w:val="22"/>
          <w:szCs w:val="22"/>
        </w:rPr>
        <w:t>uchazečů</w:t>
      </w:r>
      <w:r w:rsidRPr="008162FC">
        <w:rPr>
          <w:rFonts w:ascii="Arial" w:hAnsi="Arial" w:cs="Arial"/>
          <w:sz w:val="22"/>
          <w:szCs w:val="22"/>
        </w:rPr>
        <w:t xml:space="preserve"> bez výraznější převahy některé z nich.</w:t>
      </w: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r>
        <w:rPr>
          <w:rFonts w:ascii="Arial" w:hAnsi="Arial" w:cs="Arial"/>
          <w:sz w:val="22"/>
          <w:szCs w:val="22"/>
        </w:rPr>
        <w:t>Uchazeči mají velký zájem o tzv. „</w:t>
      </w:r>
      <w:r w:rsidRPr="00B30F18">
        <w:rPr>
          <w:rFonts w:ascii="Arial" w:hAnsi="Arial" w:cs="Arial"/>
          <w:b/>
          <w:sz w:val="22"/>
          <w:szCs w:val="22"/>
        </w:rPr>
        <w:t>zvolené rekvalifikace</w:t>
      </w:r>
      <w:r w:rsidRPr="00B30F18">
        <w:rPr>
          <w:rFonts w:ascii="Arial" w:hAnsi="Arial" w:cs="Arial"/>
          <w:sz w:val="22"/>
          <w:szCs w:val="22"/>
        </w:rPr>
        <w:t xml:space="preserve">“, kdy si sami mohou </w:t>
      </w:r>
      <w:r>
        <w:rPr>
          <w:rFonts w:ascii="Arial" w:hAnsi="Arial" w:cs="Arial"/>
          <w:sz w:val="22"/>
          <w:szCs w:val="22"/>
        </w:rPr>
        <w:t>vybrat</w:t>
      </w:r>
      <w:r w:rsidRPr="00B30F18">
        <w:rPr>
          <w:rFonts w:ascii="Arial" w:hAnsi="Arial" w:cs="Arial"/>
          <w:sz w:val="22"/>
          <w:szCs w:val="22"/>
        </w:rPr>
        <w:t xml:space="preserve"> druh rekvalifikace i rekvalifikační zařízení. Úřad práce však pečlivě posuzuje žádosti o zvolenou rekvalifikaci s ohledem na reálnou možnost následného pracovního uplatnění uchazeče.</w:t>
      </w:r>
      <w:r>
        <w:rPr>
          <w:rFonts w:ascii="Arial" w:hAnsi="Arial" w:cs="Arial"/>
          <w:sz w:val="22"/>
          <w:szCs w:val="22"/>
        </w:rPr>
        <w:t xml:space="preserve"> </w:t>
      </w:r>
    </w:p>
    <w:p w:rsidR="001C4200" w:rsidRDefault="001C4200" w:rsidP="001C4200">
      <w:pPr>
        <w:jc w:val="both"/>
        <w:rPr>
          <w:rFonts w:ascii="Arial" w:hAnsi="Arial" w:cs="Arial"/>
          <w:sz w:val="22"/>
          <w:szCs w:val="22"/>
        </w:rPr>
      </w:pPr>
      <w:r>
        <w:rPr>
          <w:rFonts w:ascii="Arial" w:hAnsi="Arial" w:cs="Arial"/>
          <w:sz w:val="22"/>
          <w:szCs w:val="22"/>
        </w:rPr>
        <w:t>Z uchazečů zařazených v roce 2014 do rekvalifikací v rámci národní APZ a NIP využila možnost zvolené rekvalifikace téměř polovina z nich.</w:t>
      </w:r>
    </w:p>
    <w:p w:rsidR="001C4200" w:rsidRPr="00D92DB2" w:rsidRDefault="001C4200" w:rsidP="001C4200">
      <w:pPr>
        <w:jc w:val="both"/>
        <w:rPr>
          <w:rFonts w:ascii="Arial" w:hAnsi="Arial" w:cs="Arial"/>
          <w:sz w:val="22"/>
          <w:szCs w:val="22"/>
          <w:highlight w:val="yellow"/>
        </w:rPr>
      </w:pPr>
    </w:p>
    <w:p w:rsidR="001C4200" w:rsidRPr="00561E3F" w:rsidRDefault="001C4200" w:rsidP="001C4200">
      <w:pPr>
        <w:spacing w:after="120"/>
        <w:jc w:val="both"/>
        <w:rPr>
          <w:rFonts w:ascii="Arial" w:hAnsi="Arial" w:cs="Arial"/>
          <w:sz w:val="22"/>
          <w:szCs w:val="22"/>
        </w:rPr>
      </w:pPr>
      <w:r w:rsidRPr="00561E3F">
        <w:rPr>
          <w:rFonts w:ascii="Arial" w:hAnsi="Arial" w:cs="Arial"/>
          <w:b/>
          <w:bCs/>
          <w:sz w:val="22"/>
          <w:szCs w:val="22"/>
        </w:rPr>
        <w:t>Zaměření rekvalifikačních kurzů</w:t>
      </w:r>
      <w:r w:rsidRPr="00561E3F">
        <w:rPr>
          <w:rFonts w:ascii="Arial" w:hAnsi="Arial" w:cs="Arial"/>
          <w:sz w:val="22"/>
          <w:szCs w:val="22"/>
        </w:rPr>
        <w:t xml:space="preserve"> je </w:t>
      </w:r>
      <w:r w:rsidRPr="00561E3F">
        <w:rPr>
          <w:rFonts w:ascii="Arial" w:hAnsi="Arial" w:cs="Arial"/>
          <w:b/>
          <w:bCs/>
          <w:sz w:val="22"/>
          <w:szCs w:val="22"/>
        </w:rPr>
        <w:t>v jednotlivých okresech</w:t>
      </w:r>
      <w:r w:rsidRPr="00561E3F">
        <w:rPr>
          <w:rFonts w:ascii="Arial" w:hAnsi="Arial" w:cs="Arial"/>
          <w:sz w:val="22"/>
          <w:szCs w:val="22"/>
        </w:rPr>
        <w:t xml:space="preserve"> Jihomoravského kraje dosti podobné. Dlouhodobě jsou žádané kurzy z oblasti </w:t>
      </w:r>
      <w:r w:rsidRPr="001A6DD8">
        <w:rPr>
          <w:rFonts w:ascii="Arial" w:hAnsi="Arial" w:cs="Arial"/>
          <w:b/>
          <w:sz w:val="22"/>
          <w:szCs w:val="22"/>
        </w:rPr>
        <w:t>účetnictví</w:t>
      </w:r>
      <w:r w:rsidRPr="00561E3F">
        <w:rPr>
          <w:rFonts w:ascii="Arial" w:hAnsi="Arial" w:cs="Arial"/>
          <w:sz w:val="22"/>
          <w:szCs w:val="22"/>
        </w:rPr>
        <w:t xml:space="preserve"> a daňové evidence, administrativní práce a ze „základů podnikání“. </w:t>
      </w:r>
      <w:r>
        <w:rPr>
          <w:rFonts w:ascii="Arial" w:hAnsi="Arial" w:cs="Arial"/>
          <w:sz w:val="22"/>
          <w:szCs w:val="22"/>
        </w:rPr>
        <w:t>Žádané</w:t>
      </w:r>
      <w:r w:rsidRPr="00561E3F">
        <w:rPr>
          <w:rFonts w:ascii="Arial" w:hAnsi="Arial" w:cs="Arial"/>
          <w:sz w:val="22"/>
          <w:szCs w:val="22"/>
        </w:rPr>
        <w:t xml:space="preserve"> jsou také </w:t>
      </w:r>
      <w:r w:rsidRPr="001A6DD8">
        <w:rPr>
          <w:rFonts w:ascii="Arial" w:hAnsi="Arial" w:cs="Arial"/>
          <w:sz w:val="22"/>
          <w:szCs w:val="22"/>
        </w:rPr>
        <w:t>kurzy pro strážné</w:t>
      </w:r>
      <w:r>
        <w:rPr>
          <w:rFonts w:ascii="Arial" w:hAnsi="Arial" w:cs="Arial"/>
          <w:sz w:val="22"/>
          <w:szCs w:val="22"/>
        </w:rPr>
        <w:t xml:space="preserve"> (certifikované), kursy</w:t>
      </w:r>
      <w:r w:rsidRPr="00561E3F">
        <w:rPr>
          <w:rFonts w:ascii="Arial" w:hAnsi="Arial" w:cs="Arial"/>
          <w:sz w:val="22"/>
          <w:szCs w:val="22"/>
        </w:rPr>
        <w:t xml:space="preserve"> v oblasti pečovatelství, manikúry a masáže, z profesí výrobní sféry pak kurzy </w:t>
      </w:r>
      <w:r w:rsidRPr="001A6DD8">
        <w:rPr>
          <w:rFonts w:ascii="Arial" w:hAnsi="Arial" w:cs="Arial"/>
          <w:b/>
          <w:sz w:val="22"/>
          <w:szCs w:val="22"/>
        </w:rPr>
        <w:t>svařování</w:t>
      </w:r>
      <w:r w:rsidRPr="00561E3F">
        <w:rPr>
          <w:rFonts w:ascii="Arial" w:hAnsi="Arial" w:cs="Arial"/>
          <w:sz w:val="22"/>
          <w:szCs w:val="22"/>
        </w:rPr>
        <w:t xml:space="preserve">, obsluhy CNC strojů, </w:t>
      </w:r>
      <w:r>
        <w:rPr>
          <w:rFonts w:ascii="Arial" w:hAnsi="Arial" w:cs="Arial"/>
          <w:sz w:val="22"/>
          <w:szCs w:val="22"/>
        </w:rPr>
        <w:t>zdokonalování odborné způsobilosti řidičů</w:t>
      </w:r>
      <w:r w:rsidRPr="00561E3F">
        <w:rPr>
          <w:rFonts w:ascii="Arial" w:hAnsi="Arial" w:cs="Arial"/>
          <w:sz w:val="22"/>
          <w:szCs w:val="22"/>
        </w:rPr>
        <w:t xml:space="preserve"> motorových vo</w:t>
      </w:r>
      <w:r>
        <w:rPr>
          <w:rFonts w:ascii="Arial" w:hAnsi="Arial" w:cs="Arial"/>
          <w:sz w:val="22"/>
          <w:szCs w:val="22"/>
        </w:rPr>
        <w:t>zidel (</w:t>
      </w:r>
      <w:r w:rsidRPr="001A6DD8">
        <w:rPr>
          <w:rFonts w:ascii="Arial" w:hAnsi="Arial" w:cs="Arial"/>
          <w:b/>
          <w:sz w:val="22"/>
          <w:szCs w:val="22"/>
        </w:rPr>
        <w:t>řidičské průkazy C, CE, D, T</w:t>
      </w:r>
      <w:r>
        <w:rPr>
          <w:rFonts w:ascii="Arial" w:hAnsi="Arial" w:cs="Arial"/>
          <w:sz w:val="22"/>
          <w:szCs w:val="22"/>
        </w:rPr>
        <w:t>), obsluha vysokozdvižných vozíků.</w:t>
      </w:r>
    </w:p>
    <w:p w:rsidR="001C4200" w:rsidRPr="001A6DD8" w:rsidRDefault="001C4200" w:rsidP="001C4200">
      <w:pPr>
        <w:spacing w:after="120"/>
        <w:jc w:val="both"/>
        <w:rPr>
          <w:rFonts w:ascii="Arial" w:hAnsi="Arial" w:cs="Arial"/>
          <w:sz w:val="22"/>
          <w:szCs w:val="22"/>
        </w:rPr>
      </w:pPr>
    </w:p>
    <w:p w:rsidR="001C4200" w:rsidRPr="001A6DD8" w:rsidRDefault="001C4200" w:rsidP="001C4200">
      <w:pPr>
        <w:tabs>
          <w:tab w:val="left" w:pos="709"/>
        </w:tabs>
        <w:spacing w:after="120"/>
        <w:jc w:val="both"/>
        <w:rPr>
          <w:rFonts w:ascii="Arial" w:hAnsi="Arial" w:cs="Arial"/>
          <w:sz w:val="22"/>
          <w:szCs w:val="22"/>
        </w:rPr>
      </w:pPr>
      <w:r w:rsidRPr="001A6DD8">
        <w:rPr>
          <w:rFonts w:ascii="Arial" w:hAnsi="Arial" w:cs="Arial"/>
          <w:b/>
          <w:sz w:val="22"/>
          <w:szCs w:val="22"/>
        </w:rPr>
        <w:t>Kurzy účetnictví s využitím výpočetní techniky</w:t>
      </w:r>
      <w:r w:rsidRPr="001A6DD8">
        <w:rPr>
          <w:rFonts w:ascii="Arial" w:hAnsi="Arial" w:cs="Arial"/>
          <w:sz w:val="22"/>
          <w:szCs w:val="22"/>
        </w:rPr>
        <w:t xml:space="preserve"> využívají zpravidla ženy, které mají zájem o uplatnění v pracovních pozicích účetní nebo na kumulovaných funkcích v administrativě, zejména v podnikatelském sektoru. Většinou se jedná o ženy, které absolvovaly gymnázium nebo střední odbornou školu technického směru, případně školu s ekonomickým zaměřením. Často se jedná o ženy vracející se na trh práce po mateřské dovolené. </w:t>
      </w:r>
    </w:p>
    <w:p w:rsidR="001C4200" w:rsidRPr="001A6DD8" w:rsidRDefault="001C4200" w:rsidP="001C4200">
      <w:pPr>
        <w:tabs>
          <w:tab w:val="left" w:pos="709"/>
        </w:tabs>
        <w:spacing w:after="120"/>
        <w:jc w:val="both"/>
        <w:rPr>
          <w:rFonts w:ascii="Arial" w:hAnsi="Arial" w:cs="Arial"/>
          <w:sz w:val="22"/>
          <w:szCs w:val="22"/>
        </w:rPr>
      </w:pPr>
      <w:r w:rsidRPr="001A6DD8">
        <w:rPr>
          <w:rFonts w:ascii="Arial" w:hAnsi="Arial" w:cs="Arial"/>
          <w:b/>
          <w:sz w:val="22"/>
          <w:szCs w:val="22"/>
        </w:rPr>
        <w:t>Kurzy svařování</w:t>
      </w:r>
      <w:r w:rsidRPr="001A6DD8">
        <w:rPr>
          <w:rFonts w:ascii="Arial" w:hAnsi="Arial" w:cs="Arial"/>
          <w:sz w:val="22"/>
          <w:szCs w:val="22"/>
        </w:rPr>
        <w:t xml:space="preserve"> jsou realizovány jako základní nebo případně v kombinaci jednotlivými metodami - např. kurz plamenového svařování a řezání kyslíkem, kurz pájení plamenem, kurz ručního obloukového svařování obalenou elektrodou, kurz svařování v ochranné atmosféře atd.</w:t>
      </w:r>
    </w:p>
    <w:p w:rsidR="001C4200" w:rsidRPr="001A6DD8" w:rsidRDefault="001C4200" w:rsidP="001C4200">
      <w:pPr>
        <w:spacing w:after="120"/>
        <w:jc w:val="both"/>
        <w:rPr>
          <w:rFonts w:ascii="Arial" w:hAnsi="Arial" w:cs="Arial"/>
          <w:b/>
          <w:sz w:val="22"/>
          <w:szCs w:val="22"/>
        </w:rPr>
      </w:pPr>
      <w:r w:rsidRPr="001A6DD8">
        <w:rPr>
          <w:rFonts w:ascii="Arial" w:hAnsi="Arial" w:cs="Arial"/>
          <w:b/>
          <w:sz w:val="22"/>
          <w:szCs w:val="22"/>
        </w:rPr>
        <w:t xml:space="preserve">Kurzy pro řidiče motorového vozíku - </w:t>
      </w:r>
      <w:r w:rsidRPr="001A6DD8">
        <w:rPr>
          <w:rFonts w:ascii="Arial" w:hAnsi="Arial" w:cs="Arial"/>
          <w:sz w:val="22"/>
          <w:szCs w:val="22"/>
        </w:rPr>
        <w:t>účastníci jsou v kurzech seznámeni s obsluhou vysokozdvižného vozíku a jeho provozem. V průběhu kurzu získají řidičský průkaz na motorový vozík se spalovacím i elektrickým pohonem. Tito absolventi se především uplatňují na pracovní pozici skladník.</w:t>
      </w:r>
    </w:p>
    <w:p w:rsidR="001C4200" w:rsidRPr="001A6DD8" w:rsidRDefault="001C4200" w:rsidP="001C4200">
      <w:pPr>
        <w:spacing w:after="120"/>
        <w:jc w:val="both"/>
        <w:rPr>
          <w:rFonts w:ascii="Arial" w:hAnsi="Arial" w:cs="Arial"/>
          <w:sz w:val="22"/>
          <w:szCs w:val="22"/>
        </w:rPr>
      </w:pPr>
      <w:r w:rsidRPr="001A6DD8">
        <w:rPr>
          <w:rFonts w:ascii="Arial" w:hAnsi="Arial" w:cs="Arial"/>
          <w:b/>
          <w:sz w:val="22"/>
          <w:szCs w:val="22"/>
        </w:rPr>
        <w:t>Kosmetické služby</w:t>
      </w:r>
      <w:r w:rsidRPr="001A6DD8">
        <w:rPr>
          <w:rFonts w:ascii="Arial" w:hAnsi="Arial" w:cs="Arial"/>
          <w:sz w:val="22"/>
          <w:szCs w:val="22"/>
        </w:rPr>
        <w:t xml:space="preserve"> - také o tyto kurzy jeví zájem především ženy, které chtějí zahájit samostatnou výdělečnou činnost. Jedná se z velké části o uchazečky o zaměstnání z kategorie osob pečujících o dítě do 15 let. Často přicházejí do evidence po ukončení rodičovské dovolené.</w:t>
      </w:r>
    </w:p>
    <w:p w:rsidR="001C4200" w:rsidRPr="001A6DD8" w:rsidRDefault="001C4200" w:rsidP="001C4200">
      <w:pPr>
        <w:spacing w:after="120"/>
        <w:jc w:val="both"/>
        <w:rPr>
          <w:rFonts w:ascii="Arial" w:hAnsi="Arial" w:cs="Arial"/>
          <w:sz w:val="22"/>
          <w:szCs w:val="22"/>
        </w:rPr>
      </w:pPr>
      <w:r w:rsidRPr="001A6DD8">
        <w:rPr>
          <w:rFonts w:ascii="Arial" w:hAnsi="Arial" w:cs="Arial"/>
          <w:b/>
          <w:sz w:val="22"/>
          <w:szCs w:val="22"/>
        </w:rPr>
        <w:t>Pracovník v sociálních službách</w:t>
      </w:r>
      <w:r w:rsidRPr="001A6DD8">
        <w:rPr>
          <w:rFonts w:ascii="Arial" w:hAnsi="Arial" w:cs="Arial"/>
          <w:b/>
          <w:i/>
          <w:sz w:val="22"/>
          <w:szCs w:val="22"/>
        </w:rPr>
        <w:t xml:space="preserve"> </w:t>
      </w:r>
      <w:r w:rsidRPr="001A6DD8">
        <w:rPr>
          <w:rFonts w:ascii="Arial" w:hAnsi="Arial" w:cs="Arial"/>
          <w:sz w:val="22"/>
          <w:szCs w:val="22"/>
        </w:rPr>
        <w:t>- účastníci se po uvedení do problematiky sociálních služeb seznámí se standardy kvality sociálních služeb. Dále po úvodu do psychologie, psychopatologie, somatologie se učí základům komunikace, ochrany zdraví a prevenci vzniku závislosti na sociálních službách. Seznamují se s metodami sociální práce a základy péče o nemocné. Absolventi se uplatňují v zařízeních sociální péče.</w:t>
      </w:r>
    </w:p>
    <w:p w:rsidR="001C4200" w:rsidRPr="001A6DD8" w:rsidRDefault="001C4200" w:rsidP="001C4200">
      <w:pPr>
        <w:spacing w:after="120"/>
        <w:jc w:val="both"/>
        <w:rPr>
          <w:rFonts w:ascii="Arial" w:hAnsi="Arial" w:cs="Arial"/>
          <w:b/>
          <w:i/>
          <w:sz w:val="22"/>
          <w:szCs w:val="22"/>
        </w:rPr>
      </w:pPr>
    </w:p>
    <w:p w:rsidR="001C4200" w:rsidRPr="001A6DD8" w:rsidRDefault="001C4200" w:rsidP="001C4200">
      <w:pPr>
        <w:jc w:val="both"/>
        <w:rPr>
          <w:rFonts w:ascii="Arial" w:hAnsi="Arial" w:cs="Arial"/>
          <w:sz w:val="22"/>
          <w:szCs w:val="22"/>
        </w:rPr>
      </w:pPr>
      <w:r w:rsidRPr="001A6DD8">
        <w:rPr>
          <w:rFonts w:ascii="Arial" w:hAnsi="Arial" w:cs="Arial"/>
          <w:b/>
          <w:sz w:val="22"/>
          <w:szCs w:val="22"/>
        </w:rPr>
        <w:t xml:space="preserve">Řidičské oprávnění skupin C, C+E, D, profesní průkaz – </w:t>
      </w:r>
      <w:r w:rsidRPr="001A6DD8">
        <w:rPr>
          <w:rFonts w:ascii="Arial" w:hAnsi="Arial" w:cs="Arial"/>
          <w:sz w:val="22"/>
          <w:szCs w:val="22"/>
        </w:rPr>
        <w:t>kursy jsou žádány zejména muži</w:t>
      </w:r>
      <w:r>
        <w:rPr>
          <w:rFonts w:ascii="Arial" w:hAnsi="Arial" w:cs="Arial"/>
          <w:sz w:val="22"/>
          <w:szCs w:val="22"/>
        </w:rPr>
        <w:t xml:space="preserve"> v mladších věkových kategoriích</w:t>
      </w:r>
      <w:r w:rsidRPr="001A6DD8">
        <w:rPr>
          <w:rFonts w:ascii="Arial" w:hAnsi="Arial" w:cs="Arial"/>
          <w:sz w:val="22"/>
          <w:szCs w:val="22"/>
        </w:rPr>
        <w:t xml:space="preserve">. </w:t>
      </w:r>
      <w:r>
        <w:rPr>
          <w:rFonts w:ascii="Arial" w:hAnsi="Arial" w:cs="Arial"/>
          <w:sz w:val="22"/>
          <w:szCs w:val="22"/>
        </w:rPr>
        <w:t>Vzhledem k trvalé poptávce po řidičích nákladních automobilů je následná uplatnitelnost uchazečů velmi dobrá a kursy patří k vůbec nejefektivnějším.</w:t>
      </w:r>
    </w:p>
    <w:p w:rsidR="001C4200" w:rsidRPr="001A6DD8" w:rsidRDefault="001C4200" w:rsidP="001C4200">
      <w:pPr>
        <w:tabs>
          <w:tab w:val="left" w:pos="709"/>
        </w:tabs>
        <w:spacing w:after="120"/>
        <w:jc w:val="both"/>
        <w:rPr>
          <w:rFonts w:ascii="Arial" w:hAnsi="Arial" w:cs="Arial"/>
          <w:b/>
          <w:sz w:val="22"/>
          <w:szCs w:val="22"/>
        </w:rPr>
      </w:pPr>
    </w:p>
    <w:p w:rsidR="001C4200" w:rsidRDefault="001C4200" w:rsidP="00D27DAE">
      <w:pPr>
        <w:tabs>
          <w:tab w:val="left" w:pos="709"/>
        </w:tabs>
        <w:spacing w:after="120"/>
        <w:jc w:val="both"/>
        <w:rPr>
          <w:rFonts w:ascii="Arial" w:hAnsi="Arial" w:cs="Arial"/>
          <w:sz w:val="22"/>
          <w:szCs w:val="22"/>
        </w:rPr>
      </w:pPr>
      <w:r w:rsidRPr="001A6DD8">
        <w:rPr>
          <w:rFonts w:ascii="Arial" w:hAnsi="Arial" w:cs="Arial"/>
          <w:b/>
          <w:sz w:val="22"/>
          <w:szCs w:val="22"/>
        </w:rPr>
        <w:t>Kurzy zaměřené na informační technologie</w:t>
      </w:r>
      <w:r w:rsidRPr="001A6DD8">
        <w:rPr>
          <w:rFonts w:ascii="Arial" w:hAnsi="Arial" w:cs="Arial"/>
          <w:sz w:val="22"/>
          <w:szCs w:val="22"/>
        </w:rPr>
        <w:t xml:space="preserve"> jsou realizovány téměř pro všechny skupiny uchazečů o zaměstnání. Výjimku tvoří absolventi škol, kteří zpravidla zvládají obsluhu osobního počítače na velmi dobré úrovni. Oproti předchozím rokům klesl podíl kurzů „Základy obsluhy osobního počítače“ a jsou více realizovány kurzy s vyšší specializací, které již vyžadují pokročilé vstupní znalosti obsluhy osobního počítače a vedou přímo k uplatnění absolventů těchto kurzů na trhu práce (Počítačový grafik, Tvorba webový</w:t>
      </w:r>
      <w:r w:rsidR="00D27DAE">
        <w:rPr>
          <w:rFonts w:ascii="Arial" w:hAnsi="Arial" w:cs="Arial"/>
          <w:sz w:val="22"/>
          <w:szCs w:val="22"/>
        </w:rPr>
        <w:t>ch stránek, AutoCAD).</w:t>
      </w:r>
    </w:p>
    <w:p w:rsidR="00D27DAE" w:rsidRDefault="00D27DAE" w:rsidP="00D27DAE">
      <w:pPr>
        <w:tabs>
          <w:tab w:val="left" w:pos="709"/>
        </w:tabs>
        <w:spacing w:after="120"/>
        <w:jc w:val="both"/>
        <w:rPr>
          <w:rFonts w:ascii="Arial" w:hAnsi="Arial" w:cs="Arial"/>
          <w:sz w:val="22"/>
          <w:szCs w:val="22"/>
        </w:rPr>
      </w:pPr>
    </w:p>
    <w:p w:rsidR="00D27DAE" w:rsidRDefault="00D27DAE" w:rsidP="00D27DAE">
      <w:pPr>
        <w:tabs>
          <w:tab w:val="left" w:pos="709"/>
        </w:tabs>
        <w:spacing w:after="120"/>
        <w:jc w:val="both"/>
        <w:rPr>
          <w:rFonts w:ascii="Arial" w:hAnsi="Arial" w:cs="Arial"/>
          <w:sz w:val="22"/>
          <w:szCs w:val="22"/>
        </w:rPr>
      </w:pPr>
    </w:p>
    <w:p w:rsidR="00D27DAE" w:rsidRDefault="00D27DAE" w:rsidP="00D27DAE">
      <w:pPr>
        <w:tabs>
          <w:tab w:val="left" w:pos="709"/>
        </w:tabs>
        <w:spacing w:after="120"/>
        <w:jc w:val="both"/>
        <w:rPr>
          <w:rFonts w:ascii="Arial" w:hAnsi="Arial" w:cs="Arial"/>
          <w:sz w:val="22"/>
          <w:szCs w:val="22"/>
        </w:rPr>
      </w:pPr>
    </w:p>
    <w:p w:rsidR="00D27DAE" w:rsidRDefault="00D27DAE" w:rsidP="00D27DAE">
      <w:pPr>
        <w:tabs>
          <w:tab w:val="left" w:pos="709"/>
        </w:tabs>
        <w:spacing w:after="120"/>
        <w:jc w:val="both"/>
        <w:rPr>
          <w:rFonts w:ascii="Arial" w:hAnsi="Arial" w:cs="Arial"/>
          <w:sz w:val="22"/>
          <w:szCs w:val="22"/>
        </w:rPr>
      </w:pPr>
    </w:p>
    <w:p w:rsidR="00D27DAE" w:rsidRDefault="00D27DAE" w:rsidP="00D27DAE">
      <w:pPr>
        <w:tabs>
          <w:tab w:val="left" w:pos="709"/>
        </w:tabs>
        <w:spacing w:after="120"/>
        <w:jc w:val="both"/>
        <w:rPr>
          <w:rFonts w:ascii="Arial" w:hAnsi="Arial" w:cs="Arial"/>
          <w:sz w:val="22"/>
          <w:szCs w:val="22"/>
        </w:rPr>
      </w:pPr>
    </w:p>
    <w:p w:rsidR="00D27DAE" w:rsidRDefault="00D27DAE" w:rsidP="00D27DAE">
      <w:pPr>
        <w:tabs>
          <w:tab w:val="left" w:pos="709"/>
        </w:tabs>
        <w:spacing w:after="120"/>
        <w:jc w:val="both"/>
        <w:rPr>
          <w:rFonts w:ascii="Arial" w:hAnsi="Arial" w:cs="Arial"/>
          <w:sz w:val="22"/>
          <w:szCs w:val="22"/>
        </w:rPr>
      </w:pPr>
    </w:p>
    <w:p w:rsidR="001C4200" w:rsidRPr="009A1BEE" w:rsidRDefault="001C4200" w:rsidP="001C4200">
      <w:pPr>
        <w:pStyle w:val="Nadpis2"/>
      </w:pPr>
      <w:bookmarkStart w:id="73" w:name="_Toc381372899"/>
      <w:bookmarkStart w:id="74" w:name="_Toc411611481"/>
      <w:r>
        <w:t xml:space="preserve">6.3 </w:t>
      </w:r>
      <w:r w:rsidRPr="009A1BEE">
        <w:t>Projekty ESF</w:t>
      </w:r>
      <w:bookmarkEnd w:id="73"/>
      <w:bookmarkEnd w:id="74"/>
      <w:r w:rsidRPr="009A1BEE">
        <w:t xml:space="preserve">  </w:t>
      </w:r>
    </w:p>
    <w:p w:rsidR="001C4200" w:rsidRDefault="001C4200" w:rsidP="001C4200">
      <w:pPr>
        <w:jc w:val="both"/>
        <w:rPr>
          <w:rFonts w:ascii="Arial" w:hAnsi="Arial" w:cs="Arial"/>
          <w:b/>
          <w:u w:val="single"/>
        </w:rPr>
      </w:pPr>
    </w:p>
    <w:p w:rsidR="001C4200" w:rsidRPr="00566739" w:rsidRDefault="001C4200" w:rsidP="001C4200">
      <w:pPr>
        <w:jc w:val="both"/>
        <w:rPr>
          <w:rFonts w:ascii="Arial" w:hAnsi="Arial" w:cs="Arial"/>
          <w:b/>
          <w:sz w:val="26"/>
          <w:szCs w:val="26"/>
          <w:u w:val="single"/>
        </w:rPr>
      </w:pPr>
      <w:r w:rsidRPr="00566739">
        <w:rPr>
          <w:rFonts w:ascii="Arial" w:hAnsi="Arial" w:cs="Arial"/>
          <w:b/>
          <w:sz w:val="26"/>
          <w:szCs w:val="26"/>
          <w:u w:val="single"/>
        </w:rPr>
        <w:t>Národní individuální projekty (NIP)</w:t>
      </w:r>
    </w:p>
    <w:p w:rsidR="001C4200" w:rsidRDefault="001C4200" w:rsidP="001C4200">
      <w:pPr>
        <w:jc w:val="both"/>
        <w:rPr>
          <w:rFonts w:ascii="Arial" w:hAnsi="Arial" w:cs="Arial"/>
          <w:b/>
          <w:u w:val="single"/>
        </w:rPr>
      </w:pPr>
    </w:p>
    <w:p w:rsidR="001C4200" w:rsidRPr="00566739" w:rsidRDefault="001C4200" w:rsidP="001C4200">
      <w:pPr>
        <w:pStyle w:val="Odstavecseseznamem"/>
        <w:numPr>
          <w:ilvl w:val="0"/>
          <w:numId w:val="16"/>
        </w:numPr>
        <w:contextualSpacing/>
        <w:jc w:val="both"/>
        <w:rPr>
          <w:rFonts w:ascii="Arial" w:hAnsi="Arial" w:cs="Arial"/>
          <w:b/>
          <w:u w:val="single"/>
        </w:rPr>
      </w:pPr>
      <w:r w:rsidRPr="00566739">
        <w:rPr>
          <w:rFonts w:ascii="Arial" w:hAnsi="Arial" w:cs="Arial"/>
          <w:b/>
        </w:rPr>
        <w:t>NIP Vzdělávejte se pro růst – pracovní příležitosti</w:t>
      </w:r>
    </w:p>
    <w:p w:rsidR="001C4200" w:rsidRPr="00566739" w:rsidRDefault="001C4200" w:rsidP="001C4200">
      <w:pPr>
        <w:pStyle w:val="Odstavecseseznamem"/>
        <w:jc w:val="both"/>
        <w:rPr>
          <w:rFonts w:ascii="Arial" w:hAnsi="Arial" w:cs="Arial"/>
          <w:b/>
          <w:u w:val="single"/>
        </w:rPr>
      </w:pPr>
    </w:p>
    <w:p w:rsidR="001C4200" w:rsidRPr="00077B75" w:rsidRDefault="001C4200" w:rsidP="001C4200">
      <w:pPr>
        <w:jc w:val="both"/>
        <w:rPr>
          <w:rFonts w:ascii="Arial" w:hAnsi="Arial" w:cs="Arial"/>
          <w:sz w:val="22"/>
          <w:szCs w:val="22"/>
        </w:rPr>
      </w:pPr>
      <w:r w:rsidRPr="00077B75">
        <w:rPr>
          <w:rFonts w:ascii="Arial" w:hAnsi="Arial" w:cs="Arial"/>
          <w:sz w:val="22"/>
          <w:szCs w:val="22"/>
        </w:rPr>
        <w:t>V roce 201</w:t>
      </w:r>
      <w:r>
        <w:rPr>
          <w:rFonts w:ascii="Arial" w:hAnsi="Arial" w:cs="Arial"/>
          <w:sz w:val="22"/>
          <w:szCs w:val="22"/>
        </w:rPr>
        <w:t>4</w:t>
      </w:r>
      <w:r w:rsidRPr="00077B75">
        <w:rPr>
          <w:rFonts w:ascii="Arial" w:hAnsi="Arial" w:cs="Arial"/>
          <w:sz w:val="22"/>
          <w:szCs w:val="22"/>
        </w:rPr>
        <w:t xml:space="preserve"> pokračovala realizace </w:t>
      </w:r>
      <w:r w:rsidRPr="00077B75">
        <w:rPr>
          <w:rFonts w:ascii="Arial" w:hAnsi="Arial" w:cs="Arial"/>
          <w:b/>
          <w:sz w:val="22"/>
          <w:szCs w:val="22"/>
        </w:rPr>
        <w:t>NIP Vzdělávejte se pro růst – pracovní příležitosti</w:t>
      </w:r>
      <w:r w:rsidRPr="00077B75">
        <w:rPr>
          <w:rFonts w:ascii="Arial" w:hAnsi="Arial" w:cs="Arial"/>
          <w:sz w:val="22"/>
          <w:szCs w:val="22"/>
        </w:rPr>
        <w:t xml:space="preserve">, v rámci kterého jsou financovány nástroje veřejně prospěšné práce a společensky účelná pracovní místa vyhrazená. Realizací těchto projektů je významně posílena aktivní politika zaměstnanosti, zejména tyto dva nejvíce využívané nástroje. V rámci společensky účelných pracovních míst vyhrazených bylo umístěno </w:t>
      </w:r>
      <w:r w:rsidRPr="00077B75">
        <w:rPr>
          <w:rFonts w:ascii="Arial" w:hAnsi="Arial" w:cs="Arial"/>
          <w:b/>
          <w:sz w:val="22"/>
          <w:szCs w:val="22"/>
        </w:rPr>
        <w:t>1 894</w:t>
      </w:r>
      <w:r w:rsidRPr="00077B75">
        <w:rPr>
          <w:rFonts w:ascii="Arial" w:hAnsi="Arial" w:cs="Arial"/>
          <w:sz w:val="22"/>
          <w:szCs w:val="22"/>
        </w:rPr>
        <w:t xml:space="preserve"> uchazečů o zaměstnání, na veřejně prospěšné práce bylo umístěno </w:t>
      </w:r>
      <w:r w:rsidRPr="00077B75">
        <w:rPr>
          <w:rFonts w:ascii="Arial" w:hAnsi="Arial" w:cs="Arial"/>
          <w:b/>
          <w:sz w:val="22"/>
          <w:szCs w:val="22"/>
        </w:rPr>
        <w:t xml:space="preserve">1 772 </w:t>
      </w:r>
      <w:r w:rsidRPr="00077B75">
        <w:rPr>
          <w:rFonts w:ascii="Arial" w:hAnsi="Arial" w:cs="Arial"/>
          <w:sz w:val="22"/>
          <w:szCs w:val="22"/>
        </w:rPr>
        <w:t>uchazečů o zaměstnání.</w:t>
      </w:r>
    </w:p>
    <w:p w:rsidR="001C4200" w:rsidRPr="00077B75"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r w:rsidRPr="00077B75">
        <w:rPr>
          <w:rFonts w:ascii="Arial" w:hAnsi="Arial" w:cs="Arial"/>
          <w:sz w:val="22"/>
          <w:szCs w:val="22"/>
        </w:rPr>
        <w:t>Dále byly realizovány dva Národní individuální projekty určené pro podporu odborného vzdělávání zaměstnanců. V rámci obou projektů mohli zaměstnavatelé žádat o příspěvek na vzdělávací aktivitu a na úhradu mzdových nákladů za dobu, kterou zaměstnanci strávili ve vzdělávacím kurzu.</w:t>
      </w:r>
    </w:p>
    <w:p w:rsidR="00D27DAE" w:rsidRPr="00077B75" w:rsidRDefault="00D27DAE" w:rsidP="001C4200">
      <w:pPr>
        <w:jc w:val="both"/>
        <w:rPr>
          <w:rFonts w:ascii="Arial" w:hAnsi="Arial" w:cs="Arial"/>
          <w:sz w:val="22"/>
          <w:szCs w:val="22"/>
        </w:rPr>
      </w:pPr>
    </w:p>
    <w:p w:rsidR="001C4200" w:rsidRDefault="001C4200" w:rsidP="001C4200">
      <w:pPr>
        <w:pStyle w:val="Odstavecseseznamem"/>
        <w:numPr>
          <w:ilvl w:val="0"/>
          <w:numId w:val="16"/>
        </w:numPr>
        <w:contextualSpacing/>
        <w:jc w:val="both"/>
        <w:rPr>
          <w:rFonts w:ascii="Arial" w:hAnsi="Arial" w:cs="Arial"/>
          <w:sz w:val="22"/>
          <w:szCs w:val="22"/>
        </w:rPr>
      </w:pPr>
      <w:r w:rsidRPr="00566739">
        <w:rPr>
          <w:rFonts w:ascii="Arial" w:hAnsi="Arial" w:cs="Arial"/>
          <w:b/>
        </w:rPr>
        <w:t>Vzdělávejte se pro stabilitu!</w:t>
      </w:r>
      <w:r w:rsidRPr="00566739">
        <w:rPr>
          <w:rFonts w:ascii="Arial" w:hAnsi="Arial" w:cs="Arial"/>
          <w:b/>
          <w:sz w:val="22"/>
          <w:szCs w:val="22"/>
        </w:rPr>
        <w:t xml:space="preserve"> </w:t>
      </w:r>
      <w:r w:rsidRPr="00566739">
        <w:rPr>
          <w:rFonts w:ascii="Arial" w:hAnsi="Arial" w:cs="Arial"/>
          <w:sz w:val="22"/>
          <w:szCs w:val="22"/>
        </w:rPr>
        <w:t xml:space="preserve"> </w:t>
      </w:r>
    </w:p>
    <w:p w:rsidR="001C4200" w:rsidRPr="00566739" w:rsidRDefault="001C4200" w:rsidP="001C4200">
      <w:pPr>
        <w:pStyle w:val="Odstavecseseznamem"/>
        <w:jc w:val="both"/>
        <w:rPr>
          <w:rFonts w:ascii="Arial" w:hAnsi="Arial" w:cs="Arial"/>
          <w:sz w:val="22"/>
          <w:szCs w:val="22"/>
        </w:rPr>
      </w:pPr>
    </w:p>
    <w:p w:rsidR="001C4200" w:rsidRPr="00077B75" w:rsidRDefault="001C4200" w:rsidP="001C4200">
      <w:pPr>
        <w:jc w:val="both"/>
        <w:rPr>
          <w:rFonts w:ascii="Arial" w:hAnsi="Arial" w:cs="Arial"/>
          <w:sz w:val="22"/>
          <w:szCs w:val="22"/>
        </w:rPr>
      </w:pPr>
      <w:r w:rsidRPr="00077B75">
        <w:rPr>
          <w:rFonts w:ascii="Arial" w:hAnsi="Arial" w:cs="Arial"/>
          <w:sz w:val="22"/>
          <w:szCs w:val="22"/>
        </w:rPr>
        <w:t xml:space="preserve">je projekt určený pro zaměstnavatele, kteří v důsledku negativního vývoje ekonomiky nejsou ve svých provozovnách přechodně schopni přidělovat zaměstnancům práci v rozsahu stanovené týdenní pracovní doby a chtějí tuto dobu využít pro odborný rozvoj svých zaměstnanců. Celkem byly v rámci tohoto projektu v roce 2014 podpořeny </w:t>
      </w:r>
      <w:r w:rsidRPr="00077B75">
        <w:rPr>
          <w:rFonts w:ascii="Arial" w:hAnsi="Arial" w:cs="Arial"/>
          <w:b/>
          <w:sz w:val="22"/>
          <w:szCs w:val="22"/>
        </w:rPr>
        <w:t>3</w:t>
      </w:r>
      <w:r w:rsidRPr="00077B75">
        <w:rPr>
          <w:rFonts w:ascii="Arial" w:hAnsi="Arial" w:cs="Arial"/>
          <w:sz w:val="22"/>
          <w:szCs w:val="22"/>
        </w:rPr>
        <w:t xml:space="preserve"> firmy a vynaloženo bylo </w:t>
      </w:r>
      <w:r w:rsidRPr="00077B75">
        <w:rPr>
          <w:rFonts w:ascii="Arial" w:hAnsi="Arial" w:cs="Arial"/>
          <w:b/>
          <w:sz w:val="22"/>
          <w:szCs w:val="22"/>
        </w:rPr>
        <w:t>1 365 505,- Kč</w:t>
      </w:r>
      <w:r w:rsidRPr="00077B75">
        <w:rPr>
          <w:rFonts w:ascii="Arial" w:hAnsi="Arial" w:cs="Arial"/>
          <w:sz w:val="22"/>
          <w:szCs w:val="22"/>
        </w:rPr>
        <w:t>. O tento projekt, zřejmě v souvislosti se striktně nastavenými podmínkami pro zapojení do projektu, byl nesrovnatelně nižší zájem ze strany zaměstnavatelů, než o ostatní projekty na podporu odborného vzdělávání zaměstnanců, proto byl v závěru roku ukončen.</w:t>
      </w:r>
    </w:p>
    <w:p w:rsidR="001C4200" w:rsidRPr="00566739" w:rsidRDefault="001C4200" w:rsidP="001C4200">
      <w:pPr>
        <w:jc w:val="both"/>
        <w:rPr>
          <w:rFonts w:ascii="Arial" w:hAnsi="Arial" w:cs="Arial"/>
        </w:rPr>
      </w:pPr>
    </w:p>
    <w:p w:rsidR="001C4200" w:rsidRDefault="001C4200" w:rsidP="001C4200">
      <w:pPr>
        <w:pStyle w:val="Odstavecseseznamem"/>
        <w:numPr>
          <w:ilvl w:val="0"/>
          <w:numId w:val="16"/>
        </w:numPr>
        <w:contextualSpacing/>
        <w:jc w:val="both"/>
        <w:rPr>
          <w:rFonts w:ascii="Arial" w:hAnsi="Arial" w:cs="Arial"/>
          <w:b/>
        </w:rPr>
      </w:pPr>
      <w:r w:rsidRPr="00566739">
        <w:rPr>
          <w:rFonts w:ascii="Arial" w:hAnsi="Arial" w:cs="Arial"/>
          <w:b/>
        </w:rPr>
        <w:t xml:space="preserve">Podpora odborného vzdělávání zaměstnanců </w:t>
      </w:r>
    </w:p>
    <w:p w:rsidR="001C4200" w:rsidRPr="00566739" w:rsidRDefault="001C4200" w:rsidP="001C4200">
      <w:pPr>
        <w:pStyle w:val="Odstavecseseznamem"/>
        <w:jc w:val="both"/>
        <w:rPr>
          <w:rFonts w:ascii="Arial" w:hAnsi="Arial" w:cs="Arial"/>
          <w:b/>
        </w:rPr>
      </w:pPr>
    </w:p>
    <w:p w:rsidR="001C4200" w:rsidRPr="00077B75" w:rsidRDefault="001C4200" w:rsidP="001C4200">
      <w:pPr>
        <w:jc w:val="both"/>
        <w:rPr>
          <w:rFonts w:ascii="Arial" w:hAnsi="Arial" w:cs="Arial"/>
          <w:b/>
          <w:sz w:val="22"/>
          <w:szCs w:val="22"/>
        </w:rPr>
      </w:pPr>
      <w:r w:rsidRPr="00077B75">
        <w:rPr>
          <w:rFonts w:ascii="Arial" w:hAnsi="Arial" w:cs="Arial"/>
          <w:sz w:val="22"/>
          <w:szCs w:val="22"/>
        </w:rPr>
        <w:t xml:space="preserve">je projekt určený pro zaměstnavatele s předpokladem hospodářského růstu, kteří mají zájem prohloubit kompetence, odborné znalosti a dovednosti svých zaměstnanců. Projekt umožňuje zaměstnavatelům získat finanční příspěvky na vzdělávání zaměstnanců a zároveň jim jsou hrazeny mzdové náklady vzdělávaných zaměstnanců po dobu jejich vzdělávání. Konkrétním cílem projektu je podpora dalšího vzdělávání. O zapojení do projektu je ze strany zaměstnavatelů v Jihomoravském kraji velký zájem. Celkem bylo v r. 2014 podpořeno </w:t>
      </w:r>
      <w:r w:rsidRPr="00077B75">
        <w:rPr>
          <w:rFonts w:ascii="Arial" w:hAnsi="Arial" w:cs="Arial"/>
          <w:b/>
          <w:sz w:val="22"/>
          <w:szCs w:val="22"/>
        </w:rPr>
        <w:t xml:space="preserve">103 </w:t>
      </w:r>
      <w:r w:rsidRPr="00077B75">
        <w:rPr>
          <w:rFonts w:ascii="Arial" w:hAnsi="Arial" w:cs="Arial"/>
          <w:sz w:val="22"/>
          <w:szCs w:val="22"/>
        </w:rPr>
        <w:t xml:space="preserve">zaměstnavatelů, z toho nejvíce v Brně – </w:t>
      </w:r>
      <w:r w:rsidRPr="00077B75">
        <w:rPr>
          <w:rFonts w:ascii="Arial" w:hAnsi="Arial" w:cs="Arial"/>
          <w:b/>
          <w:sz w:val="22"/>
          <w:szCs w:val="22"/>
        </w:rPr>
        <w:t xml:space="preserve">58 </w:t>
      </w:r>
      <w:r w:rsidRPr="00077B75">
        <w:rPr>
          <w:rFonts w:ascii="Arial" w:hAnsi="Arial" w:cs="Arial"/>
          <w:sz w:val="22"/>
          <w:szCs w:val="22"/>
        </w:rPr>
        <w:t xml:space="preserve">zaměstnavatelů. Vynaloženo bylo celkem  </w:t>
      </w:r>
      <w:r w:rsidRPr="00077B75">
        <w:rPr>
          <w:rFonts w:ascii="Arial" w:hAnsi="Arial" w:cs="Arial"/>
          <w:b/>
          <w:sz w:val="22"/>
          <w:szCs w:val="22"/>
        </w:rPr>
        <w:t>8 430 581 Kč.</w:t>
      </w:r>
    </w:p>
    <w:p w:rsidR="001C4200" w:rsidRDefault="001C4200" w:rsidP="001C4200">
      <w:pPr>
        <w:jc w:val="both"/>
        <w:rPr>
          <w:rFonts w:ascii="Arial" w:hAnsi="Arial" w:cs="Arial"/>
          <w:sz w:val="22"/>
          <w:szCs w:val="22"/>
        </w:rPr>
      </w:pPr>
    </w:p>
    <w:p w:rsidR="00D27DAE" w:rsidRDefault="00D27DAE" w:rsidP="001C4200">
      <w:pPr>
        <w:jc w:val="both"/>
        <w:rPr>
          <w:rFonts w:ascii="Arial" w:hAnsi="Arial" w:cs="Arial"/>
          <w:sz w:val="22"/>
          <w:szCs w:val="22"/>
        </w:rPr>
      </w:pPr>
    </w:p>
    <w:p w:rsidR="00D27DAE" w:rsidRDefault="00D27DAE" w:rsidP="001C4200">
      <w:pPr>
        <w:jc w:val="both"/>
        <w:rPr>
          <w:rFonts w:ascii="Arial" w:hAnsi="Arial" w:cs="Arial"/>
          <w:sz w:val="22"/>
          <w:szCs w:val="22"/>
        </w:rPr>
      </w:pPr>
    </w:p>
    <w:p w:rsidR="00D27DAE" w:rsidRPr="00077B75" w:rsidRDefault="00D27DAE"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Pr="005446B4" w:rsidRDefault="001C4200" w:rsidP="001C4200">
      <w:pPr>
        <w:jc w:val="both"/>
        <w:rPr>
          <w:rFonts w:ascii="Arial" w:hAnsi="Arial" w:cs="Arial"/>
          <w:b/>
          <w:sz w:val="26"/>
          <w:szCs w:val="26"/>
          <w:u w:val="single"/>
        </w:rPr>
      </w:pPr>
      <w:r w:rsidRPr="005446B4">
        <w:rPr>
          <w:rFonts w:ascii="Arial" w:hAnsi="Arial" w:cs="Arial"/>
          <w:b/>
          <w:sz w:val="26"/>
          <w:szCs w:val="26"/>
          <w:u w:val="single"/>
        </w:rPr>
        <w:t xml:space="preserve">Regionální individuální projekty </w:t>
      </w:r>
      <w:r>
        <w:rPr>
          <w:rFonts w:ascii="Arial" w:hAnsi="Arial" w:cs="Arial"/>
          <w:b/>
          <w:sz w:val="26"/>
          <w:szCs w:val="26"/>
          <w:u w:val="single"/>
        </w:rPr>
        <w:t xml:space="preserve"> </w:t>
      </w:r>
      <w:r w:rsidRPr="005446B4">
        <w:rPr>
          <w:rFonts w:ascii="Arial" w:hAnsi="Arial" w:cs="Arial"/>
          <w:b/>
          <w:sz w:val="26"/>
          <w:szCs w:val="26"/>
          <w:u w:val="single"/>
        </w:rPr>
        <w:t>(RIP)</w:t>
      </w:r>
    </w:p>
    <w:p w:rsidR="001C4200"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rPr>
          <w:rFonts w:ascii="Arial" w:hAnsi="Arial" w:cs="Arial"/>
          <w:sz w:val="22"/>
          <w:szCs w:val="22"/>
        </w:rPr>
      </w:pPr>
      <w:r>
        <w:rPr>
          <w:rFonts w:ascii="Arial" w:hAnsi="Arial" w:cs="Arial"/>
          <w:sz w:val="22"/>
          <w:szCs w:val="22"/>
        </w:rPr>
        <w:t>V roce 2014 realizovala Krajská pobočka v Brně v rámci Operačního programu Lidské zdroje a zaměstnanost 11 regionálních individuálních projektů:</w:t>
      </w:r>
    </w:p>
    <w:p w:rsidR="001C4200" w:rsidRDefault="001C4200" w:rsidP="001C4200">
      <w:pPr>
        <w:rPr>
          <w:rFonts w:ascii="Arial" w:hAnsi="Arial" w:cs="Arial"/>
          <w:sz w:val="22"/>
          <w:szCs w:val="22"/>
        </w:rPr>
      </w:pP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 xml:space="preserve">Kariéra bez bariér </w:t>
      </w: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Příležitost pro mladé do 30 let</w:t>
      </w: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Po roce do práce v Jihomoravském kraji</w:t>
      </w: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45 plus v Jihomoravském kraji</w:t>
      </w: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Vzdělávejte se pro růst v Jihomoravském kraji</w:t>
      </w: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Sladění práce a rodiny</w:t>
      </w: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Práce jako pomoc</w:t>
      </w: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Cesta na trh práce</w:t>
      </w: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Odborné praxe pro mladé do 30 let v JmK</w:t>
      </w: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Vzdělávejte se pro růst v Jihomoravském kraji II.</w:t>
      </w:r>
    </w:p>
    <w:p w:rsidR="001C4200" w:rsidRDefault="001C4200" w:rsidP="001C4200">
      <w:pPr>
        <w:numPr>
          <w:ilvl w:val="0"/>
          <w:numId w:val="12"/>
        </w:numPr>
        <w:spacing w:after="120"/>
        <w:ind w:left="992" w:hanging="635"/>
        <w:contextualSpacing/>
        <w:rPr>
          <w:rFonts w:ascii="Arial" w:eastAsia="Calibri" w:hAnsi="Arial" w:cs="Arial"/>
          <w:sz w:val="22"/>
          <w:szCs w:val="22"/>
          <w:lang w:eastAsia="en-US"/>
        </w:rPr>
      </w:pPr>
      <w:r>
        <w:rPr>
          <w:rFonts w:ascii="Arial" w:eastAsia="Calibri" w:hAnsi="Arial" w:cs="Arial"/>
          <w:sz w:val="22"/>
          <w:szCs w:val="22"/>
          <w:lang w:eastAsia="en-US"/>
        </w:rPr>
        <w:t>Recept na úspěch</w:t>
      </w:r>
    </w:p>
    <w:p w:rsidR="001C4200" w:rsidRDefault="001C4200" w:rsidP="001C4200">
      <w:pPr>
        <w:contextualSpacing/>
        <w:rPr>
          <w:rFonts w:ascii="Arial" w:eastAsia="Calibri" w:hAnsi="Arial" w:cs="Arial"/>
          <w:sz w:val="22"/>
          <w:szCs w:val="22"/>
          <w:lang w:eastAsia="en-US"/>
        </w:rPr>
      </w:pPr>
    </w:p>
    <w:p w:rsidR="00D27DAE" w:rsidRDefault="00D27DAE" w:rsidP="001C4200">
      <w:pPr>
        <w:contextualSpacing/>
        <w:rPr>
          <w:rFonts w:ascii="Arial" w:eastAsia="Calibri" w:hAnsi="Arial" w:cs="Arial"/>
          <w:sz w:val="22"/>
          <w:szCs w:val="22"/>
          <w:lang w:eastAsia="en-US"/>
        </w:rPr>
      </w:pPr>
    </w:p>
    <w:p w:rsidR="001C4200" w:rsidRPr="006534E3" w:rsidRDefault="001C4200" w:rsidP="001C4200">
      <w:pPr>
        <w:pStyle w:val="Odstavecseseznamem"/>
        <w:numPr>
          <w:ilvl w:val="0"/>
          <w:numId w:val="31"/>
        </w:numPr>
        <w:tabs>
          <w:tab w:val="left" w:pos="426"/>
        </w:tabs>
        <w:spacing w:after="200"/>
        <w:contextualSpacing/>
        <w:jc w:val="both"/>
        <w:rPr>
          <w:rFonts w:ascii="Arial" w:hAnsi="Arial" w:cs="Arial"/>
          <w:b/>
          <w:u w:val="single"/>
        </w:rPr>
      </w:pPr>
      <w:r w:rsidRPr="003574C5">
        <w:rPr>
          <w:rFonts w:ascii="Arial" w:hAnsi="Arial" w:cs="Arial"/>
          <w:b/>
          <w:u w:val="single"/>
        </w:rPr>
        <w:t>Kariéra bez bariér – CZ.1.04/2.1.00/13.00092</w:t>
      </w:r>
    </w:p>
    <w:p w:rsidR="001C4200" w:rsidRPr="00E55CC1" w:rsidRDefault="001C4200" w:rsidP="001C4200">
      <w:pPr>
        <w:jc w:val="both"/>
        <w:rPr>
          <w:rFonts w:ascii="Arial" w:hAnsi="Arial" w:cs="Arial"/>
          <w:sz w:val="22"/>
          <w:szCs w:val="22"/>
        </w:rPr>
      </w:pPr>
      <w:r w:rsidRPr="00E55CC1">
        <w:rPr>
          <w:rFonts w:ascii="Arial" w:hAnsi="Arial" w:cs="Arial"/>
          <w:sz w:val="22"/>
          <w:szCs w:val="22"/>
        </w:rPr>
        <w:t>Zahájení realizace:</w:t>
      </w:r>
      <w:r w:rsidRPr="00E55CC1">
        <w:rPr>
          <w:rFonts w:ascii="Arial" w:hAnsi="Arial" w:cs="Arial"/>
          <w:sz w:val="22"/>
          <w:szCs w:val="22"/>
        </w:rPr>
        <w:tab/>
        <w:t>1. dubna 2011</w:t>
      </w:r>
    </w:p>
    <w:p w:rsidR="001C4200" w:rsidRDefault="001C4200" w:rsidP="001C4200">
      <w:pPr>
        <w:jc w:val="both"/>
        <w:rPr>
          <w:rFonts w:ascii="Arial" w:hAnsi="Arial" w:cs="Arial"/>
          <w:sz w:val="22"/>
          <w:szCs w:val="22"/>
        </w:rPr>
      </w:pPr>
      <w:r w:rsidRPr="00E55CC1">
        <w:rPr>
          <w:rFonts w:ascii="Arial" w:hAnsi="Arial" w:cs="Arial"/>
          <w:sz w:val="22"/>
          <w:szCs w:val="22"/>
        </w:rPr>
        <w:t>Ukončení realizace:</w:t>
      </w:r>
      <w:r w:rsidRPr="00E55CC1">
        <w:rPr>
          <w:rFonts w:ascii="Arial" w:hAnsi="Arial" w:cs="Arial"/>
          <w:sz w:val="22"/>
          <w:szCs w:val="22"/>
        </w:rPr>
        <w:tab/>
        <w:t>31. března 2014</w:t>
      </w:r>
    </w:p>
    <w:p w:rsidR="001C4200" w:rsidRPr="00E55CC1" w:rsidRDefault="001C4200" w:rsidP="001C4200">
      <w:pPr>
        <w:jc w:val="both"/>
        <w:rPr>
          <w:rFonts w:ascii="Arial" w:hAnsi="Arial" w:cs="Arial"/>
          <w:sz w:val="22"/>
          <w:szCs w:val="22"/>
        </w:rPr>
      </w:pPr>
    </w:p>
    <w:p w:rsidR="001C4200" w:rsidRPr="00E55CC1" w:rsidRDefault="001C4200" w:rsidP="001C4200">
      <w:pPr>
        <w:jc w:val="both"/>
        <w:rPr>
          <w:rFonts w:ascii="Arial" w:hAnsi="Arial" w:cs="Arial"/>
          <w:sz w:val="22"/>
          <w:szCs w:val="22"/>
        </w:rPr>
      </w:pPr>
      <w:r w:rsidRPr="00E55CC1">
        <w:rPr>
          <w:rFonts w:ascii="Arial" w:hAnsi="Arial" w:cs="Arial"/>
          <w:sz w:val="22"/>
          <w:szCs w:val="22"/>
        </w:rPr>
        <w:t>Cílová skupina projektu:</w:t>
      </w:r>
    </w:p>
    <w:p w:rsidR="001C4200" w:rsidRPr="00E55CC1" w:rsidRDefault="001C4200" w:rsidP="001C4200">
      <w:pPr>
        <w:numPr>
          <w:ilvl w:val="0"/>
          <w:numId w:val="13"/>
        </w:numPr>
        <w:suppressAutoHyphens/>
        <w:spacing w:line="240" w:lineRule="auto"/>
        <w:jc w:val="both"/>
        <w:rPr>
          <w:rFonts w:ascii="Arial" w:hAnsi="Arial" w:cs="Arial"/>
          <w:sz w:val="22"/>
          <w:szCs w:val="22"/>
        </w:rPr>
      </w:pPr>
      <w:r w:rsidRPr="00E55CC1">
        <w:rPr>
          <w:rFonts w:ascii="Arial" w:hAnsi="Arial" w:cs="Arial"/>
          <w:sz w:val="22"/>
          <w:szCs w:val="22"/>
        </w:rPr>
        <w:t>evidence na kterémkoliv kontaktním pracovišti Krajské pobočky v Brně,</w:t>
      </w:r>
    </w:p>
    <w:p w:rsidR="001C4200" w:rsidRPr="00E55CC1" w:rsidRDefault="001C4200" w:rsidP="001C4200">
      <w:pPr>
        <w:numPr>
          <w:ilvl w:val="0"/>
          <w:numId w:val="13"/>
        </w:numPr>
        <w:suppressAutoHyphens/>
        <w:spacing w:line="240" w:lineRule="auto"/>
        <w:jc w:val="both"/>
        <w:rPr>
          <w:rFonts w:ascii="Arial" w:hAnsi="Arial" w:cs="Arial"/>
          <w:sz w:val="22"/>
          <w:szCs w:val="22"/>
        </w:rPr>
      </w:pPr>
      <w:r w:rsidRPr="00E55CC1">
        <w:rPr>
          <w:rFonts w:ascii="Arial" w:hAnsi="Arial" w:cs="Arial"/>
          <w:sz w:val="22"/>
          <w:szCs w:val="22"/>
        </w:rPr>
        <w:t>osoby se zdravotním postižením definované zákonem č. 435/2004, § 67 odst. 2 nebo</w:t>
      </w:r>
    </w:p>
    <w:p w:rsidR="001C4200" w:rsidRDefault="001C4200" w:rsidP="001C4200">
      <w:pPr>
        <w:numPr>
          <w:ilvl w:val="0"/>
          <w:numId w:val="13"/>
        </w:numPr>
        <w:suppressAutoHyphens/>
        <w:spacing w:line="240" w:lineRule="auto"/>
        <w:jc w:val="both"/>
        <w:rPr>
          <w:rFonts w:ascii="Arial" w:hAnsi="Arial" w:cs="Arial"/>
          <w:sz w:val="22"/>
          <w:szCs w:val="22"/>
        </w:rPr>
      </w:pPr>
      <w:r w:rsidRPr="00E55CC1">
        <w:rPr>
          <w:rFonts w:ascii="Arial" w:hAnsi="Arial" w:cs="Arial"/>
          <w:sz w:val="22"/>
          <w:szCs w:val="22"/>
        </w:rPr>
        <w:t>osoby starší 50 let věku.</w:t>
      </w:r>
    </w:p>
    <w:p w:rsidR="001C4200" w:rsidRDefault="001C4200" w:rsidP="001C4200">
      <w:pPr>
        <w:ind w:left="720"/>
        <w:jc w:val="both"/>
        <w:rPr>
          <w:rFonts w:ascii="Arial" w:hAnsi="Arial" w:cs="Arial"/>
          <w:sz w:val="22"/>
          <w:szCs w:val="22"/>
        </w:rPr>
      </w:pPr>
    </w:p>
    <w:p w:rsidR="001C4200" w:rsidRPr="00CF1690" w:rsidRDefault="001C4200" w:rsidP="001C4200">
      <w:pPr>
        <w:jc w:val="both"/>
        <w:rPr>
          <w:rFonts w:ascii="Arial" w:eastAsiaTheme="minorHAnsi" w:hAnsi="Arial" w:cs="Arial"/>
          <w:bCs/>
          <w:color w:val="000000"/>
          <w:sz w:val="22"/>
          <w:szCs w:val="22"/>
          <w:u w:val="single"/>
        </w:rPr>
      </w:pPr>
      <w:r w:rsidRPr="00CF1690">
        <w:rPr>
          <w:rFonts w:ascii="Arial" w:eastAsiaTheme="minorHAnsi" w:hAnsi="Arial" w:cs="Arial"/>
          <w:bCs/>
          <w:color w:val="000000"/>
          <w:sz w:val="22"/>
          <w:szCs w:val="22"/>
          <w:u w:val="single"/>
        </w:rPr>
        <w:t>Aktivity projektu (k 31. 12. 2014):</w:t>
      </w:r>
    </w:p>
    <w:p w:rsidR="001C4200" w:rsidRPr="00E55CC1" w:rsidRDefault="001C4200" w:rsidP="001C4200">
      <w:pPr>
        <w:jc w:val="both"/>
        <w:rPr>
          <w:rFonts w:ascii="Arial" w:eastAsiaTheme="minorHAnsi" w:hAnsi="Arial" w:cs="Arial"/>
          <w:bCs/>
          <w:color w:val="000000"/>
          <w:sz w:val="22"/>
          <w:szCs w:val="22"/>
        </w:rPr>
      </w:pPr>
    </w:p>
    <w:p w:rsidR="001C4200" w:rsidRPr="00E55CC1" w:rsidRDefault="001C4200" w:rsidP="001C4200">
      <w:pPr>
        <w:jc w:val="both"/>
        <w:rPr>
          <w:rFonts w:ascii="Arial" w:eastAsiaTheme="minorHAnsi" w:hAnsi="Arial" w:cs="Arial"/>
          <w:bCs/>
          <w:color w:val="000000"/>
          <w:sz w:val="22"/>
          <w:szCs w:val="22"/>
        </w:rPr>
      </w:pPr>
      <w:r w:rsidRPr="00E55CC1">
        <w:rPr>
          <w:rFonts w:ascii="Arial" w:eastAsiaTheme="minorHAnsi" w:hAnsi="Arial" w:cs="Arial"/>
          <w:bCs/>
          <w:color w:val="000000"/>
          <w:sz w:val="22"/>
          <w:szCs w:val="22"/>
        </w:rPr>
        <w:t>VÝBĚR KLIENTŮ PROJEKTU – byl prováděn ve spolupráci s jednotlivými úřady práce v kraji. Zařazení do projektu bylo podmíněno evidencí na kterémkoliv úřadu práce v Jihomoravském kraji. Klientem se mohla stát osoba se statutem OZP nebo osoba starší 50 let věku. Celkem do projektu bylo možné vybrat min. 800 klientů, z toho nejméně 640 uchazečů o zaměstnání, skutečně bylo vybráno 862 osob, tj. 107,8 %.</w:t>
      </w:r>
    </w:p>
    <w:p w:rsidR="001C4200" w:rsidRPr="00E55CC1" w:rsidRDefault="001C4200" w:rsidP="001C4200">
      <w:pPr>
        <w:jc w:val="both"/>
        <w:rPr>
          <w:rFonts w:ascii="Arial" w:eastAsiaTheme="minorHAnsi" w:hAnsi="Arial" w:cs="Arial"/>
          <w:bCs/>
          <w:color w:val="000000"/>
          <w:sz w:val="22"/>
          <w:szCs w:val="22"/>
        </w:rPr>
      </w:pPr>
    </w:p>
    <w:p w:rsidR="001C4200" w:rsidRPr="00E55CC1" w:rsidRDefault="001C4200" w:rsidP="001C4200">
      <w:pPr>
        <w:jc w:val="both"/>
        <w:rPr>
          <w:rFonts w:ascii="Arial" w:eastAsiaTheme="minorHAnsi" w:hAnsi="Arial" w:cs="Arial"/>
          <w:bCs/>
          <w:color w:val="000000"/>
          <w:sz w:val="22"/>
          <w:szCs w:val="22"/>
        </w:rPr>
      </w:pPr>
      <w:r w:rsidRPr="00E55CC1">
        <w:rPr>
          <w:rFonts w:ascii="Arial" w:eastAsiaTheme="minorHAnsi" w:hAnsi="Arial" w:cs="Arial"/>
          <w:bCs/>
          <w:color w:val="000000"/>
          <w:sz w:val="22"/>
          <w:szCs w:val="22"/>
        </w:rPr>
        <w:t xml:space="preserve">VSTUPNÍ BLOK - 2 denní blok informací o projektu a jeho poradenských, motivačních a vzdělávacích aktivitách a legislativě z pracovní oblasti (5 hodin denně) povinný pro všechny klienty projektu. Dohodu o účasti v projektu podepsalo 812 osob, tj. 101,5 % oproti plánu 800 osob.  </w:t>
      </w:r>
    </w:p>
    <w:p w:rsidR="001C4200" w:rsidRPr="00E55CC1" w:rsidRDefault="001C4200" w:rsidP="001C4200">
      <w:pPr>
        <w:jc w:val="both"/>
        <w:rPr>
          <w:rFonts w:ascii="Arial" w:eastAsiaTheme="minorHAnsi" w:hAnsi="Arial" w:cs="Arial"/>
          <w:bCs/>
          <w:color w:val="000000"/>
          <w:sz w:val="22"/>
          <w:szCs w:val="22"/>
        </w:rPr>
      </w:pPr>
    </w:p>
    <w:p w:rsidR="001C4200" w:rsidRPr="00E55CC1" w:rsidRDefault="001C4200" w:rsidP="001C4200">
      <w:pPr>
        <w:jc w:val="both"/>
        <w:rPr>
          <w:rFonts w:ascii="Arial" w:eastAsiaTheme="minorHAnsi" w:hAnsi="Arial" w:cs="Arial"/>
          <w:bCs/>
          <w:color w:val="000000"/>
          <w:sz w:val="22"/>
          <w:szCs w:val="22"/>
        </w:rPr>
      </w:pPr>
      <w:r w:rsidRPr="00E55CC1">
        <w:rPr>
          <w:rFonts w:ascii="Arial" w:eastAsiaTheme="minorHAnsi" w:hAnsi="Arial" w:cs="Arial"/>
          <w:bCs/>
          <w:color w:val="000000"/>
          <w:sz w:val="22"/>
          <w:szCs w:val="22"/>
        </w:rPr>
        <w:t xml:space="preserve">PLÁN ROZVOJE KLIENTA - Každý klient projektu spolupracoval při individuálním pohovoru s odborným pracovníkem dodavatele na sestavení svého vhodného rozvojového a výukového plánu aktivit. Na doporučení odborného pracovníka mohl být klient zařazen do jedné z forem poradenství (pracovní diagnostika nebo bilanční diagnostika, ergodiagnostika), na základě jejichž výstupů byl sestaven Plán rozvoje klienta. Aktivitu absolvovalo 806 klientů, tj. 100,8 % oproti plánu 800 osob. </w:t>
      </w:r>
    </w:p>
    <w:p w:rsidR="001C4200" w:rsidRPr="00E55CC1" w:rsidRDefault="001C4200" w:rsidP="001C4200">
      <w:pPr>
        <w:jc w:val="both"/>
        <w:rPr>
          <w:rFonts w:ascii="Arial" w:eastAsiaTheme="minorHAnsi" w:hAnsi="Arial" w:cs="Arial"/>
          <w:bCs/>
          <w:color w:val="000000"/>
          <w:sz w:val="22"/>
          <w:szCs w:val="22"/>
        </w:rPr>
      </w:pPr>
    </w:p>
    <w:p w:rsidR="001C4200" w:rsidRPr="00E55CC1" w:rsidRDefault="001C4200" w:rsidP="001C4200">
      <w:pPr>
        <w:jc w:val="both"/>
        <w:rPr>
          <w:rFonts w:ascii="Arial" w:eastAsiaTheme="minorHAnsi" w:hAnsi="Arial" w:cs="Arial"/>
          <w:bCs/>
          <w:color w:val="000000"/>
          <w:sz w:val="22"/>
          <w:szCs w:val="22"/>
        </w:rPr>
      </w:pPr>
      <w:r w:rsidRPr="00E55CC1">
        <w:rPr>
          <w:rFonts w:ascii="Arial" w:eastAsiaTheme="minorHAnsi" w:hAnsi="Arial" w:cs="Arial"/>
          <w:bCs/>
          <w:color w:val="000000"/>
          <w:sz w:val="22"/>
          <w:szCs w:val="22"/>
        </w:rPr>
        <w:t>PORADENSKÝ PROGRAM a ERGODIAGNOSTIKA – pracovní nebo bilanční diagnostika byla určena pro min. 400 klientů z řad uchazečů o zaměstnání, ergodiagnostika pro 150 klientů se statutem OZP. Celkem bylo vyhotoveno 280 zpráv z bilanční diagnostiky, 120 zpráv z pracovní diagnostiky a 119 z ergodiagnostiky.</w:t>
      </w:r>
    </w:p>
    <w:p w:rsidR="001C4200" w:rsidRPr="00E55CC1" w:rsidRDefault="001C4200" w:rsidP="001C4200">
      <w:pPr>
        <w:jc w:val="both"/>
        <w:rPr>
          <w:rFonts w:ascii="Arial" w:eastAsiaTheme="minorHAnsi" w:hAnsi="Arial" w:cs="Arial"/>
          <w:bCs/>
          <w:color w:val="000000"/>
          <w:sz w:val="22"/>
          <w:szCs w:val="22"/>
        </w:rPr>
      </w:pPr>
    </w:p>
    <w:p w:rsidR="001C4200" w:rsidRPr="00E55CC1" w:rsidRDefault="001C4200" w:rsidP="001C4200">
      <w:pPr>
        <w:jc w:val="both"/>
        <w:rPr>
          <w:rFonts w:ascii="Arial" w:eastAsiaTheme="minorHAnsi" w:hAnsi="Arial" w:cs="Arial"/>
          <w:bCs/>
          <w:color w:val="000000"/>
          <w:sz w:val="22"/>
          <w:szCs w:val="22"/>
        </w:rPr>
      </w:pPr>
      <w:r w:rsidRPr="00E55CC1">
        <w:rPr>
          <w:rFonts w:ascii="Arial" w:eastAsiaTheme="minorHAnsi" w:hAnsi="Arial" w:cs="Arial"/>
          <w:bCs/>
          <w:color w:val="000000"/>
          <w:sz w:val="22"/>
          <w:szCs w:val="22"/>
        </w:rPr>
        <w:t xml:space="preserve">MOTIVAČNÍ PROGRAM – obsahem aktivity byl rozvoj sebeprezentace, rozvoj komunikačních a sociálních dovedností, exkurze k potenciálním zaměstnavatelům, všeobecný přehled v oblasti ekonomiky, práva a zaměstnanosti. Aktivita probíhala 7 dnů po 6 hodinách denně a byla určena pro min. 600 klientů. Program absolvovalo 601 osob, tj. 100,2 %. </w:t>
      </w:r>
    </w:p>
    <w:p w:rsidR="001C4200" w:rsidRPr="00E55CC1" w:rsidRDefault="001C4200" w:rsidP="001C4200">
      <w:pPr>
        <w:jc w:val="both"/>
        <w:rPr>
          <w:rFonts w:ascii="Arial" w:eastAsiaTheme="minorHAnsi" w:hAnsi="Arial" w:cs="Arial"/>
          <w:bCs/>
          <w:color w:val="000000"/>
          <w:sz w:val="22"/>
          <w:szCs w:val="22"/>
        </w:rPr>
      </w:pPr>
    </w:p>
    <w:p w:rsidR="001C4200" w:rsidRPr="00E55CC1" w:rsidRDefault="001C4200" w:rsidP="001C4200">
      <w:pPr>
        <w:jc w:val="both"/>
        <w:rPr>
          <w:rFonts w:ascii="Arial" w:eastAsiaTheme="minorHAnsi" w:hAnsi="Arial" w:cs="Arial"/>
          <w:bCs/>
          <w:color w:val="000000"/>
          <w:sz w:val="22"/>
          <w:szCs w:val="22"/>
        </w:rPr>
      </w:pPr>
      <w:r w:rsidRPr="00E55CC1">
        <w:rPr>
          <w:rFonts w:ascii="Arial" w:eastAsiaTheme="minorHAnsi" w:hAnsi="Arial" w:cs="Arial"/>
          <w:bCs/>
          <w:color w:val="000000"/>
          <w:sz w:val="22"/>
          <w:szCs w:val="22"/>
        </w:rPr>
        <w:t>INDIVIDUÁLNÍ PORADENSTVÍ - Všichni klienti projektu mohli dle vlastního uvážení požádat o individuální poradenství specialisty dodavatele za účelem zlepšení sebepoznání. Celková kapacita poskytovaných poradenských hodin v tomto projektu byla 6.400 hodin. Poradenství využilo 706 osob v celkovém počtu 2.226 hodin.</w:t>
      </w:r>
    </w:p>
    <w:p w:rsidR="001C4200" w:rsidRPr="00E55CC1" w:rsidRDefault="001C4200" w:rsidP="001C4200">
      <w:pPr>
        <w:jc w:val="both"/>
        <w:rPr>
          <w:rFonts w:ascii="Arial" w:eastAsiaTheme="minorHAnsi" w:hAnsi="Arial" w:cs="Arial"/>
          <w:bCs/>
          <w:color w:val="000000"/>
          <w:sz w:val="22"/>
          <w:szCs w:val="22"/>
        </w:rPr>
      </w:pPr>
    </w:p>
    <w:p w:rsidR="001C4200" w:rsidRPr="00E55CC1" w:rsidRDefault="001C4200" w:rsidP="001C4200">
      <w:pPr>
        <w:jc w:val="both"/>
        <w:rPr>
          <w:rFonts w:ascii="Arial" w:eastAsiaTheme="minorHAnsi" w:hAnsi="Arial" w:cs="Arial"/>
          <w:bCs/>
          <w:color w:val="000000"/>
          <w:sz w:val="22"/>
          <w:szCs w:val="22"/>
        </w:rPr>
      </w:pPr>
      <w:r w:rsidRPr="00E55CC1">
        <w:rPr>
          <w:rFonts w:ascii="Arial" w:eastAsiaTheme="minorHAnsi" w:hAnsi="Arial" w:cs="Arial"/>
          <w:bCs/>
          <w:color w:val="000000"/>
          <w:sz w:val="22"/>
          <w:szCs w:val="22"/>
        </w:rPr>
        <w:t>REKVALIFIKAČNÍ KURZY – byly určeny pro min. 600 klientů projektu. Účast klientů v rekvalifikačních kurzech vycházela z jejich sestaveného Plánu rozvoje klienta. Celkem bylo plánováno zajištění 895 rekvalifikací a vydání min. 660 osvědčení úspěšným klientům. Typy RK jsou uvedeny na webových stránkách projektu. Klienti mohli absolvovat až 3 rekvalifikační kurzy na sebe navazující. Tuto aktivitu úspěšně ukončilo 624 klientů a bylo vydáno 937 osvědčení, tj. 142,0 %.</w:t>
      </w:r>
    </w:p>
    <w:p w:rsidR="001C4200" w:rsidRPr="00E55CC1" w:rsidRDefault="001C4200" w:rsidP="001C4200">
      <w:pPr>
        <w:jc w:val="both"/>
        <w:rPr>
          <w:rFonts w:ascii="Arial" w:eastAsiaTheme="minorHAnsi" w:hAnsi="Arial" w:cs="Arial"/>
          <w:bCs/>
          <w:color w:val="000000"/>
          <w:sz w:val="22"/>
          <w:szCs w:val="22"/>
        </w:rPr>
      </w:pPr>
    </w:p>
    <w:p w:rsidR="001C4200" w:rsidRPr="00E55CC1" w:rsidRDefault="001C4200" w:rsidP="001C4200">
      <w:pPr>
        <w:jc w:val="both"/>
        <w:rPr>
          <w:rFonts w:ascii="Arial" w:eastAsiaTheme="minorHAnsi" w:hAnsi="Arial" w:cs="Arial"/>
          <w:bCs/>
          <w:color w:val="000000"/>
          <w:sz w:val="22"/>
          <w:szCs w:val="22"/>
        </w:rPr>
      </w:pPr>
      <w:r w:rsidRPr="00E55CC1">
        <w:rPr>
          <w:rFonts w:ascii="Arial" w:eastAsiaTheme="minorHAnsi" w:hAnsi="Arial" w:cs="Arial"/>
          <w:bCs/>
          <w:color w:val="000000"/>
          <w:sz w:val="22"/>
          <w:szCs w:val="22"/>
        </w:rPr>
        <w:t>ZPROSTŘEDKOVÁNÍ ZAMĚSTNÁNÍ – Odborní pracovníci dodavatele byli nápomocni klientům projektu při hledání zaměstnání vyhledáváním vhodných potenciálních zaměstnavatelů. Celkem bylo pro klienty projektu vytvořeno 57 nových pracovních míst, 50 SÚPM a 132 vhodných zaměstnání (pracovní smlouva na dobu delší než 3 měsíce, min. 50 % pracovní doby), 1 klient si zřídil živnostenské oprávnění a 14 klientů nastoupilo do jiné formy zaměstnání (Dohoda o provedení práce, prac</w:t>
      </w:r>
      <w:r>
        <w:rPr>
          <w:rFonts w:ascii="Arial" w:eastAsiaTheme="minorHAnsi" w:hAnsi="Arial" w:cs="Arial"/>
          <w:bCs/>
          <w:color w:val="000000"/>
          <w:sz w:val="22"/>
          <w:szCs w:val="22"/>
        </w:rPr>
        <w:t>ovní smlouva na menší než 50%</w:t>
      </w:r>
      <w:r w:rsidRPr="00E55CC1">
        <w:rPr>
          <w:rFonts w:ascii="Arial" w:eastAsiaTheme="minorHAnsi" w:hAnsi="Arial" w:cs="Arial"/>
          <w:bCs/>
          <w:color w:val="000000"/>
          <w:sz w:val="22"/>
          <w:szCs w:val="22"/>
        </w:rPr>
        <w:t xml:space="preserve"> úvazek nebo kratší než 3 měsíce – zástupy za mateřskou, dlouhodobou nemoc apod.). </w:t>
      </w:r>
    </w:p>
    <w:p w:rsidR="001C4200" w:rsidRPr="00E55CC1" w:rsidRDefault="001C4200" w:rsidP="001C4200">
      <w:pPr>
        <w:jc w:val="both"/>
        <w:rPr>
          <w:rFonts w:ascii="Arial" w:eastAsiaTheme="minorHAnsi" w:hAnsi="Arial" w:cs="Arial"/>
          <w:bCs/>
          <w:color w:val="000000"/>
          <w:sz w:val="22"/>
          <w:szCs w:val="22"/>
        </w:rPr>
      </w:pPr>
    </w:p>
    <w:p w:rsidR="001C4200" w:rsidRDefault="001C4200" w:rsidP="001C4200">
      <w:pPr>
        <w:jc w:val="both"/>
        <w:rPr>
          <w:rFonts w:ascii="Arial" w:eastAsiaTheme="minorHAnsi" w:hAnsi="Arial" w:cs="Arial"/>
          <w:bCs/>
          <w:color w:val="000000"/>
          <w:sz w:val="22"/>
          <w:szCs w:val="22"/>
        </w:rPr>
      </w:pPr>
      <w:r w:rsidRPr="00E55CC1">
        <w:rPr>
          <w:rFonts w:ascii="Arial" w:eastAsiaTheme="minorHAnsi" w:hAnsi="Arial" w:cs="Arial"/>
          <w:bCs/>
          <w:color w:val="000000"/>
          <w:sz w:val="22"/>
          <w:szCs w:val="22"/>
        </w:rPr>
        <w:t>Projekt absolvovalo 812 osob, přičemž 254 osob vystoupilo z projektu z důvodu nástupu do jakéhokoliv zaměstnání, tj. 31,3 %.</w:t>
      </w:r>
    </w:p>
    <w:p w:rsidR="001C4200" w:rsidRDefault="001C4200" w:rsidP="001C4200">
      <w:pPr>
        <w:jc w:val="both"/>
        <w:rPr>
          <w:rFonts w:ascii="Arial" w:eastAsiaTheme="minorHAnsi" w:hAnsi="Arial" w:cs="Arial"/>
          <w:bCs/>
          <w:color w:val="000000"/>
          <w:sz w:val="22"/>
          <w:szCs w:val="22"/>
        </w:rPr>
      </w:pPr>
    </w:p>
    <w:p w:rsidR="001C4200" w:rsidRDefault="001C4200" w:rsidP="001C4200">
      <w:pPr>
        <w:jc w:val="both"/>
        <w:rPr>
          <w:rFonts w:ascii="Arial" w:eastAsiaTheme="minorHAnsi" w:hAnsi="Arial" w:cs="Arial"/>
          <w:bCs/>
          <w:sz w:val="22"/>
          <w:szCs w:val="22"/>
        </w:rPr>
      </w:pPr>
      <w:r>
        <w:rPr>
          <w:rFonts w:ascii="Arial" w:eastAsiaTheme="minorHAnsi" w:hAnsi="Arial" w:cs="Arial"/>
          <w:bCs/>
          <w:sz w:val="22"/>
          <w:szCs w:val="22"/>
        </w:rPr>
        <w:t>Celkový rozpočet projektu činil</w:t>
      </w:r>
      <w:r w:rsidRPr="006A67A6">
        <w:rPr>
          <w:rFonts w:ascii="Arial" w:eastAsiaTheme="minorHAnsi" w:hAnsi="Arial" w:cs="Arial"/>
          <w:bCs/>
          <w:sz w:val="22"/>
          <w:szCs w:val="22"/>
        </w:rPr>
        <w:t xml:space="preserve"> 38 197</w:t>
      </w:r>
      <w:r>
        <w:rPr>
          <w:rFonts w:ascii="Arial" w:eastAsiaTheme="minorHAnsi" w:hAnsi="Arial" w:cs="Arial"/>
          <w:bCs/>
          <w:sz w:val="22"/>
          <w:szCs w:val="22"/>
        </w:rPr>
        <w:t> </w:t>
      </w:r>
      <w:r w:rsidRPr="006A67A6">
        <w:rPr>
          <w:rFonts w:ascii="Arial" w:eastAsiaTheme="minorHAnsi" w:hAnsi="Arial" w:cs="Arial"/>
          <w:bCs/>
          <w:sz w:val="22"/>
          <w:szCs w:val="22"/>
        </w:rPr>
        <w:t>100</w:t>
      </w:r>
      <w:r>
        <w:rPr>
          <w:rFonts w:ascii="Arial" w:eastAsiaTheme="minorHAnsi" w:hAnsi="Arial" w:cs="Arial"/>
          <w:bCs/>
          <w:sz w:val="22"/>
          <w:szCs w:val="22"/>
        </w:rPr>
        <w:t>,-</w:t>
      </w:r>
      <w:r w:rsidRPr="006A67A6">
        <w:rPr>
          <w:rFonts w:ascii="Arial" w:eastAsiaTheme="minorHAnsi" w:hAnsi="Arial" w:cs="Arial"/>
          <w:bCs/>
          <w:sz w:val="22"/>
          <w:szCs w:val="22"/>
        </w:rPr>
        <w:t xml:space="preserve"> Kč. Z této sumy bylo v roce 2014 vyčerpáno celkem 2 582</w:t>
      </w:r>
      <w:r>
        <w:rPr>
          <w:rFonts w:ascii="Arial" w:eastAsiaTheme="minorHAnsi" w:hAnsi="Arial" w:cs="Arial"/>
          <w:bCs/>
          <w:sz w:val="22"/>
          <w:szCs w:val="22"/>
        </w:rPr>
        <w:t> </w:t>
      </w:r>
      <w:r w:rsidRPr="006A67A6">
        <w:rPr>
          <w:rFonts w:ascii="Arial" w:eastAsiaTheme="minorHAnsi" w:hAnsi="Arial" w:cs="Arial"/>
          <w:bCs/>
          <w:sz w:val="22"/>
          <w:szCs w:val="22"/>
        </w:rPr>
        <w:t>748</w:t>
      </w:r>
      <w:r>
        <w:rPr>
          <w:rFonts w:ascii="Arial" w:eastAsiaTheme="minorHAnsi" w:hAnsi="Arial" w:cs="Arial"/>
          <w:bCs/>
          <w:sz w:val="22"/>
          <w:szCs w:val="22"/>
        </w:rPr>
        <w:t>,-</w:t>
      </w:r>
      <w:r w:rsidRPr="006A67A6">
        <w:rPr>
          <w:rFonts w:ascii="Arial" w:eastAsiaTheme="minorHAnsi" w:hAnsi="Arial" w:cs="Arial"/>
          <w:bCs/>
          <w:sz w:val="22"/>
          <w:szCs w:val="22"/>
        </w:rPr>
        <w:t xml:space="preserve"> Kč.</w:t>
      </w:r>
    </w:p>
    <w:p w:rsidR="00D27DAE" w:rsidRPr="006A67A6" w:rsidRDefault="00D27DAE" w:rsidP="001C4200">
      <w:pPr>
        <w:jc w:val="both"/>
        <w:rPr>
          <w:rFonts w:ascii="Arial" w:eastAsiaTheme="minorHAnsi" w:hAnsi="Arial" w:cs="Arial"/>
          <w:bCs/>
          <w:sz w:val="22"/>
          <w:szCs w:val="22"/>
        </w:rPr>
      </w:pPr>
    </w:p>
    <w:p w:rsidR="001C4200" w:rsidRPr="00E55CC1" w:rsidRDefault="001C4200" w:rsidP="001C4200">
      <w:pPr>
        <w:jc w:val="both"/>
        <w:rPr>
          <w:rFonts w:ascii="Arial" w:eastAsiaTheme="minorHAnsi" w:hAnsi="Arial" w:cs="Arial"/>
          <w:bCs/>
          <w:color w:val="000000"/>
          <w:sz w:val="22"/>
          <w:szCs w:val="22"/>
        </w:rPr>
      </w:pPr>
    </w:p>
    <w:p w:rsidR="001C4200" w:rsidRPr="00E571D5" w:rsidRDefault="001C4200" w:rsidP="001C4200">
      <w:pPr>
        <w:pStyle w:val="Odstavecseseznamem"/>
        <w:numPr>
          <w:ilvl w:val="0"/>
          <w:numId w:val="31"/>
        </w:numPr>
        <w:spacing w:after="200"/>
        <w:contextualSpacing/>
        <w:jc w:val="both"/>
        <w:rPr>
          <w:rFonts w:ascii="Arial" w:eastAsiaTheme="minorHAnsi" w:hAnsi="Arial" w:cs="Arial"/>
          <w:b/>
          <w:bCs/>
          <w:color w:val="000000"/>
          <w:u w:val="single"/>
        </w:rPr>
      </w:pPr>
      <w:r w:rsidRPr="00D019D3">
        <w:rPr>
          <w:rFonts w:ascii="Arial" w:eastAsiaTheme="minorHAnsi" w:hAnsi="Arial" w:cs="Arial"/>
          <w:b/>
          <w:bCs/>
          <w:color w:val="000000"/>
          <w:u w:val="single"/>
        </w:rPr>
        <w:t>Příležitost pro mladé do 30 let - CZ.1.04/2.1.00/70.00015</w:t>
      </w:r>
    </w:p>
    <w:p w:rsidR="001C4200" w:rsidRDefault="001C4200" w:rsidP="001C4200">
      <w:pPr>
        <w:rPr>
          <w:rFonts w:ascii="Arial" w:eastAsiaTheme="minorHAnsi" w:hAnsi="Arial" w:cs="Arial"/>
          <w:bCs/>
          <w:color w:val="000000"/>
          <w:sz w:val="22"/>
          <w:szCs w:val="22"/>
          <w:lang w:eastAsia="en-US"/>
        </w:rPr>
      </w:pPr>
      <w:r>
        <w:rPr>
          <w:rFonts w:ascii="Arial" w:eastAsiaTheme="minorHAnsi" w:hAnsi="Arial" w:cs="Arial"/>
          <w:bCs/>
          <w:color w:val="000000"/>
          <w:sz w:val="22"/>
          <w:szCs w:val="22"/>
          <w:lang w:eastAsia="en-US"/>
        </w:rPr>
        <w:t>Zahájení realizace: 1. únor 2012</w:t>
      </w:r>
    </w:p>
    <w:p w:rsidR="001C4200" w:rsidRPr="00AB7A04" w:rsidRDefault="001C4200" w:rsidP="001C4200">
      <w:pPr>
        <w:rPr>
          <w:rFonts w:ascii="Arial" w:eastAsiaTheme="minorHAnsi" w:hAnsi="Arial" w:cs="Arial"/>
          <w:bCs/>
          <w:color w:val="000000"/>
          <w:sz w:val="22"/>
          <w:szCs w:val="22"/>
          <w:lang w:eastAsia="en-US"/>
        </w:rPr>
      </w:pPr>
      <w:r>
        <w:rPr>
          <w:rFonts w:ascii="Arial" w:eastAsiaTheme="minorHAnsi" w:hAnsi="Arial" w:cs="Arial"/>
          <w:bCs/>
          <w:color w:val="000000"/>
          <w:sz w:val="22"/>
          <w:szCs w:val="22"/>
          <w:lang w:eastAsia="en-US"/>
        </w:rPr>
        <w:t>Ukončení realizace: 31. leden 2015</w:t>
      </w:r>
    </w:p>
    <w:p w:rsidR="001C4200" w:rsidRDefault="001C4200" w:rsidP="001C4200">
      <w:pPr>
        <w:rPr>
          <w:rFonts w:ascii="Arial" w:eastAsiaTheme="minorHAnsi" w:hAnsi="Arial" w:cs="Arial"/>
          <w:b/>
          <w:bCs/>
          <w:color w:val="000000"/>
          <w:sz w:val="22"/>
          <w:szCs w:val="22"/>
          <w:lang w:eastAsia="en-US"/>
        </w:rPr>
      </w:pP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t xml:space="preserve">Cílovou skupinou projektu jsou uchazeči o zaměstnání, kteří kromě evidence na některém z kontaktních pracovišť ÚP Krajské pobočky v Brně splňují dvě podmínky: </w:t>
      </w: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t xml:space="preserve">1) nedosáhli 30 a více let věku </w:t>
      </w: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t>2) jsou v evidenci uchazečů o zaměstnání vedeni déle než 5 měsíců.</w:t>
      </w:r>
    </w:p>
    <w:p w:rsidR="001C4200" w:rsidRDefault="001C4200" w:rsidP="001C4200">
      <w:pPr>
        <w:jc w:val="both"/>
        <w:rPr>
          <w:rFonts w:ascii="Arial" w:eastAsiaTheme="minorHAnsi" w:hAnsi="Arial" w:cs="Arial"/>
          <w:color w:val="000000"/>
          <w:sz w:val="22"/>
          <w:szCs w:val="22"/>
          <w:lang w:eastAsia="en-US"/>
        </w:rPr>
      </w:pPr>
    </w:p>
    <w:p w:rsidR="001C4200" w:rsidRPr="00CF1690" w:rsidRDefault="001C4200" w:rsidP="001C4200">
      <w:pPr>
        <w:jc w:val="both"/>
        <w:rPr>
          <w:rFonts w:ascii="Arial" w:eastAsiaTheme="minorHAnsi" w:hAnsi="Arial" w:cs="Arial"/>
          <w:bCs/>
          <w:color w:val="000000"/>
          <w:sz w:val="22"/>
          <w:szCs w:val="22"/>
          <w:u w:val="single"/>
        </w:rPr>
      </w:pPr>
      <w:r w:rsidRPr="00CF1690">
        <w:rPr>
          <w:rFonts w:ascii="Arial" w:eastAsiaTheme="minorHAnsi" w:hAnsi="Arial" w:cs="Arial"/>
          <w:bCs/>
          <w:color w:val="000000"/>
          <w:sz w:val="22"/>
          <w:szCs w:val="22"/>
          <w:u w:val="single"/>
        </w:rPr>
        <w:t>Aktivity projektu (k 31. 12. 2014):</w:t>
      </w: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br/>
        <w:t>VÝBĚR KLIENTŮ PROJEKTU – výběr potenciálních klientů probíhá ve spolupráci s kontaktními pracovišti ÚP v JmK. Do projektu je plánován vstup 700 osob.</w:t>
      </w:r>
      <w:r>
        <w:rPr>
          <w:rFonts w:ascii="Arial" w:eastAsiaTheme="minorHAnsi" w:hAnsi="Arial" w:cs="Arial"/>
          <w:color w:val="000000"/>
          <w:sz w:val="22"/>
          <w:szCs w:val="22"/>
          <w:lang w:eastAsia="en-US"/>
        </w:rPr>
        <w:t xml:space="preserve"> </w:t>
      </w:r>
      <w:r w:rsidRPr="00602913">
        <w:rPr>
          <w:rFonts w:ascii="Arial" w:eastAsiaTheme="minorHAnsi" w:hAnsi="Arial" w:cs="Arial"/>
          <w:color w:val="000000"/>
          <w:sz w:val="22"/>
          <w:szCs w:val="22"/>
          <w:lang w:eastAsia="en-US"/>
        </w:rPr>
        <w:t>Celkem bylo do projektu vybráno 1 000 osob.</w:t>
      </w: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br/>
        <w:t xml:space="preserve">VSTUPNÍ BLOK – tato aktivita je určena pro všechny klienty projektu, tj. pro 700 osob. Klienti absolvují třídenní vstupní blok, ve kterém je kladen důraz zejména </w:t>
      </w:r>
      <w:r>
        <w:rPr>
          <w:rFonts w:ascii="Arial" w:eastAsiaTheme="minorHAnsi" w:hAnsi="Arial" w:cs="Arial"/>
          <w:color w:val="000000"/>
          <w:sz w:val="22"/>
          <w:szCs w:val="22"/>
          <w:lang w:eastAsia="en-US"/>
        </w:rPr>
        <w:t xml:space="preserve">na pracovně-právní poradenství. </w:t>
      </w:r>
      <w:r w:rsidRPr="00602913">
        <w:rPr>
          <w:rFonts w:ascii="Arial" w:eastAsiaTheme="minorHAnsi" w:hAnsi="Arial" w:cs="Arial"/>
          <w:color w:val="000000"/>
          <w:sz w:val="22"/>
          <w:szCs w:val="22"/>
          <w:lang w:eastAsia="en-US"/>
        </w:rPr>
        <w:t>Tuto aktivitu celkem úspěšně absolvovalo 998 klientů projektu.</w:t>
      </w: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br/>
        <w:t>PLÁN ROZVOJE KLIENTA – se všemi účastníky projektu bude odborným poradcem sestaven Plán rozvoje klienta, ve kterém jsou stanoveny cíle klienta v projektu, předpokládaný způsob zapojení klienta na trh práce, výběr vhodného rekvalifikačního kurzu apod.</w:t>
      </w:r>
      <w:r>
        <w:rPr>
          <w:rFonts w:ascii="Arial" w:eastAsiaTheme="minorHAnsi" w:hAnsi="Arial" w:cs="Arial"/>
          <w:color w:val="000000"/>
          <w:sz w:val="22"/>
          <w:szCs w:val="22"/>
          <w:lang w:eastAsia="en-US"/>
        </w:rPr>
        <w:t xml:space="preserve"> </w:t>
      </w:r>
      <w:r w:rsidRPr="00602913">
        <w:rPr>
          <w:rFonts w:ascii="Arial" w:eastAsiaTheme="minorHAnsi" w:hAnsi="Arial" w:cs="Arial"/>
          <w:color w:val="000000"/>
          <w:sz w:val="22"/>
          <w:szCs w:val="22"/>
          <w:lang w:eastAsia="en-US"/>
        </w:rPr>
        <w:t>Celkem bylo sestaveno 995 těchto Plánů rozvoje klienta.</w:t>
      </w: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br/>
        <w:t>PORADENSKÝ MODUL - pro min. 380 osob bude zajištěna bilanční a pracovní diagnostika. Klientovi je poskytnuto komplexní poradenství prostřednictvím individuálních a skupinových konzultací.</w:t>
      </w:r>
      <w:r w:rsidRPr="00602913">
        <w:rPr>
          <w:rFonts w:ascii="Arial" w:eastAsiaTheme="minorHAnsi" w:hAnsi="Arial" w:cs="Arial"/>
          <w:color w:val="000000"/>
          <w:sz w:val="22"/>
          <w:szCs w:val="22"/>
          <w:lang w:eastAsia="en-US"/>
        </w:rPr>
        <w:br/>
        <w:t>Poradenský modul - pracovní diagnostiku celkem úspěšně absolvovalo 243 klientů projektu.</w:t>
      </w: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t>Poradenský modul - bilanční diagnostiku celkem úspěšně absolvovalo 144 klientů projektu.</w:t>
      </w:r>
      <w:r>
        <w:rPr>
          <w:rFonts w:ascii="Arial" w:eastAsiaTheme="minorHAnsi" w:hAnsi="Arial" w:cs="Arial"/>
          <w:color w:val="000000"/>
          <w:sz w:val="22"/>
          <w:szCs w:val="22"/>
          <w:lang w:eastAsia="en-US"/>
        </w:rPr>
        <w:t xml:space="preserve"> </w:t>
      </w:r>
      <w:r w:rsidRPr="00602913">
        <w:rPr>
          <w:rFonts w:ascii="Arial" w:eastAsiaTheme="minorHAnsi" w:hAnsi="Arial" w:cs="Arial"/>
          <w:color w:val="000000"/>
          <w:sz w:val="22"/>
          <w:szCs w:val="22"/>
          <w:lang w:eastAsia="en-US"/>
        </w:rPr>
        <w:t xml:space="preserve">Celkem aktivitu Poradenský modul absolvovalo 387 klientů projektu. </w:t>
      </w: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br/>
        <w:t>INDIVIDUÁLNÍ PORADENSTVÍ – této aktivity mohou využít všichni klienti projektu. Cílem je snaha o maximální podporu klientů a možnost konzultovat s odborným psychologem aktuální situaci klienta a nalézt optimální uplatnění v projektu a na trhu práce. Celková kapacita poskytovaného poradenství v rámci projektu je 2 800 hodin.</w:t>
      </w:r>
      <w:r>
        <w:rPr>
          <w:rFonts w:ascii="Arial" w:eastAsiaTheme="minorHAnsi" w:hAnsi="Arial" w:cs="Arial"/>
          <w:color w:val="000000"/>
          <w:sz w:val="22"/>
          <w:szCs w:val="22"/>
          <w:lang w:eastAsia="en-US"/>
        </w:rPr>
        <w:t xml:space="preserve"> </w:t>
      </w:r>
      <w:r w:rsidRPr="00602913">
        <w:rPr>
          <w:rFonts w:ascii="Arial" w:eastAsiaTheme="minorHAnsi" w:hAnsi="Arial" w:cs="Arial"/>
          <w:color w:val="000000"/>
          <w:sz w:val="22"/>
          <w:szCs w:val="22"/>
          <w:lang w:eastAsia="en-US"/>
        </w:rPr>
        <w:t>Individuální poradenství bylo celkem poskytnuto v rozsahu 2 825,5 hodiny.</w:t>
      </w: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br/>
        <w:t>REKVALIFIKAČNÍ KURZY – v rámci této aktivity bude podpořeno min. 270 klientů a celkem bude vystaveno min. 390 osvědčení o úspěšném absolvování kurzu. Rekvalifikační kurzy jsou zaměřeny na oblast informačních a komunikačních technologií, administrativy, ekonomiky a řemesel.</w:t>
      </w:r>
      <w:r>
        <w:rPr>
          <w:rFonts w:ascii="Arial" w:eastAsiaTheme="minorHAnsi" w:hAnsi="Arial" w:cs="Arial"/>
          <w:color w:val="000000"/>
          <w:sz w:val="22"/>
          <w:szCs w:val="22"/>
          <w:lang w:eastAsia="en-US"/>
        </w:rPr>
        <w:t xml:space="preserve"> </w:t>
      </w:r>
      <w:r w:rsidRPr="00602913">
        <w:rPr>
          <w:rFonts w:ascii="Arial" w:eastAsiaTheme="minorHAnsi" w:hAnsi="Arial" w:cs="Arial"/>
          <w:color w:val="000000"/>
          <w:sz w:val="22"/>
          <w:szCs w:val="22"/>
          <w:lang w:eastAsia="en-US"/>
        </w:rPr>
        <w:t>Celkem bylo vydáno 365 osvědčení úspěšným absolventům kurzů.</w:t>
      </w: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br/>
        <w:t>ZPROSTŘEDKOVÁNÍ ZAMĚSTNÁNÍ – celkem bude zprostředkováno min. 300 pracovních míst, z toho bude 40 pracovních míst nově vytvořeno, 230 bude naplňovat definici společensky účelného pracovního místa vyhrazeného s dotací a 30 pracovních míst bude splňova</w:t>
      </w:r>
      <w:r>
        <w:rPr>
          <w:rFonts w:ascii="Arial" w:eastAsiaTheme="minorHAnsi" w:hAnsi="Arial" w:cs="Arial"/>
          <w:color w:val="000000"/>
          <w:sz w:val="22"/>
          <w:szCs w:val="22"/>
          <w:lang w:eastAsia="en-US"/>
        </w:rPr>
        <w:t xml:space="preserve">t podmínky vhodného zaměstnání. </w:t>
      </w:r>
      <w:r w:rsidRPr="00602913">
        <w:rPr>
          <w:rFonts w:ascii="Arial" w:eastAsiaTheme="minorHAnsi" w:hAnsi="Arial" w:cs="Arial"/>
          <w:color w:val="000000"/>
          <w:sz w:val="22"/>
          <w:szCs w:val="22"/>
          <w:lang w:eastAsia="en-US"/>
        </w:rPr>
        <w:t>Dosud bylo pro klienty zajištěno celkem 41 nově vytvořených pracovních míst, 231 SÚPM  a 130 tzv. vhodných pracovních míst.</w:t>
      </w:r>
    </w:p>
    <w:p w:rsidR="001C4200" w:rsidRPr="00602913" w:rsidRDefault="001C4200" w:rsidP="001C4200">
      <w:pPr>
        <w:jc w:val="both"/>
        <w:rPr>
          <w:rFonts w:ascii="Arial" w:eastAsiaTheme="minorHAnsi" w:hAnsi="Arial" w:cs="Arial"/>
          <w:color w:val="000000"/>
          <w:sz w:val="22"/>
          <w:szCs w:val="22"/>
          <w:lang w:eastAsia="en-US"/>
        </w:rPr>
      </w:pPr>
    </w:p>
    <w:p w:rsidR="001C4200" w:rsidRPr="00602913"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t>Z projektu celkem vystoupilo 998 klientů, z toho 405 do jakéhokoliv zaměstnání (tj. 41 %)</w:t>
      </w:r>
    </w:p>
    <w:p w:rsidR="001C4200" w:rsidRPr="00602913" w:rsidRDefault="001C4200" w:rsidP="001C4200">
      <w:pPr>
        <w:jc w:val="both"/>
        <w:rPr>
          <w:rFonts w:ascii="Arial" w:eastAsiaTheme="minorHAnsi" w:hAnsi="Arial" w:cs="Arial"/>
          <w:color w:val="000000"/>
          <w:sz w:val="22"/>
          <w:szCs w:val="22"/>
          <w:lang w:eastAsia="en-US"/>
        </w:rPr>
      </w:pPr>
    </w:p>
    <w:p w:rsidR="001C4200" w:rsidRPr="00EA614E" w:rsidRDefault="001C4200" w:rsidP="001C4200">
      <w:pPr>
        <w:jc w:val="both"/>
        <w:rPr>
          <w:rFonts w:ascii="Arial" w:eastAsiaTheme="minorHAnsi" w:hAnsi="Arial" w:cs="Arial"/>
          <w:color w:val="000000"/>
          <w:sz w:val="22"/>
          <w:szCs w:val="22"/>
          <w:lang w:eastAsia="en-US"/>
        </w:rPr>
      </w:pPr>
      <w:r w:rsidRPr="00602913">
        <w:rPr>
          <w:rFonts w:ascii="Arial" w:eastAsiaTheme="minorHAnsi" w:hAnsi="Arial" w:cs="Arial"/>
          <w:color w:val="000000"/>
          <w:sz w:val="22"/>
          <w:szCs w:val="22"/>
          <w:lang w:eastAsia="en-US"/>
        </w:rPr>
        <w:t>Celkový rozpočet projektu činí 42 386 440,-  Kč, z nichž bylo v roce 2014 vy</w:t>
      </w:r>
      <w:r>
        <w:rPr>
          <w:rFonts w:ascii="Arial" w:eastAsiaTheme="minorHAnsi" w:hAnsi="Arial" w:cs="Arial"/>
          <w:color w:val="000000"/>
          <w:sz w:val="22"/>
          <w:szCs w:val="22"/>
          <w:lang w:eastAsia="en-US"/>
        </w:rPr>
        <w:t>čerpáno celkem 28 849 258,82 Kč.</w:t>
      </w:r>
    </w:p>
    <w:p w:rsidR="001C4200" w:rsidRDefault="001C4200" w:rsidP="001C4200">
      <w:pPr>
        <w:jc w:val="both"/>
        <w:rPr>
          <w:rFonts w:ascii="Arial" w:eastAsiaTheme="minorHAnsi" w:hAnsi="Arial" w:cs="Arial"/>
          <w:color w:val="000000"/>
          <w:sz w:val="22"/>
          <w:szCs w:val="22"/>
          <w:lang w:eastAsia="en-US"/>
        </w:rPr>
      </w:pPr>
    </w:p>
    <w:p w:rsidR="00D27DAE" w:rsidRDefault="00D27DAE" w:rsidP="001C4200">
      <w:pPr>
        <w:jc w:val="both"/>
        <w:rPr>
          <w:rFonts w:ascii="Arial" w:eastAsiaTheme="minorHAnsi" w:hAnsi="Arial" w:cs="Arial"/>
          <w:color w:val="000000"/>
          <w:sz w:val="22"/>
          <w:szCs w:val="22"/>
          <w:lang w:eastAsia="en-US"/>
        </w:rPr>
      </w:pPr>
    </w:p>
    <w:p w:rsidR="00D27DAE" w:rsidRDefault="00D27DAE" w:rsidP="001C4200">
      <w:pPr>
        <w:jc w:val="both"/>
        <w:rPr>
          <w:rFonts w:ascii="Arial" w:eastAsiaTheme="minorHAnsi" w:hAnsi="Arial" w:cs="Arial"/>
          <w:color w:val="000000"/>
          <w:sz w:val="22"/>
          <w:szCs w:val="22"/>
          <w:lang w:eastAsia="en-US"/>
        </w:rPr>
      </w:pPr>
    </w:p>
    <w:p w:rsidR="001C4200" w:rsidRPr="00E571D5" w:rsidRDefault="001C4200" w:rsidP="001C4200">
      <w:pPr>
        <w:pStyle w:val="Odstavecseseznamem"/>
        <w:numPr>
          <w:ilvl w:val="0"/>
          <w:numId w:val="31"/>
        </w:numPr>
        <w:tabs>
          <w:tab w:val="left" w:pos="426"/>
        </w:tabs>
        <w:spacing w:after="200"/>
        <w:contextualSpacing/>
        <w:jc w:val="both"/>
        <w:rPr>
          <w:rFonts w:ascii="Arial" w:hAnsi="Arial" w:cs="Arial"/>
          <w:b/>
          <w:u w:val="single"/>
        </w:rPr>
      </w:pPr>
      <w:r w:rsidRPr="008334D7">
        <w:rPr>
          <w:rFonts w:ascii="Arial" w:hAnsi="Arial" w:cs="Arial"/>
          <w:b/>
          <w:u w:val="single"/>
        </w:rPr>
        <w:t>Po roce do práce v Jihomoravském kraji – CZ.1.04/2.1.00/70.00029</w:t>
      </w:r>
    </w:p>
    <w:p w:rsidR="001C4200" w:rsidRPr="00EA614E" w:rsidRDefault="001C4200" w:rsidP="001C4200">
      <w:pPr>
        <w:jc w:val="both"/>
        <w:rPr>
          <w:rFonts w:ascii="Arial" w:hAnsi="Arial" w:cs="Arial"/>
          <w:sz w:val="22"/>
          <w:szCs w:val="22"/>
        </w:rPr>
      </w:pPr>
      <w:r w:rsidRPr="00EA614E">
        <w:rPr>
          <w:rFonts w:ascii="Arial" w:hAnsi="Arial" w:cs="Arial"/>
          <w:sz w:val="22"/>
          <w:szCs w:val="22"/>
        </w:rPr>
        <w:t>Zahájení realizace:</w:t>
      </w:r>
      <w:r w:rsidRPr="00EA614E">
        <w:rPr>
          <w:rFonts w:ascii="Arial" w:hAnsi="Arial" w:cs="Arial"/>
          <w:sz w:val="22"/>
          <w:szCs w:val="22"/>
        </w:rPr>
        <w:tab/>
        <w:t>1. srpna 2012</w:t>
      </w:r>
    </w:p>
    <w:p w:rsidR="001C4200" w:rsidRDefault="001C4200" w:rsidP="001C4200">
      <w:pPr>
        <w:jc w:val="both"/>
        <w:rPr>
          <w:rFonts w:ascii="Arial" w:hAnsi="Arial" w:cs="Arial"/>
          <w:sz w:val="22"/>
          <w:szCs w:val="22"/>
        </w:rPr>
      </w:pPr>
      <w:r w:rsidRPr="00EA614E">
        <w:rPr>
          <w:rFonts w:ascii="Arial" w:hAnsi="Arial" w:cs="Arial"/>
          <w:sz w:val="22"/>
          <w:szCs w:val="22"/>
        </w:rPr>
        <w:t>Ukončení realizace:</w:t>
      </w:r>
      <w:r w:rsidRPr="00EA614E">
        <w:rPr>
          <w:rFonts w:ascii="Arial" w:hAnsi="Arial" w:cs="Arial"/>
          <w:sz w:val="22"/>
          <w:szCs w:val="22"/>
        </w:rPr>
        <w:tab/>
        <w:t>31. července 2015</w:t>
      </w:r>
    </w:p>
    <w:p w:rsidR="001C4200" w:rsidRPr="00EA614E" w:rsidRDefault="001C4200" w:rsidP="001C4200">
      <w:pPr>
        <w:jc w:val="both"/>
        <w:rPr>
          <w:rFonts w:ascii="Arial" w:hAnsi="Arial" w:cs="Arial"/>
          <w:sz w:val="22"/>
          <w:szCs w:val="22"/>
        </w:rPr>
      </w:pPr>
    </w:p>
    <w:p w:rsidR="001C4200" w:rsidRPr="00EA614E" w:rsidRDefault="001C4200" w:rsidP="001C4200">
      <w:pPr>
        <w:jc w:val="both"/>
        <w:rPr>
          <w:rFonts w:ascii="Arial" w:hAnsi="Arial" w:cs="Arial"/>
          <w:sz w:val="22"/>
          <w:szCs w:val="22"/>
        </w:rPr>
      </w:pPr>
      <w:r w:rsidRPr="00EA614E">
        <w:rPr>
          <w:rFonts w:ascii="Arial" w:hAnsi="Arial" w:cs="Arial"/>
          <w:sz w:val="22"/>
          <w:szCs w:val="22"/>
        </w:rPr>
        <w:t>Cílová skupina projektu:</w:t>
      </w:r>
    </w:p>
    <w:p w:rsidR="001C4200" w:rsidRPr="00EA614E" w:rsidRDefault="001C4200" w:rsidP="001C4200">
      <w:pPr>
        <w:numPr>
          <w:ilvl w:val="0"/>
          <w:numId w:val="13"/>
        </w:numPr>
        <w:suppressAutoHyphens/>
        <w:spacing w:line="240" w:lineRule="auto"/>
        <w:jc w:val="both"/>
        <w:rPr>
          <w:rFonts w:ascii="Arial" w:hAnsi="Arial" w:cs="Arial"/>
          <w:sz w:val="22"/>
          <w:szCs w:val="22"/>
        </w:rPr>
      </w:pPr>
      <w:r w:rsidRPr="00EA614E">
        <w:rPr>
          <w:rFonts w:ascii="Arial" w:hAnsi="Arial" w:cs="Arial"/>
          <w:sz w:val="22"/>
          <w:szCs w:val="22"/>
        </w:rPr>
        <w:t>evidence na kterémkoliv kontaktním pracovišti krajské pobočky v Brně,</w:t>
      </w:r>
    </w:p>
    <w:p w:rsidR="001C4200" w:rsidRDefault="001C4200" w:rsidP="001C4200">
      <w:pPr>
        <w:numPr>
          <w:ilvl w:val="0"/>
          <w:numId w:val="13"/>
        </w:numPr>
        <w:suppressAutoHyphens/>
        <w:spacing w:line="240" w:lineRule="auto"/>
        <w:jc w:val="both"/>
        <w:rPr>
          <w:rFonts w:ascii="Arial" w:hAnsi="Arial" w:cs="Arial"/>
          <w:sz w:val="22"/>
          <w:szCs w:val="22"/>
        </w:rPr>
      </w:pPr>
      <w:r w:rsidRPr="00EA614E">
        <w:rPr>
          <w:rFonts w:ascii="Arial" w:hAnsi="Arial" w:cs="Arial"/>
          <w:sz w:val="22"/>
          <w:szCs w:val="22"/>
        </w:rPr>
        <w:t>dlouhodobá evidence = evidence delší než 12 měsíců.</w:t>
      </w:r>
    </w:p>
    <w:p w:rsidR="001C4200" w:rsidRDefault="001C4200" w:rsidP="001C4200">
      <w:pPr>
        <w:ind w:left="360"/>
        <w:jc w:val="both"/>
        <w:rPr>
          <w:rFonts w:ascii="Arial" w:hAnsi="Arial" w:cs="Arial"/>
          <w:sz w:val="22"/>
          <w:szCs w:val="22"/>
        </w:rPr>
      </w:pPr>
    </w:p>
    <w:p w:rsidR="001C4200" w:rsidRPr="00CF1690" w:rsidRDefault="001C4200" w:rsidP="001C4200">
      <w:pPr>
        <w:jc w:val="both"/>
        <w:rPr>
          <w:rFonts w:ascii="Arial" w:eastAsiaTheme="minorHAnsi" w:hAnsi="Arial" w:cs="Arial"/>
          <w:bCs/>
          <w:color w:val="000000"/>
          <w:sz w:val="22"/>
          <w:szCs w:val="22"/>
          <w:u w:val="single"/>
        </w:rPr>
      </w:pPr>
      <w:r w:rsidRPr="00CF1690">
        <w:rPr>
          <w:rFonts w:ascii="Arial" w:eastAsiaTheme="minorHAnsi" w:hAnsi="Arial" w:cs="Arial"/>
          <w:bCs/>
          <w:color w:val="000000"/>
          <w:sz w:val="22"/>
          <w:szCs w:val="22"/>
          <w:u w:val="single"/>
        </w:rPr>
        <w:t>Aktivity projektu (k 31. 12. 2014):</w:t>
      </w:r>
    </w:p>
    <w:p w:rsidR="001C4200" w:rsidRDefault="001C4200" w:rsidP="001C4200">
      <w:pPr>
        <w:jc w:val="both"/>
        <w:rPr>
          <w:rFonts w:ascii="Arial" w:hAnsi="Arial" w:cs="Arial"/>
          <w:color w:val="000000"/>
          <w:sz w:val="22"/>
          <w:szCs w:val="22"/>
        </w:rPr>
      </w:pPr>
      <w:r w:rsidRPr="00EA614E">
        <w:rPr>
          <w:rFonts w:ascii="Arial" w:hAnsi="Arial" w:cs="Arial"/>
          <w:sz w:val="22"/>
          <w:szCs w:val="22"/>
        </w:rPr>
        <w:br/>
      </w:r>
      <w:r>
        <w:rPr>
          <w:rFonts w:ascii="Arial" w:hAnsi="Arial" w:cs="Arial"/>
          <w:sz w:val="22"/>
          <w:szCs w:val="22"/>
        </w:rPr>
        <w:t xml:space="preserve">VÝBĚR KLIENTŮ PROJEKTU – je prováděn ve spolupráci s jednotlivými úřady práce v kraji. Zařazení do projektu je podmíněno </w:t>
      </w:r>
      <w:r>
        <w:rPr>
          <w:rFonts w:ascii="Arial" w:hAnsi="Arial" w:cs="Arial"/>
          <w:color w:val="000000"/>
          <w:sz w:val="22"/>
          <w:szCs w:val="22"/>
        </w:rPr>
        <w:t>evidencí na kterémkoliv kontaktním pracovišti Úřadu práce ČR v JmK. Celkem do projektu lze zařadit min. 550 klientů. Dosud bylo do projektu vybráno již 715 osob.</w:t>
      </w:r>
    </w:p>
    <w:p w:rsidR="001C4200" w:rsidRDefault="001C4200" w:rsidP="001C4200">
      <w:pPr>
        <w:jc w:val="both"/>
        <w:rPr>
          <w:rFonts w:ascii="Arial" w:hAnsi="Arial" w:cs="Arial"/>
          <w:color w:val="000000"/>
          <w:sz w:val="22"/>
          <w:szCs w:val="22"/>
        </w:rPr>
      </w:pPr>
      <w:r>
        <w:rPr>
          <w:rFonts w:ascii="Arial" w:hAnsi="Arial" w:cs="Arial"/>
          <w:color w:val="000000"/>
          <w:sz w:val="22"/>
          <w:szCs w:val="22"/>
        </w:rPr>
        <w:t xml:space="preserve"> </w:t>
      </w:r>
      <w:r>
        <w:rPr>
          <w:rFonts w:ascii="Arial" w:hAnsi="Arial" w:cs="Arial"/>
          <w:color w:val="000000"/>
          <w:sz w:val="22"/>
          <w:szCs w:val="22"/>
        </w:rPr>
        <w:br/>
        <w:t xml:space="preserve">VSTUPNÍ BLOK </w:t>
      </w:r>
      <w:r>
        <w:rPr>
          <w:rFonts w:ascii="Arial" w:hAnsi="Arial" w:cs="Arial"/>
          <w:sz w:val="22"/>
          <w:szCs w:val="22"/>
        </w:rPr>
        <w:t>–</w:t>
      </w:r>
      <w:r>
        <w:rPr>
          <w:rFonts w:ascii="Arial" w:hAnsi="Arial" w:cs="Arial"/>
          <w:color w:val="000000"/>
          <w:sz w:val="22"/>
          <w:szCs w:val="22"/>
        </w:rPr>
        <w:t xml:space="preserve"> 2 denní blok informací o projektu a jeho poradenských, motivačních a vzdělávacích aktivitách a legislativě z pracovní oblasti povinný pro všechny klienty projektu. Dohodu o účasti v projektu podepsalo již 625 osob z 550 plánovaných, z toho v roce 2014 podepsalo Dohodu o účasti v projektu 336 osob.</w:t>
      </w:r>
    </w:p>
    <w:p w:rsidR="001C4200" w:rsidRDefault="001C4200" w:rsidP="001C4200">
      <w:pPr>
        <w:jc w:val="both"/>
        <w:rPr>
          <w:rFonts w:ascii="Arial" w:hAnsi="Arial" w:cs="Arial"/>
          <w:color w:val="000000"/>
          <w:sz w:val="22"/>
          <w:szCs w:val="22"/>
        </w:rPr>
      </w:pPr>
    </w:p>
    <w:p w:rsidR="001C4200" w:rsidRDefault="001C4200" w:rsidP="001C4200">
      <w:pPr>
        <w:jc w:val="both"/>
        <w:rPr>
          <w:rFonts w:ascii="Arial" w:hAnsi="Arial" w:cs="Arial"/>
          <w:color w:val="000000"/>
          <w:sz w:val="22"/>
          <w:szCs w:val="22"/>
        </w:rPr>
      </w:pPr>
      <w:r>
        <w:rPr>
          <w:rFonts w:ascii="Arial" w:hAnsi="Arial" w:cs="Arial"/>
          <w:color w:val="000000"/>
          <w:sz w:val="22"/>
          <w:szCs w:val="22"/>
        </w:rPr>
        <w:t xml:space="preserve">MOTIVAČNÍ KURZ STANDARD – obsahem aktivity je rozvoj sebeprezentace, rozvoj komunikačních a sociálních dovedností, všeobecný přehled v oblasti ekonomiky, práva a zaměstnanosti. Součástí je sestavení a vyhodnocení Plánu rozvoje klienta – klientovi je dle individuálního pohovoru doporučeno zařazení do jedné z forem poradenství (Job club Speciál, pracovní nebo bilanční diagnostika, Program finanční gramotnosti). Aktivita probíhá 5 dnů po 5 hodinách denně a je určena pro min. 550 klientů. Program absolvovalo již 585 osob. </w:t>
      </w:r>
      <w:r>
        <w:rPr>
          <w:rFonts w:ascii="Arial" w:hAnsi="Arial" w:cs="Arial"/>
          <w:color w:val="000000"/>
          <w:sz w:val="22"/>
          <w:szCs w:val="22"/>
        </w:rPr>
        <w:br/>
      </w:r>
      <w:r>
        <w:rPr>
          <w:rFonts w:ascii="Arial" w:hAnsi="Arial" w:cs="Arial"/>
          <w:color w:val="000000"/>
          <w:sz w:val="22"/>
          <w:szCs w:val="22"/>
        </w:rPr>
        <w:br/>
        <w:t>PRACOVNÍ A BILANČNÍ DIAGNOSTIKA – pracovní nebo bilanční diagnostika je určena pro min. 325 klientů. Dosud bylo vyhotoveno 147 zpráv z pracovní diagnostiky a 180 z bilanční diagnostiky.</w:t>
      </w:r>
      <w:r>
        <w:rPr>
          <w:rFonts w:ascii="Arial" w:hAnsi="Arial" w:cs="Arial"/>
          <w:color w:val="000000"/>
          <w:sz w:val="22"/>
          <w:szCs w:val="22"/>
        </w:rPr>
        <w:br/>
      </w:r>
      <w:r>
        <w:rPr>
          <w:rFonts w:ascii="Arial" w:hAnsi="Arial" w:cs="Arial"/>
          <w:color w:val="000000"/>
          <w:sz w:val="22"/>
          <w:szCs w:val="22"/>
        </w:rPr>
        <w:br/>
        <w:t>PROGRAM FINANČNÍ GRAMOTNOSTI – obsahem aktivity jsou základy terminologie finanční gramotnosti, sestavení osobního a rodinného rozpočtu, úvěry, půjčky exekuce. Program trvá 4 dny po 5 hodinách denně a absolvovalo jej 218 klientů.</w:t>
      </w:r>
    </w:p>
    <w:p w:rsidR="001C4200" w:rsidRDefault="001C4200" w:rsidP="001C4200">
      <w:pPr>
        <w:jc w:val="both"/>
        <w:rPr>
          <w:rFonts w:ascii="Arial" w:hAnsi="Arial" w:cs="Arial"/>
          <w:color w:val="000000"/>
          <w:sz w:val="22"/>
          <w:szCs w:val="22"/>
        </w:rPr>
      </w:pPr>
    </w:p>
    <w:p w:rsidR="001C4200" w:rsidRDefault="001C4200" w:rsidP="001C4200">
      <w:pPr>
        <w:jc w:val="both"/>
        <w:rPr>
          <w:rFonts w:ascii="Arial" w:hAnsi="Arial" w:cs="Arial"/>
          <w:color w:val="000000"/>
          <w:sz w:val="22"/>
          <w:szCs w:val="22"/>
        </w:rPr>
      </w:pPr>
      <w:r>
        <w:rPr>
          <w:rFonts w:ascii="Arial" w:hAnsi="Arial" w:cs="Arial"/>
          <w:color w:val="000000"/>
          <w:sz w:val="22"/>
          <w:szCs w:val="22"/>
        </w:rPr>
        <w:t>JOB CLUB SPECÍÁL – je „nadstavbou“ Motivačního kurzu Standard a je výrazně zaměřen na budoucí zaměstnání účastníků a trénink konkrétních situací. Aktivita trvá 4 dny po 4 hodinách denně a absolvovalo jej 190 osob.</w:t>
      </w:r>
    </w:p>
    <w:p w:rsidR="001C4200" w:rsidRDefault="001C4200" w:rsidP="001C4200">
      <w:pPr>
        <w:jc w:val="both"/>
        <w:rPr>
          <w:rFonts w:ascii="Arial" w:hAnsi="Arial" w:cs="Arial"/>
          <w:color w:val="000000"/>
          <w:sz w:val="22"/>
          <w:szCs w:val="22"/>
        </w:rPr>
      </w:pPr>
    </w:p>
    <w:p w:rsidR="001C4200" w:rsidRDefault="001C4200" w:rsidP="001C4200">
      <w:pPr>
        <w:jc w:val="both"/>
        <w:rPr>
          <w:rFonts w:ascii="Arial" w:hAnsi="Arial" w:cs="Arial"/>
          <w:color w:val="000000"/>
          <w:sz w:val="22"/>
          <w:szCs w:val="22"/>
        </w:rPr>
      </w:pPr>
      <w:r>
        <w:rPr>
          <w:rFonts w:ascii="Arial" w:hAnsi="Arial" w:cs="Arial"/>
          <w:color w:val="000000"/>
          <w:sz w:val="22"/>
          <w:szCs w:val="22"/>
        </w:rPr>
        <w:t xml:space="preserve">INDIVIDUÁLNÍ PORADENSTVÍ </w:t>
      </w:r>
      <w:r>
        <w:rPr>
          <w:rFonts w:ascii="Arial" w:hAnsi="Arial" w:cs="Arial"/>
          <w:sz w:val="22"/>
          <w:szCs w:val="22"/>
        </w:rPr>
        <w:t>–</w:t>
      </w:r>
      <w:r>
        <w:rPr>
          <w:rFonts w:ascii="Arial" w:hAnsi="Arial" w:cs="Arial"/>
          <w:color w:val="000000"/>
          <w:sz w:val="22"/>
          <w:szCs w:val="22"/>
        </w:rPr>
        <w:t xml:space="preserve"> Všichni klienti projektu mohou dle vlastního uvážení požádat o individuální poradenství specialisty dodavatele za účelem zlepšení sebepoznání. Celková kapacita poskytovaných poradenských hodin v tomto projektu je 1100 hodin. Poradenství dosud využilo 515 osob v celkovém počtu 1076 hodin.</w:t>
      </w:r>
      <w:r>
        <w:rPr>
          <w:rFonts w:ascii="Arial" w:hAnsi="Arial" w:cs="Arial"/>
          <w:color w:val="000000"/>
          <w:sz w:val="22"/>
          <w:szCs w:val="22"/>
        </w:rPr>
        <w:br/>
      </w:r>
      <w:r>
        <w:rPr>
          <w:rFonts w:ascii="Arial" w:hAnsi="Arial" w:cs="Arial"/>
          <w:color w:val="000000"/>
          <w:sz w:val="22"/>
          <w:szCs w:val="22"/>
        </w:rPr>
        <w:br/>
        <w:t>REKVALIFIKAČNÍ KURZY – jsou určeny pro min. 230 klientů projektu. Účast klientů v rekvalifikačních kurzech vychází z jejich sestaveného Plánu rozvoje klienta. Celkem je plánováno zajištění 280 rekvalifikací a vydání min. stejného počtu osvědčení úspěšným klientům. Typy RK jsou uvedeny na webových stránkách projektu. Dosud bylo vydáno 188 osvědčení úspěšným absolventům kurzů.</w:t>
      </w:r>
    </w:p>
    <w:p w:rsidR="001C4200" w:rsidRDefault="001C4200" w:rsidP="001C4200">
      <w:pPr>
        <w:jc w:val="both"/>
        <w:rPr>
          <w:rFonts w:ascii="Arial" w:hAnsi="Arial" w:cs="Arial"/>
          <w:color w:val="FF0000"/>
          <w:sz w:val="22"/>
          <w:szCs w:val="22"/>
        </w:rPr>
      </w:pPr>
      <w:r>
        <w:rPr>
          <w:rFonts w:ascii="Arial" w:hAnsi="Arial" w:cs="Arial"/>
          <w:color w:val="000000"/>
          <w:sz w:val="22"/>
          <w:szCs w:val="22"/>
        </w:rPr>
        <w:br/>
        <w:t xml:space="preserve">ZPROSTŘEDKOVÁNÍ ZAMĚSTNÁNÍ – Odborní pracovníci dodavatele jsou nápomocni klientům projektu při hledání zaměstnání vyhledáváním vhodných potenciálních zaměstnavatelů. Celkem bude pro klienty projektu vytvořeno 20 nových pracovních míst, 45 SÚPM a min. 45 vhodných zaměstnání (pracovní smlouva na dobu delší než 3 měsíce, min. 50 % pracovní doby). </w:t>
      </w:r>
      <w:r>
        <w:rPr>
          <w:rFonts w:ascii="Arial" w:hAnsi="Arial" w:cs="Arial"/>
          <w:color w:val="000000"/>
          <w:sz w:val="22"/>
          <w:szCs w:val="22"/>
        </w:rPr>
        <w:br/>
      </w:r>
      <w:r>
        <w:rPr>
          <w:rFonts w:ascii="Arial" w:hAnsi="Arial" w:cs="Arial"/>
          <w:color w:val="000000"/>
          <w:sz w:val="22"/>
          <w:szCs w:val="22"/>
        </w:rPr>
        <w:br/>
        <w:t>Z projektu dosud vystoupilo 433 klientů, z toho 93 z důvodu nástupu do jakéhokoliv zaměstnání, tj. 21 %.</w:t>
      </w:r>
    </w:p>
    <w:p w:rsidR="001C4200" w:rsidRDefault="001C4200" w:rsidP="001C4200">
      <w:pPr>
        <w:jc w:val="both"/>
        <w:rPr>
          <w:rFonts w:ascii="Arial" w:hAnsi="Arial" w:cs="Arial"/>
          <w:color w:val="FF0000"/>
          <w:sz w:val="22"/>
          <w:szCs w:val="22"/>
        </w:rPr>
      </w:pPr>
    </w:p>
    <w:p w:rsidR="001C4200" w:rsidRPr="000944E2" w:rsidRDefault="001C4200" w:rsidP="001C4200">
      <w:pPr>
        <w:pStyle w:val="Zprva3"/>
        <w:rPr>
          <w:rFonts w:ascii="Arial" w:hAnsi="Arial" w:cs="Arial"/>
          <w:b w:val="0"/>
          <w:color w:val="auto"/>
          <w:sz w:val="22"/>
          <w:szCs w:val="22"/>
        </w:rPr>
      </w:pPr>
      <w:r>
        <w:rPr>
          <w:rFonts w:ascii="Arial" w:hAnsi="Arial" w:cs="Arial"/>
          <w:b w:val="0"/>
          <w:color w:val="auto"/>
          <w:sz w:val="22"/>
          <w:szCs w:val="22"/>
        </w:rPr>
        <w:t>Celkový rozpočet projektu dosahuje částky 25.293.290,- Kč, z nichž bylo v roce 2014 vyčerpáno 12.814.761,97 Kč.</w:t>
      </w:r>
    </w:p>
    <w:p w:rsidR="001C4200" w:rsidRPr="00EA614E" w:rsidRDefault="001C4200" w:rsidP="001C4200">
      <w:pPr>
        <w:pStyle w:val="Zprva3"/>
        <w:rPr>
          <w:rFonts w:ascii="Arial" w:hAnsi="Arial" w:cs="Arial"/>
          <w:sz w:val="22"/>
          <w:szCs w:val="22"/>
        </w:rPr>
      </w:pPr>
    </w:p>
    <w:p w:rsidR="001C4200" w:rsidRPr="00EA614E" w:rsidRDefault="001C4200" w:rsidP="001C4200">
      <w:pPr>
        <w:pStyle w:val="Zprva3"/>
        <w:rPr>
          <w:rFonts w:ascii="Arial" w:hAnsi="Arial" w:cs="Arial"/>
          <w:sz w:val="22"/>
          <w:szCs w:val="22"/>
        </w:rPr>
      </w:pPr>
    </w:p>
    <w:p w:rsidR="001C4200" w:rsidRPr="00E571D5" w:rsidRDefault="001C4200" w:rsidP="001C4200">
      <w:pPr>
        <w:pStyle w:val="Odstavecseseznamem"/>
        <w:numPr>
          <w:ilvl w:val="0"/>
          <w:numId w:val="31"/>
        </w:numPr>
        <w:tabs>
          <w:tab w:val="left" w:pos="426"/>
        </w:tabs>
        <w:spacing w:after="200"/>
        <w:contextualSpacing/>
        <w:jc w:val="both"/>
        <w:rPr>
          <w:rFonts w:ascii="Arial" w:hAnsi="Arial" w:cs="Arial"/>
          <w:b/>
          <w:u w:val="single"/>
        </w:rPr>
      </w:pPr>
      <w:r w:rsidRPr="008A3EB7">
        <w:rPr>
          <w:rFonts w:ascii="Arial" w:hAnsi="Arial" w:cs="Arial"/>
          <w:b/>
          <w:u w:val="single"/>
        </w:rPr>
        <w:t>45 plus v Jihomoravském kraji – CZ.1.04/2.1.00/70.00028</w:t>
      </w:r>
    </w:p>
    <w:p w:rsidR="001C4200" w:rsidRPr="00EA614E" w:rsidRDefault="001C4200" w:rsidP="001C4200">
      <w:pPr>
        <w:jc w:val="both"/>
        <w:rPr>
          <w:rFonts w:ascii="Arial" w:hAnsi="Arial" w:cs="Arial"/>
          <w:sz w:val="22"/>
          <w:szCs w:val="22"/>
        </w:rPr>
      </w:pPr>
      <w:r w:rsidRPr="00EA614E">
        <w:rPr>
          <w:rFonts w:ascii="Arial" w:hAnsi="Arial" w:cs="Arial"/>
          <w:sz w:val="22"/>
          <w:szCs w:val="22"/>
        </w:rPr>
        <w:t>Zahájení realizace:</w:t>
      </w:r>
      <w:r w:rsidRPr="00EA614E">
        <w:rPr>
          <w:rFonts w:ascii="Arial" w:hAnsi="Arial" w:cs="Arial"/>
          <w:sz w:val="22"/>
          <w:szCs w:val="22"/>
        </w:rPr>
        <w:tab/>
        <w:t>1. září 2012</w:t>
      </w:r>
    </w:p>
    <w:p w:rsidR="001C4200" w:rsidRPr="00EA614E" w:rsidRDefault="001C4200" w:rsidP="001C4200">
      <w:pPr>
        <w:jc w:val="both"/>
        <w:rPr>
          <w:rFonts w:ascii="Arial" w:hAnsi="Arial" w:cs="Arial"/>
          <w:sz w:val="22"/>
          <w:szCs w:val="22"/>
        </w:rPr>
      </w:pPr>
      <w:r w:rsidRPr="00EA614E">
        <w:rPr>
          <w:rFonts w:ascii="Arial" w:hAnsi="Arial" w:cs="Arial"/>
          <w:sz w:val="22"/>
          <w:szCs w:val="22"/>
        </w:rPr>
        <w:t>Ukončení realizace:</w:t>
      </w:r>
      <w:r w:rsidRPr="00EA614E">
        <w:rPr>
          <w:rFonts w:ascii="Arial" w:hAnsi="Arial" w:cs="Arial"/>
          <w:sz w:val="22"/>
          <w:szCs w:val="22"/>
        </w:rPr>
        <w:tab/>
        <w:t>31. srpna 2015</w:t>
      </w:r>
    </w:p>
    <w:p w:rsidR="001C4200" w:rsidRPr="00EA614E" w:rsidRDefault="001C4200" w:rsidP="001C4200">
      <w:pPr>
        <w:jc w:val="both"/>
        <w:rPr>
          <w:rFonts w:ascii="Arial" w:hAnsi="Arial" w:cs="Arial"/>
          <w:sz w:val="22"/>
          <w:szCs w:val="22"/>
        </w:rPr>
      </w:pPr>
    </w:p>
    <w:p w:rsidR="001C4200" w:rsidRPr="00EA614E" w:rsidRDefault="001C4200" w:rsidP="001C4200">
      <w:pPr>
        <w:jc w:val="both"/>
        <w:rPr>
          <w:rFonts w:ascii="Arial" w:hAnsi="Arial" w:cs="Arial"/>
          <w:sz w:val="22"/>
          <w:szCs w:val="22"/>
        </w:rPr>
      </w:pPr>
      <w:r w:rsidRPr="00EA614E">
        <w:rPr>
          <w:rFonts w:ascii="Arial" w:hAnsi="Arial" w:cs="Arial"/>
          <w:sz w:val="22"/>
          <w:szCs w:val="22"/>
        </w:rPr>
        <w:t>Cílová skupina:</w:t>
      </w:r>
    </w:p>
    <w:p w:rsidR="001C4200" w:rsidRPr="00EA614E" w:rsidRDefault="001C4200" w:rsidP="001C4200">
      <w:pPr>
        <w:numPr>
          <w:ilvl w:val="0"/>
          <w:numId w:val="14"/>
        </w:numPr>
        <w:suppressAutoHyphens/>
        <w:spacing w:line="240" w:lineRule="auto"/>
        <w:contextualSpacing/>
        <w:jc w:val="both"/>
        <w:rPr>
          <w:rFonts w:ascii="Arial" w:hAnsi="Arial" w:cs="Arial"/>
          <w:sz w:val="22"/>
          <w:szCs w:val="22"/>
        </w:rPr>
      </w:pPr>
      <w:r w:rsidRPr="00EA614E">
        <w:rPr>
          <w:rFonts w:ascii="Arial" w:hAnsi="Arial" w:cs="Arial"/>
          <w:sz w:val="22"/>
          <w:szCs w:val="22"/>
        </w:rPr>
        <w:t xml:space="preserve">osoby evidované déle než 5 měsíců jako uchazeči o zaměstnání na kterémkoliv kontaktním pracovišti krajské pobočky v Brně </w:t>
      </w:r>
    </w:p>
    <w:p w:rsidR="001C4200" w:rsidRPr="00AE5B9A" w:rsidRDefault="001C4200" w:rsidP="001C4200">
      <w:pPr>
        <w:numPr>
          <w:ilvl w:val="0"/>
          <w:numId w:val="14"/>
        </w:numPr>
        <w:suppressAutoHyphens/>
        <w:spacing w:line="240" w:lineRule="auto"/>
        <w:contextualSpacing/>
        <w:jc w:val="both"/>
        <w:rPr>
          <w:rFonts w:ascii="Arial" w:hAnsi="Arial" w:cs="Arial"/>
          <w:sz w:val="22"/>
          <w:szCs w:val="22"/>
        </w:rPr>
      </w:pPr>
      <w:r w:rsidRPr="00EA614E">
        <w:rPr>
          <w:rFonts w:ascii="Arial" w:hAnsi="Arial" w:cs="Arial"/>
          <w:sz w:val="22"/>
          <w:szCs w:val="22"/>
        </w:rPr>
        <w:t>nejpozději v roce zařazení do projektu dosáhli 45 let věku.</w:t>
      </w:r>
    </w:p>
    <w:p w:rsidR="001C4200" w:rsidRDefault="001C4200" w:rsidP="001C4200">
      <w:pPr>
        <w:jc w:val="both"/>
        <w:rPr>
          <w:rFonts w:ascii="Arial" w:hAnsi="Arial" w:cs="Arial"/>
          <w:sz w:val="22"/>
          <w:szCs w:val="22"/>
        </w:rPr>
      </w:pPr>
    </w:p>
    <w:p w:rsidR="001C4200" w:rsidRPr="00CF1690" w:rsidRDefault="001C4200" w:rsidP="001C4200">
      <w:pPr>
        <w:jc w:val="both"/>
        <w:rPr>
          <w:rFonts w:ascii="Arial" w:eastAsiaTheme="minorHAnsi" w:hAnsi="Arial" w:cs="Arial"/>
          <w:bCs/>
          <w:color w:val="000000"/>
          <w:sz w:val="22"/>
          <w:szCs w:val="22"/>
          <w:u w:val="single"/>
        </w:rPr>
      </w:pPr>
      <w:r w:rsidRPr="00CF1690">
        <w:rPr>
          <w:rFonts w:ascii="Arial" w:eastAsiaTheme="minorHAnsi" w:hAnsi="Arial" w:cs="Arial"/>
          <w:bCs/>
          <w:color w:val="000000"/>
          <w:sz w:val="22"/>
          <w:szCs w:val="22"/>
          <w:u w:val="single"/>
        </w:rPr>
        <w:t>Aktivity projektu (k 31. 12. 2014):</w:t>
      </w:r>
    </w:p>
    <w:p w:rsidR="001C4200" w:rsidRPr="00EA614E" w:rsidRDefault="001C4200" w:rsidP="001C4200">
      <w:pPr>
        <w:jc w:val="both"/>
        <w:rPr>
          <w:rFonts w:ascii="Arial" w:hAnsi="Arial" w:cs="Arial"/>
          <w:sz w:val="22"/>
          <w:szCs w:val="22"/>
        </w:rPr>
      </w:pPr>
    </w:p>
    <w:p w:rsidR="001C4200" w:rsidRPr="00EA614E" w:rsidRDefault="001C4200" w:rsidP="001C4200">
      <w:pPr>
        <w:contextualSpacing/>
        <w:jc w:val="both"/>
        <w:rPr>
          <w:rFonts w:ascii="Arial" w:hAnsi="Arial" w:cs="Arial"/>
          <w:sz w:val="22"/>
          <w:szCs w:val="22"/>
        </w:rPr>
      </w:pPr>
      <w:r w:rsidRPr="00EA614E">
        <w:rPr>
          <w:rFonts w:ascii="Arial" w:hAnsi="Arial" w:cs="Arial"/>
          <w:color w:val="000000"/>
          <w:sz w:val="22"/>
          <w:szCs w:val="22"/>
        </w:rPr>
        <w:t xml:space="preserve">VÝBĚR KLIENTŮ PROJEKTU – je prováděn ve spolupráci s jednotlivými úřady práce v kraji. Zařazení do projektu je podmíněno evidencí na kterémkoliv kontaktním pracovišti Úřadu práce ČR v JmK. Klientem se může stát osoba </w:t>
      </w:r>
      <w:r w:rsidRPr="00EA614E">
        <w:rPr>
          <w:rFonts w:ascii="Arial" w:hAnsi="Arial" w:cs="Arial"/>
          <w:sz w:val="22"/>
          <w:szCs w:val="22"/>
        </w:rPr>
        <w:t>evidovaná</w:t>
      </w:r>
      <w:r>
        <w:rPr>
          <w:rFonts w:ascii="Arial" w:hAnsi="Arial" w:cs="Arial"/>
          <w:sz w:val="22"/>
          <w:szCs w:val="22"/>
        </w:rPr>
        <w:t xml:space="preserve"> déle než 5 měsíců jako uchazeč</w:t>
      </w:r>
      <w:r w:rsidRPr="00EA614E">
        <w:rPr>
          <w:rFonts w:ascii="Arial" w:hAnsi="Arial" w:cs="Arial"/>
          <w:sz w:val="22"/>
          <w:szCs w:val="22"/>
        </w:rPr>
        <w:t xml:space="preserve"> o zaměstnání na kterémkoliv kontaktním pracovišti krajské pobočky v Brně a nejpozději v roce zařazení do projektu dosáhla 45 let věku.</w:t>
      </w:r>
    </w:p>
    <w:p w:rsidR="001C4200" w:rsidRDefault="001C4200" w:rsidP="001C4200">
      <w:pPr>
        <w:jc w:val="both"/>
        <w:rPr>
          <w:rFonts w:ascii="Arial" w:hAnsi="Arial" w:cs="Arial"/>
          <w:color w:val="000000"/>
          <w:sz w:val="22"/>
          <w:szCs w:val="22"/>
        </w:rPr>
      </w:pPr>
      <w:r w:rsidRPr="00EA614E">
        <w:rPr>
          <w:rFonts w:ascii="Arial" w:hAnsi="Arial" w:cs="Arial"/>
          <w:color w:val="000000"/>
          <w:sz w:val="22"/>
          <w:szCs w:val="22"/>
        </w:rPr>
        <w:t>Celkem lze zařadit do projektu min. 600 klientů. Do</w:t>
      </w:r>
      <w:r>
        <w:rPr>
          <w:rFonts w:ascii="Arial" w:hAnsi="Arial" w:cs="Arial"/>
          <w:color w:val="000000"/>
          <w:sz w:val="22"/>
          <w:szCs w:val="22"/>
        </w:rPr>
        <w:t>sud bylo do projektu vybráno 597</w:t>
      </w:r>
      <w:r w:rsidRPr="00EA614E">
        <w:rPr>
          <w:rFonts w:ascii="Arial" w:hAnsi="Arial" w:cs="Arial"/>
          <w:color w:val="000000"/>
          <w:sz w:val="22"/>
          <w:szCs w:val="22"/>
        </w:rPr>
        <w:t> osob</w:t>
      </w:r>
      <w:r>
        <w:rPr>
          <w:rFonts w:ascii="Arial" w:hAnsi="Arial" w:cs="Arial"/>
          <w:color w:val="000000"/>
          <w:sz w:val="22"/>
          <w:szCs w:val="22"/>
        </w:rPr>
        <w:t xml:space="preserve">. </w:t>
      </w:r>
      <w:r>
        <w:rPr>
          <w:rFonts w:ascii="Arial" w:hAnsi="Arial" w:cs="Arial"/>
          <w:color w:val="000000"/>
          <w:sz w:val="22"/>
          <w:szCs w:val="22"/>
        </w:rPr>
        <w:br/>
      </w:r>
      <w:r>
        <w:rPr>
          <w:rFonts w:ascii="Arial" w:hAnsi="Arial" w:cs="Arial"/>
          <w:color w:val="000000"/>
          <w:sz w:val="22"/>
          <w:szCs w:val="22"/>
        </w:rPr>
        <w:br/>
        <w:t xml:space="preserve">VSTUPNÍ BLOK – </w:t>
      </w:r>
      <w:r w:rsidRPr="00EA614E">
        <w:rPr>
          <w:rFonts w:ascii="Arial" w:hAnsi="Arial" w:cs="Arial"/>
          <w:color w:val="000000"/>
          <w:sz w:val="22"/>
          <w:szCs w:val="22"/>
        </w:rPr>
        <w:t>2 denní blok informací o projektu a jeho poradenských, motivačních a vzdělávacích aktivitách a legislativě z pracovní oblasti (5 hodin denně) povinný pro všechny klienty projektu. Dohodu o</w:t>
      </w:r>
      <w:r>
        <w:rPr>
          <w:rFonts w:ascii="Arial" w:hAnsi="Arial" w:cs="Arial"/>
          <w:color w:val="000000"/>
          <w:sz w:val="22"/>
          <w:szCs w:val="22"/>
        </w:rPr>
        <w:t> účasti v projektu podepsalo 597</w:t>
      </w:r>
      <w:r w:rsidRPr="00EA614E">
        <w:rPr>
          <w:rFonts w:ascii="Arial" w:hAnsi="Arial" w:cs="Arial"/>
          <w:color w:val="000000"/>
          <w:sz w:val="22"/>
          <w:szCs w:val="22"/>
        </w:rPr>
        <w:t xml:space="preserve"> osob z 600 pláno</w:t>
      </w:r>
      <w:r>
        <w:rPr>
          <w:rFonts w:ascii="Arial" w:hAnsi="Arial" w:cs="Arial"/>
          <w:color w:val="000000"/>
          <w:sz w:val="22"/>
          <w:szCs w:val="22"/>
        </w:rPr>
        <w:t>vaných, z toho</w:t>
      </w:r>
    </w:p>
    <w:p w:rsidR="001C4200" w:rsidRDefault="001C4200" w:rsidP="001C4200">
      <w:pPr>
        <w:rPr>
          <w:rFonts w:ascii="Arial" w:hAnsi="Arial" w:cs="Arial"/>
          <w:color w:val="000000"/>
          <w:sz w:val="22"/>
          <w:szCs w:val="22"/>
        </w:rPr>
      </w:pPr>
      <w:r>
        <w:rPr>
          <w:rFonts w:ascii="Arial" w:hAnsi="Arial" w:cs="Arial"/>
          <w:color w:val="000000"/>
          <w:sz w:val="22"/>
          <w:szCs w:val="22"/>
        </w:rPr>
        <w:t>v roce 2014 podepsalo dohodu o účasti v projektu 330 osob.</w:t>
      </w:r>
      <w:r>
        <w:rPr>
          <w:rFonts w:ascii="Arial" w:hAnsi="Arial" w:cs="Arial"/>
          <w:color w:val="000000"/>
          <w:sz w:val="22"/>
          <w:szCs w:val="22"/>
        </w:rPr>
        <w:br/>
      </w:r>
    </w:p>
    <w:p w:rsidR="001C4200" w:rsidRPr="00EA614E" w:rsidRDefault="001C4200" w:rsidP="001C4200">
      <w:pPr>
        <w:jc w:val="both"/>
        <w:rPr>
          <w:rFonts w:ascii="Arial" w:hAnsi="Arial" w:cs="Arial"/>
          <w:color w:val="000000"/>
          <w:sz w:val="22"/>
          <w:szCs w:val="22"/>
        </w:rPr>
      </w:pPr>
      <w:r w:rsidRPr="00EA614E">
        <w:rPr>
          <w:rFonts w:ascii="Arial" w:hAnsi="Arial" w:cs="Arial"/>
          <w:color w:val="000000"/>
          <w:sz w:val="22"/>
          <w:szCs w:val="22"/>
        </w:rPr>
        <w:t xml:space="preserve">PLÁN ROZVOJE KLIENTA – Každý klient projektu spolupracuje při individuálním pohovoru s odborným pracovníkem dodavatele na sestavení svého vhodného rozvojového a výukového plánu aktivit. Na doporučení odborného pracovníka může být klient zařazen do jedné z forem poradenství (pracovní diagnostika nebo bilanční diagnostika), na základě jejichž výstupů bude sestaven Plán rozvoje klienta. Dosud bylo sestaveno </w:t>
      </w:r>
      <w:r>
        <w:rPr>
          <w:rFonts w:ascii="Arial" w:hAnsi="Arial" w:cs="Arial"/>
          <w:color w:val="000000"/>
          <w:sz w:val="22"/>
          <w:szCs w:val="22"/>
        </w:rPr>
        <w:t xml:space="preserve">597 </w:t>
      </w:r>
      <w:r w:rsidRPr="00EA614E">
        <w:rPr>
          <w:rFonts w:ascii="Arial" w:hAnsi="Arial" w:cs="Arial"/>
          <w:color w:val="000000"/>
          <w:sz w:val="22"/>
          <w:szCs w:val="22"/>
        </w:rPr>
        <w:t>plánů rozvoje klienta.</w:t>
      </w:r>
      <w:r w:rsidRPr="00EA614E">
        <w:rPr>
          <w:rFonts w:ascii="Arial" w:hAnsi="Arial" w:cs="Arial"/>
          <w:color w:val="000000"/>
          <w:sz w:val="22"/>
          <w:szCs w:val="22"/>
        </w:rPr>
        <w:br/>
      </w:r>
    </w:p>
    <w:p w:rsidR="001C4200" w:rsidRDefault="001C4200" w:rsidP="001C4200">
      <w:pPr>
        <w:jc w:val="both"/>
        <w:rPr>
          <w:rFonts w:ascii="Arial" w:hAnsi="Arial" w:cs="Arial"/>
          <w:color w:val="000000"/>
          <w:sz w:val="22"/>
          <w:szCs w:val="22"/>
        </w:rPr>
      </w:pPr>
      <w:r w:rsidRPr="00EA614E">
        <w:rPr>
          <w:rFonts w:ascii="Arial" w:hAnsi="Arial" w:cs="Arial"/>
          <w:color w:val="000000"/>
          <w:sz w:val="22"/>
          <w:szCs w:val="22"/>
        </w:rPr>
        <w:t xml:space="preserve">PORADENSKÝ MODUL – bilanční nebo pracovní diagnostika je určena pro min. 420 klientů </w:t>
      </w:r>
    </w:p>
    <w:p w:rsidR="001C4200" w:rsidRDefault="001C4200" w:rsidP="001C4200">
      <w:pPr>
        <w:rPr>
          <w:rFonts w:ascii="Arial" w:hAnsi="Arial" w:cs="Arial"/>
          <w:color w:val="000000"/>
          <w:sz w:val="22"/>
          <w:szCs w:val="22"/>
        </w:rPr>
      </w:pPr>
      <w:r w:rsidRPr="00EA614E">
        <w:rPr>
          <w:rFonts w:ascii="Arial" w:hAnsi="Arial" w:cs="Arial"/>
          <w:color w:val="000000"/>
          <w:sz w:val="22"/>
          <w:szCs w:val="22"/>
        </w:rPr>
        <w:t>z řad uchazečů o zamě</w:t>
      </w:r>
      <w:r>
        <w:rPr>
          <w:rFonts w:ascii="Arial" w:hAnsi="Arial" w:cs="Arial"/>
          <w:color w:val="000000"/>
          <w:sz w:val="22"/>
          <w:szCs w:val="22"/>
        </w:rPr>
        <w:t>stnání. Tuto aktivitu využilo 361</w:t>
      </w:r>
      <w:r w:rsidRPr="00EA614E">
        <w:rPr>
          <w:rFonts w:ascii="Arial" w:hAnsi="Arial" w:cs="Arial"/>
          <w:color w:val="000000"/>
          <w:sz w:val="22"/>
          <w:szCs w:val="22"/>
        </w:rPr>
        <w:t xml:space="preserve"> klientů.</w:t>
      </w:r>
      <w:r w:rsidRPr="00EA614E">
        <w:rPr>
          <w:rFonts w:ascii="Arial" w:hAnsi="Arial" w:cs="Arial"/>
          <w:color w:val="000000"/>
          <w:sz w:val="22"/>
          <w:szCs w:val="22"/>
        </w:rPr>
        <w:br/>
      </w:r>
    </w:p>
    <w:p w:rsidR="001C4200" w:rsidRPr="00EA614E" w:rsidRDefault="001C4200" w:rsidP="001C4200">
      <w:pPr>
        <w:jc w:val="both"/>
        <w:rPr>
          <w:rFonts w:ascii="Arial" w:hAnsi="Arial" w:cs="Arial"/>
          <w:color w:val="000000"/>
          <w:sz w:val="22"/>
          <w:szCs w:val="22"/>
        </w:rPr>
      </w:pPr>
      <w:r w:rsidRPr="00EA614E">
        <w:rPr>
          <w:rFonts w:ascii="Arial" w:hAnsi="Arial" w:cs="Arial"/>
          <w:color w:val="000000"/>
          <w:sz w:val="22"/>
          <w:szCs w:val="22"/>
        </w:rPr>
        <w:t xml:space="preserve">INDIVIDUÁLNÍ PORADENSTVÍ </w:t>
      </w:r>
      <w:r>
        <w:rPr>
          <w:rFonts w:ascii="Arial" w:hAnsi="Arial" w:cs="Arial"/>
          <w:color w:val="000000"/>
          <w:sz w:val="22"/>
          <w:szCs w:val="22"/>
        </w:rPr>
        <w:t>–</w:t>
      </w:r>
      <w:r w:rsidRPr="00EA614E">
        <w:rPr>
          <w:rFonts w:ascii="Arial" w:hAnsi="Arial" w:cs="Arial"/>
          <w:color w:val="000000"/>
          <w:sz w:val="22"/>
          <w:szCs w:val="22"/>
        </w:rPr>
        <w:t xml:space="preserve"> Všichni klienti projektu mohou dle vlastního uvážení požádat o individuální poradenství specialisty dodavatele za účelem zlepšení sebepoznání. Celková kapacita poskytovaných poradenských hodin v tomto projektu je 1900 hodi</w:t>
      </w:r>
      <w:r>
        <w:rPr>
          <w:rFonts w:ascii="Arial" w:hAnsi="Arial" w:cs="Arial"/>
          <w:color w:val="000000"/>
          <w:sz w:val="22"/>
          <w:szCs w:val="22"/>
        </w:rPr>
        <w:t>n. Poradenství dosud využilo 483</w:t>
      </w:r>
      <w:r w:rsidRPr="00EA614E">
        <w:rPr>
          <w:rFonts w:ascii="Arial" w:hAnsi="Arial" w:cs="Arial"/>
          <w:color w:val="000000"/>
          <w:sz w:val="22"/>
          <w:szCs w:val="22"/>
        </w:rPr>
        <w:t> osob v celkovém počtu </w:t>
      </w:r>
      <w:r>
        <w:rPr>
          <w:rFonts w:ascii="Arial" w:hAnsi="Arial" w:cs="Arial"/>
          <w:color w:val="000000"/>
          <w:sz w:val="22"/>
          <w:szCs w:val="22"/>
        </w:rPr>
        <w:t>1439,5</w:t>
      </w:r>
      <w:r w:rsidRPr="00EA614E">
        <w:rPr>
          <w:rFonts w:ascii="Arial" w:hAnsi="Arial" w:cs="Arial"/>
          <w:color w:val="000000"/>
          <w:sz w:val="22"/>
          <w:szCs w:val="22"/>
        </w:rPr>
        <w:t> hodin.</w:t>
      </w:r>
      <w:r w:rsidRPr="00EA614E">
        <w:rPr>
          <w:rFonts w:ascii="Arial" w:hAnsi="Arial" w:cs="Arial"/>
          <w:color w:val="000000"/>
          <w:sz w:val="22"/>
          <w:szCs w:val="22"/>
        </w:rPr>
        <w:br/>
      </w:r>
      <w:r w:rsidRPr="00EA614E">
        <w:rPr>
          <w:rFonts w:ascii="Arial" w:hAnsi="Arial" w:cs="Arial"/>
          <w:color w:val="000000"/>
          <w:sz w:val="22"/>
          <w:szCs w:val="22"/>
        </w:rPr>
        <w:br/>
        <w:t>REKVALIFIKAČNÍ KURZY – jsou určeny pro min. 300 klientů projektu. Účast klientů v rekvalifikačních kurzech vychází z jejich sestaveného Plánu rozvoje klienta. Celkem je plánováno zajištění 300 rekvalifikací a vydání min. 355 osvědčení úspěšným klientům. Typy RK jsou uvedeny na webových stránkác</w:t>
      </w:r>
      <w:r>
        <w:rPr>
          <w:rFonts w:ascii="Arial" w:hAnsi="Arial" w:cs="Arial"/>
          <w:color w:val="000000"/>
          <w:sz w:val="22"/>
          <w:szCs w:val="22"/>
        </w:rPr>
        <w:t>h projektu. Dosud bylo vydáno 241</w:t>
      </w:r>
      <w:r w:rsidRPr="00EA614E">
        <w:rPr>
          <w:rFonts w:ascii="Arial" w:hAnsi="Arial" w:cs="Arial"/>
          <w:color w:val="000000"/>
          <w:sz w:val="22"/>
          <w:szCs w:val="22"/>
        </w:rPr>
        <w:t xml:space="preserve"> osvědčení úspěšným absolventům kurzů.</w:t>
      </w:r>
      <w:r w:rsidRPr="00EA614E">
        <w:rPr>
          <w:rFonts w:ascii="Arial" w:hAnsi="Arial" w:cs="Arial"/>
          <w:color w:val="000000"/>
          <w:sz w:val="22"/>
          <w:szCs w:val="22"/>
        </w:rPr>
        <w:br/>
      </w:r>
      <w:r w:rsidRPr="00EA614E">
        <w:rPr>
          <w:rFonts w:ascii="Arial" w:hAnsi="Arial" w:cs="Arial"/>
          <w:color w:val="000000"/>
          <w:sz w:val="22"/>
          <w:szCs w:val="22"/>
        </w:rPr>
        <w:br/>
        <w:t xml:space="preserve">ZPROSTŘEDKOVÁNÍ ZAMĚSTNÁNÍ – Odborní pracovníci dodavatele jsou nápomocni klientům projektu při hledání zaměstnání vyhledáváním vhodných potenciálních zaměstnavatelů. Celkem bude pro klienty projektu vytvořeno 60 nových pracovních míst a min. 120 vhodných zaměstnání (pracovní smlouva na dobu delší než 3 měsíce, min. 50 % pracovní doby). </w:t>
      </w:r>
      <w:r>
        <w:rPr>
          <w:rFonts w:ascii="Arial" w:hAnsi="Arial" w:cs="Arial"/>
          <w:color w:val="000000"/>
          <w:sz w:val="22"/>
          <w:szCs w:val="22"/>
        </w:rPr>
        <w:br/>
      </w:r>
      <w:r>
        <w:rPr>
          <w:rFonts w:ascii="Arial" w:hAnsi="Arial" w:cs="Arial"/>
          <w:color w:val="000000"/>
          <w:sz w:val="22"/>
          <w:szCs w:val="22"/>
        </w:rPr>
        <w:br/>
        <w:t>Z projektu dosud vystoupilo 392</w:t>
      </w:r>
      <w:r w:rsidRPr="00EA614E">
        <w:rPr>
          <w:rFonts w:ascii="Arial" w:hAnsi="Arial" w:cs="Arial"/>
          <w:color w:val="000000"/>
          <w:sz w:val="22"/>
          <w:szCs w:val="22"/>
        </w:rPr>
        <w:t xml:space="preserve"> </w:t>
      </w:r>
      <w:r w:rsidRPr="00B57A3F">
        <w:rPr>
          <w:rFonts w:ascii="Arial" w:hAnsi="Arial" w:cs="Arial"/>
          <w:sz w:val="22"/>
          <w:szCs w:val="22"/>
        </w:rPr>
        <w:t>klientů</w:t>
      </w:r>
      <w:r w:rsidRPr="00B57A3F">
        <w:rPr>
          <w:rFonts w:ascii="Arial" w:eastAsiaTheme="minorHAnsi" w:hAnsi="Arial" w:cs="Arial"/>
          <w:sz w:val="22"/>
          <w:szCs w:val="22"/>
          <w:lang w:eastAsia="en-US"/>
        </w:rPr>
        <w:t>, z</w:t>
      </w:r>
      <w:r>
        <w:rPr>
          <w:rFonts w:ascii="Arial" w:eastAsiaTheme="minorHAnsi" w:hAnsi="Arial" w:cs="Arial"/>
          <w:sz w:val="22"/>
          <w:szCs w:val="22"/>
          <w:lang w:eastAsia="en-US"/>
        </w:rPr>
        <w:t> </w:t>
      </w:r>
      <w:r w:rsidRPr="00B57A3F">
        <w:rPr>
          <w:rFonts w:ascii="Arial" w:eastAsiaTheme="minorHAnsi" w:hAnsi="Arial" w:cs="Arial"/>
          <w:sz w:val="22"/>
          <w:szCs w:val="22"/>
          <w:lang w:eastAsia="en-US"/>
        </w:rPr>
        <w:t>toho</w:t>
      </w:r>
      <w:r>
        <w:rPr>
          <w:rFonts w:ascii="Arial" w:eastAsiaTheme="minorHAnsi" w:hAnsi="Arial" w:cs="Arial"/>
          <w:sz w:val="22"/>
          <w:szCs w:val="22"/>
          <w:lang w:eastAsia="en-US"/>
        </w:rPr>
        <w:t xml:space="preserve"> </w:t>
      </w:r>
      <w:r w:rsidRPr="00B57A3F">
        <w:rPr>
          <w:rFonts w:ascii="Arial" w:eastAsiaTheme="minorHAnsi" w:hAnsi="Arial" w:cs="Arial"/>
          <w:sz w:val="22"/>
          <w:szCs w:val="22"/>
          <w:lang w:eastAsia="en-US"/>
        </w:rPr>
        <w:t>182 do jakéhokoliv zaměstnání (tj.</w:t>
      </w:r>
      <w:r>
        <w:rPr>
          <w:rFonts w:ascii="Arial" w:eastAsiaTheme="minorHAnsi" w:hAnsi="Arial" w:cs="Arial"/>
          <w:sz w:val="22"/>
          <w:szCs w:val="22"/>
          <w:lang w:eastAsia="en-US"/>
        </w:rPr>
        <w:t xml:space="preserve"> </w:t>
      </w:r>
      <w:r w:rsidRPr="00B57A3F">
        <w:rPr>
          <w:rFonts w:ascii="Arial" w:eastAsiaTheme="minorHAnsi" w:hAnsi="Arial" w:cs="Arial"/>
          <w:sz w:val="22"/>
          <w:szCs w:val="22"/>
          <w:lang w:eastAsia="en-US"/>
        </w:rPr>
        <w:t>46 %)</w:t>
      </w:r>
      <w:r>
        <w:rPr>
          <w:rFonts w:ascii="Arial" w:eastAsiaTheme="minorHAnsi" w:hAnsi="Arial" w:cs="Arial"/>
          <w:sz w:val="22"/>
          <w:szCs w:val="22"/>
          <w:lang w:eastAsia="en-US"/>
        </w:rPr>
        <w:t>.</w:t>
      </w:r>
    </w:p>
    <w:p w:rsidR="001C4200" w:rsidRPr="00EA614E" w:rsidRDefault="001C4200" w:rsidP="001C4200">
      <w:pPr>
        <w:jc w:val="both"/>
        <w:rPr>
          <w:rFonts w:ascii="Arial" w:hAnsi="Arial" w:cs="Arial"/>
          <w:color w:val="FF0000"/>
          <w:sz w:val="22"/>
          <w:szCs w:val="22"/>
        </w:rPr>
      </w:pPr>
    </w:p>
    <w:p w:rsidR="001C4200" w:rsidRDefault="001C4200" w:rsidP="001C4200">
      <w:pPr>
        <w:jc w:val="both"/>
        <w:rPr>
          <w:rFonts w:ascii="Arial" w:hAnsi="Arial" w:cs="Arial"/>
          <w:sz w:val="22"/>
          <w:szCs w:val="22"/>
        </w:rPr>
      </w:pPr>
      <w:r w:rsidRPr="00EA614E">
        <w:rPr>
          <w:rFonts w:ascii="Arial" w:hAnsi="Arial" w:cs="Arial"/>
          <w:sz w:val="22"/>
          <w:szCs w:val="22"/>
        </w:rPr>
        <w:t xml:space="preserve">Celkový rozpočet projektu dosahuje částky 30 475 </w:t>
      </w:r>
      <w:r>
        <w:rPr>
          <w:rFonts w:ascii="Arial" w:hAnsi="Arial" w:cs="Arial"/>
          <w:sz w:val="22"/>
          <w:szCs w:val="22"/>
        </w:rPr>
        <w:t>680 Kč, z nichž bylo v roce 2014</w:t>
      </w:r>
      <w:r w:rsidRPr="00EA614E">
        <w:rPr>
          <w:rFonts w:ascii="Arial" w:hAnsi="Arial" w:cs="Arial"/>
          <w:sz w:val="22"/>
          <w:szCs w:val="22"/>
        </w:rPr>
        <w:t xml:space="preserve"> vyčerpáno</w:t>
      </w:r>
      <w:r w:rsidRPr="00EA614E">
        <w:rPr>
          <w:rFonts w:ascii="Arial" w:hAnsi="Arial" w:cs="Arial"/>
          <w:bCs/>
          <w:sz w:val="22"/>
          <w:szCs w:val="22"/>
        </w:rPr>
        <w:t xml:space="preserve"> </w:t>
      </w:r>
      <w:r w:rsidRPr="00C611E8">
        <w:rPr>
          <w:rFonts w:ascii="Arial" w:hAnsi="Arial" w:cs="Arial"/>
          <w:bCs/>
          <w:sz w:val="22"/>
          <w:szCs w:val="22"/>
        </w:rPr>
        <w:t>18.760.676,47 Kč</w:t>
      </w:r>
      <w:r w:rsidRPr="00C611E8">
        <w:rPr>
          <w:rFonts w:ascii="Arial" w:hAnsi="Arial" w:cs="Arial"/>
          <w:sz w:val="22"/>
          <w:szCs w:val="22"/>
        </w:rPr>
        <w:t>.</w:t>
      </w:r>
    </w:p>
    <w:p w:rsidR="001C4200" w:rsidRDefault="001C4200" w:rsidP="001C4200">
      <w:pPr>
        <w:jc w:val="both"/>
        <w:rPr>
          <w:rFonts w:ascii="Arial" w:hAnsi="Arial" w:cs="Arial"/>
          <w:sz w:val="22"/>
          <w:szCs w:val="22"/>
        </w:rPr>
      </w:pPr>
    </w:p>
    <w:p w:rsidR="00D27DAE" w:rsidRPr="00EA614E" w:rsidRDefault="00D27DAE" w:rsidP="001C4200">
      <w:pPr>
        <w:jc w:val="both"/>
        <w:rPr>
          <w:rFonts w:ascii="Arial" w:hAnsi="Arial" w:cs="Arial"/>
          <w:sz w:val="22"/>
          <w:szCs w:val="22"/>
        </w:rPr>
      </w:pPr>
    </w:p>
    <w:p w:rsidR="001C4200" w:rsidRPr="00386AFE" w:rsidRDefault="001C4200" w:rsidP="001C4200">
      <w:pPr>
        <w:pStyle w:val="Odstavecseseznamem"/>
        <w:numPr>
          <w:ilvl w:val="0"/>
          <w:numId w:val="31"/>
        </w:numPr>
        <w:tabs>
          <w:tab w:val="left" w:pos="426"/>
        </w:tabs>
        <w:spacing w:after="200"/>
        <w:contextualSpacing/>
        <w:jc w:val="both"/>
        <w:rPr>
          <w:rFonts w:ascii="Arial" w:hAnsi="Arial" w:cs="Arial"/>
          <w:b/>
          <w:u w:val="single"/>
        </w:rPr>
      </w:pPr>
      <w:r w:rsidRPr="00386AFE">
        <w:rPr>
          <w:rFonts w:ascii="Arial" w:hAnsi="Arial" w:cs="Arial"/>
          <w:b/>
          <w:u w:val="single"/>
        </w:rPr>
        <w:t>Vzdělávejte se pro růst v Jihomoravském kraji – CZ.1.04/1.1.00/82.00004</w:t>
      </w:r>
    </w:p>
    <w:p w:rsidR="001C4200" w:rsidRPr="00386AFE" w:rsidRDefault="001C4200" w:rsidP="001C4200">
      <w:pPr>
        <w:jc w:val="both"/>
        <w:rPr>
          <w:rFonts w:ascii="Arial" w:hAnsi="Arial" w:cs="Arial"/>
          <w:sz w:val="22"/>
          <w:szCs w:val="22"/>
        </w:rPr>
      </w:pPr>
      <w:r w:rsidRPr="00386AFE">
        <w:rPr>
          <w:rFonts w:ascii="Arial" w:hAnsi="Arial" w:cs="Arial"/>
          <w:sz w:val="22"/>
          <w:szCs w:val="22"/>
        </w:rPr>
        <w:t>Zahájení realizace:</w:t>
      </w:r>
      <w:r w:rsidRPr="00386AFE">
        <w:rPr>
          <w:rFonts w:ascii="Arial" w:hAnsi="Arial" w:cs="Arial"/>
          <w:sz w:val="22"/>
          <w:szCs w:val="22"/>
        </w:rPr>
        <w:tab/>
        <w:t>1. května 2012</w:t>
      </w:r>
    </w:p>
    <w:p w:rsidR="001C4200" w:rsidRPr="00386AFE" w:rsidRDefault="001C4200" w:rsidP="001C4200">
      <w:pPr>
        <w:jc w:val="both"/>
        <w:rPr>
          <w:rFonts w:ascii="Arial" w:hAnsi="Arial" w:cs="Arial"/>
          <w:sz w:val="22"/>
          <w:szCs w:val="22"/>
        </w:rPr>
      </w:pPr>
      <w:r w:rsidRPr="00386AFE">
        <w:rPr>
          <w:rFonts w:ascii="Arial" w:hAnsi="Arial" w:cs="Arial"/>
          <w:sz w:val="22"/>
          <w:szCs w:val="22"/>
        </w:rPr>
        <w:t>Ukončení realizace:</w:t>
      </w:r>
      <w:r w:rsidRPr="00386AFE">
        <w:rPr>
          <w:rFonts w:ascii="Arial" w:hAnsi="Arial" w:cs="Arial"/>
          <w:sz w:val="22"/>
          <w:szCs w:val="22"/>
        </w:rPr>
        <w:tab/>
        <w:t>30. dubna 2014</w:t>
      </w:r>
    </w:p>
    <w:p w:rsidR="001C4200" w:rsidRPr="00386AFE" w:rsidRDefault="001C4200" w:rsidP="001C4200">
      <w:pPr>
        <w:jc w:val="both"/>
        <w:rPr>
          <w:rFonts w:ascii="Arial" w:hAnsi="Arial" w:cs="Arial"/>
          <w:sz w:val="22"/>
          <w:szCs w:val="22"/>
        </w:rPr>
      </w:pPr>
    </w:p>
    <w:p w:rsidR="001C4200" w:rsidRPr="00386AFE" w:rsidRDefault="001C4200" w:rsidP="001C4200">
      <w:pPr>
        <w:shd w:val="clear" w:color="auto" w:fill="FFFFFF"/>
        <w:jc w:val="both"/>
        <w:rPr>
          <w:rFonts w:ascii="Arial" w:hAnsi="Arial" w:cs="Arial"/>
          <w:sz w:val="22"/>
          <w:szCs w:val="22"/>
        </w:rPr>
      </w:pPr>
      <w:r w:rsidRPr="00386AFE">
        <w:rPr>
          <w:rFonts w:ascii="Arial" w:hAnsi="Arial" w:cs="Arial"/>
          <w:sz w:val="22"/>
          <w:szCs w:val="22"/>
        </w:rPr>
        <w:t>Cílem projektu byla podpora zaměstnavatelů, kterým se podařilo překonat hospodářskou recesi. V rámci projektu byly podporovány cílové skupiny zaměstnanců a zaměstnavatelů, kteří jsou zaměstnáni ve vybraných ekonomických činnostech významných pro ekonomický růst a růst zaměstnanosti v Jihomoravském kraji (dle Klasifikace ekonomických činností CZ-NACE).</w:t>
      </w:r>
    </w:p>
    <w:p w:rsidR="001C4200" w:rsidRPr="00386AFE" w:rsidRDefault="001C4200" w:rsidP="001C4200">
      <w:pPr>
        <w:shd w:val="clear" w:color="auto" w:fill="FFFFFF"/>
        <w:jc w:val="both"/>
        <w:rPr>
          <w:rFonts w:ascii="Arial" w:hAnsi="Arial" w:cs="Arial"/>
          <w:sz w:val="22"/>
          <w:szCs w:val="22"/>
        </w:rPr>
      </w:pPr>
    </w:p>
    <w:p w:rsidR="001C4200" w:rsidRPr="00386AFE" w:rsidRDefault="001C4200" w:rsidP="001C4200">
      <w:pPr>
        <w:shd w:val="clear" w:color="auto" w:fill="FFFFFF"/>
        <w:jc w:val="both"/>
        <w:rPr>
          <w:rFonts w:ascii="Arial" w:hAnsi="Arial" w:cs="Arial"/>
          <w:sz w:val="22"/>
          <w:szCs w:val="22"/>
        </w:rPr>
      </w:pPr>
      <w:r w:rsidRPr="00386AFE">
        <w:rPr>
          <w:rFonts w:ascii="Arial" w:hAnsi="Arial" w:cs="Arial"/>
          <w:sz w:val="22"/>
          <w:szCs w:val="22"/>
        </w:rPr>
        <w:t xml:space="preserve">Projekt byl určen pro všechny typy podniků (tzn. malé, střední i velké) působících ve vybraných ekonomických odvětvích. </w:t>
      </w:r>
    </w:p>
    <w:p w:rsidR="001C4200" w:rsidRPr="00386AFE" w:rsidRDefault="001C4200" w:rsidP="001C4200">
      <w:pPr>
        <w:shd w:val="clear" w:color="auto" w:fill="FFFFFF"/>
        <w:jc w:val="both"/>
        <w:rPr>
          <w:rFonts w:ascii="Arial" w:hAnsi="Arial" w:cs="Arial"/>
          <w:sz w:val="22"/>
          <w:szCs w:val="22"/>
        </w:rPr>
      </w:pPr>
    </w:p>
    <w:p w:rsidR="001C4200" w:rsidRPr="00386AFE" w:rsidRDefault="001C4200" w:rsidP="001C4200">
      <w:pPr>
        <w:shd w:val="clear" w:color="auto" w:fill="FFFFFF"/>
        <w:jc w:val="both"/>
        <w:rPr>
          <w:rFonts w:ascii="Arial" w:hAnsi="Arial" w:cs="Arial"/>
          <w:sz w:val="22"/>
          <w:szCs w:val="22"/>
        </w:rPr>
      </w:pPr>
      <w:r w:rsidRPr="00386AFE">
        <w:rPr>
          <w:rFonts w:ascii="Arial" w:hAnsi="Arial" w:cs="Arial"/>
          <w:sz w:val="22"/>
          <w:szCs w:val="22"/>
        </w:rPr>
        <w:t>O finanční podporu mohli zaměstnavatelé žádat za předpokladu, že realizují svoji činnost v uvedených odvětvích CZ-NACE a buď nabírají nové pracovníky, které je třeba patřičně vyškolit či rekvalifikovat, nebo potřebují zvýšit odborné znalosti či dovednosti stávajících zaměstnanců.</w:t>
      </w:r>
    </w:p>
    <w:p w:rsidR="001C4200" w:rsidRPr="00386AFE" w:rsidRDefault="001C4200" w:rsidP="001C4200">
      <w:pPr>
        <w:shd w:val="clear" w:color="auto" w:fill="FFFFFF"/>
        <w:jc w:val="both"/>
        <w:rPr>
          <w:rFonts w:ascii="Arial" w:hAnsi="Arial" w:cs="Arial"/>
          <w:sz w:val="22"/>
          <w:szCs w:val="22"/>
        </w:rPr>
      </w:pPr>
    </w:p>
    <w:p w:rsidR="001C4200" w:rsidRPr="00386AFE" w:rsidRDefault="001C4200" w:rsidP="001C4200">
      <w:pPr>
        <w:shd w:val="clear" w:color="auto" w:fill="FFFFFF"/>
        <w:jc w:val="both"/>
        <w:rPr>
          <w:rFonts w:ascii="Arial" w:hAnsi="Arial" w:cs="Arial"/>
          <w:sz w:val="22"/>
          <w:szCs w:val="22"/>
        </w:rPr>
      </w:pPr>
      <w:r w:rsidRPr="00386AFE">
        <w:rPr>
          <w:rFonts w:ascii="Arial" w:hAnsi="Arial" w:cs="Arial"/>
          <w:sz w:val="22"/>
          <w:szCs w:val="22"/>
        </w:rPr>
        <w:t>Zaměstnavatelé v rámci projektu obdrželi finanční příspěvek na vzdělávání či rekvalifikaci svých zaměstnanců. Současně byly zaměstnavateli hrazeny mzdové náklady vzdělávaných zaměstnanců, a to po dobu jejich vzdělávání (po tuto dobu totiž nemůže zaměstnavatel využít zaměstnance na jinou práci). Toto vzdělávání mohlo být obecné a v odůvodněných případech i specifické. Finanční podpora z projektu byla nenároková, o poskytnutí prostředků rozhodovala příslušná krajská pobočka ÚP ČR ve spolupráci s kontaktními pracovišti ÚP ČR.</w:t>
      </w:r>
    </w:p>
    <w:p w:rsidR="001C4200" w:rsidRPr="00386AFE" w:rsidRDefault="001C4200" w:rsidP="001C4200">
      <w:pPr>
        <w:shd w:val="clear" w:color="auto" w:fill="FFFFFF"/>
        <w:jc w:val="both"/>
        <w:rPr>
          <w:rFonts w:ascii="Arial" w:hAnsi="Arial" w:cs="Arial"/>
          <w:sz w:val="22"/>
          <w:szCs w:val="22"/>
        </w:rPr>
      </w:pPr>
    </w:p>
    <w:p w:rsidR="001C4200" w:rsidRPr="00386AFE" w:rsidRDefault="001C4200" w:rsidP="001C4200">
      <w:pPr>
        <w:shd w:val="clear" w:color="auto" w:fill="FFFFFF"/>
        <w:jc w:val="both"/>
        <w:rPr>
          <w:rFonts w:ascii="Arial" w:hAnsi="Arial" w:cs="Arial"/>
          <w:sz w:val="22"/>
          <w:szCs w:val="22"/>
        </w:rPr>
      </w:pPr>
      <w:r w:rsidRPr="00386AFE">
        <w:rPr>
          <w:rFonts w:ascii="Arial" w:hAnsi="Arial" w:cs="Arial"/>
          <w:sz w:val="22"/>
          <w:szCs w:val="22"/>
        </w:rPr>
        <w:t>Celkem bylo do projektu podáno 826 žádostí a podpořeno bylo 4 716 osob oproti původnímu plánu 2 100 osob.</w:t>
      </w:r>
    </w:p>
    <w:p w:rsidR="001C4200" w:rsidRPr="00386AFE" w:rsidRDefault="001C4200" w:rsidP="001C4200">
      <w:pPr>
        <w:shd w:val="clear" w:color="auto" w:fill="FFFFFF"/>
        <w:jc w:val="both"/>
        <w:rPr>
          <w:rFonts w:ascii="Arial" w:hAnsi="Arial" w:cs="Arial"/>
          <w:sz w:val="22"/>
          <w:szCs w:val="22"/>
        </w:rPr>
      </w:pPr>
    </w:p>
    <w:p w:rsidR="001C4200" w:rsidRDefault="001C4200" w:rsidP="001C4200">
      <w:pPr>
        <w:jc w:val="both"/>
        <w:rPr>
          <w:rFonts w:ascii="Arial" w:hAnsi="Arial" w:cs="Arial"/>
          <w:sz w:val="22"/>
          <w:szCs w:val="22"/>
        </w:rPr>
      </w:pPr>
      <w:r w:rsidRPr="00386AFE">
        <w:rPr>
          <w:rFonts w:ascii="Arial" w:hAnsi="Arial" w:cs="Arial"/>
          <w:sz w:val="22"/>
          <w:szCs w:val="22"/>
        </w:rPr>
        <w:t xml:space="preserve">Celkový rozpočet projektu dosáhl částky 73.840.320,- Kč, v roce 2014 bylo vyplaceno 32 576 330,- Kč. </w:t>
      </w:r>
    </w:p>
    <w:p w:rsidR="00D27DAE" w:rsidRPr="00273576" w:rsidRDefault="00D27DAE" w:rsidP="001C4200">
      <w:pPr>
        <w:jc w:val="both"/>
        <w:rPr>
          <w:rFonts w:ascii="Arial" w:hAnsi="Arial" w:cs="Arial"/>
          <w:sz w:val="22"/>
          <w:szCs w:val="22"/>
        </w:rPr>
      </w:pPr>
    </w:p>
    <w:p w:rsidR="001C4200" w:rsidRPr="00386AFE" w:rsidRDefault="001C4200" w:rsidP="001C4200">
      <w:pPr>
        <w:jc w:val="both"/>
        <w:rPr>
          <w:rFonts w:ascii="Arial" w:eastAsiaTheme="minorHAnsi" w:hAnsi="Arial" w:cs="Arial"/>
          <w:sz w:val="22"/>
          <w:szCs w:val="22"/>
          <w:lang w:eastAsia="en-US"/>
        </w:rPr>
      </w:pPr>
    </w:p>
    <w:p w:rsidR="001C4200" w:rsidRPr="00E571D5" w:rsidRDefault="001C4200" w:rsidP="001C4200">
      <w:pPr>
        <w:pStyle w:val="Odstavecseseznamem"/>
        <w:numPr>
          <w:ilvl w:val="0"/>
          <w:numId w:val="31"/>
        </w:numPr>
        <w:tabs>
          <w:tab w:val="left" w:pos="426"/>
        </w:tabs>
        <w:spacing w:after="200"/>
        <w:contextualSpacing/>
        <w:jc w:val="both"/>
        <w:rPr>
          <w:rFonts w:ascii="Arial" w:hAnsi="Arial" w:cs="Arial"/>
          <w:b/>
          <w:u w:val="single"/>
        </w:rPr>
      </w:pPr>
      <w:r w:rsidRPr="003D24C8">
        <w:rPr>
          <w:rFonts w:ascii="Arial" w:hAnsi="Arial" w:cs="Arial"/>
          <w:b/>
          <w:u w:val="single"/>
        </w:rPr>
        <w:t>Sladění práce a rodiny – CZ.1.04/2.1.00/70.00036</w:t>
      </w:r>
    </w:p>
    <w:p w:rsidR="001C4200" w:rsidRPr="003D24C8" w:rsidRDefault="001C4200" w:rsidP="001C4200">
      <w:pPr>
        <w:jc w:val="both"/>
        <w:rPr>
          <w:rFonts w:ascii="Arial" w:hAnsi="Arial" w:cs="Arial"/>
          <w:sz w:val="22"/>
          <w:szCs w:val="22"/>
        </w:rPr>
      </w:pPr>
      <w:r w:rsidRPr="003D24C8">
        <w:rPr>
          <w:rFonts w:ascii="Arial" w:hAnsi="Arial" w:cs="Arial"/>
          <w:sz w:val="22"/>
          <w:szCs w:val="22"/>
        </w:rPr>
        <w:t>Zahájení realizace:</w:t>
      </w:r>
      <w:r w:rsidRPr="003D24C8">
        <w:rPr>
          <w:rFonts w:ascii="Arial" w:hAnsi="Arial" w:cs="Arial"/>
          <w:sz w:val="22"/>
          <w:szCs w:val="22"/>
        </w:rPr>
        <w:tab/>
        <w:t>1. ledna 2013</w:t>
      </w:r>
    </w:p>
    <w:p w:rsidR="001C4200" w:rsidRPr="003D24C8" w:rsidRDefault="001C4200" w:rsidP="001C4200">
      <w:pPr>
        <w:jc w:val="both"/>
        <w:rPr>
          <w:rFonts w:ascii="Arial" w:hAnsi="Arial" w:cs="Arial"/>
          <w:sz w:val="22"/>
          <w:szCs w:val="22"/>
        </w:rPr>
      </w:pPr>
      <w:r w:rsidRPr="003D24C8">
        <w:rPr>
          <w:rFonts w:ascii="Arial" w:hAnsi="Arial" w:cs="Arial"/>
          <w:sz w:val="22"/>
          <w:szCs w:val="22"/>
        </w:rPr>
        <w:t>Ukončení realizace:</w:t>
      </w:r>
      <w:r w:rsidRPr="003D24C8">
        <w:rPr>
          <w:rFonts w:ascii="Arial" w:hAnsi="Arial" w:cs="Arial"/>
          <w:sz w:val="22"/>
          <w:szCs w:val="22"/>
        </w:rPr>
        <w:tab/>
        <w:t>31. srpna 2015</w:t>
      </w:r>
    </w:p>
    <w:p w:rsidR="001C4200" w:rsidRPr="003D24C8" w:rsidRDefault="001C4200" w:rsidP="001C4200">
      <w:pPr>
        <w:jc w:val="both"/>
        <w:rPr>
          <w:rFonts w:ascii="Arial" w:hAnsi="Arial" w:cs="Arial"/>
          <w:sz w:val="22"/>
          <w:szCs w:val="22"/>
        </w:rPr>
      </w:pPr>
    </w:p>
    <w:p w:rsidR="001C4200" w:rsidRPr="003D24C8" w:rsidRDefault="001C4200" w:rsidP="001C4200">
      <w:pPr>
        <w:jc w:val="both"/>
        <w:rPr>
          <w:rFonts w:ascii="Arial" w:hAnsi="Arial" w:cs="Arial"/>
          <w:sz w:val="22"/>
          <w:szCs w:val="22"/>
        </w:rPr>
      </w:pPr>
      <w:r w:rsidRPr="003D24C8">
        <w:rPr>
          <w:rFonts w:ascii="Arial" w:hAnsi="Arial" w:cs="Arial"/>
          <w:sz w:val="22"/>
          <w:szCs w:val="22"/>
        </w:rPr>
        <w:t>Cílová skupina projektu:</w:t>
      </w:r>
    </w:p>
    <w:p w:rsidR="001C4200" w:rsidRPr="003D24C8" w:rsidRDefault="001C4200" w:rsidP="001C4200">
      <w:pPr>
        <w:numPr>
          <w:ilvl w:val="0"/>
          <w:numId w:val="13"/>
        </w:numPr>
        <w:suppressAutoHyphens/>
        <w:spacing w:line="240" w:lineRule="auto"/>
        <w:jc w:val="both"/>
        <w:rPr>
          <w:rFonts w:ascii="Arial" w:hAnsi="Arial" w:cs="Arial"/>
          <w:sz w:val="22"/>
          <w:szCs w:val="22"/>
        </w:rPr>
      </w:pPr>
      <w:r w:rsidRPr="003D24C8">
        <w:rPr>
          <w:rFonts w:ascii="Arial" w:hAnsi="Arial" w:cs="Arial"/>
          <w:sz w:val="22"/>
          <w:szCs w:val="22"/>
        </w:rPr>
        <w:t>evidence na kterémkoliv kontaktním pracovišti Krajské pobočky v Brně,</w:t>
      </w:r>
    </w:p>
    <w:p w:rsidR="001C4200" w:rsidRPr="003D24C8" w:rsidRDefault="001C4200" w:rsidP="001C4200">
      <w:pPr>
        <w:numPr>
          <w:ilvl w:val="0"/>
          <w:numId w:val="13"/>
        </w:numPr>
        <w:suppressAutoHyphens/>
        <w:spacing w:line="240" w:lineRule="auto"/>
        <w:jc w:val="both"/>
        <w:rPr>
          <w:rFonts w:ascii="Arial" w:hAnsi="Arial" w:cs="Arial"/>
          <w:sz w:val="22"/>
          <w:szCs w:val="22"/>
        </w:rPr>
      </w:pPr>
      <w:r w:rsidRPr="003D24C8">
        <w:rPr>
          <w:rFonts w:ascii="Arial" w:hAnsi="Arial" w:cs="Arial"/>
          <w:sz w:val="22"/>
          <w:szCs w:val="22"/>
        </w:rPr>
        <w:t>péče o dítě do 15 let věku</w:t>
      </w:r>
    </w:p>
    <w:p w:rsidR="001C4200" w:rsidRDefault="001C4200" w:rsidP="001C4200">
      <w:pPr>
        <w:jc w:val="both"/>
        <w:rPr>
          <w:rFonts w:ascii="Arial" w:hAnsi="Arial" w:cs="Arial"/>
          <w:sz w:val="22"/>
          <w:szCs w:val="22"/>
        </w:rPr>
      </w:pPr>
      <w:r w:rsidRPr="003D24C8">
        <w:rPr>
          <w:rFonts w:ascii="Arial" w:hAnsi="Arial" w:cs="Arial"/>
          <w:sz w:val="22"/>
          <w:szCs w:val="22"/>
        </w:rPr>
        <w:t>Projekt je prioritně určen pro uchazeče o zaměstnání. Z důvodu prevence proti vzniku nezaměstnanosti však lze umožnit vstup do projektu i zájemcům o zaměstnání, a to až do výše 20 % z celkového počtu osob, tj. max. 100 osob z řad zájemců.</w:t>
      </w:r>
    </w:p>
    <w:p w:rsidR="001C4200" w:rsidRDefault="001C4200" w:rsidP="001C4200">
      <w:pPr>
        <w:jc w:val="both"/>
        <w:rPr>
          <w:rFonts w:ascii="Arial" w:eastAsiaTheme="minorHAnsi" w:hAnsi="Arial" w:cs="Arial"/>
          <w:bCs/>
          <w:color w:val="000000"/>
          <w:sz w:val="22"/>
          <w:szCs w:val="22"/>
          <w:u w:val="single"/>
        </w:rPr>
      </w:pPr>
    </w:p>
    <w:p w:rsidR="001C4200" w:rsidRPr="004B5E4F" w:rsidRDefault="001C4200" w:rsidP="001C4200">
      <w:pPr>
        <w:jc w:val="both"/>
        <w:rPr>
          <w:rFonts w:ascii="Arial" w:eastAsiaTheme="minorHAnsi" w:hAnsi="Arial" w:cs="Arial"/>
          <w:bCs/>
          <w:color w:val="000000"/>
          <w:sz w:val="22"/>
          <w:szCs w:val="22"/>
          <w:u w:val="single"/>
        </w:rPr>
      </w:pPr>
      <w:r w:rsidRPr="00CF1690">
        <w:rPr>
          <w:rFonts w:ascii="Arial" w:eastAsiaTheme="minorHAnsi" w:hAnsi="Arial" w:cs="Arial"/>
          <w:bCs/>
          <w:color w:val="000000"/>
          <w:sz w:val="22"/>
          <w:szCs w:val="22"/>
          <w:u w:val="single"/>
        </w:rPr>
        <w:t>Aktivity projektu (k 31. 12. 2014):</w:t>
      </w:r>
    </w:p>
    <w:p w:rsidR="001C4200" w:rsidRPr="003D24C8" w:rsidRDefault="001C4200" w:rsidP="001C4200">
      <w:pPr>
        <w:jc w:val="both"/>
        <w:rPr>
          <w:rFonts w:ascii="Arial" w:hAnsi="Arial" w:cs="Arial"/>
          <w:sz w:val="22"/>
          <w:szCs w:val="22"/>
        </w:rPr>
      </w:pPr>
      <w:r w:rsidRPr="003D24C8">
        <w:rPr>
          <w:rFonts w:ascii="Arial" w:hAnsi="Arial" w:cs="Arial"/>
          <w:sz w:val="22"/>
          <w:szCs w:val="22"/>
        </w:rPr>
        <w:br/>
        <w:t xml:space="preserve">VÝBĚR KLIENTŮ PROJEKTU – je prováděn ve spolupráci s jednotlivými úřady práce v Jihomoravském kraji. Zařazení do projektu je podmíněno evidencí na kterémkoliv kontaktním pracovišti Úřadu práce ČR v JmK. Klientem se může stát osoba pečující o dítě do 15 let věku. Celkem do projektu lze zařadit min. 500 klientů, z toho nejméně 400 uchazečů o zaměstnání. Celkem bylo do projektu vybráno 646 osob. Další výběry již nejsou plánovány. </w:t>
      </w:r>
    </w:p>
    <w:p w:rsidR="001C4200" w:rsidRPr="003D24C8" w:rsidRDefault="001C4200" w:rsidP="001C4200">
      <w:pPr>
        <w:jc w:val="both"/>
        <w:rPr>
          <w:rFonts w:ascii="Arial" w:hAnsi="Arial" w:cs="Arial"/>
          <w:sz w:val="22"/>
          <w:szCs w:val="22"/>
        </w:rPr>
      </w:pPr>
    </w:p>
    <w:p w:rsidR="001C4200" w:rsidRPr="003D24C8" w:rsidRDefault="001C4200" w:rsidP="001C4200">
      <w:pPr>
        <w:jc w:val="both"/>
        <w:rPr>
          <w:rFonts w:ascii="Arial" w:hAnsi="Arial" w:cs="Arial"/>
          <w:sz w:val="22"/>
          <w:szCs w:val="22"/>
        </w:rPr>
      </w:pPr>
      <w:r w:rsidRPr="003D24C8">
        <w:rPr>
          <w:rFonts w:ascii="Arial" w:hAnsi="Arial" w:cs="Arial"/>
          <w:sz w:val="22"/>
          <w:szCs w:val="22"/>
        </w:rPr>
        <w:t>VSTUPNÍ BLOK - 2 denní blok informací o projektu a jeho poradenských, motivačních a vzdělávacích aktivitách a legislativě z pracovní oblasti (5 hodin denně) povinný pro všechny klienty projektu. Tuto aktivitu absolvovalo a Dohodu o účasti v projektu podepsalo 583 klientů oproti původnímu plánu 500 klientů, z toho v roce 2014 444 klientů.</w:t>
      </w:r>
      <w:r w:rsidRPr="003D24C8">
        <w:rPr>
          <w:rFonts w:ascii="Arial" w:hAnsi="Arial" w:cs="Arial"/>
          <w:sz w:val="22"/>
          <w:szCs w:val="22"/>
        </w:rPr>
        <w:br/>
      </w:r>
      <w:r w:rsidRPr="003D24C8">
        <w:rPr>
          <w:rFonts w:ascii="Arial" w:hAnsi="Arial" w:cs="Arial"/>
          <w:sz w:val="22"/>
          <w:szCs w:val="22"/>
        </w:rPr>
        <w:br/>
        <w:t>PLÁN ROZVOJE KLIENTA - Každý klient projektu spolupracuje při individuálním pohovoru s odborným pracovníkem dodavatele na sestavení svého vhodného rozvojového a výukového plánu aktivit. Na doporučení odborného pracovníka může být klient zařazen do jedné z forem poradenství (pracovní diagnostika nebo bilanční diagnostika), na základě jejichž výstupů bude sestaven Plán rozvoje klienta. Dosud bylo sestaveno 580 plánů rozvoje klienta oproti 500 plánovaných.</w:t>
      </w:r>
      <w:r w:rsidRPr="003D24C8">
        <w:rPr>
          <w:rFonts w:ascii="Arial" w:hAnsi="Arial" w:cs="Arial"/>
          <w:sz w:val="22"/>
          <w:szCs w:val="22"/>
        </w:rPr>
        <w:br/>
      </w:r>
      <w:r w:rsidRPr="003D24C8">
        <w:rPr>
          <w:rFonts w:ascii="Arial" w:hAnsi="Arial" w:cs="Arial"/>
          <w:sz w:val="22"/>
          <w:szCs w:val="22"/>
        </w:rPr>
        <w:br/>
        <w:t>PORADENSKÝ PROGRAM – pracovní nebo bilanční diagnostika je určena pro min. 250 klientů z řad uchazečů o zaměstnání. Dosud bylo vyhotoveno 172 zpráv z bilanční diagnostiky a 97 zpráv z pracovní diagnostiky.</w:t>
      </w:r>
    </w:p>
    <w:p w:rsidR="001C4200" w:rsidRPr="003D24C8" w:rsidRDefault="001C4200" w:rsidP="001C4200">
      <w:pPr>
        <w:jc w:val="both"/>
        <w:rPr>
          <w:rFonts w:ascii="Arial" w:hAnsi="Arial" w:cs="Arial"/>
          <w:sz w:val="22"/>
          <w:szCs w:val="22"/>
        </w:rPr>
      </w:pPr>
      <w:r w:rsidRPr="003D24C8">
        <w:rPr>
          <w:rFonts w:ascii="Arial" w:hAnsi="Arial" w:cs="Arial"/>
          <w:sz w:val="22"/>
          <w:szCs w:val="22"/>
        </w:rPr>
        <w:br/>
        <w:t xml:space="preserve">MOTIVAČNÍ PROGRAM – obsahem aktivity je rozvoj sebeprezentace, rozvoj komunikačních a sociálních dovedností, exkurze k potenciálním zaměstnavatelům, všeobecný přehled v oblasti ekonomiky, práva a zaměstnanosti. Aktivita probíhá 5 dnů po 5 hodinách denně a je určena pro min. 200 klientů. Program dosud absolvovalo 207 osob. </w:t>
      </w:r>
    </w:p>
    <w:p w:rsidR="001C4200" w:rsidRPr="003D24C8" w:rsidRDefault="001C4200" w:rsidP="001C4200">
      <w:pPr>
        <w:jc w:val="both"/>
        <w:rPr>
          <w:rFonts w:ascii="Arial" w:hAnsi="Arial" w:cs="Arial"/>
          <w:sz w:val="22"/>
          <w:szCs w:val="22"/>
        </w:rPr>
      </w:pPr>
    </w:p>
    <w:p w:rsidR="001C4200" w:rsidRPr="003D24C8" w:rsidRDefault="001C4200" w:rsidP="001C4200">
      <w:pPr>
        <w:jc w:val="both"/>
        <w:rPr>
          <w:rFonts w:ascii="Arial" w:hAnsi="Arial" w:cs="Arial"/>
          <w:sz w:val="22"/>
          <w:szCs w:val="22"/>
        </w:rPr>
      </w:pPr>
      <w:r w:rsidRPr="003D24C8">
        <w:rPr>
          <w:rFonts w:ascii="Arial" w:hAnsi="Arial" w:cs="Arial"/>
          <w:sz w:val="22"/>
          <w:szCs w:val="22"/>
        </w:rPr>
        <w:t>PROGRAM FINANČNÍ GRAMOTNOSTI – tento program je určen pro min. 250 klientů a probíhá 4 dny po 5 hodinách denně. Mezi probíraná témata patří základní terminologie, osobní/rodinný rozpočet, úvěry a půjčky, exekuce a lichva a praktické případové studie. Tento program dosud absolvovalo 248 osob.</w:t>
      </w:r>
    </w:p>
    <w:p w:rsidR="001C4200" w:rsidRPr="009D0650" w:rsidRDefault="001C4200" w:rsidP="001C4200">
      <w:pPr>
        <w:rPr>
          <w:rFonts w:ascii="Arial" w:hAnsi="Arial" w:cs="Arial"/>
          <w:sz w:val="22"/>
          <w:szCs w:val="22"/>
        </w:rPr>
      </w:pPr>
      <w:r w:rsidRPr="00E05CB5">
        <w:rPr>
          <w:rFonts w:ascii="Arial" w:hAnsi="Arial" w:cs="Arial"/>
          <w:color w:val="FF0000"/>
          <w:sz w:val="22"/>
          <w:szCs w:val="22"/>
        </w:rPr>
        <w:br/>
      </w:r>
      <w:r w:rsidRPr="00D52376">
        <w:rPr>
          <w:rFonts w:ascii="Arial" w:hAnsi="Arial" w:cs="Arial"/>
          <w:sz w:val="22"/>
          <w:szCs w:val="22"/>
        </w:rPr>
        <w:t>INDIVIDUÁLNÍ PORADENSTVÍ - Všichni klienti projektu mohou dle vlastního uvážení požádat o individuální poradenství specialisty dodavatele za účelem zlepšení sebepoznání. Celková kapacita poskytovaných poradenských hodin v tomto projektu je 2 500 hodin. Dosud bylo poskytnuto 1460 hodin individuálního poradenství.</w:t>
      </w:r>
      <w:r w:rsidRPr="00D52376">
        <w:rPr>
          <w:rFonts w:ascii="Arial" w:hAnsi="Arial" w:cs="Arial"/>
          <w:sz w:val="22"/>
          <w:szCs w:val="22"/>
        </w:rPr>
        <w:br/>
      </w:r>
      <w:r w:rsidRPr="00D52376">
        <w:rPr>
          <w:rFonts w:ascii="Arial" w:hAnsi="Arial" w:cs="Arial"/>
          <w:sz w:val="22"/>
          <w:szCs w:val="22"/>
        </w:rPr>
        <w:br/>
      </w:r>
      <w:r w:rsidRPr="009D0650">
        <w:rPr>
          <w:rFonts w:ascii="Arial" w:hAnsi="Arial" w:cs="Arial"/>
          <w:sz w:val="22"/>
          <w:szCs w:val="22"/>
        </w:rPr>
        <w:t>REKVALIFIKAČNÍ KURZY – jsou určeny pro min. 300 klientů projektu. Účast klientů v rekvalifikačních kurzech vychází z jejich sestaveného Plánu rozvoje klienta. Celkem je plánováno zajištění 420 rekvalifikací a vydání min. 420 osvědčení úspěšným klientům. Typy RK jsou uvedeny na webových stránkách projektu. Klienti mohou absolvovat až 3 na sebe navazující rekvalifikační kurzy. Dosud bylo vydáno 328 osvědčení.</w:t>
      </w:r>
    </w:p>
    <w:p w:rsidR="001C4200" w:rsidRPr="009D0650" w:rsidRDefault="001C4200" w:rsidP="001C4200">
      <w:pPr>
        <w:rPr>
          <w:rFonts w:ascii="Arial" w:hAnsi="Arial" w:cs="Arial"/>
          <w:sz w:val="22"/>
          <w:szCs w:val="22"/>
        </w:rPr>
      </w:pPr>
    </w:p>
    <w:p w:rsidR="001C4200" w:rsidRPr="003127CA" w:rsidRDefault="001C4200" w:rsidP="001C4200">
      <w:pPr>
        <w:jc w:val="both"/>
        <w:rPr>
          <w:rFonts w:ascii="Arial" w:hAnsi="Arial" w:cs="Arial"/>
          <w:sz w:val="22"/>
          <w:szCs w:val="22"/>
        </w:rPr>
      </w:pPr>
      <w:r w:rsidRPr="00A628C0">
        <w:rPr>
          <w:rFonts w:ascii="Arial" w:hAnsi="Arial" w:cs="Arial"/>
          <w:sz w:val="22"/>
          <w:szCs w:val="22"/>
        </w:rPr>
        <w:t xml:space="preserve">ZPROSTŘEDKOVÁNÍ ZAMĚSTNÁNÍ – Odborní pracovníci dodavatele jsou nápomocni klientům projektu při hledání zaměstnání vyhledáváním vhodných potenciálních zaměstnavatelů. Dosud bylo pro klienty projektu vytvořeno 51 nových pracovních míst, 30 SÚPM a 38 vhodných zaměstnání (pracovní smlouva na dobu delší než 3 měsíce, min. 50% pracovní doby). </w:t>
      </w:r>
      <w:r w:rsidRPr="00A628C0">
        <w:rPr>
          <w:rFonts w:ascii="Arial" w:hAnsi="Arial" w:cs="Arial"/>
          <w:color w:val="FF0000"/>
          <w:sz w:val="22"/>
          <w:szCs w:val="22"/>
        </w:rPr>
        <w:br/>
      </w:r>
      <w:r w:rsidRPr="00A628C0">
        <w:rPr>
          <w:rFonts w:ascii="Arial" w:hAnsi="Arial" w:cs="Arial"/>
          <w:color w:val="FF0000"/>
          <w:sz w:val="22"/>
          <w:szCs w:val="22"/>
        </w:rPr>
        <w:br/>
      </w:r>
      <w:r w:rsidRPr="003127CA">
        <w:rPr>
          <w:rFonts w:ascii="Arial" w:hAnsi="Arial" w:cs="Arial"/>
          <w:sz w:val="22"/>
          <w:szCs w:val="22"/>
        </w:rPr>
        <w:t xml:space="preserve">Z projektu dosud vystoupilo 353 klientů. </w:t>
      </w:r>
    </w:p>
    <w:p w:rsidR="001C4200" w:rsidRPr="003127CA"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r w:rsidRPr="003127CA">
        <w:rPr>
          <w:rFonts w:ascii="Arial" w:hAnsi="Arial" w:cs="Arial"/>
          <w:sz w:val="22"/>
          <w:szCs w:val="22"/>
        </w:rPr>
        <w:t xml:space="preserve">Celkový rozpočet projektu dosahuje částky 37 200 000 Kč, z nichž bylo v roce 2014 vyčerpáno </w:t>
      </w:r>
      <w:r>
        <w:rPr>
          <w:rFonts w:ascii="Arial" w:hAnsi="Arial" w:cs="Arial"/>
          <w:sz w:val="22"/>
          <w:szCs w:val="22"/>
        </w:rPr>
        <w:t xml:space="preserve">19 360 </w:t>
      </w:r>
      <w:r w:rsidRPr="00273576">
        <w:rPr>
          <w:rFonts w:ascii="Arial" w:hAnsi="Arial" w:cs="Arial"/>
          <w:sz w:val="22"/>
          <w:szCs w:val="22"/>
        </w:rPr>
        <w:t xml:space="preserve">395 </w:t>
      </w:r>
      <w:r w:rsidRPr="003127CA">
        <w:rPr>
          <w:rFonts w:ascii="Arial" w:hAnsi="Arial" w:cs="Arial"/>
          <w:sz w:val="22"/>
          <w:szCs w:val="22"/>
        </w:rPr>
        <w:t xml:space="preserve">Kč. </w:t>
      </w:r>
    </w:p>
    <w:p w:rsidR="001C4200" w:rsidRDefault="001C4200" w:rsidP="001C4200">
      <w:pPr>
        <w:jc w:val="both"/>
        <w:rPr>
          <w:rFonts w:ascii="Arial" w:hAnsi="Arial" w:cs="Arial"/>
          <w:sz w:val="22"/>
          <w:szCs w:val="22"/>
        </w:rPr>
      </w:pPr>
    </w:p>
    <w:p w:rsidR="00D27DAE" w:rsidRPr="003127CA" w:rsidRDefault="00D27DAE" w:rsidP="001C4200">
      <w:pPr>
        <w:jc w:val="both"/>
        <w:rPr>
          <w:rFonts w:ascii="Arial" w:hAnsi="Arial" w:cs="Arial"/>
          <w:sz w:val="22"/>
          <w:szCs w:val="22"/>
        </w:rPr>
      </w:pPr>
    </w:p>
    <w:p w:rsidR="001C4200" w:rsidRPr="001B5359" w:rsidRDefault="001C4200" w:rsidP="001C4200">
      <w:pPr>
        <w:pStyle w:val="Odstavecseseznamem"/>
        <w:numPr>
          <w:ilvl w:val="0"/>
          <w:numId w:val="31"/>
        </w:numPr>
        <w:shd w:val="clear" w:color="auto" w:fill="FFFFFF"/>
        <w:spacing w:after="200"/>
        <w:contextualSpacing/>
        <w:outlineLvl w:val="1"/>
        <w:rPr>
          <w:rFonts w:ascii="Arial" w:hAnsi="Arial" w:cs="Arial"/>
          <w:b/>
          <w:bCs/>
          <w:u w:val="single"/>
        </w:rPr>
      </w:pPr>
      <w:bookmarkStart w:id="75" w:name="_Toc411604073"/>
      <w:bookmarkStart w:id="76" w:name="_Toc411605388"/>
      <w:bookmarkStart w:id="77" w:name="_Toc411611482"/>
      <w:r w:rsidRPr="00EB0F7B">
        <w:rPr>
          <w:rFonts w:ascii="Arial" w:hAnsi="Arial" w:cs="Arial"/>
          <w:b/>
          <w:bCs/>
          <w:u w:val="single"/>
        </w:rPr>
        <w:t>Práce jako pomoc - CZ.1.04/2.1.00/70.00039</w:t>
      </w:r>
      <w:bookmarkEnd w:id="75"/>
      <w:bookmarkEnd w:id="76"/>
      <w:bookmarkEnd w:id="77"/>
    </w:p>
    <w:p w:rsidR="001C4200" w:rsidRDefault="001C4200" w:rsidP="001C4200">
      <w:pPr>
        <w:jc w:val="both"/>
        <w:rPr>
          <w:rFonts w:ascii="Arial" w:eastAsiaTheme="minorHAnsi" w:hAnsi="Arial" w:cs="Arial"/>
          <w:bCs/>
          <w:sz w:val="22"/>
          <w:szCs w:val="22"/>
          <w:lang w:eastAsia="en-US"/>
        </w:rPr>
      </w:pPr>
      <w:r w:rsidRPr="00E06E10">
        <w:rPr>
          <w:rFonts w:ascii="Arial" w:eastAsiaTheme="minorHAnsi" w:hAnsi="Arial" w:cs="Arial"/>
          <w:bCs/>
          <w:sz w:val="22"/>
          <w:szCs w:val="22"/>
          <w:lang w:eastAsia="en-US"/>
        </w:rPr>
        <w:t>Zahájení realizace:</w:t>
      </w:r>
      <w:r>
        <w:rPr>
          <w:rFonts w:ascii="Arial" w:eastAsiaTheme="minorHAnsi" w:hAnsi="Arial" w:cs="Arial"/>
          <w:bCs/>
          <w:sz w:val="22"/>
          <w:szCs w:val="22"/>
          <w:lang w:eastAsia="en-US"/>
        </w:rPr>
        <w:t xml:space="preserve"> 1. ledna 2013</w:t>
      </w:r>
    </w:p>
    <w:p w:rsidR="001C4200" w:rsidRPr="00E06E10" w:rsidRDefault="001C4200" w:rsidP="001C4200">
      <w:pPr>
        <w:jc w:val="both"/>
        <w:rPr>
          <w:rFonts w:ascii="Arial" w:eastAsiaTheme="minorHAnsi" w:hAnsi="Arial" w:cs="Arial"/>
          <w:bCs/>
          <w:sz w:val="22"/>
          <w:szCs w:val="22"/>
          <w:lang w:eastAsia="en-US"/>
        </w:rPr>
      </w:pPr>
      <w:r>
        <w:rPr>
          <w:rFonts w:ascii="Arial" w:eastAsiaTheme="minorHAnsi" w:hAnsi="Arial" w:cs="Arial"/>
          <w:bCs/>
          <w:sz w:val="22"/>
          <w:szCs w:val="22"/>
          <w:lang w:eastAsia="en-US"/>
        </w:rPr>
        <w:t xml:space="preserve">Ukončení realizace: 31. srpna 2015 </w:t>
      </w:r>
    </w:p>
    <w:p w:rsidR="001C4200" w:rsidRPr="00711FC4" w:rsidRDefault="001C4200" w:rsidP="001C4200">
      <w:pPr>
        <w:jc w:val="both"/>
        <w:rPr>
          <w:rFonts w:ascii="Arial" w:eastAsiaTheme="minorHAnsi" w:hAnsi="Arial" w:cs="Arial"/>
          <w:sz w:val="22"/>
          <w:szCs w:val="22"/>
          <w:lang w:eastAsia="en-US"/>
        </w:rPr>
      </w:pPr>
    </w:p>
    <w:p w:rsidR="001C4200" w:rsidRPr="00711FC4" w:rsidRDefault="001C4200" w:rsidP="001C4200">
      <w:pPr>
        <w:jc w:val="both"/>
        <w:rPr>
          <w:rFonts w:ascii="Arial" w:hAnsi="Arial" w:cs="Arial"/>
          <w:sz w:val="22"/>
          <w:szCs w:val="22"/>
        </w:rPr>
      </w:pPr>
      <w:r w:rsidRPr="00CF2278">
        <w:rPr>
          <w:rFonts w:ascii="Arial" w:hAnsi="Arial" w:cs="Arial"/>
          <w:bCs/>
          <w:sz w:val="22"/>
          <w:szCs w:val="22"/>
        </w:rPr>
        <w:t>Cílová skupina projektu:</w:t>
      </w:r>
      <w:r w:rsidRPr="00711FC4">
        <w:rPr>
          <w:rFonts w:ascii="Arial" w:hAnsi="Arial" w:cs="Arial"/>
          <w:b/>
          <w:bCs/>
          <w:sz w:val="22"/>
          <w:szCs w:val="22"/>
        </w:rPr>
        <w:t xml:space="preserve"> </w:t>
      </w:r>
      <w:r w:rsidRPr="00711FC4">
        <w:rPr>
          <w:rFonts w:ascii="Arial" w:hAnsi="Arial" w:cs="Arial"/>
          <w:sz w:val="22"/>
          <w:szCs w:val="22"/>
        </w:rPr>
        <w:t>Projekt je určen pro uchazeče o zaměstnání evidované na některém z kontaktních pracovišť ÚP ČR, Krajské pobočky v Brně, kteří:</w:t>
      </w:r>
    </w:p>
    <w:p w:rsidR="001C4200" w:rsidRPr="00711FC4" w:rsidRDefault="001C4200" w:rsidP="001C4200">
      <w:pPr>
        <w:jc w:val="both"/>
        <w:rPr>
          <w:rFonts w:ascii="Arial" w:hAnsi="Arial" w:cs="Arial"/>
          <w:sz w:val="22"/>
          <w:szCs w:val="22"/>
        </w:rPr>
      </w:pPr>
      <w:r w:rsidRPr="00711FC4">
        <w:rPr>
          <w:rFonts w:ascii="Arial" w:hAnsi="Arial" w:cs="Arial"/>
          <w:sz w:val="22"/>
          <w:szCs w:val="22"/>
        </w:rPr>
        <w:t>- jsou v evidenci ÚP déle než 3 měsíce</w:t>
      </w:r>
    </w:p>
    <w:p w:rsidR="001C4200" w:rsidRPr="00711FC4" w:rsidRDefault="001C4200" w:rsidP="001C4200">
      <w:pPr>
        <w:jc w:val="both"/>
        <w:rPr>
          <w:rFonts w:ascii="Arial" w:hAnsi="Arial" w:cs="Arial"/>
          <w:sz w:val="22"/>
          <w:szCs w:val="22"/>
        </w:rPr>
      </w:pPr>
      <w:r w:rsidRPr="00711FC4">
        <w:rPr>
          <w:rFonts w:ascii="Arial" w:hAnsi="Arial" w:cs="Arial"/>
          <w:sz w:val="22"/>
          <w:szCs w:val="22"/>
        </w:rPr>
        <w:t>- anebo nemají nárok na podporu v nezaměstnanosti bez ohledu na délku evidence</w:t>
      </w:r>
    </w:p>
    <w:p w:rsidR="001C4200" w:rsidRPr="00711FC4" w:rsidRDefault="001C4200" w:rsidP="001C4200">
      <w:pPr>
        <w:jc w:val="both"/>
        <w:rPr>
          <w:rFonts w:ascii="Arial" w:hAnsi="Arial" w:cs="Arial"/>
          <w:sz w:val="22"/>
          <w:szCs w:val="22"/>
        </w:rPr>
      </w:pPr>
      <w:r w:rsidRPr="00711FC4">
        <w:rPr>
          <w:rFonts w:ascii="Arial" w:hAnsi="Arial" w:cs="Arial"/>
          <w:sz w:val="22"/>
          <w:szCs w:val="22"/>
        </w:rPr>
        <w:t>- mají minimálně základní vzdělání.</w:t>
      </w:r>
    </w:p>
    <w:p w:rsidR="001C4200" w:rsidRPr="00CF2278" w:rsidRDefault="001C4200" w:rsidP="001C4200">
      <w:pPr>
        <w:jc w:val="both"/>
        <w:rPr>
          <w:rFonts w:ascii="Arial" w:hAnsi="Arial" w:cs="Arial"/>
          <w:sz w:val="22"/>
          <w:szCs w:val="22"/>
        </w:rPr>
      </w:pPr>
      <w:r w:rsidRPr="00711FC4">
        <w:rPr>
          <w:rFonts w:ascii="Arial" w:hAnsi="Arial" w:cs="Arial"/>
          <w:sz w:val="22"/>
          <w:szCs w:val="22"/>
        </w:rPr>
        <w:t>Projekt je prioritně určen pro uchazeče o zaměstnání, ale v omezené míře bude dostupný i pro zájemce o zaměstnání, kteří jsou nezaměstnaností ohroženi. Projekt má pomoci těm uchazečům, kteří z různých důvodů nemohou na trhu práce uplatnit svoji původní kvalifikaci a mají vážný zájem o práci v oblasti sociálních služeb a v souvisejících profesích.</w:t>
      </w:r>
    </w:p>
    <w:p w:rsidR="001C4200" w:rsidRDefault="001C4200" w:rsidP="001C4200">
      <w:pPr>
        <w:jc w:val="both"/>
        <w:rPr>
          <w:rFonts w:ascii="Arial" w:eastAsiaTheme="minorHAnsi" w:hAnsi="Arial" w:cs="Arial"/>
          <w:sz w:val="22"/>
          <w:szCs w:val="22"/>
          <w:lang w:eastAsia="en-US"/>
        </w:rPr>
      </w:pPr>
    </w:p>
    <w:p w:rsidR="001C4200" w:rsidRPr="00CF1690" w:rsidRDefault="001C4200" w:rsidP="001C4200">
      <w:pPr>
        <w:jc w:val="both"/>
        <w:rPr>
          <w:rFonts w:ascii="Arial" w:eastAsiaTheme="minorHAnsi" w:hAnsi="Arial" w:cs="Arial"/>
          <w:bCs/>
          <w:color w:val="000000"/>
          <w:sz w:val="22"/>
          <w:szCs w:val="22"/>
          <w:u w:val="single"/>
        </w:rPr>
      </w:pPr>
      <w:r w:rsidRPr="00CF1690">
        <w:rPr>
          <w:rFonts w:ascii="Arial" w:eastAsiaTheme="minorHAnsi" w:hAnsi="Arial" w:cs="Arial"/>
          <w:bCs/>
          <w:color w:val="000000"/>
          <w:sz w:val="22"/>
          <w:szCs w:val="22"/>
          <w:u w:val="single"/>
        </w:rPr>
        <w:t>Aktivity projektu (k 31. 12. 2014):</w:t>
      </w:r>
    </w:p>
    <w:p w:rsidR="001C4200" w:rsidRPr="00711FC4" w:rsidRDefault="001C4200" w:rsidP="001C4200">
      <w:pPr>
        <w:jc w:val="both"/>
        <w:rPr>
          <w:rFonts w:ascii="Arial" w:eastAsiaTheme="minorHAnsi" w:hAnsi="Arial" w:cs="Arial"/>
          <w:sz w:val="22"/>
          <w:szCs w:val="22"/>
          <w:lang w:eastAsia="en-US"/>
        </w:rPr>
      </w:pPr>
      <w:r w:rsidRPr="00711FC4">
        <w:rPr>
          <w:rFonts w:ascii="Arial" w:eastAsiaTheme="minorHAnsi" w:hAnsi="Arial" w:cs="Arial"/>
          <w:sz w:val="22"/>
          <w:szCs w:val="22"/>
          <w:lang w:eastAsia="en-US"/>
        </w:rPr>
        <w:br/>
        <w:t>VÝBĚR KLIENTŮ PROJEKTU – výběr potenciálních klientů probíhá ve spolupráci s kontaktními pracovišti ÚP v Jihomoravském kraji. Do projektu byl plánován vstup minimálně 350 osob. Dosud již bylo do projektu vybráno 379 klientů.</w:t>
      </w:r>
    </w:p>
    <w:p w:rsidR="001C4200" w:rsidRPr="00711FC4" w:rsidRDefault="001C4200" w:rsidP="001C4200">
      <w:pPr>
        <w:jc w:val="both"/>
        <w:rPr>
          <w:rFonts w:ascii="Arial" w:eastAsiaTheme="minorHAnsi" w:hAnsi="Arial" w:cs="Arial"/>
          <w:sz w:val="22"/>
          <w:szCs w:val="22"/>
          <w:lang w:eastAsia="en-US"/>
        </w:rPr>
      </w:pPr>
      <w:r w:rsidRPr="00711FC4">
        <w:rPr>
          <w:rFonts w:ascii="Arial" w:eastAsiaTheme="minorHAnsi" w:hAnsi="Arial" w:cs="Arial"/>
          <w:sz w:val="22"/>
          <w:szCs w:val="22"/>
          <w:lang w:eastAsia="en-US"/>
        </w:rPr>
        <w:br/>
        <w:t xml:space="preserve">VSTUPNÍ BLOK – tato aktivita je určena pro všechny klienty projektu. Klienti absolvují dvoudenní vstupní blok, jehož cílem je podrobné seznámení klientů s projektem, s organizací jeho aktivit, s možnostmi a přínosy pro klienty a s legislativou v oblasti zaměstnanosti. </w:t>
      </w:r>
      <w:r w:rsidRPr="00711FC4">
        <w:rPr>
          <w:rFonts w:ascii="Arial" w:hAnsi="Arial" w:cs="Arial"/>
          <w:sz w:val="22"/>
          <w:szCs w:val="22"/>
        </w:rPr>
        <w:t>Dohodu o účasti v projektu podepsalo 379 osob z 350 plánovaných.</w:t>
      </w:r>
    </w:p>
    <w:p w:rsidR="001C4200" w:rsidRPr="00711FC4" w:rsidRDefault="001C4200" w:rsidP="001C4200">
      <w:pPr>
        <w:jc w:val="both"/>
        <w:rPr>
          <w:rFonts w:ascii="Arial" w:eastAsiaTheme="minorHAnsi" w:hAnsi="Arial" w:cs="Arial"/>
          <w:sz w:val="22"/>
          <w:szCs w:val="22"/>
          <w:lang w:eastAsia="en-US"/>
        </w:rPr>
      </w:pPr>
      <w:r w:rsidRPr="00711FC4">
        <w:rPr>
          <w:rFonts w:ascii="Arial" w:eastAsiaTheme="minorHAnsi" w:hAnsi="Arial" w:cs="Arial"/>
          <w:sz w:val="22"/>
          <w:szCs w:val="22"/>
          <w:lang w:eastAsia="en-US"/>
        </w:rPr>
        <w:br/>
        <w:t xml:space="preserve">PLÁN ROZVOJE KLIENTA – se všemi účastníky projektu bude odborným poradcem sestaven Plán rozvoje klienta, ve kterém budou stanoveny cíle klienta v projektu, předpokládaný způsob zapojení klienta na trh práce, výběr vhodného rekvalifikačního kurzu apod. Dosud bylo sestaveno 379 Plánů rozvoje klienta. </w:t>
      </w:r>
    </w:p>
    <w:p w:rsidR="001C4200" w:rsidRPr="00711FC4" w:rsidRDefault="001C4200" w:rsidP="001C4200">
      <w:pPr>
        <w:jc w:val="both"/>
        <w:rPr>
          <w:rFonts w:ascii="Arial" w:eastAsiaTheme="minorHAnsi" w:hAnsi="Arial" w:cs="Arial"/>
          <w:sz w:val="22"/>
          <w:szCs w:val="22"/>
          <w:lang w:eastAsia="en-US"/>
        </w:rPr>
      </w:pPr>
      <w:r w:rsidRPr="00711FC4">
        <w:rPr>
          <w:rFonts w:ascii="Arial" w:eastAsiaTheme="minorHAnsi" w:hAnsi="Arial" w:cs="Arial"/>
          <w:sz w:val="22"/>
          <w:szCs w:val="22"/>
          <w:lang w:eastAsia="en-US"/>
        </w:rPr>
        <w:br/>
        <w:t>MOTIVAČNÍ PROGRAM - aktivity se zúčastní min. 180 klientů projektu. Cílem aktivity je zvýšení motivace a sebevědomí klientů a rozvoj základních prezentačních a komunikačních dovedností potřebných při hledání zaměstnání. Tuto aktivitu dosud absolvovalo 186 klientů z původně plánovaných 180 klientů.</w:t>
      </w:r>
    </w:p>
    <w:p w:rsidR="001C4200" w:rsidRPr="00711FC4" w:rsidRDefault="001C4200" w:rsidP="001C4200">
      <w:pPr>
        <w:jc w:val="both"/>
        <w:rPr>
          <w:rFonts w:ascii="Arial" w:eastAsiaTheme="minorHAnsi" w:hAnsi="Arial" w:cs="Arial"/>
          <w:sz w:val="22"/>
          <w:szCs w:val="22"/>
          <w:lang w:eastAsia="en-US"/>
        </w:rPr>
      </w:pPr>
      <w:r w:rsidRPr="00711FC4">
        <w:rPr>
          <w:rFonts w:ascii="Arial" w:eastAsiaTheme="minorHAnsi" w:hAnsi="Arial" w:cs="Arial"/>
          <w:sz w:val="22"/>
          <w:szCs w:val="22"/>
          <w:lang w:eastAsia="en-US"/>
        </w:rPr>
        <w:br/>
        <w:t xml:space="preserve">PORADENSKÝ PROGRAM - pro min. 260 osob bude zajištěna bilanční a pracovní diagnostika. Klientovi bude poskytnuto komplexní poradenství prostřednictvím individuálních a skupinových konzultací. Tuto aktivitu dosud absolvovalo 267 klientů projektu.  </w:t>
      </w:r>
      <w:r w:rsidRPr="00711FC4">
        <w:rPr>
          <w:rFonts w:ascii="Arial" w:eastAsiaTheme="minorHAnsi" w:hAnsi="Arial" w:cs="Arial"/>
          <w:sz w:val="22"/>
          <w:szCs w:val="22"/>
          <w:lang w:eastAsia="en-US"/>
        </w:rPr>
        <w:br/>
      </w:r>
      <w:r w:rsidRPr="00711FC4">
        <w:rPr>
          <w:rFonts w:ascii="Arial" w:eastAsiaTheme="minorHAnsi" w:hAnsi="Arial" w:cs="Arial"/>
          <w:sz w:val="22"/>
          <w:szCs w:val="22"/>
          <w:lang w:eastAsia="en-US"/>
        </w:rPr>
        <w:br/>
        <w:t>INDIVIDUÁLNÍ PORADENSTVÍ – této aktivity mohou využít všichni klienti projektu. Cílem je snaha o maximální podporu klientů a možnost konzultovat s odborným poradcem pro oblast trhu práce nebo s odborným poradcem v oboru psychologie aktuální situaci klienta a nalézt optimální uplatnění v projektu a na trhu práce. Celková kapacita poskytovaného poradenství v rámci projektu je 1 050 hodin. Individuální poradenství bylo dosud vyčerpáno v rozsahu 719,5 hodin.</w:t>
      </w:r>
    </w:p>
    <w:p w:rsidR="001C4200" w:rsidRPr="00711FC4" w:rsidRDefault="001C4200" w:rsidP="001C4200">
      <w:pPr>
        <w:jc w:val="both"/>
        <w:rPr>
          <w:rFonts w:ascii="Arial" w:hAnsi="Arial" w:cs="Arial"/>
          <w:sz w:val="22"/>
          <w:szCs w:val="22"/>
        </w:rPr>
      </w:pPr>
      <w:r w:rsidRPr="00711FC4">
        <w:rPr>
          <w:rFonts w:ascii="Arial" w:eastAsiaTheme="minorHAnsi" w:hAnsi="Arial" w:cs="Arial"/>
          <w:sz w:val="22"/>
          <w:szCs w:val="22"/>
          <w:lang w:eastAsia="en-US"/>
        </w:rPr>
        <w:br/>
        <w:t xml:space="preserve">REKVALIFIKAČNÍ KURZY – v rámci této aktivity bude podpořeno min. 200 klientů a celkem bude vystaveno min. 350 osvědčení o úspěšném absolvování kurzu. Rekvalifikační kurzy jsou zaměřeny na oblast přímé obslužné péče, pečovatelské činnosti a osobní asistence, informačních a komunikačních technologií, administrativy a ekonomiky, služeb a profesní kvalifikace. </w:t>
      </w:r>
      <w:r w:rsidRPr="00711FC4">
        <w:rPr>
          <w:rFonts w:ascii="Arial" w:hAnsi="Arial" w:cs="Arial"/>
          <w:sz w:val="22"/>
          <w:szCs w:val="22"/>
        </w:rPr>
        <w:t>Dosud bylo vydáno 253 osvědčení úspěšným absolventům kurzů.</w:t>
      </w:r>
      <w:r w:rsidRPr="00711FC4">
        <w:rPr>
          <w:rFonts w:ascii="Arial" w:hAnsi="Arial" w:cs="Arial"/>
          <w:sz w:val="22"/>
          <w:szCs w:val="22"/>
        </w:rPr>
        <w:br/>
      </w:r>
    </w:p>
    <w:p w:rsidR="001C4200" w:rsidRPr="00711FC4" w:rsidRDefault="001C4200" w:rsidP="001C4200">
      <w:pPr>
        <w:jc w:val="both"/>
        <w:rPr>
          <w:rFonts w:ascii="Arial" w:eastAsiaTheme="minorHAnsi" w:hAnsi="Arial" w:cs="Arial"/>
          <w:sz w:val="22"/>
          <w:szCs w:val="22"/>
          <w:lang w:eastAsia="en-US"/>
        </w:rPr>
      </w:pPr>
      <w:r w:rsidRPr="00711FC4">
        <w:rPr>
          <w:rFonts w:ascii="Arial" w:eastAsiaTheme="minorHAnsi" w:hAnsi="Arial" w:cs="Arial"/>
          <w:sz w:val="22"/>
          <w:szCs w:val="22"/>
          <w:lang w:eastAsia="en-US"/>
        </w:rPr>
        <w:t xml:space="preserve">ZPROSTŘEDKOVÁNÍ ZAMĚSTNÁNÍ – celkem bude zprostředkováno min. 85 pracovních míst, z toho bude 30 pracovních míst nově vytvořeno, 35 bude naplňovat definici společensky účelného pracovního místa vyhrazeného s dotací a 20 pracovních míst bude splňovat podmínky vhodného zaměstnání. </w:t>
      </w:r>
    </w:p>
    <w:p w:rsidR="001C4200" w:rsidRPr="00711FC4" w:rsidRDefault="001C4200" w:rsidP="001C4200">
      <w:pPr>
        <w:jc w:val="both"/>
        <w:rPr>
          <w:rFonts w:ascii="Arial" w:eastAsiaTheme="minorHAnsi" w:hAnsi="Arial" w:cs="Arial"/>
          <w:sz w:val="22"/>
          <w:szCs w:val="22"/>
          <w:lang w:eastAsia="en-US"/>
        </w:rPr>
      </w:pPr>
    </w:p>
    <w:p w:rsidR="001C4200" w:rsidRDefault="001C4200" w:rsidP="001C4200">
      <w:pPr>
        <w:jc w:val="both"/>
        <w:rPr>
          <w:rFonts w:ascii="Arial" w:hAnsi="Arial" w:cs="Arial"/>
          <w:sz w:val="22"/>
          <w:szCs w:val="22"/>
        </w:rPr>
      </w:pPr>
      <w:r w:rsidRPr="00711FC4">
        <w:rPr>
          <w:rFonts w:ascii="Arial" w:hAnsi="Arial" w:cs="Arial"/>
          <w:sz w:val="22"/>
          <w:szCs w:val="22"/>
        </w:rPr>
        <w:t>Z projektu dosud vystoupilo 170 klientů, z toho 105 z důvodu nástupu do jakéhokoliv zaměstnání, tj. 62 %.</w:t>
      </w:r>
    </w:p>
    <w:p w:rsidR="001C4200" w:rsidRPr="001842FD" w:rsidRDefault="001C4200" w:rsidP="001C4200">
      <w:pPr>
        <w:jc w:val="both"/>
        <w:rPr>
          <w:rFonts w:ascii="Arial" w:hAnsi="Arial" w:cs="Arial"/>
          <w:sz w:val="22"/>
          <w:szCs w:val="22"/>
        </w:rPr>
      </w:pPr>
    </w:p>
    <w:p w:rsidR="001C4200" w:rsidRDefault="001C4200" w:rsidP="001C4200">
      <w:pPr>
        <w:jc w:val="both"/>
        <w:rPr>
          <w:rFonts w:ascii="Arial" w:eastAsiaTheme="minorHAnsi" w:hAnsi="Arial" w:cs="Arial"/>
          <w:sz w:val="22"/>
          <w:szCs w:val="22"/>
          <w:lang w:eastAsia="en-US"/>
        </w:rPr>
      </w:pPr>
      <w:r w:rsidRPr="00711FC4">
        <w:rPr>
          <w:rFonts w:ascii="Arial" w:eastAsiaTheme="minorHAnsi" w:hAnsi="Arial" w:cs="Arial"/>
          <w:sz w:val="22"/>
          <w:szCs w:val="22"/>
          <w:lang w:eastAsia="en-US"/>
        </w:rPr>
        <w:t>Celkový rozpočet projektu činí 21 559 320 Kč, z nichž bylo v roce 2014 vyčerpáno celkem 7 107 465,95 Kč.</w:t>
      </w:r>
    </w:p>
    <w:p w:rsidR="00D27DAE" w:rsidRDefault="00D27DAE" w:rsidP="001C4200">
      <w:pPr>
        <w:jc w:val="both"/>
        <w:rPr>
          <w:rFonts w:ascii="Arial" w:eastAsiaTheme="minorHAnsi" w:hAnsi="Arial" w:cs="Arial"/>
          <w:sz w:val="22"/>
          <w:szCs w:val="22"/>
          <w:lang w:eastAsia="en-US"/>
        </w:rPr>
      </w:pPr>
    </w:p>
    <w:p w:rsidR="00D27DAE" w:rsidRDefault="00D27DAE" w:rsidP="001C4200">
      <w:pPr>
        <w:jc w:val="both"/>
        <w:rPr>
          <w:rFonts w:ascii="Arial" w:eastAsiaTheme="minorHAnsi" w:hAnsi="Arial" w:cs="Arial"/>
          <w:sz w:val="22"/>
          <w:szCs w:val="22"/>
          <w:lang w:eastAsia="en-US"/>
        </w:rPr>
      </w:pPr>
    </w:p>
    <w:p w:rsidR="001C4200" w:rsidRPr="0078587C" w:rsidRDefault="001C4200" w:rsidP="001C4200">
      <w:pPr>
        <w:pStyle w:val="Odstavecseseznamem"/>
        <w:numPr>
          <w:ilvl w:val="0"/>
          <w:numId w:val="31"/>
        </w:numPr>
        <w:tabs>
          <w:tab w:val="left" w:pos="426"/>
        </w:tabs>
        <w:spacing w:after="200"/>
        <w:contextualSpacing/>
        <w:jc w:val="both"/>
        <w:rPr>
          <w:rFonts w:ascii="Arial" w:hAnsi="Arial" w:cs="Arial"/>
          <w:b/>
          <w:u w:val="single"/>
        </w:rPr>
      </w:pPr>
      <w:r w:rsidRPr="00F238A2">
        <w:rPr>
          <w:rFonts w:ascii="Arial" w:hAnsi="Arial" w:cs="Arial"/>
          <w:b/>
          <w:u w:val="single"/>
        </w:rPr>
        <w:t>Cesta na trh práce – CZ.1.04/2.1.00/70.00054</w:t>
      </w:r>
    </w:p>
    <w:p w:rsidR="001C4200" w:rsidRPr="00EA614E" w:rsidRDefault="001C4200" w:rsidP="001C4200">
      <w:pPr>
        <w:jc w:val="both"/>
        <w:rPr>
          <w:rFonts w:ascii="Arial" w:hAnsi="Arial" w:cs="Arial"/>
          <w:sz w:val="22"/>
          <w:szCs w:val="22"/>
        </w:rPr>
      </w:pPr>
      <w:r w:rsidRPr="00EA614E">
        <w:rPr>
          <w:rFonts w:ascii="Arial" w:hAnsi="Arial" w:cs="Arial"/>
          <w:sz w:val="22"/>
          <w:szCs w:val="22"/>
        </w:rPr>
        <w:t>Zahájení realizace:</w:t>
      </w:r>
      <w:r w:rsidRPr="00EA614E">
        <w:rPr>
          <w:rFonts w:ascii="Arial" w:hAnsi="Arial" w:cs="Arial"/>
          <w:sz w:val="22"/>
          <w:szCs w:val="22"/>
        </w:rPr>
        <w:tab/>
        <w:t>1. května 2013</w:t>
      </w:r>
    </w:p>
    <w:p w:rsidR="001C4200" w:rsidRPr="00EA614E" w:rsidRDefault="001C4200" w:rsidP="001C4200">
      <w:pPr>
        <w:jc w:val="both"/>
        <w:rPr>
          <w:rFonts w:ascii="Arial" w:hAnsi="Arial" w:cs="Arial"/>
          <w:sz w:val="22"/>
          <w:szCs w:val="22"/>
        </w:rPr>
      </w:pPr>
      <w:r>
        <w:rPr>
          <w:rFonts w:ascii="Arial" w:hAnsi="Arial" w:cs="Arial"/>
          <w:sz w:val="22"/>
          <w:szCs w:val="22"/>
        </w:rPr>
        <w:t>Ukončení realizace:</w:t>
      </w:r>
      <w:r>
        <w:rPr>
          <w:rFonts w:ascii="Arial" w:hAnsi="Arial" w:cs="Arial"/>
          <w:sz w:val="22"/>
          <w:szCs w:val="22"/>
        </w:rPr>
        <w:tab/>
        <w:t>31. října</w:t>
      </w:r>
      <w:r w:rsidRPr="00EA614E">
        <w:rPr>
          <w:rFonts w:ascii="Arial" w:hAnsi="Arial" w:cs="Arial"/>
          <w:sz w:val="22"/>
          <w:szCs w:val="22"/>
        </w:rPr>
        <w:t xml:space="preserve"> 2015</w:t>
      </w:r>
    </w:p>
    <w:p w:rsidR="001C4200" w:rsidRPr="00EA614E" w:rsidRDefault="001C4200" w:rsidP="001C4200">
      <w:pPr>
        <w:jc w:val="both"/>
        <w:rPr>
          <w:rFonts w:ascii="Arial" w:hAnsi="Arial" w:cs="Arial"/>
          <w:color w:val="FF0000"/>
          <w:sz w:val="22"/>
          <w:szCs w:val="22"/>
        </w:rPr>
      </w:pPr>
    </w:p>
    <w:p w:rsidR="001C4200" w:rsidRPr="00EA614E" w:rsidRDefault="001C4200" w:rsidP="001C4200">
      <w:pPr>
        <w:jc w:val="both"/>
        <w:rPr>
          <w:rFonts w:ascii="Arial" w:hAnsi="Arial" w:cs="Arial"/>
          <w:color w:val="000000"/>
          <w:sz w:val="22"/>
          <w:szCs w:val="22"/>
        </w:rPr>
      </w:pPr>
      <w:r w:rsidRPr="00EA614E">
        <w:rPr>
          <w:rFonts w:ascii="Arial" w:hAnsi="Arial" w:cs="Arial"/>
          <w:sz w:val="22"/>
          <w:szCs w:val="22"/>
        </w:rPr>
        <w:t>Do projektu bude zařazeno 500 osob z cílové skupiny. Projekt podpoří vytvoření 160 pracovních míst z toho: 60 nově vytvořených pracovních míst se mzdovým příspěvkem (dle metodiky OP LZZ)</w:t>
      </w:r>
      <w:r w:rsidRPr="00EA614E">
        <w:rPr>
          <w:rFonts w:ascii="Arial" w:hAnsi="Arial" w:cs="Arial"/>
          <w:color w:val="000000"/>
          <w:sz w:val="22"/>
          <w:szCs w:val="22"/>
        </w:rPr>
        <w:t>, 20 SÚPM a min. 80 vhodných zaměstnání (pracovní smlouva na dobu delší než 3 měsíce, min. 50 % pracovní doby).</w:t>
      </w:r>
    </w:p>
    <w:p w:rsidR="001C4200" w:rsidRPr="00EA614E" w:rsidRDefault="001C4200" w:rsidP="001C4200">
      <w:pPr>
        <w:jc w:val="both"/>
        <w:rPr>
          <w:rFonts w:ascii="Arial" w:hAnsi="Arial" w:cs="Arial"/>
          <w:sz w:val="22"/>
          <w:szCs w:val="22"/>
        </w:rPr>
      </w:pPr>
    </w:p>
    <w:p w:rsidR="001C4200" w:rsidRPr="00EA614E" w:rsidRDefault="001C4200" w:rsidP="001C4200">
      <w:pPr>
        <w:jc w:val="both"/>
        <w:rPr>
          <w:rFonts w:ascii="Arial" w:hAnsi="Arial" w:cs="Arial"/>
          <w:sz w:val="22"/>
          <w:szCs w:val="22"/>
        </w:rPr>
      </w:pPr>
      <w:r w:rsidRPr="00EA614E">
        <w:rPr>
          <w:rFonts w:ascii="Arial" w:hAnsi="Arial" w:cs="Arial"/>
          <w:sz w:val="22"/>
          <w:szCs w:val="22"/>
        </w:rPr>
        <w:t>Cílovou skupinou jsou uchazeči o zaměstnání nad 30 let věku, kteří splňují jednu ze dvou podmínek:</w:t>
      </w:r>
    </w:p>
    <w:p w:rsidR="001C4200" w:rsidRPr="00EA614E" w:rsidRDefault="001C4200" w:rsidP="001C4200">
      <w:pPr>
        <w:pStyle w:val="Odstavecseseznamem"/>
        <w:numPr>
          <w:ilvl w:val="0"/>
          <w:numId w:val="19"/>
        </w:numPr>
        <w:spacing w:after="200"/>
        <w:contextualSpacing/>
        <w:jc w:val="both"/>
        <w:rPr>
          <w:rFonts w:ascii="Arial" w:hAnsi="Arial" w:cs="Arial"/>
        </w:rPr>
      </w:pPr>
      <w:r w:rsidRPr="00EA614E">
        <w:rPr>
          <w:rFonts w:ascii="Arial" w:hAnsi="Arial" w:cs="Arial"/>
        </w:rPr>
        <w:t xml:space="preserve">evidence na kterémkoliv kontaktním pracovišti krajské pobočky v Brně déle než 5 měsíců </w:t>
      </w:r>
    </w:p>
    <w:p w:rsidR="001C4200" w:rsidRPr="00866513" w:rsidRDefault="001C4200" w:rsidP="001C4200">
      <w:pPr>
        <w:pStyle w:val="Odstavecseseznamem"/>
        <w:numPr>
          <w:ilvl w:val="0"/>
          <w:numId w:val="19"/>
        </w:numPr>
        <w:spacing w:after="200"/>
        <w:contextualSpacing/>
        <w:jc w:val="both"/>
        <w:rPr>
          <w:rFonts w:ascii="Arial" w:hAnsi="Arial" w:cs="Arial"/>
        </w:rPr>
      </w:pPr>
      <w:r w:rsidRPr="00EA614E">
        <w:rPr>
          <w:rFonts w:ascii="Arial" w:hAnsi="Arial" w:cs="Arial"/>
        </w:rPr>
        <w:t xml:space="preserve">anebo uchazeči o zaměstnání bez nároku na podporu v nezaměstnanosti </w:t>
      </w:r>
    </w:p>
    <w:p w:rsidR="001C4200" w:rsidRPr="00CF1690" w:rsidRDefault="001C4200" w:rsidP="001C4200">
      <w:pPr>
        <w:jc w:val="both"/>
        <w:rPr>
          <w:rFonts w:ascii="Arial" w:eastAsiaTheme="minorHAnsi" w:hAnsi="Arial" w:cs="Arial"/>
          <w:bCs/>
          <w:color w:val="000000"/>
          <w:sz w:val="22"/>
          <w:szCs w:val="22"/>
          <w:u w:val="single"/>
        </w:rPr>
      </w:pPr>
      <w:r w:rsidRPr="00CF1690">
        <w:rPr>
          <w:rFonts w:ascii="Arial" w:eastAsiaTheme="minorHAnsi" w:hAnsi="Arial" w:cs="Arial"/>
          <w:bCs/>
          <w:color w:val="000000"/>
          <w:sz w:val="22"/>
          <w:szCs w:val="22"/>
          <w:u w:val="single"/>
        </w:rPr>
        <w:t>Aktivity projektu (k 31. 12. 2014):</w:t>
      </w:r>
    </w:p>
    <w:p w:rsidR="001C4200" w:rsidRPr="00EA614E" w:rsidRDefault="001C4200" w:rsidP="001C4200">
      <w:pPr>
        <w:jc w:val="both"/>
        <w:rPr>
          <w:rFonts w:ascii="Arial" w:hAnsi="Arial" w:cs="Arial"/>
          <w:sz w:val="22"/>
          <w:szCs w:val="22"/>
        </w:rPr>
      </w:pPr>
    </w:p>
    <w:p w:rsidR="001C4200" w:rsidRDefault="001C4200" w:rsidP="001C4200">
      <w:pPr>
        <w:jc w:val="both"/>
        <w:rPr>
          <w:rFonts w:ascii="Arial" w:hAnsi="Arial" w:cs="Arial"/>
          <w:color w:val="000000"/>
          <w:sz w:val="22"/>
          <w:szCs w:val="22"/>
        </w:rPr>
      </w:pPr>
      <w:r>
        <w:rPr>
          <w:rFonts w:ascii="Arial" w:hAnsi="Arial" w:cs="Arial"/>
          <w:color w:val="000000"/>
          <w:sz w:val="22"/>
          <w:szCs w:val="22"/>
        </w:rPr>
        <w:t xml:space="preserve">VÝBĚR KLIENTŮ PROJEKTU </w:t>
      </w:r>
      <w:r w:rsidRPr="00EA614E">
        <w:rPr>
          <w:rFonts w:ascii="Arial" w:hAnsi="Arial" w:cs="Arial"/>
          <w:color w:val="000000"/>
          <w:sz w:val="22"/>
          <w:szCs w:val="22"/>
        </w:rPr>
        <w:t xml:space="preserve">– je prováděn ve spolupráci s jednotlivými úřady práce v kraji. Zařazení do projektu je podmíněno evidencí na kterémkoliv kontaktním pracovišti Úřadu práce ČR v JmK. Klientem se může stát osoba starší 30 let </w:t>
      </w:r>
      <w:r w:rsidRPr="00EA614E">
        <w:rPr>
          <w:rFonts w:ascii="Arial" w:hAnsi="Arial" w:cs="Arial"/>
          <w:sz w:val="22"/>
          <w:szCs w:val="22"/>
        </w:rPr>
        <w:t xml:space="preserve">evidovaná déle než 5 měsíců jako uchazeč o zaměstnání, splňující jednu ze dvou podmínek. Evidence na kterémkoliv kontaktním pracovišti krajské pobočky v Brně déle než 5 měsíců anebo uchazeči o zaměstnání bez nároku na podporu v nezaměstnanosti. </w:t>
      </w:r>
      <w:r w:rsidRPr="00EA614E">
        <w:rPr>
          <w:rFonts w:ascii="Arial" w:hAnsi="Arial" w:cs="Arial"/>
          <w:color w:val="000000"/>
          <w:sz w:val="22"/>
          <w:szCs w:val="22"/>
        </w:rPr>
        <w:t>Celk</w:t>
      </w:r>
      <w:r>
        <w:rPr>
          <w:rFonts w:ascii="Arial" w:hAnsi="Arial" w:cs="Arial"/>
          <w:color w:val="000000"/>
          <w:sz w:val="22"/>
          <w:szCs w:val="22"/>
        </w:rPr>
        <w:t xml:space="preserve">em lze do projektu zařadit min. </w:t>
      </w:r>
    </w:p>
    <w:p w:rsidR="001C4200" w:rsidRPr="005238FC" w:rsidRDefault="001C4200" w:rsidP="001C4200">
      <w:pPr>
        <w:rPr>
          <w:rFonts w:ascii="Arial" w:hAnsi="Arial" w:cs="Arial"/>
          <w:sz w:val="22"/>
          <w:szCs w:val="22"/>
        </w:rPr>
      </w:pPr>
      <w:r w:rsidRPr="00EA614E">
        <w:rPr>
          <w:rFonts w:ascii="Arial" w:hAnsi="Arial" w:cs="Arial"/>
          <w:color w:val="000000"/>
          <w:sz w:val="22"/>
          <w:szCs w:val="22"/>
        </w:rPr>
        <w:t>500 klientů. Do</w:t>
      </w:r>
      <w:r>
        <w:rPr>
          <w:rFonts w:ascii="Arial" w:hAnsi="Arial" w:cs="Arial"/>
          <w:color w:val="000000"/>
          <w:sz w:val="22"/>
          <w:szCs w:val="22"/>
        </w:rPr>
        <w:t xml:space="preserve">sud bylo do projektu vybráno 310 </w:t>
      </w:r>
      <w:r w:rsidRPr="00EA614E">
        <w:rPr>
          <w:rFonts w:ascii="Arial" w:hAnsi="Arial" w:cs="Arial"/>
          <w:color w:val="000000"/>
          <w:sz w:val="22"/>
          <w:szCs w:val="22"/>
        </w:rPr>
        <w:t>osob.</w:t>
      </w:r>
      <w:r>
        <w:rPr>
          <w:rFonts w:ascii="Arial" w:hAnsi="Arial" w:cs="Arial"/>
          <w:color w:val="000000"/>
          <w:sz w:val="22"/>
          <w:szCs w:val="22"/>
        </w:rPr>
        <w:br/>
      </w:r>
    </w:p>
    <w:p w:rsidR="001C4200" w:rsidRPr="00EA614E" w:rsidRDefault="001C4200" w:rsidP="001C4200">
      <w:pPr>
        <w:jc w:val="both"/>
        <w:rPr>
          <w:rFonts w:ascii="Arial" w:hAnsi="Arial" w:cs="Arial"/>
          <w:color w:val="000000"/>
          <w:sz w:val="22"/>
          <w:szCs w:val="22"/>
        </w:rPr>
      </w:pPr>
      <w:r w:rsidRPr="00EA614E">
        <w:rPr>
          <w:rFonts w:ascii="Arial" w:hAnsi="Arial" w:cs="Arial"/>
          <w:color w:val="000000"/>
          <w:sz w:val="22"/>
          <w:szCs w:val="22"/>
        </w:rPr>
        <w:t>VSTUPNÍ BLOK – 3 denní blok informací o projektu a jeho poradenských, motivačních a vzdělávacích aktivitách a legislativě z pracovní oblasti (6 hodin denně) povinný pro všechny klienty projektu. Dohodu o</w:t>
      </w:r>
      <w:r>
        <w:rPr>
          <w:rFonts w:ascii="Arial" w:hAnsi="Arial" w:cs="Arial"/>
          <w:color w:val="000000"/>
          <w:sz w:val="22"/>
          <w:szCs w:val="22"/>
        </w:rPr>
        <w:t> účasti v projektu podepsalo 309 osob z 500 plánovaných,</w:t>
      </w:r>
      <w:r w:rsidRPr="00B47600">
        <w:rPr>
          <w:rFonts w:ascii="Arial" w:hAnsi="Arial" w:cs="Arial"/>
          <w:color w:val="000000"/>
          <w:sz w:val="22"/>
          <w:szCs w:val="22"/>
        </w:rPr>
        <w:t xml:space="preserve"> </w:t>
      </w:r>
      <w:r>
        <w:rPr>
          <w:rFonts w:ascii="Arial" w:hAnsi="Arial" w:cs="Arial"/>
          <w:color w:val="000000"/>
          <w:sz w:val="22"/>
          <w:szCs w:val="22"/>
        </w:rPr>
        <w:t>dohody byly podepsány v roce 2014.</w:t>
      </w:r>
    </w:p>
    <w:p w:rsidR="001C4200" w:rsidRPr="00EA614E" w:rsidRDefault="001C4200" w:rsidP="001C4200">
      <w:pPr>
        <w:jc w:val="both"/>
        <w:rPr>
          <w:rFonts w:ascii="Arial" w:hAnsi="Arial" w:cs="Arial"/>
          <w:color w:val="000000"/>
          <w:sz w:val="22"/>
          <w:szCs w:val="22"/>
        </w:rPr>
      </w:pPr>
      <w:r w:rsidRPr="00EA614E">
        <w:rPr>
          <w:rFonts w:ascii="Arial" w:hAnsi="Arial" w:cs="Arial"/>
          <w:color w:val="000000"/>
          <w:sz w:val="22"/>
          <w:szCs w:val="22"/>
        </w:rPr>
        <w:br/>
      </w:r>
      <w:r>
        <w:rPr>
          <w:rFonts w:ascii="Arial" w:hAnsi="Arial" w:cs="Arial"/>
          <w:color w:val="000000"/>
          <w:sz w:val="22"/>
          <w:szCs w:val="22"/>
        </w:rPr>
        <w:t xml:space="preserve">PLÁN ROZVOJE KLIENTA </w:t>
      </w:r>
      <w:r w:rsidRPr="00EA614E">
        <w:rPr>
          <w:rFonts w:ascii="Arial" w:hAnsi="Arial" w:cs="Arial"/>
          <w:color w:val="000000"/>
          <w:sz w:val="22"/>
          <w:szCs w:val="22"/>
        </w:rPr>
        <w:t xml:space="preserve">– Každý klient projektu spolupracuje při individuálním pohovoru s odborným pracovníkem dodavatele na sestavení svého vhodného rozvojového a výukového plánu aktivit. Na doporučení odborného pracovníka může být klient zařazen do jedné z forem poradenství (pracovní diagnostiky nebo bilanční diagnostiky), na základě jejichž výstupů bude sestaven Plán rozvoje klienta. Dosud bylo sestaveno </w:t>
      </w:r>
      <w:r>
        <w:rPr>
          <w:rFonts w:ascii="Arial" w:hAnsi="Arial" w:cs="Arial"/>
          <w:color w:val="000000"/>
          <w:sz w:val="22"/>
          <w:szCs w:val="22"/>
        </w:rPr>
        <w:t>309 plánů rozvoje klienta.</w:t>
      </w:r>
    </w:p>
    <w:p w:rsidR="001C4200" w:rsidRPr="00EA614E" w:rsidRDefault="001C4200" w:rsidP="001C4200">
      <w:pPr>
        <w:jc w:val="both"/>
        <w:rPr>
          <w:rFonts w:ascii="Arial" w:hAnsi="Arial" w:cs="Arial"/>
          <w:color w:val="000000"/>
          <w:sz w:val="22"/>
          <w:szCs w:val="22"/>
        </w:rPr>
      </w:pPr>
    </w:p>
    <w:p w:rsidR="001C4200" w:rsidRDefault="001C4200" w:rsidP="001C4200">
      <w:pPr>
        <w:jc w:val="both"/>
        <w:rPr>
          <w:rFonts w:ascii="Arial" w:hAnsi="Arial" w:cs="Arial"/>
          <w:color w:val="000000"/>
          <w:sz w:val="22"/>
          <w:szCs w:val="22"/>
        </w:rPr>
      </w:pPr>
      <w:r w:rsidRPr="00EA614E">
        <w:rPr>
          <w:rFonts w:ascii="Arial" w:hAnsi="Arial" w:cs="Arial"/>
          <w:color w:val="000000"/>
          <w:sz w:val="22"/>
          <w:szCs w:val="22"/>
        </w:rPr>
        <w:t>PORADENSKÝ PROGRAM FINANČNÍ GRAMOT</w:t>
      </w:r>
      <w:r>
        <w:rPr>
          <w:rFonts w:ascii="Arial" w:hAnsi="Arial" w:cs="Arial"/>
          <w:color w:val="000000"/>
          <w:sz w:val="22"/>
          <w:szCs w:val="22"/>
        </w:rPr>
        <w:t>NOSTI – Účastníci programu jsou</w:t>
      </w:r>
      <w:r w:rsidRPr="00EA614E">
        <w:rPr>
          <w:rFonts w:ascii="Arial" w:hAnsi="Arial" w:cs="Arial"/>
          <w:color w:val="000000"/>
          <w:sz w:val="22"/>
          <w:szCs w:val="22"/>
        </w:rPr>
        <w:t xml:space="preserve"> zařazování do programu na návrh poradce/psychologa z aktivity Plán rozvoje klienta. Poradenský prog</w:t>
      </w:r>
      <w:r>
        <w:rPr>
          <w:rFonts w:ascii="Arial" w:hAnsi="Arial" w:cs="Arial"/>
          <w:color w:val="000000"/>
          <w:sz w:val="22"/>
          <w:szCs w:val="22"/>
        </w:rPr>
        <w:t>ram finanční gramotnosti obsahuje</w:t>
      </w:r>
      <w:r w:rsidRPr="00EA614E">
        <w:rPr>
          <w:rFonts w:ascii="Arial" w:hAnsi="Arial" w:cs="Arial"/>
          <w:color w:val="000000"/>
          <w:sz w:val="22"/>
          <w:szCs w:val="22"/>
        </w:rPr>
        <w:t xml:space="preserve"> nabídnutí pomoci a poradenství klientům, kteří jsou v tíživé finanční situaci mnohdy v souvislosti s dlouhodobou evidencí na úřad práce. Aktivita </w:t>
      </w:r>
      <w:r>
        <w:rPr>
          <w:rFonts w:ascii="Arial" w:hAnsi="Arial" w:cs="Arial"/>
          <w:color w:val="000000"/>
          <w:sz w:val="22"/>
          <w:szCs w:val="22"/>
        </w:rPr>
        <w:t>probíhá</w:t>
      </w:r>
      <w:r w:rsidRPr="00EA614E">
        <w:rPr>
          <w:rFonts w:ascii="Arial" w:hAnsi="Arial" w:cs="Arial"/>
          <w:color w:val="000000"/>
          <w:sz w:val="22"/>
          <w:szCs w:val="22"/>
        </w:rPr>
        <w:t xml:space="preserve"> 4 po sobě jdoucí dny minimálně 6 hodin denně. Celkem lze do </w:t>
      </w:r>
    </w:p>
    <w:p w:rsidR="001C4200" w:rsidRPr="00EA614E" w:rsidRDefault="001C4200" w:rsidP="001C4200">
      <w:pPr>
        <w:rPr>
          <w:rFonts w:ascii="Arial" w:hAnsi="Arial" w:cs="Arial"/>
          <w:color w:val="000000"/>
          <w:sz w:val="22"/>
          <w:szCs w:val="22"/>
        </w:rPr>
      </w:pPr>
      <w:r w:rsidRPr="00EA614E">
        <w:rPr>
          <w:rFonts w:ascii="Arial" w:hAnsi="Arial" w:cs="Arial"/>
          <w:color w:val="000000"/>
          <w:sz w:val="22"/>
          <w:szCs w:val="22"/>
        </w:rPr>
        <w:t>aktivity zařadit 250 uchazečů.</w:t>
      </w:r>
      <w:r>
        <w:rPr>
          <w:rFonts w:ascii="Arial" w:hAnsi="Arial" w:cs="Arial"/>
          <w:color w:val="000000"/>
          <w:sz w:val="22"/>
          <w:szCs w:val="22"/>
        </w:rPr>
        <w:t xml:space="preserve"> </w:t>
      </w:r>
      <w:r w:rsidRPr="00B742CF">
        <w:rPr>
          <w:rFonts w:ascii="Arial" w:hAnsi="Arial" w:cs="Arial"/>
          <w:sz w:val="22"/>
          <w:szCs w:val="22"/>
        </w:rPr>
        <w:t xml:space="preserve">Tuto aktivitu </w:t>
      </w:r>
      <w:r>
        <w:rPr>
          <w:rFonts w:ascii="Arial" w:hAnsi="Arial" w:cs="Arial"/>
          <w:sz w:val="22"/>
          <w:szCs w:val="22"/>
        </w:rPr>
        <w:t xml:space="preserve">dosud </w:t>
      </w:r>
      <w:r w:rsidRPr="00B742CF">
        <w:rPr>
          <w:rFonts w:ascii="Arial" w:hAnsi="Arial" w:cs="Arial"/>
          <w:sz w:val="22"/>
          <w:szCs w:val="22"/>
        </w:rPr>
        <w:t>využilo 125 klientů.</w:t>
      </w:r>
      <w:r w:rsidRPr="00EA614E">
        <w:rPr>
          <w:rFonts w:ascii="Arial" w:hAnsi="Arial" w:cs="Arial"/>
          <w:color w:val="000000"/>
          <w:sz w:val="22"/>
          <w:szCs w:val="22"/>
        </w:rPr>
        <w:br/>
      </w:r>
    </w:p>
    <w:p w:rsidR="001C4200" w:rsidRDefault="001C4200" w:rsidP="001C4200">
      <w:pPr>
        <w:jc w:val="both"/>
        <w:rPr>
          <w:rFonts w:ascii="Arial" w:hAnsi="Arial" w:cs="Arial"/>
          <w:color w:val="000000"/>
          <w:sz w:val="22"/>
          <w:szCs w:val="22"/>
        </w:rPr>
      </w:pPr>
      <w:r w:rsidRPr="00EA614E">
        <w:rPr>
          <w:rFonts w:ascii="Arial" w:hAnsi="Arial" w:cs="Arial"/>
          <w:color w:val="000000"/>
          <w:sz w:val="22"/>
          <w:szCs w:val="22"/>
        </w:rPr>
        <w:t>BI</w:t>
      </w:r>
      <w:r>
        <w:rPr>
          <w:rFonts w:ascii="Arial" w:hAnsi="Arial" w:cs="Arial"/>
          <w:color w:val="000000"/>
          <w:sz w:val="22"/>
          <w:szCs w:val="22"/>
        </w:rPr>
        <w:t xml:space="preserve">LANČNÍ A PRACOVNÍ DIAGNOSTIKA </w:t>
      </w:r>
      <w:r w:rsidRPr="00EA614E">
        <w:rPr>
          <w:rFonts w:ascii="Arial" w:hAnsi="Arial" w:cs="Arial"/>
          <w:color w:val="000000"/>
          <w:sz w:val="22"/>
          <w:szCs w:val="22"/>
        </w:rPr>
        <w:t>– bilanční nebo pracovní diagnostika je určena pro min. 250 klientů z řad uchazečů o zaměstnání.</w:t>
      </w:r>
      <w:r w:rsidRPr="009720BC">
        <w:rPr>
          <w:rFonts w:ascii="Arial" w:hAnsi="Arial" w:cs="Arial"/>
          <w:color w:val="000000"/>
          <w:sz w:val="22"/>
          <w:szCs w:val="22"/>
        </w:rPr>
        <w:t xml:space="preserve"> </w:t>
      </w:r>
      <w:r>
        <w:rPr>
          <w:rFonts w:ascii="Arial" w:hAnsi="Arial" w:cs="Arial"/>
          <w:color w:val="000000"/>
          <w:sz w:val="22"/>
          <w:szCs w:val="22"/>
        </w:rPr>
        <w:t>Tuto aktivitu dosud využilo 202</w:t>
      </w:r>
      <w:r w:rsidRPr="00EA614E">
        <w:rPr>
          <w:rFonts w:ascii="Arial" w:hAnsi="Arial" w:cs="Arial"/>
          <w:color w:val="000000"/>
          <w:sz w:val="22"/>
          <w:szCs w:val="22"/>
        </w:rPr>
        <w:t xml:space="preserve"> klientů.</w:t>
      </w:r>
      <w:r w:rsidRPr="00EA614E">
        <w:rPr>
          <w:rFonts w:ascii="Arial" w:hAnsi="Arial" w:cs="Arial"/>
          <w:color w:val="000000"/>
          <w:sz w:val="22"/>
          <w:szCs w:val="22"/>
        </w:rPr>
        <w:br/>
      </w:r>
      <w:r w:rsidRPr="00EA614E">
        <w:rPr>
          <w:rFonts w:ascii="Arial" w:hAnsi="Arial" w:cs="Arial"/>
          <w:color w:val="000000"/>
          <w:sz w:val="22"/>
          <w:szCs w:val="22"/>
        </w:rPr>
        <w:br/>
        <w:t>INDIVIDUÁLNÍ PORADENSTVÍ – Všichni klienti projektu mohou dle vlastního uvážení požádat o individuální poradenství specialisty dodavatele za účelem zlepšení sebepoznání. Celková kapacita poskytovaných poradenských hodin v tomto projektu je 1500 hodin.</w:t>
      </w:r>
    </w:p>
    <w:p w:rsidR="001C4200" w:rsidRPr="007F010A" w:rsidRDefault="001C4200" w:rsidP="001C4200">
      <w:pPr>
        <w:rPr>
          <w:rFonts w:ascii="Arial" w:hAnsi="Arial" w:cs="Arial"/>
          <w:color w:val="000000"/>
          <w:sz w:val="22"/>
          <w:szCs w:val="22"/>
        </w:rPr>
      </w:pPr>
      <w:r>
        <w:rPr>
          <w:rFonts w:ascii="Arial" w:hAnsi="Arial" w:cs="Arial"/>
          <w:color w:val="000000"/>
          <w:sz w:val="22"/>
          <w:szCs w:val="22"/>
        </w:rPr>
        <w:t>Poradenství dosud využilo 205</w:t>
      </w:r>
      <w:r w:rsidRPr="00EA614E">
        <w:rPr>
          <w:rFonts w:ascii="Arial" w:hAnsi="Arial" w:cs="Arial"/>
          <w:color w:val="000000"/>
          <w:sz w:val="22"/>
          <w:szCs w:val="22"/>
        </w:rPr>
        <w:t> osob v celkovém počtu </w:t>
      </w:r>
      <w:r>
        <w:rPr>
          <w:rFonts w:ascii="Arial" w:hAnsi="Arial" w:cs="Arial"/>
          <w:color w:val="000000"/>
          <w:sz w:val="22"/>
          <w:szCs w:val="22"/>
        </w:rPr>
        <w:t>545</w:t>
      </w:r>
      <w:r w:rsidRPr="00EA614E">
        <w:rPr>
          <w:rFonts w:ascii="Arial" w:hAnsi="Arial" w:cs="Arial"/>
          <w:color w:val="000000"/>
          <w:sz w:val="22"/>
          <w:szCs w:val="22"/>
        </w:rPr>
        <w:t> hodin.</w:t>
      </w:r>
      <w:r w:rsidRPr="00EA614E">
        <w:rPr>
          <w:rFonts w:ascii="Arial" w:hAnsi="Arial" w:cs="Arial"/>
          <w:color w:val="000000"/>
          <w:sz w:val="22"/>
          <w:szCs w:val="22"/>
        </w:rPr>
        <w:br/>
      </w:r>
    </w:p>
    <w:p w:rsidR="001C4200" w:rsidRDefault="001C4200" w:rsidP="001C4200">
      <w:pPr>
        <w:jc w:val="both"/>
        <w:rPr>
          <w:rFonts w:ascii="Arial" w:hAnsi="Arial" w:cs="Arial"/>
          <w:color w:val="000000"/>
          <w:sz w:val="22"/>
          <w:szCs w:val="22"/>
        </w:rPr>
      </w:pPr>
      <w:r>
        <w:rPr>
          <w:rFonts w:ascii="Arial" w:hAnsi="Arial" w:cs="Arial"/>
          <w:color w:val="000000"/>
          <w:sz w:val="22"/>
          <w:szCs w:val="22"/>
        </w:rPr>
        <w:t xml:space="preserve">REKVALIFIKAČNÍ KURZY </w:t>
      </w:r>
      <w:r w:rsidRPr="00EA614E">
        <w:rPr>
          <w:rFonts w:ascii="Arial" w:hAnsi="Arial" w:cs="Arial"/>
          <w:color w:val="000000"/>
          <w:sz w:val="22"/>
          <w:szCs w:val="22"/>
        </w:rPr>
        <w:t>– jsou určeny pro min. 340 klientů projektu. Účast klientů v rekvalifikačních kurzech vychází z jejich sestaveného Plánu rozvoje klienta. Celkem je plánováno zajištění 340 rekvalifikací a vydání min. 390 osvědčení úspěšným klientům</w:t>
      </w:r>
      <w:r>
        <w:rPr>
          <w:rFonts w:ascii="Arial" w:hAnsi="Arial" w:cs="Arial"/>
          <w:color w:val="000000"/>
          <w:sz w:val="22"/>
          <w:szCs w:val="22"/>
        </w:rPr>
        <w:t xml:space="preserve">. Typy rekvalifikačních kurzů jsou </w:t>
      </w:r>
      <w:r w:rsidRPr="00EA614E">
        <w:rPr>
          <w:rFonts w:ascii="Arial" w:hAnsi="Arial" w:cs="Arial"/>
          <w:color w:val="000000"/>
          <w:sz w:val="22"/>
          <w:szCs w:val="22"/>
        </w:rPr>
        <w:t xml:space="preserve">uvedeny na webových stránkách projektu. </w:t>
      </w:r>
      <w:r>
        <w:rPr>
          <w:rFonts w:ascii="Arial" w:hAnsi="Arial" w:cs="Arial"/>
          <w:color w:val="000000"/>
          <w:sz w:val="22"/>
          <w:szCs w:val="22"/>
        </w:rPr>
        <w:t xml:space="preserve">Dosud bylo vydáno </w:t>
      </w:r>
    </w:p>
    <w:p w:rsidR="001C4200" w:rsidRDefault="001C4200" w:rsidP="001C4200">
      <w:pPr>
        <w:rPr>
          <w:rFonts w:ascii="Arial" w:hAnsi="Arial" w:cs="Arial"/>
          <w:color w:val="000000"/>
          <w:sz w:val="22"/>
          <w:szCs w:val="22"/>
        </w:rPr>
      </w:pPr>
      <w:r>
        <w:rPr>
          <w:rFonts w:ascii="Arial" w:hAnsi="Arial" w:cs="Arial"/>
          <w:color w:val="000000"/>
          <w:sz w:val="22"/>
          <w:szCs w:val="22"/>
        </w:rPr>
        <w:t xml:space="preserve">130 osvědčení </w:t>
      </w:r>
      <w:r w:rsidRPr="00EA614E">
        <w:rPr>
          <w:rFonts w:ascii="Arial" w:hAnsi="Arial" w:cs="Arial"/>
          <w:color w:val="000000"/>
          <w:sz w:val="22"/>
          <w:szCs w:val="22"/>
        </w:rPr>
        <w:t>úspěšným absolventům kurzů.</w:t>
      </w:r>
      <w:r w:rsidRPr="00EA614E">
        <w:rPr>
          <w:rFonts w:ascii="Arial" w:hAnsi="Arial" w:cs="Arial"/>
          <w:color w:val="000000"/>
          <w:sz w:val="22"/>
          <w:szCs w:val="22"/>
        </w:rPr>
        <w:br/>
      </w:r>
    </w:p>
    <w:p w:rsidR="001C4200" w:rsidRPr="00EA614E" w:rsidRDefault="001C4200" w:rsidP="001C4200">
      <w:pPr>
        <w:jc w:val="both"/>
        <w:rPr>
          <w:rFonts w:ascii="Arial" w:hAnsi="Arial" w:cs="Arial"/>
          <w:color w:val="000000"/>
          <w:sz w:val="22"/>
          <w:szCs w:val="22"/>
        </w:rPr>
      </w:pPr>
      <w:r>
        <w:rPr>
          <w:rFonts w:ascii="Arial" w:hAnsi="Arial" w:cs="Arial"/>
          <w:color w:val="000000"/>
          <w:sz w:val="22"/>
          <w:szCs w:val="22"/>
        </w:rPr>
        <w:t xml:space="preserve">ZPROSTŘEDKOVÁNÍ ZAMĚSTNÁNÍ </w:t>
      </w:r>
      <w:r w:rsidRPr="00EA614E">
        <w:rPr>
          <w:rFonts w:ascii="Arial" w:hAnsi="Arial" w:cs="Arial"/>
          <w:color w:val="000000"/>
          <w:sz w:val="22"/>
          <w:szCs w:val="22"/>
        </w:rPr>
        <w:t>– Odborní pracovníci dodavatele jsou nápomocni klientům projektu při hledání zaměstnání vyhledáváním vhodných potenciálních zaměstnavatelů. Celkem bude pro klienty projektu vytvořeno 60 nových pracovních míst a 20 SÚPM a min. 80 vhodných zaměstnání (pracovní smlouva na dobu delší než 3 měsíce, min. 50 % pracovní doby).</w:t>
      </w:r>
    </w:p>
    <w:p w:rsidR="001C4200" w:rsidRPr="00EA614E" w:rsidRDefault="001C4200" w:rsidP="001C4200">
      <w:pPr>
        <w:jc w:val="both"/>
        <w:rPr>
          <w:rFonts w:ascii="Arial" w:hAnsi="Arial" w:cs="Arial"/>
          <w:sz w:val="22"/>
          <w:szCs w:val="22"/>
        </w:rPr>
      </w:pPr>
    </w:p>
    <w:p w:rsidR="001C4200" w:rsidRPr="00A742CF" w:rsidRDefault="001C4200" w:rsidP="001C4200">
      <w:pPr>
        <w:jc w:val="both"/>
        <w:rPr>
          <w:rFonts w:ascii="Arial" w:eastAsiaTheme="minorHAnsi" w:hAnsi="Arial" w:cs="Arial"/>
          <w:color w:val="FF0000"/>
          <w:sz w:val="22"/>
          <w:szCs w:val="22"/>
          <w:lang w:eastAsia="en-US"/>
        </w:rPr>
      </w:pPr>
      <w:r w:rsidRPr="00EA614E">
        <w:rPr>
          <w:rFonts w:ascii="Arial" w:eastAsiaTheme="minorHAnsi" w:hAnsi="Arial" w:cs="Arial"/>
          <w:color w:val="000000"/>
          <w:sz w:val="22"/>
          <w:szCs w:val="22"/>
          <w:lang w:eastAsia="en-US"/>
        </w:rPr>
        <w:t>Z projektu dosud vystoup</w:t>
      </w:r>
      <w:r>
        <w:rPr>
          <w:rFonts w:ascii="Arial" w:eastAsiaTheme="minorHAnsi" w:hAnsi="Arial" w:cs="Arial"/>
          <w:color w:val="000000"/>
          <w:sz w:val="22"/>
          <w:szCs w:val="22"/>
          <w:lang w:eastAsia="en-US"/>
        </w:rPr>
        <w:t>ilo 150</w:t>
      </w:r>
      <w:r w:rsidRPr="00EA614E">
        <w:rPr>
          <w:rFonts w:ascii="Arial" w:eastAsiaTheme="minorHAnsi" w:hAnsi="Arial" w:cs="Arial"/>
          <w:color w:val="000000"/>
          <w:sz w:val="22"/>
          <w:szCs w:val="22"/>
          <w:lang w:eastAsia="en-US"/>
        </w:rPr>
        <w:t xml:space="preserve"> klientů, z toho </w:t>
      </w:r>
      <w:r w:rsidRPr="00B742CF">
        <w:rPr>
          <w:rFonts w:ascii="Arial" w:eastAsiaTheme="minorHAnsi" w:hAnsi="Arial" w:cs="Arial"/>
          <w:sz w:val="22"/>
          <w:szCs w:val="22"/>
          <w:lang w:eastAsia="en-US"/>
        </w:rPr>
        <w:t>110 do jakéhokoliv zaměstnání (tj. 73 %)</w:t>
      </w:r>
      <w:r>
        <w:rPr>
          <w:rFonts w:ascii="Arial" w:eastAsiaTheme="minorHAnsi" w:hAnsi="Arial" w:cs="Arial"/>
          <w:sz w:val="22"/>
          <w:szCs w:val="22"/>
          <w:lang w:eastAsia="en-US"/>
        </w:rPr>
        <w:t>.</w:t>
      </w:r>
    </w:p>
    <w:p w:rsidR="001C4200" w:rsidRPr="00EA614E" w:rsidRDefault="001C4200" w:rsidP="001C4200">
      <w:pPr>
        <w:jc w:val="both"/>
        <w:rPr>
          <w:rFonts w:ascii="Arial" w:hAnsi="Arial" w:cs="Arial"/>
          <w:color w:val="FF0000"/>
          <w:sz w:val="22"/>
          <w:szCs w:val="22"/>
        </w:rPr>
      </w:pPr>
    </w:p>
    <w:p w:rsidR="001C4200" w:rsidRDefault="001C4200" w:rsidP="001C4200">
      <w:pPr>
        <w:jc w:val="both"/>
        <w:rPr>
          <w:rFonts w:ascii="Arial" w:hAnsi="Arial" w:cs="Arial"/>
          <w:sz w:val="22"/>
          <w:szCs w:val="22"/>
        </w:rPr>
      </w:pPr>
      <w:r w:rsidRPr="00EA614E">
        <w:rPr>
          <w:rFonts w:ascii="Arial" w:hAnsi="Arial" w:cs="Arial"/>
          <w:sz w:val="22"/>
          <w:szCs w:val="22"/>
        </w:rPr>
        <w:t xml:space="preserve">Celkový rozpočet projektu dosahuje částky </w:t>
      </w:r>
      <w:r>
        <w:rPr>
          <w:rFonts w:ascii="Arial" w:hAnsi="Arial" w:cs="Arial"/>
          <w:sz w:val="22"/>
          <w:szCs w:val="22"/>
        </w:rPr>
        <w:t>27.368.240 Kč, z nichž bylo v roce 2014</w:t>
      </w:r>
      <w:r w:rsidRPr="00EA614E">
        <w:rPr>
          <w:rFonts w:ascii="Arial" w:hAnsi="Arial" w:cs="Arial"/>
          <w:sz w:val="22"/>
          <w:szCs w:val="22"/>
        </w:rPr>
        <w:t xml:space="preserve"> vyčerpáno</w:t>
      </w:r>
      <w:r>
        <w:rPr>
          <w:rFonts w:ascii="Arial" w:hAnsi="Arial" w:cs="Arial"/>
          <w:bCs/>
          <w:sz w:val="22"/>
          <w:szCs w:val="22"/>
        </w:rPr>
        <w:t xml:space="preserve"> </w:t>
      </w:r>
      <w:r>
        <w:rPr>
          <w:rFonts w:ascii="Arial" w:hAnsi="Arial" w:cs="Arial"/>
          <w:sz w:val="22"/>
          <w:szCs w:val="22"/>
        </w:rPr>
        <w:t>7.940.462,51 Kč.</w:t>
      </w:r>
    </w:p>
    <w:p w:rsidR="00D27DAE" w:rsidRDefault="00D27DAE" w:rsidP="001C4200">
      <w:pPr>
        <w:jc w:val="both"/>
        <w:rPr>
          <w:rFonts w:ascii="Arial" w:hAnsi="Arial" w:cs="Arial"/>
          <w:sz w:val="22"/>
          <w:szCs w:val="22"/>
        </w:rPr>
      </w:pPr>
    </w:p>
    <w:p w:rsidR="001C4200" w:rsidRPr="00EA614E" w:rsidRDefault="001C4200" w:rsidP="001C4200">
      <w:pPr>
        <w:pStyle w:val="Zprva3"/>
        <w:rPr>
          <w:rFonts w:ascii="Arial" w:hAnsi="Arial" w:cs="Arial"/>
          <w:color w:val="FF0000"/>
          <w:sz w:val="22"/>
          <w:szCs w:val="22"/>
        </w:rPr>
      </w:pPr>
    </w:p>
    <w:p w:rsidR="001C4200" w:rsidRPr="00866513" w:rsidRDefault="001C4200" w:rsidP="001C4200">
      <w:pPr>
        <w:pStyle w:val="Odstavecseseznamem"/>
        <w:numPr>
          <w:ilvl w:val="0"/>
          <w:numId w:val="31"/>
        </w:numPr>
        <w:spacing w:after="200"/>
        <w:contextualSpacing/>
        <w:rPr>
          <w:rFonts w:ascii="Arial" w:hAnsi="Arial" w:cs="Arial"/>
          <w:b/>
          <w:u w:val="single"/>
        </w:rPr>
      </w:pPr>
      <w:r w:rsidRPr="00DB478F">
        <w:rPr>
          <w:rFonts w:ascii="Arial" w:hAnsi="Arial" w:cs="Arial"/>
          <w:b/>
          <w:u w:val="single"/>
        </w:rPr>
        <w:t>Odborné praxe pro mladé do 30 let v Jihomoravském kraji – CZ.1.04/2.1.00/70.00068</w:t>
      </w:r>
    </w:p>
    <w:p w:rsidR="001C4200" w:rsidRPr="00EA614E" w:rsidRDefault="001C4200" w:rsidP="001C4200">
      <w:pPr>
        <w:jc w:val="both"/>
        <w:rPr>
          <w:rFonts w:ascii="Arial" w:hAnsi="Arial" w:cs="Arial"/>
          <w:sz w:val="22"/>
          <w:szCs w:val="22"/>
        </w:rPr>
      </w:pPr>
      <w:r w:rsidRPr="00EA614E">
        <w:rPr>
          <w:rFonts w:ascii="Arial" w:hAnsi="Arial" w:cs="Arial"/>
          <w:sz w:val="22"/>
          <w:szCs w:val="22"/>
        </w:rPr>
        <w:t>Zahájení realizace:</w:t>
      </w:r>
      <w:r w:rsidRPr="00EA614E">
        <w:rPr>
          <w:rFonts w:ascii="Arial" w:hAnsi="Arial" w:cs="Arial"/>
          <w:sz w:val="22"/>
          <w:szCs w:val="22"/>
        </w:rPr>
        <w:tab/>
        <w:t>1. července 2013</w:t>
      </w:r>
    </w:p>
    <w:p w:rsidR="001C4200" w:rsidRDefault="001C4200" w:rsidP="001C4200">
      <w:pPr>
        <w:jc w:val="both"/>
        <w:rPr>
          <w:rFonts w:ascii="Arial" w:hAnsi="Arial" w:cs="Arial"/>
          <w:sz w:val="22"/>
          <w:szCs w:val="22"/>
        </w:rPr>
      </w:pPr>
      <w:r w:rsidRPr="00EA614E">
        <w:rPr>
          <w:rFonts w:ascii="Arial" w:hAnsi="Arial" w:cs="Arial"/>
          <w:sz w:val="22"/>
          <w:szCs w:val="22"/>
        </w:rPr>
        <w:t>Ukončení realizace:</w:t>
      </w:r>
      <w:r w:rsidRPr="00EA614E">
        <w:rPr>
          <w:rFonts w:ascii="Arial" w:hAnsi="Arial" w:cs="Arial"/>
          <w:sz w:val="22"/>
          <w:szCs w:val="22"/>
        </w:rPr>
        <w:tab/>
        <w:t xml:space="preserve"> 31. </w:t>
      </w:r>
      <w:r>
        <w:rPr>
          <w:rFonts w:ascii="Arial" w:hAnsi="Arial" w:cs="Arial"/>
          <w:sz w:val="22"/>
          <w:szCs w:val="22"/>
        </w:rPr>
        <w:t>října</w:t>
      </w:r>
      <w:r w:rsidRPr="00EA614E">
        <w:rPr>
          <w:rFonts w:ascii="Arial" w:hAnsi="Arial" w:cs="Arial"/>
          <w:sz w:val="22"/>
          <w:szCs w:val="22"/>
        </w:rPr>
        <w:t xml:space="preserve"> 2015</w:t>
      </w:r>
    </w:p>
    <w:p w:rsidR="001C4200" w:rsidRPr="00EA614E" w:rsidRDefault="001C4200" w:rsidP="001C4200">
      <w:pPr>
        <w:jc w:val="both"/>
        <w:rPr>
          <w:rFonts w:ascii="Arial" w:hAnsi="Arial" w:cs="Arial"/>
          <w:sz w:val="22"/>
          <w:szCs w:val="22"/>
        </w:rPr>
      </w:pPr>
    </w:p>
    <w:p w:rsidR="001C4200" w:rsidRPr="00EA614E" w:rsidRDefault="001C4200" w:rsidP="001C4200">
      <w:pPr>
        <w:jc w:val="both"/>
        <w:rPr>
          <w:rFonts w:ascii="Arial" w:hAnsi="Arial" w:cs="Arial"/>
          <w:sz w:val="22"/>
          <w:szCs w:val="22"/>
        </w:rPr>
      </w:pPr>
      <w:r w:rsidRPr="00EA614E">
        <w:rPr>
          <w:rFonts w:ascii="Arial" w:hAnsi="Arial" w:cs="Arial"/>
          <w:sz w:val="22"/>
          <w:szCs w:val="22"/>
        </w:rPr>
        <w:t>Cílová skupina projektu:</w:t>
      </w:r>
    </w:p>
    <w:p w:rsidR="001C4200" w:rsidRPr="00EA614E" w:rsidRDefault="001C4200" w:rsidP="001C4200">
      <w:pPr>
        <w:jc w:val="both"/>
        <w:rPr>
          <w:rFonts w:ascii="Arial" w:hAnsi="Arial" w:cs="Arial"/>
          <w:sz w:val="22"/>
          <w:szCs w:val="22"/>
        </w:rPr>
      </w:pPr>
      <w:r w:rsidRPr="00EA614E">
        <w:rPr>
          <w:rFonts w:ascii="Arial" w:hAnsi="Arial" w:cs="Arial"/>
          <w:sz w:val="22"/>
          <w:szCs w:val="22"/>
        </w:rPr>
        <w:t>-</w:t>
      </w:r>
      <w:r w:rsidRPr="00EA614E">
        <w:rPr>
          <w:rFonts w:ascii="Arial" w:hAnsi="Arial" w:cs="Arial"/>
          <w:sz w:val="22"/>
          <w:szCs w:val="22"/>
        </w:rPr>
        <w:tab/>
        <w:t>evidence na kterémkoliv kontaktním pr</w:t>
      </w:r>
      <w:r>
        <w:rPr>
          <w:rFonts w:ascii="Arial" w:hAnsi="Arial" w:cs="Arial"/>
          <w:sz w:val="22"/>
          <w:szCs w:val="22"/>
        </w:rPr>
        <w:t>acovišti Krajské pobočky v Brně</w:t>
      </w:r>
    </w:p>
    <w:p w:rsidR="001C4200" w:rsidRPr="00EA614E" w:rsidRDefault="001C4200" w:rsidP="001C4200">
      <w:pPr>
        <w:jc w:val="both"/>
        <w:rPr>
          <w:rFonts w:ascii="Arial" w:hAnsi="Arial" w:cs="Arial"/>
          <w:sz w:val="22"/>
          <w:szCs w:val="22"/>
        </w:rPr>
      </w:pPr>
      <w:r w:rsidRPr="00EA614E">
        <w:rPr>
          <w:rFonts w:ascii="Arial" w:hAnsi="Arial" w:cs="Arial"/>
          <w:sz w:val="22"/>
          <w:szCs w:val="22"/>
        </w:rPr>
        <w:t>-</w:t>
      </w:r>
      <w:r w:rsidRPr="00EA614E">
        <w:rPr>
          <w:rFonts w:ascii="Arial" w:hAnsi="Arial" w:cs="Arial"/>
          <w:sz w:val="22"/>
          <w:szCs w:val="22"/>
        </w:rPr>
        <w:tab/>
        <w:t>do 30 let věku včetně,</w:t>
      </w:r>
    </w:p>
    <w:p w:rsidR="001C4200" w:rsidRPr="00EA614E" w:rsidRDefault="001C4200" w:rsidP="001C4200">
      <w:pPr>
        <w:jc w:val="both"/>
        <w:rPr>
          <w:rFonts w:ascii="Arial" w:hAnsi="Arial" w:cs="Arial"/>
          <w:sz w:val="22"/>
          <w:szCs w:val="22"/>
        </w:rPr>
      </w:pPr>
      <w:r w:rsidRPr="00EA614E">
        <w:rPr>
          <w:rFonts w:ascii="Arial" w:hAnsi="Arial" w:cs="Arial"/>
          <w:sz w:val="22"/>
          <w:szCs w:val="22"/>
        </w:rPr>
        <w:t>-</w:t>
      </w:r>
      <w:r w:rsidRPr="00EA614E">
        <w:rPr>
          <w:rFonts w:ascii="Arial" w:hAnsi="Arial" w:cs="Arial"/>
          <w:sz w:val="22"/>
          <w:szCs w:val="22"/>
        </w:rPr>
        <w:tab/>
        <w:t>s praxí pod 2 roky.</w:t>
      </w:r>
    </w:p>
    <w:p w:rsidR="001C4200" w:rsidRDefault="001C4200" w:rsidP="001C4200">
      <w:pPr>
        <w:jc w:val="both"/>
        <w:rPr>
          <w:rFonts w:ascii="Arial" w:hAnsi="Arial" w:cs="Arial"/>
          <w:sz w:val="22"/>
          <w:szCs w:val="22"/>
        </w:rPr>
      </w:pPr>
      <w:r w:rsidRPr="00EA614E">
        <w:rPr>
          <w:rFonts w:ascii="Arial" w:hAnsi="Arial" w:cs="Arial"/>
          <w:sz w:val="22"/>
          <w:szCs w:val="22"/>
        </w:rPr>
        <w:t xml:space="preserve">Projekt je určen pro uchazeče o zaměstnání. </w:t>
      </w:r>
    </w:p>
    <w:p w:rsidR="001C4200" w:rsidRDefault="001C4200" w:rsidP="001C4200">
      <w:pPr>
        <w:jc w:val="both"/>
        <w:rPr>
          <w:rFonts w:ascii="Arial" w:hAnsi="Arial" w:cs="Arial"/>
          <w:sz w:val="22"/>
          <w:szCs w:val="22"/>
        </w:rPr>
      </w:pPr>
    </w:p>
    <w:p w:rsidR="001C4200" w:rsidRPr="00866513" w:rsidRDefault="001C4200" w:rsidP="001C4200">
      <w:pPr>
        <w:jc w:val="both"/>
        <w:rPr>
          <w:rFonts w:ascii="Arial" w:eastAsiaTheme="minorHAnsi" w:hAnsi="Arial" w:cs="Arial"/>
          <w:bCs/>
          <w:color w:val="000000"/>
          <w:sz w:val="22"/>
          <w:szCs w:val="22"/>
          <w:u w:val="single"/>
        </w:rPr>
      </w:pPr>
      <w:r w:rsidRPr="00CF1690">
        <w:rPr>
          <w:rFonts w:ascii="Arial" w:eastAsiaTheme="minorHAnsi" w:hAnsi="Arial" w:cs="Arial"/>
          <w:bCs/>
          <w:color w:val="000000"/>
          <w:sz w:val="22"/>
          <w:szCs w:val="22"/>
          <w:u w:val="single"/>
        </w:rPr>
        <w:t>Aktivity projektu (k 31. 12. 2014):</w:t>
      </w:r>
    </w:p>
    <w:p w:rsidR="001C4200" w:rsidRPr="00EA614E" w:rsidRDefault="001C4200" w:rsidP="001C4200">
      <w:pPr>
        <w:jc w:val="both"/>
        <w:rPr>
          <w:rFonts w:ascii="Arial" w:hAnsi="Arial" w:cs="Arial"/>
          <w:sz w:val="22"/>
          <w:szCs w:val="22"/>
        </w:rPr>
      </w:pPr>
    </w:p>
    <w:p w:rsidR="001C4200" w:rsidRPr="00EA614E" w:rsidRDefault="001C4200" w:rsidP="001C4200">
      <w:pPr>
        <w:jc w:val="both"/>
        <w:rPr>
          <w:rFonts w:ascii="Arial" w:hAnsi="Arial" w:cs="Arial"/>
          <w:sz w:val="22"/>
          <w:szCs w:val="22"/>
        </w:rPr>
      </w:pPr>
      <w:r w:rsidRPr="00EA614E">
        <w:rPr>
          <w:rFonts w:ascii="Arial" w:hAnsi="Arial" w:cs="Arial"/>
          <w:sz w:val="22"/>
          <w:szCs w:val="22"/>
        </w:rPr>
        <w:t xml:space="preserve">VÝBĚR KLIENTŮ PROJEKTU – je prováděn ve spolupráci s jednotlivými úřady práce v kraji. Zařazení do projektu je podmíněno evidencí na kterémkoliv kontaktním pracovišti Úřadu práce ČR v JmK. Celkem do projektu lze zařadit min. </w:t>
      </w:r>
      <w:r>
        <w:rPr>
          <w:rFonts w:ascii="Arial" w:hAnsi="Arial" w:cs="Arial"/>
          <w:sz w:val="22"/>
          <w:szCs w:val="22"/>
        </w:rPr>
        <w:t>100</w:t>
      </w:r>
      <w:r w:rsidRPr="00EA614E">
        <w:rPr>
          <w:rFonts w:ascii="Arial" w:hAnsi="Arial" w:cs="Arial"/>
          <w:sz w:val="22"/>
          <w:szCs w:val="22"/>
        </w:rPr>
        <w:t xml:space="preserve">0 klientů </w:t>
      </w:r>
      <w:r>
        <w:rPr>
          <w:rFonts w:ascii="Arial" w:hAnsi="Arial" w:cs="Arial"/>
          <w:sz w:val="22"/>
          <w:szCs w:val="22"/>
        </w:rPr>
        <w:t>Dosud bylo do projektu vybráno 1214 osob, z toho v roce 2014 vstoupilo do projektu 862 osob.</w:t>
      </w:r>
    </w:p>
    <w:p w:rsidR="001C4200" w:rsidRPr="00EA614E" w:rsidRDefault="001C4200" w:rsidP="001C4200">
      <w:pPr>
        <w:jc w:val="both"/>
        <w:rPr>
          <w:rFonts w:ascii="Arial" w:hAnsi="Arial" w:cs="Arial"/>
          <w:sz w:val="22"/>
          <w:szCs w:val="22"/>
        </w:rPr>
      </w:pPr>
    </w:p>
    <w:p w:rsidR="001C4200" w:rsidRPr="00EA614E" w:rsidRDefault="001C4200" w:rsidP="001C4200">
      <w:pPr>
        <w:jc w:val="both"/>
        <w:rPr>
          <w:rFonts w:ascii="Arial" w:hAnsi="Arial" w:cs="Arial"/>
          <w:sz w:val="22"/>
          <w:szCs w:val="22"/>
        </w:rPr>
      </w:pPr>
      <w:r w:rsidRPr="00EA614E">
        <w:rPr>
          <w:rFonts w:ascii="Arial" w:hAnsi="Arial" w:cs="Arial"/>
          <w:sz w:val="22"/>
          <w:szCs w:val="22"/>
        </w:rPr>
        <w:t>INDIVIDUÁLNÍ PORADENSTVÍ – poradenství dosud využili téměř všichni klienti projektu.</w:t>
      </w:r>
    </w:p>
    <w:p w:rsidR="001C4200" w:rsidRPr="00EA614E" w:rsidRDefault="001C4200" w:rsidP="001C4200">
      <w:pPr>
        <w:jc w:val="both"/>
        <w:rPr>
          <w:rFonts w:ascii="Arial" w:hAnsi="Arial" w:cs="Arial"/>
          <w:sz w:val="22"/>
          <w:szCs w:val="22"/>
        </w:rPr>
      </w:pPr>
    </w:p>
    <w:p w:rsidR="001C4200" w:rsidRPr="00EA614E" w:rsidRDefault="001C4200" w:rsidP="001C4200">
      <w:pPr>
        <w:jc w:val="both"/>
        <w:rPr>
          <w:rFonts w:ascii="Arial" w:hAnsi="Arial" w:cs="Arial"/>
          <w:sz w:val="22"/>
          <w:szCs w:val="22"/>
        </w:rPr>
      </w:pPr>
      <w:r w:rsidRPr="00EA614E">
        <w:rPr>
          <w:rFonts w:ascii="Arial" w:hAnsi="Arial" w:cs="Arial"/>
          <w:sz w:val="22"/>
          <w:szCs w:val="22"/>
        </w:rPr>
        <w:t>PRACO</w:t>
      </w:r>
      <w:r>
        <w:rPr>
          <w:rFonts w:ascii="Arial" w:hAnsi="Arial" w:cs="Arial"/>
          <w:sz w:val="22"/>
          <w:szCs w:val="22"/>
        </w:rPr>
        <w:t>VNÍ DIAGNOSTIKA – k 31. 12. 2014</w:t>
      </w:r>
      <w:r w:rsidRPr="00EA614E">
        <w:rPr>
          <w:rFonts w:ascii="Arial" w:hAnsi="Arial" w:cs="Arial"/>
          <w:sz w:val="22"/>
          <w:szCs w:val="22"/>
        </w:rPr>
        <w:t xml:space="preserve"> bylo vyhodnoceno </w:t>
      </w:r>
      <w:r>
        <w:rPr>
          <w:rFonts w:ascii="Arial" w:hAnsi="Arial" w:cs="Arial"/>
          <w:sz w:val="22"/>
          <w:szCs w:val="22"/>
        </w:rPr>
        <w:t>300</w:t>
      </w:r>
      <w:r w:rsidRPr="00EA614E">
        <w:rPr>
          <w:rFonts w:ascii="Arial" w:hAnsi="Arial" w:cs="Arial"/>
          <w:sz w:val="22"/>
          <w:szCs w:val="22"/>
        </w:rPr>
        <w:t xml:space="preserve"> pracovních diagnostik.</w:t>
      </w:r>
    </w:p>
    <w:p w:rsidR="001C4200" w:rsidRPr="00EA614E" w:rsidRDefault="001C4200" w:rsidP="001C4200">
      <w:pPr>
        <w:jc w:val="both"/>
        <w:rPr>
          <w:rFonts w:ascii="Arial" w:hAnsi="Arial" w:cs="Arial"/>
          <w:sz w:val="22"/>
          <w:szCs w:val="22"/>
        </w:rPr>
      </w:pPr>
    </w:p>
    <w:p w:rsidR="001C4200" w:rsidRPr="00EA614E" w:rsidRDefault="001C4200" w:rsidP="001C4200">
      <w:pPr>
        <w:jc w:val="both"/>
        <w:rPr>
          <w:rFonts w:ascii="Arial" w:hAnsi="Arial" w:cs="Arial"/>
          <w:sz w:val="22"/>
          <w:szCs w:val="22"/>
        </w:rPr>
      </w:pPr>
      <w:r w:rsidRPr="00EA614E">
        <w:rPr>
          <w:rFonts w:ascii="Arial" w:hAnsi="Arial" w:cs="Arial"/>
          <w:sz w:val="22"/>
          <w:szCs w:val="22"/>
        </w:rPr>
        <w:t>REKVALIFIKAČNÍ KURZY – jsou určeny pro min. 1</w:t>
      </w:r>
      <w:r>
        <w:rPr>
          <w:rFonts w:ascii="Arial" w:hAnsi="Arial" w:cs="Arial"/>
          <w:sz w:val="22"/>
          <w:szCs w:val="22"/>
        </w:rPr>
        <w:t>5</w:t>
      </w:r>
      <w:r w:rsidRPr="00EA614E">
        <w:rPr>
          <w:rFonts w:ascii="Arial" w:hAnsi="Arial" w:cs="Arial"/>
          <w:sz w:val="22"/>
          <w:szCs w:val="22"/>
        </w:rPr>
        <w:t>0 klientů projektu. Účast klientů v rekvalifikačních kurzech vychází z jejich sestaveného individuální plánu rozvoje klienta. Celkem je plánováno zajištění 1</w:t>
      </w:r>
      <w:r>
        <w:rPr>
          <w:rFonts w:ascii="Arial" w:hAnsi="Arial" w:cs="Arial"/>
          <w:sz w:val="22"/>
          <w:szCs w:val="22"/>
        </w:rPr>
        <w:t>5</w:t>
      </w:r>
      <w:r w:rsidRPr="00EA614E">
        <w:rPr>
          <w:rFonts w:ascii="Arial" w:hAnsi="Arial" w:cs="Arial"/>
          <w:sz w:val="22"/>
          <w:szCs w:val="22"/>
        </w:rPr>
        <w:t>0 rekvalifikací a vydání min. 1</w:t>
      </w:r>
      <w:r>
        <w:rPr>
          <w:rFonts w:ascii="Arial" w:hAnsi="Arial" w:cs="Arial"/>
          <w:sz w:val="22"/>
          <w:szCs w:val="22"/>
        </w:rPr>
        <w:t>20</w:t>
      </w:r>
      <w:r w:rsidRPr="00EA614E">
        <w:rPr>
          <w:rFonts w:ascii="Arial" w:hAnsi="Arial" w:cs="Arial"/>
          <w:sz w:val="22"/>
          <w:szCs w:val="22"/>
        </w:rPr>
        <w:t xml:space="preserve"> osvědčení úspěšným klientům. Dosud bylo vydáno </w:t>
      </w:r>
      <w:r>
        <w:rPr>
          <w:rFonts w:ascii="Arial" w:hAnsi="Arial" w:cs="Arial"/>
          <w:sz w:val="22"/>
          <w:szCs w:val="22"/>
        </w:rPr>
        <w:t>115</w:t>
      </w:r>
      <w:r w:rsidRPr="00EA614E">
        <w:rPr>
          <w:rFonts w:ascii="Arial" w:hAnsi="Arial" w:cs="Arial"/>
          <w:sz w:val="22"/>
          <w:szCs w:val="22"/>
        </w:rPr>
        <w:t xml:space="preserve"> osvědčení úspěšným absolventům kurzů.</w:t>
      </w:r>
    </w:p>
    <w:p w:rsidR="001C4200" w:rsidRPr="00EA614E" w:rsidRDefault="001C4200" w:rsidP="001C4200">
      <w:pPr>
        <w:jc w:val="both"/>
        <w:rPr>
          <w:rFonts w:ascii="Arial" w:hAnsi="Arial" w:cs="Arial"/>
          <w:sz w:val="22"/>
          <w:szCs w:val="22"/>
        </w:rPr>
      </w:pPr>
    </w:p>
    <w:p w:rsidR="001C4200" w:rsidRPr="00EA614E" w:rsidRDefault="001C4200" w:rsidP="001C4200">
      <w:pPr>
        <w:jc w:val="both"/>
        <w:rPr>
          <w:rFonts w:ascii="Arial" w:hAnsi="Arial" w:cs="Arial"/>
          <w:sz w:val="22"/>
          <w:szCs w:val="22"/>
        </w:rPr>
      </w:pPr>
      <w:r w:rsidRPr="00EA614E">
        <w:rPr>
          <w:rFonts w:ascii="Arial" w:hAnsi="Arial" w:cs="Arial"/>
          <w:sz w:val="22"/>
          <w:szCs w:val="22"/>
        </w:rPr>
        <w:t xml:space="preserve">ZPROSTŘEDKOVÁNÍ ZAMĚSTNÁNÍ – odborní pracovníci jsou nápomocni klientům projektu při hledání zaměstnání vyhledáváním vhodných potenciálních zaměstnavatelů. Celkem bude pro klienty projektu vyhrazeno </w:t>
      </w:r>
      <w:r>
        <w:rPr>
          <w:rFonts w:ascii="Arial" w:hAnsi="Arial" w:cs="Arial"/>
          <w:sz w:val="22"/>
          <w:szCs w:val="22"/>
        </w:rPr>
        <w:t>776</w:t>
      </w:r>
      <w:r w:rsidRPr="00EA614E">
        <w:rPr>
          <w:rFonts w:ascii="Arial" w:hAnsi="Arial" w:cs="Arial"/>
          <w:sz w:val="22"/>
          <w:szCs w:val="22"/>
        </w:rPr>
        <w:t xml:space="preserve"> SÚPM. </w:t>
      </w:r>
      <w:r>
        <w:rPr>
          <w:rFonts w:ascii="Arial" w:hAnsi="Arial" w:cs="Arial"/>
          <w:sz w:val="22"/>
          <w:szCs w:val="22"/>
        </w:rPr>
        <w:t>Do</w:t>
      </w:r>
      <w:r w:rsidRPr="00EA614E">
        <w:rPr>
          <w:rFonts w:ascii="Arial" w:hAnsi="Arial" w:cs="Arial"/>
          <w:sz w:val="22"/>
          <w:szCs w:val="22"/>
        </w:rPr>
        <w:t> </w:t>
      </w:r>
      <w:r>
        <w:rPr>
          <w:rFonts w:ascii="Arial" w:hAnsi="Arial" w:cs="Arial"/>
          <w:sz w:val="22"/>
          <w:szCs w:val="22"/>
        </w:rPr>
        <w:t xml:space="preserve">31. 12. 2014 </w:t>
      </w:r>
      <w:r w:rsidRPr="00EA614E">
        <w:rPr>
          <w:rFonts w:ascii="Arial" w:hAnsi="Arial" w:cs="Arial"/>
          <w:sz w:val="22"/>
          <w:szCs w:val="22"/>
        </w:rPr>
        <w:t xml:space="preserve">bylo podepsáno celkem </w:t>
      </w:r>
      <w:r>
        <w:rPr>
          <w:rFonts w:ascii="Arial" w:hAnsi="Arial" w:cs="Arial"/>
          <w:sz w:val="22"/>
          <w:szCs w:val="22"/>
        </w:rPr>
        <w:t>843</w:t>
      </w:r>
      <w:r w:rsidRPr="00EA614E">
        <w:rPr>
          <w:rFonts w:ascii="Arial" w:hAnsi="Arial" w:cs="Arial"/>
          <w:sz w:val="22"/>
          <w:szCs w:val="22"/>
        </w:rPr>
        <w:t xml:space="preserve"> dohod.</w:t>
      </w:r>
    </w:p>
    <w:p w:rsidR="001C4200" w:rsidRPr="00EA614E" w:rsidRDefault="001C4200" w:rsidP="001C4200">
      <w:pPr>
        <w:jc w:val="both"/>
        <w:rPr>
          <w:rFonts w:ascii="Arial" w:hAnsi="Arial" w:cs="Arial"/>
          <w:sz w:val="22"/>
          <w:szCs w:val="22"/>
        </w:rPr>
      </w:pPr>
    </w:p>
    <w:p w:rsidR="001C4200" w:rsidRDefault="001C4200" w:rsidP="001C4200">
      <w:pPr>
        <w:jc w:val="both"/>
        <w:rPr>
          <w:rFonts w:ascii="Arial" w:hAnsi="Arial" w:cs="Arial"/>
          <w:sz w:val="22"/>
          <w:szCs w:val="22"/>
        </w:rPr>
      </w:pPr>
      <w:r w:rsidRPr="00EA614E">
        <w:rPr>
          <w:rFonts w:ascii="Arial" w:hAnsi="Arial" w:cs="Arial"/>
          <w:sz w:val="22"/>
          <w:szCs w:val="22"/>
        </w:rPr>
        <w:t xml:space="preserve">Celkový rozpočet projektu dosahuje částky </w:t>
      </w:r>
      <w:r w:rsidRPr="0086291A">
        <w:rPr>
          <w:rFonts w:ascii="Arial" w:hAnsi="Arial" w:cs="Arial"/>
          <w:sz w:val="22"/>
          <w:szCs w:val="22"/>
        </w:rPr>
        <w:t>173 552 488,00</w:t>
      </w:r>
      <w:r>
        <w:rPr>
          <w:rFonts w:ascii="Arial" w:hAnsi="Arial" w:cs="Arial"/>
          <w:sz w:val="22"/>
          <w:szCs w:val="22"/>
        </w:rPr>
        <w:t xml:space="preserve"> Kč (k 31. 12. 2014</w:t>
      </w:r>
      <w:r w:rsidRPr="00EA614E">
        <w:rPr>
          <w:rFonts w:ascii="Arial" w:hAnsi="Arial" w:cs="Arial"/>
          <w:sz w:val="22"/>
          <w:szCs w:val="22"/>
        </w:rPr>
        <w:t xml:space="preserve">), ze které bylo </w:t>
      </w:r>
      <w:r>
        <w:rPr>
          <w:rFonts w:ascii="Arial" w:hAnsi="Arial" w:cs="Arial"/>
          <w:sz w:val="22"/>
          <w:szCs w:val="22"/>
        </w:rPr>
        <w:t>v roce 2014</w:t>
      </w:r>
      <w:r w:rsidRPr="00EA614E">
        <w:rPr>
          <w:rFonts w:ascii="Arial" w:hAnsi="Arial" w:cs="Arial"/>
          <w:sz w:val="22"/>
          <w:szCs w:val="22"/>
        </w:rPr>
        <w:t xml:space="preserve"> </w:t>
      </w:r>
      <w:r>
        <w:rPr>
          <w:rFonts w:ascii="Arial" w:hAnsi="Arial" w:cs="Arial"/>
          <w:sz w:val="22"/>
          <w:szCs w:val="22"/>
        </w:rPr>
        <w:t>vyčerpáno 79 673 186,00</w:t>
      </w:r>
      <w:r w:rsidRPr="00EA614E">
        <w:rPr>
          <w:rFonts w:ascii="Arial" w:hAnsi="Arial" w:cs="Arial"/>
          <w:sz w:val="22"/>
          <w:szCs w:val="22"/>
        </w:rPr>
        <w:t xml:space="preserve"> Kč. </w:t>
      </w:r>
    </w:p>
    <w:p w:rsidR="00D27DAE" w:rsidRDefault="00D27DAE" w:rsidP="001C4200">
      <w:pPr>
        <w:jc w:val="both"/>
        <w:rPr>
          <w:rFonts w:ascii="Arial" w:hAnsi="Arial" w:cs="Arial"/>
          <w:sz w:val="22"/>
          <w:szCs w:val="22"/>
        </w:rPr>
      </w:pPr>
    </w:p>
    <w:p w:rsidR="001C4200" w:rsidRDefault="001C4200" w:rsidP="001C4200">
      <w:pPr>
        <w:jc w:val="both"/>
        <w:rPr>
          <w:rFonts w:ascii="Arial" w:hAnsi="Arial" w:cs="Arial"/>
          <w:sz w:val="22"/>
          <w:szCs w:val="22"/>
        </w:rPr>
      </w:pPr>
    </w:p>
    <w:p w:rsidR="001C4200" w:rsidRDefault="001C4200" w:rsidP="001C4200">
      <w:pPr>
        <w:pStyle w:val="Odstavecseseznamem"/>
        <w:numPr>
          <w:ilvl w:val="0"/>
          <w:numId w:val="31"/>
        </w:numPr>
        <w:spacing w:after="200"/>
        <w:contextualSpacing/>
        <w:rPr>
          <w:rFonts w:ascii="Arial" w:hAnsi="Arial" w:cs="Arial"/>
          <w:b/>
          <w:bCs/>
          <w:u w:val="single"/>
        </w:rPr>
      </w:pPr>
      <w:r>
        <w:rPr>
          <w:rFonts w:ascii="Arial" w:hAnsi="Arial" w:cs="Arial"/>
          <w:b/>
          <w:bCs/>
          <w:u w:val="single"/>
        </w:rPr>
        <w:t>Vzdělávejte se pro růst v Jihomoravském kraji II – CZ.1.04/1.1.00/B1.00004</w:t>
      </w:r>
    </w:p>
    <w:p w:rsidR="001C4200" w:rsidRPr="00457D9C" w:rsidRDefault="001C4200" w:rsidP="001C4200">
      <w:pPr>
        <w:rPr>
          <w:rFonts w:ascii="Arial" w:hAnsi="Arial" w:cs="Arial"/>
          <w:sz w:val="22"/>
        </w:rPr>
      </w:pPr>
      <w:r w:rsidRPr="00457D9C">
        <w:rPr>
          <w:rFonts w:ascii="Arial" w:hAnsi="Arial" w:cs="Arial"/>
          <w:sz w:val="22"/>
        </w:rPr>
        <w:t>Zahájení realizace: 1. července 2013</w:t>
      </w:r>
    </w:p>
    <w:p w:rsidR="001C4200" w:rsidRPr="00457D9C" w:rsidRDefault="001C4200" w:rsidP="001C4200">
      <w:pPr>
        <w:rPr>
          <w:rFonts w:ascii="Arial" w:hAnsi="Arial" w:cs="Arial"/>
          <w:sz w:val="22"/>
        </w:rPr>
      </w:pPr>
      <w:r w:rsidRPr="00457D9C">
        <w:rPr>
          <w:rFonts w:ascii="Arial" w:hAnsi="Arial" w:cs="Arial"/>
          <w:sz w:val="22"/>
        </w:rPr>
        <w:t>Ukončení realizace: 31. října 2015</w:t>
      </w:r>
    </w:p>
    <w:p w:rsidR="001C4200" w:rsidRPr="00457D9C" w:rsidRDefault="001C4200" w:rsidP="001C4200">
      <w:pPr>
        <w:rPr>
          <w:rFonts w:ascii="Arial" w:hAnsi="Arial" w:cs="Arial"/>
          <w:sz w:val="22"/>
        </w:rPr>
      </w:pPr>
    </w:p>
    <w:p w:rsidR="001C4200" w:rsidRPr="00457D9C" w:rsidRDefault="001C4200" w:rsidP="001C4200">
      <w:pPr>
        <w:shd w:val="clear" w:color="auto" w:fill="FFFFFF"/>
        <w:jc w:val="both"/>
        <w:rPr>
          <w:rFonts w:ascii="Arial" w:hAnsi="Arial" w:cs="Arial"/>
          <w:color w:val="000000"/>
          <w:sz w:val="22"/>
        </w:rPr>
      </w:pPr>
      <w:r w:rsidRPr="00457D9C">
        <w:rPr>
          <w:rFonts w:ascii="Arial" w:hAnsi="Arial" w:cs="Arial"/>
          <w:color w:val="000000"/>
          <w:sz w:val="22"/>
        </w:rPr>
        <w:t xml:space="preserve">V rámci projektu jsou podporovány </w:t>
      </w:r>
      <w:r w:rsidRPr="00457D9C">
        <w:rPr>
          <w:rFonts w:ascii="Arial" w:hAnsi="Arial" w:cs="Arial"/>
          <w:color w:val="000000"/>
          <w:sz w:val="22"/>
          <w:u w:val="single"/>
        </w:rPr>
        <w:t>cílové skupiny</w:t>
      </w:r>
      <w:r w:rsidRPr="00457D9C">
        <w:rPr>
          <w:rFonts w:ascii="Arial" w:hAnsi="Arial" w:cs="Arial"/>
          <w:color w:val="000000"/>
          <w:sz w:val="22"/>
        </w:rPr>
        <w:t xml:space="preserve"> zaměstnanců a zaměstnavatelů, kteří působí ve vybraných ekonomických činnostech v rámci daného regionu. Projekt je určen pro všechny typy podniků – malé, střední, velké. Rozhodující je sídlo a provozovna zaměstnavatele.</w:t>
      </w:r>
    </w:p>
    <w:p w:rsidR="001C4200" w:rsidRPr="00457D9C" w:rsidRDefault="001C4200" w:rsidP="001C4200">
      <w:pPr>
        <w:jc w:val="both"/>
        <w:rPr>
          <w:rFonts w:ascii="Arial" w:hAnsi="Arial" w:cs="Arial"/>
          <w:sz w:val="22"/>
          <w:lang w:eastAsia="en-US"/>
        </w:rPr>
      </w:pPr>
    </w:p>
    <w:p w:rsidR="001C4200" w:rsidRPr="00457D9C" w:rsidRDefault="001C4200" w:rsidP="001C4200">
      <w:pPr>
        <w:jc w:val="both"/>
        <w:rPr>
          <w:rFonts w:ascii="Arial" w:hAnsi="Arial" w:cs="Arial"/>
          <w:sz w:val="22"/>
        </w:rPr>
      </w:pPr>
      <w:r w:rsidRPr="00457D9C">
        <w:rPr>
          <w:rFonts w:ascii="Arial" w:hAnsi="Arial" w:cs="Arial"/>
          <w:sz w:val="22"/>
          <w:u w:val="single"/>
        </w:rPr>
        <w:t>Cílem projektu</w:t>
      </w:r>
      <w:r w:rsidRPr="00457D9C">
        <w:rPr>
          <w:rFonts w:ascii="Arial" w:hAnsi="Arial" w:cs="Arial"/>
          <w:sz w:val="22"/>
        </w:rPr>
        <w:t xml:space="preserve"> je podpora zaměstnavatelů prostřednictvím poskytnutí příspěvku na vzdělávání jejich zaměstnanců, případně také příspěvku na mzdové náklady za dobu účasti zaměstnanců na vzdělávání. Současně je cílem zvýšení odborných znalostí, dovedností a kompetencí zaměstnanců a tím získání lepší uplatnitelnosti na trhu práce.</w:t>
      </w:r>
    </w:p>
    <w:p w:rsidR="001C4200" w:rsidRPr="00457D9C" w:rsidRDefault="001C4200" w:rsidP="001C4200">
      <w:pPr>
        <w:jc w:val="both"/>
        <w:rPr>
          <w:rFonts w:ascii="Arial" w:hAnsi="Arial" w:cs="Arial"/>
          <w:sz w:val="22"/>
        </w:rPr>
      </w:pPr>
    </w:p>
    <w:p w:rsidR="001C4200" w:rsidRPr="00457D9C" w:rsidRDefault="001C4200" w:rsidP="001C4200">
      <w:pPr>
        <w:jc w:val="both"/>
        <w:rPr>
          <w:rFonts w:ascii="Arial" w:hAnsi="Arial" w:cs="Arial"/>
          <w:sz w:val="22"/>
        </w:rPr>
      </w:pPr>
      <w:r w:rsidRPr="00457D9C">
        <w:rPr>
          <w:rFonts w:ascii="Arial" w:hAnsi="Arial" w:cs="Arial"/>
          <w:sz w:val="22"/>
          <w:u w:val="single"/>
        </w:rPr>
        <w:t>Klíčové aktivity projektu</w:t>
      </w:r>
      <w:r w:rsidRPr="00457D9C">
        <w:rPr>
          <w:rFonts w:ascii="Arial" w:hAnsi="Arial" w:cs="Arial"/>
          <w:sz w:val="22"/>
        </w:rPr>
        <w:t xml:space="preserve"> - řízení a monitoring projektu, vzdělávání zaměstnanců, poskytování mzdových příspěvků.</w:t>
      </w:r>
    </w:p>
    <w:p w:rsidR="001C4200" w:rsidRPr="00457D9C" w:rsidRDefault="001C4200" w:rsidP="001C4200">
      <w:pPr>
        <w:jc w:val="both"/>
        <w:rPr>
          <w:rFonts w:ascii="Arial" w:hAnsi="Arial" w:cs="Arial"/>
          <w:sz w:val="22"/>
        </w:rPr>
      </w:pPr>
    </w:p>
    <w:p w:rsidR="001C4200" w:rsidRPr="00457D9C" w:rsidRDefault="001C4200" w:rsidP="001C4200">
      <w:pPr>
        <w:jc w:val="both"/>
        <w:rPr>
          <w:rFonts w:ascii="Arial" w:hAnsi="Arial" w:cs="Arial"/>
          <w:sz w:val="22"/>
        </w:rPr>
      </w:pPr>
      <w:r w:rsidRPr="00457D9C">
        <w:rPr>
          <w:rFonts w:ascii="Arial" w:hAnsi="Arial" w:cs="Arial"/>
          <w:sz w:val="22"/>
          <w:u w:val="single"/>
        </w:rPr>
        <w:t>Rozpočet projektu</w:t>
      </w:r>
      <w:r w:rsidRPr="00457D9C">
        <w:rPr>
          <w:rFonts w:ascii="Arial" w:hAnsi="Arial" w:cs="Arial"/>
          <w:sz w:val="22"/>
        </w:rPr>
        <w:t xml:space="preserve"> - celkový rozpočet projektu byl na počátku re</w:t>
      </w:r>
      <w:r>
        <w:rPr>
          <w:rFonts w:ascii="Arial" w:hAnsi="Arial" w:cs="Arial"/>
          <w:sz w:val="22"/>
        </w:rPr>
        <w:t xml:space="preserve">alizace projektu stanoven na 53 245 </w:t>
      </w:r>
      <w:r w:rsidRPr="00457D9C">
        <w:rPr>
          <w:rFonts w:ascii="Arial" w:hAnsi="Arial" w:cs="Arial"/>
          <w:sz w:val="22"/>
        </w:rPr>
        <w:t>000 Kč, z toho n</w:t>
      </w:r>
      <w:r>
        <w:rPr>
          <w:rFonts w:ascii="Arial" w:hAnsi="Arial" w:cs="Arial"/>
          <w:sz w:val="22"/>
        </w:rPr>
        <w:t xml:space="preserve">a přímou podporu bylo určeno 43 486 </w:t>
      </w:r>
      <w:r w:rsidRPr="00457D9C">
        <w:rPr>
          <w:rFonts w:ascii="Arial" w:hAnsi="Arial" w:cs="Arial"/>
          <w:sz w:val="22"/>
        </w:rPr>
        <w:t>628 Kč. Rozpočet projektu byl však v průběhu realizace třikrát navyšován a k 31.</w:t>
      </w:r>
      <w:r>
        <w:rPr>
          <w:rFonts w:ascii="Arial" w:hAnsi="Arial" w:cs="Arial"/>
          <w:sz w:val="22"/>
        </w:rPr>
        <w:t xml:space="preserve"> </w:t>
      </w:r>
      <w:r w:rsidRPr="00457D9C">
        <w:rPr>
          <w:rFonts w:ascii="Arial" w:hAnsi="Arial" w:cs="Arial"/>
          <w:sz w:val="22"/>
        </w:rPr>
        <w:t>12.</w:t>
      </w:r>
      <w:r>
        <w:rPr>
          <w:rFonts w:ascii="Arial" w:hAnsi="Arial" w:cs="Arial"/>
          <w:sz w:val="22"/>
        </w:rPr>
        <w:t xml:space="preserve"> 2014 dosáhl na částku 109 316 </w:t>
      </w:r>
      <w:r w:rsidRPr="00457D9C">
        <w:rPr>
          <w:rFonts w:ascii="Arial" w:hAnsi="Arial" w:cs="Arial"/>
          <w:sz w:val="22"/>
        </w:rPr>
        <w:t xml:space="preserve">172 </w:t>
      </w:r>
      <w:r>
        <w:rPr>
          <w:rFonts w:ascii="Arial" w:hAnsi="Arial" w:cs="Arial"/>
          <w:sz w:val="22"/>
        </w:rPr>
        <w:t xml:space="preserve">Kč (z toho na přímou podporu 99 557 </w:t>
      </w:r>
      <w:r w:rsidRPr="00457D9C">
        <w:rPr>
          <w:rFonts w:ascii="Arial" w:hAnsi="Arial" w:cs="Arial"/>
          <w:sz w:val="22"/>
        </w:rPr>
        <w:t>800 Kč).</w:t>
      </w:r>
    </w:p>
    <w:p w:rsidR="001C4200" w:rsidRPr="00457D9C" w:rsidRDefault="001C4200" w:rsidP="001C4200">
      <w:pPr>
        <w:jc w:val="both"/>
        <w:rPr>
          <w:rFonts w:ascii="Arial" w:hAnsi="Arial" w:cs="Arial"/>
          <w:sz w:val="22"/>
        </w:rPr>
      </w:pPr>
    </w:p>
    <w:p w:rsidR="001C4200" w:rsidRPr="00457D9C" w:rsidRDefault="001C4200" w:rsidP="001C4200">
      <w:pPr>
        <w:jc w:val="both"/>
        <w:rPr>
          <w:rFonts w:ascii="Arial" w:hAnsi="Arial" w:cs="Arial"/>
          <w:sz w:val="22"/>
        </w:rPr>
      </w:pPr>
      <w:r w:rsidRPr="00457D9C">
        <w:rPr>
          <w:rFonts w:ascii="Arial" w:hAnsi="Arial" w:cs="Arial"/>
          <w:sz w:val="22"/>
        </w:rPr>
        <w:t>V dohodách se zaměstnavateli bylo k 31.</w:t>
      </w:r>
      <w:r>
        <w:rPr>
          <w:rFonts w:ascii="Arial" w:hAnsi="Arial" w:cs="Arial"/>
          <w:sz w:val="22"/>
        </w:rPr>
        <w:t xml:space="preserve"> </w:t>
      </w:r>
      <w:r w:rsidRPr="00457D9C">
        <w:rPr>
          <w:rFonts w:ascii="Arial" w:hAnsi="Arial" w:cs="Arial"/>
          <w:sz w:val="22"/>
        </w:rPr>
        <w:t>12.</w:t>
      </w:r>
      <w:r>
        <w:rPr>
          <w:rFonts w:ascii="Arial" w:hAnsi="Arial" w:cs="Arial"/>
          <w:sz w:val="22"/>
        </w:rPr>
        <w:t xml:space="preserve"> </w:t>
      </w:r>
      <w:r w:rsidRPr="00457D9C">
        <w:rPr>
          <w:rFonts w:ascii="Arial" w:hAnsi="Arial" w:cs="Arial"/>
          <w:sz w:val="22"/>
        </w:rPr>
        <w:t>20</w:t>
      </w:r>
      <w:r>
        <w:rPr>
          <w:rFonts w:ascii="Arial" w:hAnsi="Arial" w:cs="Arial"/>
          <w:sz w:val="22"/>
        </w:rPr>
        <w:t xml:space="preserve">14 zazávazkováno celkem 59 472 </w:t>
      </w:r>
      <w:r w:rsidRPr="00457D9C">
        <w:rPr>
          <w:rFonts w:ascii="Arial" w:hAnsi="Arial" w:cs="Arial"/>
          <w:sz w:val="22"/>
        </w:rPr>
        <w:t>197 Kč. K 31.</w:t>
      </w:r>
      <w:r>
        <w:rPr>
          <w:rFonts w:ascii="Arial" w:hAnsi="Arial" w:cs="Arial"/>
          <w:sz w:val="22"/>
        </w:rPr>
        <w:t xml:space="preserve"> </w:t>
      </w:r>
      <w:r w:rsidRPr="00457D9C">
        <w:rPr>
          <w:rFonts w:ascii="Arial" w:hAnsi="Arial" w:cs="Arial"/>
          <w:sz w:val="22"/>
        </w:rPr>
        <w:t>12.</w:t>
      </w:r>
      <w:r>
        <w:rPr>
          <w:rFonts w:ascii="Arial" w:hAnsi="Arial" w:cs="Arial"/>
          <w:sz w:val="22"/>
        </w:rPr>
        <w:t xml:space="preserve"> </w:t>
      </w:r>
      <w:r w:rsidRPr="00457D9C">
        <w:rPr>
          <w:rFonts w:ascii="Arial" w:hAnsi="Arial" w:cs="Arial"/>
          <w:sz w:val="22"/>
        </w:rPr>
        <w:t>2014 bylo z rozpočtu projektu zamě</w:t>
      </w:r>
      <w:r>
        <w:rPr>
          <w:rFonts w:ascii="Arial" w:hAnsi="Arial" w:cs="Arial"/>
          <w:sz w:val="22"/>
        </w:rPr>
        <w:t>stnavatelům vyplaceno celkem 40 706 434,23</w:t>
      </w:r>
      <w:r w:rsidRPr="00457D9C">
        <w:rPr>
          <w:rFonts w:ascii="Arial" w:hAnsi="Arial" w:cs="Arial"/>
          <w:sz w:val="22"/>
        </w:rPr>
        <w:t xml:space="preserve"> Kč.</w:t>
      </w:r>
    </w:p>
    <w:p w:rsidR="001C4200" w:rsidRDefault="001C4200" w:rsidP="001C4200">
      <w:pPr>
        <w:pStyle w:val="Zprva3"/>
        <w:rPr>
          <w:rFonts w:ascii="Arial" w:hAnsi="Arial" w:cs="Arial"/>
          <w:color w:val="auto"/>
          <w:sz w:val="22"/>
          <w:szCs w:val="22"/>
        </w:rPr>
      </w:pPr>
    </w:p>
    <w:p w:rsidR="001C4200" w:rsidRPr="00EA614E" w:rsidRDefault="001C4200" w:rsidP="001C4200">
      <w:pPr>
        <w:pStyle w:val="Zprva3"/>
        <w:rPr>
          <w:rFonts w:ascii="Arial" w:hAnsi="Arial" w:cs="Arial"/>
          <w:color w:val="auto"/>
          <w:sz w:val="22"/>
          <w:szCs w:val="22"/>
        </w:rPr>
      </w:pPr>
    </w:p>
    <w:p w:rsidR="001C4200" w:rsidRPr="002A2C3D" w:rsidRDefault="001C4200" w:rsidP="001C4200">
      <w:pPr>
        <w:pStyle w:val="Odstavecseseznamem"/>
        <w:numPr>
          <w:ilvl w:val="0"/>
          <w:numId w:val="31"/>
        </w:numPr>
        <w:tabs>
          <w:tab w:val="left" w:pos="426"/>
        </w:tabs>
        <w:spacing w:after="200"/>
        <w:contextualSpacing/>
        <w:jc w:val="both"/>
        <w:rPr>
          <w:rFonts w:ascii="Arial" w:hAnsi="Arial" w:cs="Arial"/>
          <w:b/>
          <w:u w:val="single"/>
        </w:rPr>
      </w:pPr>
      <w:r w:rsidRPr="00C630DD">
        <w:rPr>
          <w:rFonts w:ascii="Arial" w:hAnsi="Arial" w:cs="Arial"/>
          <w:b/>
          <w:u w:val="single"/>
        </w:rPr>
        <w:t>Recept na úspěch – CZ.1.04/2.1.00/70.00072</w:t>
      </w:r>
    </w:p>
    <w:p w:rsidR="001C4200" w:rsidRPr="00EA614E" w:rsidRDefault="001C4200" w:rsidP="001C4200">
      <w:pPr>
        <w:jc w:val="both"/>
        <w:rPr>
          <w:rFonts w:ascii="Arial" w:hAnsi="Arial" w:cs="Arial"/>
          <w:sz w:val="22"/>
          <w:szCs w:val="22"/>
        </w:rPr>
      </w:pPr>
      <w:r w:rsidRPr="00EA614E">
        <w:rPr>
          <w:rFonts w:ascii="Arial" w:hAnsi="Arial" w:cs="Arial"/>
          <w:sz w:val="22"/>
          <w:szCs w:val="22"/>
        </w:rPr>
        <w:t>Zahájení realizace:</w:t>
      </w:r>
      <w:r w:rsidRPr="00EA614E">
        <w:rPr>
          <w:rFonts w:ascii="Arial" w:hAnsi="Arial" w:cs="Arial"/>
          <w:sz w:val="22"/>
          <w:szCs w:val="22"/>
        </w:rPr>
        <w:tab/>
        <w:t>1. září 2013</w:t>
      </w:r>
    </w:p>
    <w:p w:rsidR="001C4200" w:rsidRPr="00EA614E" w:rsidRDefault="001C4200" w:rsidP="001C4200">
      <w:pPr>
        <w:jc w:val="both"/>
        <w:rPr>
          <w:rFonts w:ascii="Arial" w:hAnsi="Arial" w:cs="Arial"/>
          <w:sz w:val="22"/>
          <w:szCs w:val="22"/>
        </w:rPr>
      </w:pPr>
      <w:r w:rsidRPr="00EA614E">
        <w:rPr>
          <w:rFonts w:ascii="Arial" w:hAnsi="Arial" w:cs="Arial"/>
          <w:sz w:val="22"/>
          <w:szCs w:val="22"/>
        </w:rPr>
        <w:t>Ukončení realizace:</w:t>
      </w:r>
      <w:r w:rsidRPr="00EA614E">
        <w:rPr>
          <w:rFonts w:ascii="Arial" w:hAnsi="Arial" w:cs="Arial"/>
          <w:sz w:val="22"/>
          <w:szCs w:val="22"/>
        </w:rPr>
        <w:tab/>
        <w:t>31. srpna 2015</w:t>
      </w:r>
    </w:p>
    <w:p w:rsidR="001C4200" w:rsidRPr="00EA614E" w:rsidRDefault="001C4200" w:rsidP="001C4200">
      <w:pPr>
        <w:jc w:val="both"/>
        <w:rPr>
          <w:rFonts w:ascii="Arial" w:hAnsi="Arial" w:cs="Arial"/>
          <w:sz w:val="22"/>
          <w:szCs w:val="22"/>
        </w:rPr>
      </w:pPr>
    </w:p>
    <w:p w:rsidR="001C4200" w:rsidRPr="00EA614E" w:rsidRDefault="001C4200" w:rsidP="001C4200">
      <w:pPr>
        <w:jc w:val="both"/>
        <w:rPr>
          <w:rFonts w:ascii="Arial" w:hAnsi="Arial" w:cs="Arial"/>
          <w:sz w:val="22"/>
          <w:szCs w:val="22"/>
        </w:rPr>
      </w:pPr>
      <w:r w:rsidRPr="00EA614E">
        <w:rPr>
          <w:rFonts w:ascii="Arial" w:hAnsi="Arial" w:cs="Arial"/>
          <w:sz w:val="22"/>
          <w:szCs w:val="22"/>
        </w:rPr>
        <w:t>Cílová skupina:</w:t>
      </w:r>
    </w:p>
    <w:p w:rsidR="001C4200" w:rsidRPr="00EA614E" w:rsidRDefault="001C4200" w:rsidP="001C4200">
      <w:pPr>
        <w:pStyle w:val="Odstavecseseznamem"/>
        <w:numPr>
          <w:ilvl w:val="0"/>
          <w:numId w:val="17"/>
        </w:numPr>
        <w:tabs>
          <w:tab w:val="left" w:pos="284"/>
          <w:tab w:val="left" w:pos="709"/>
        </w:tabs>
        <w:spacing w:line="240" w:lineRule="auto"/>
        <w:ind w:left="0" w:firstLine="0"/>
        <w:contextualSpacing/>
        <w:jc w:val="both"/>
        <w:rPr>
          <w:rFonts w:ascii="Arial" w:hAnsi="Arial" w:cs="Arial"/>
        </w:rPr>
      </w:pPr>
      <w:r w:rsidRPr="00EA614E">
        <w:rPr>
          <w:rFonts w:ascii="Arial" w:hAnsi="Arial" w:cs="Arial"/>
        </w:rPr>
        <w:t xml:space="preserve">osoby evidované jako uchazeči o zaměstnání na kterémkoliv úřadu práce v JmK </w:t>
      </w:r>
    </w:p>
    <w:p w:rsidR="001C4200" w:rsidRPr="00EA614E" w:rsidRDefault="001C4200" w:rsidP="001C4200">
      <w:pPr>
        <w:pStyle w:val="Odstavecseseznamem"/>
        <w:numPr>
          <w:ilvl w:val="0"/>
          <w:numId w:val="18"/>
        </w:numPr>
        <w:tabs>
          <w:tab w:val="left" w:pos="993"/>
        </w:tabs>
        <w:spacing w:line="240" w:lineRule="auto"/>
        <w:ind w:left="567" w:firstLine="0"/>
        <w:contextualSpacing/>
        <w:jc w:val="both"/>
        <w:rPr>
          <w:rFonts w:ascii="Arial" w:hAnsi="Arial" w:cs="Arial"/>
        </w:rPr>
      </w:pPr>
      <w:r w:rsidRPr="00EA614E">
        <w:rPr>
          <w:rFonts w:ascii="Arial" w:hAnsi="Arial" w:cs="Arial"/>
        </w:rPr>
        <w:t>nepřetržitě déle než 5 měsíců</w:t>
      </w:r>
    </w:p>
    <w:p w:rsidR="001C4200" w:rsidRPr="00EA614E" w:rsidRDefault="001C4200" w:rsidP="001C4200">
      <w:pPr>
        <w:ind w:left="567"/>
        <w:jc w:val="both"/>
        <w:rPr>
          <w:rFonts w:ascii="Arial" w:hAnsi="Arial" w:cs="Arial"/>
          <w:sz w:val="22"/>
          <w:szCs w:val="22"/>
        </w:rPr>
      </w:pPr>
      <w:r w:rsidRPr="00EA614E">
        <w:rPr>
          <w:rFonts w:ascii="Arial" w:hAnsi="Arial" w:cs="Arial"/>
          <w:sz w:val="22"/>
          <w:szCs w:val="22"/>
        </w:rPr>
        <w:t>nebo</w:t>
      </w:r>
    </w:p>
    <w:p w:rsidR="001C4200" w:rsidRPr="00EA614E" w:rsidRDefault="001C4200" w:rsidP="001C4200">
      <w:pPr>
        <w:pStyle w:val="Odstavecseseznamem"/>
        <w:numPr>
          <w:ilvl w:val="0"/>
          <w:numId w:val="18"/>
        </w:numPr>
        <w:tabs>
          <w:tab w:val="left" w:pos="993"/>
        </w:tabs>
        <w:spacing w:line="240" w:lineRule="auto"/>
        <w:ind w:left="567" w:firstLine="0"/>
        <w:contextualSpacing/>
        <w:jc w:val="both"/>
        <w:rPr>
          <w:rFonts w:ascii="Arial" w:hAnsi="Arial" w:cs="Arial"/>
        </w:rPr>
      </w:pPr>
      <w:r w:rsidRPr="00EA614E">
        <w:rPr>
          <w:rFonts w:ascii="Arial" w:hAnsi="Arial" w:cs="Arial"/>
        </w:rPr>
        <w:t>bez nároku na podporu v nezaměstnanosti</w:t>
      </w:r>
    </w:p>
    <w:p w:rsidR="001C4200" w:rsidRPr="00EA614E" w:rsidRDefault="001C4200" w:rsidP="001C4200">
      <w:pPr>
        <w:pStyle w:val="Odstavecseseznamem"/>
        <w:numPr>
          <w:ilvl w:val="0"/>
          <w:numId w:val="17"/>
        </w:numPr>
        <w:tabs>
          <w:tab w:val="left" w:pos="284"/>
          <w:tab w:val="left" w:pos="851"/>
        </w:tabs>
        <w:spacing w:line="240" w:lineRule="auto"/>
        <w:ind w:left="0" w:firstLine="0"/>
        <w:contextualSpacing/>
        <w:jc w:val="both"/>
        <w:rPr>
          <w:rFonts w:ascii="Arial" w:hAnsi="Arial" w:cs="Arial"/>
        </w:rPr>
      </w:pPr>
      <w:r w:rsidRPr="00EA614E">
        <w:rPr>
          <w:rFonts w:ascii="Arial" w:hAnsi="Arial" w:cs="Arial"/>
        </w:rPr>
        <w:t>vzdělání střední odborné (vyučen) nebo středoškolské</w:t>
      </w:r>
    </w:p>
    <w:p w:rsidR="001C4200" w:rsidRDefault="001C4200" w:rsidP="001C4200">
      <w:pPr>
        <w:jc w:val="both"/>
        <w:rPr>
          <w:rFonts w:ascii="Arial" w:hAnsi="Arial" w:cs="Arial"/>
          <w:sz w:val="22"/>
          <w:szCs w:val="22"/>
        </w:rPr>
      </w:pPr>
    </w:p>
    <w:p w:rsidR="001C4200" w:rsidRPr="00CF1690" w:rsidRDefault="001C4200" w:rsidP="001C4200">
      <w:pPr>
        <w:jc w:val="both"/>
        <w:rPr>
          <w:rFonts w:ascii="Arial" w:eastAsiaTheme="minorHAnsi" w:hAnsi="Arial" w:cs="Arial"/>
          <w:bCs/>
          <w:color w:val="000000"/>
          <w:sz w:val="22"/>
          <w:szCs w:val="22"/>
          <w:u w:val="single"/>
        </w:rPr>
      </w:pPr>
      <w:r w:rsidRPr="00CF1690">
        <w:rPr>
          <w:rFonts w:ascii="Arial" w:eastAsiaTheme="minorHAnsi" w:hAnsi="Arial" w:cs="Arial"/>
          <w:bCs/>
          <w:color w:val="000000"/>
          <w:sz w:val="22"/>
          <w:szCs w:val="22"/>
          <w:u w:val="single"/>
        </w:rPr>
        <w:t>Aktivity projektu (k 31. 12. 2014):</w:t>
      </w:r>
    </w:p>
    <w:p w:rsidR="001C4200" w:rsidRPr="00EA614E" w:rsidRDefault="001C4200" w:rsidP="001C4200">
      <w:pPr>
        <w:jc w:val="both"/>
        <w:rPr>
          <w:rFonts w:ascii="Arial" w:hAnsi="Arial" w:cs="Arial"/>
          <w:sz w:val="22"/>
          <w:szCs w:val="22"/>
        </w:rPr>
      </w:pPr>
    </w:p>
    <w:p w:rsidR="001C4200" w:rsidRPr="00C630DD" w:rsidRDefault="001C4200" w:rsidP="001C4200">
      <w:pPr>
        <w:jc w:val="both"/>
        <w:rPr>
          <w:rFonts w:ascii="Arial" w:hAnsi="Arial" w:cs="Arial"/>
          <w:sz w:val="22"/>
          <w:szCs w:val="22"/>
        </w:rPr>
      </w:pPr>
      <w:r w:rsidRPr="00C630DD">
        <w:rPr>
          <w:rFonts w:ascii="Arial" w:hAnsi="Arial" w:cs="Arial"/>
          <w:sz w:val="22"/>
          <w:szCs w:val="22"/>
        </w:rPr>
        <w:t>VÝBĚR KLIENTŮ PROJEKTU – je prováděn ve spolupráci s jednotlivými úřady práce v kraji. Zařazení do projektu je podmíněno evidencí na kterémkoliv kontaktním pracovišti Úřadu práce ČR v JmK. Klientem se může stát osoba evidována jako uchazeč o zaměstnání nepřetržitě déle než 5 měsíců nebo bez nároku na podporu v nezaměstnanosti se vzděláním středním odborným (vyučen) nebo středoškolským (maturita). Celkem do projektu lze zařadit min. 400 klientů. Dosud bylo do projektu vybráno 425 osob.</w:t>
      </w:r>
    </w:p>
    <w:p w:rsidR="001C4200" w:rsidRPr="00C630DD" w:rsidRDefault="001C4200" w:rsidP="001C4200">
      <w:pPr>
        <w:jc w:val="both"/>
        <w:rPr>
          <w:rFonts w:ascii="Arial" w:hAnsi="Arial" w:cs="Arial"/>
          <w:sz w:val="22"/>
          <w:szCs w:val="22"/>
        </w:rPr>
      </w:pPr>
    </w:p>
    <w:p w:rsidR="001C4200" w:rsidRPr="00C630DD" w:rsidRDefault="001C4200" w:rsidP="001C4200">
      <w:pPr>
        <w:jc w:val="both"/>
        <w:rPr>
          <w:rFonts w:ascii="Arial" w:hAnsi="Arial" w:cs="Arial"/>
          <w:sz w:val="22"/>
          <w:szCs w:val="22"/>
        </w:rPr>
      </w:pPr>
      <w:r w:rsidRPr="00C630DD">
        <w:rPr>
          <w:rFonts w:ascii="Arial" w:hAnsi="Arial" w:cs="Arial"/>
          <w:sz w:val="22"/>
          <w:szCs w:val="22"/>
        </w:rPr>
        <w:t xml:space="preserve">VSTUPNÍ BLOK - 2 denní blok informací o projektu a jeho poradenských, motivačních a vzdělávacích aktivitách a legislativě z pracovní oblasti (5 hodin denně) povinný pro všechny klienty projektu. Dohodu o účasti v projektu dosud podepsalo 384 osob ze 400 plánovaných. </w:t>
      </w:r>
    </w:p>
    <w:p w:rsidR="001C4200" w:rsidRPr="00C630DD" w:rsidRDefault="001C4200" w:rsidP="001C4200">
      <w:pPr>
        <w:jc w:val="both"/>
        <w:rPr>
          <w:rFonts w:ascii="Arial" w:hAnsi="Arial" w:cs="Arial"/>
          <w:sz w:val="22"/>
          <w:szCs w:val="22"/>
        </w:rPr>
      </w:pPr>
    </w:p>
    <w:p w:rsidR="001C4200" w:rsidRPr="00C630DD" w:rsidRDefault="001C4200" w:rsidP="001C4200">
      <w:pPr>
        <w:jc w:val="both"/>
        <w:rPr>
          <w:rFonts w:ascii="Arial" w:hAnsi="Arial" w:cs="Arial"/>
          <w:sz w:val="22"/>
          <w:szCs w:val="22"/>
        </w:rPr>
      </w:pPr>
      <w:r w:rsidRPr="00C630DD">
        <w:rPr>
          <w:rFonts w:ascii="Arial" w:hAnsi="Arial" w:cs="Arial"/>
          <w:sz w:val="22"/>
          <w:szCs w:val="22"/>
        </w:rPr>
        <w:t>PLÁN ROZVOJE KLIENTA - Každý klient projektu spolupracuje při individuálním pohovoru s odborným pracovníkem dodavatele na sestavení svého vhodného rozvojového a výukového plánu aktivit. Na doporučení odborného pracovníka může být klient zařazen do následujících motivačních, poradenských a vzdělávacích aktivit.</w:t>
      </w:r>
    </w:p>
    <w:p w:rsidR="001C4200" w:rsidRPr="00C630DD" w:rsidRDefault="001C4200" w:rsidP="001C4200">
      <w:pPr>
        <w:jc w:val="both"/>
        <w:rPr>
          <w:rFonts w:ascii="Arial" w:hAnsi="Arial" w:cs="Arial"/>
          <w:sz w:val="22"/>
          <w:szCs w:val="22"/>
        </w:rPr>
      </w:pPr>
    </w:p>
    <w:p w:rsidR="001C4200" w:rsidRPr="00C630DD" w:rsidRDefault="001C4200" w:rsidP="001C4200">
      <w:pPr>
        <w:jc w:val="both"/>
        <w:rPr>
          <w:rFonts w:ascii="Arial" w:hAnsi="Arial" w:cs="Arial"/>
          <w:sz w:val="22"/>
          <w:szCs w:val="22"/>
        </w:rPr>
      </w:pPr>
      <w:r w:rsidRPr="00C630DD">
        <w:rPr>
          <w:rFonts w:ascii="Arial" w:hAnsi="Arial" w:cs="Arial"/>
          <w:sz w:val="22"/>
          <w:szCs w:val="22"/>
        </w:rPr>
        <w:t xml:space="preserve">INDIVIDUÁLNÍ PORADENSTVÍ - všichni klienti projektu mohou dle vlastního uvážení požádat o individuální poradenství specialisty dodavatele za účelem zlepšení sebepoznání. Celková kapacita poskytovaných poradenských hodin v tomto projektu je 800 hodin, což odpovídá průměru 2 hodiny pro klienta. </w:t>
      </w:r>
    </w:p>
    <w:p w:rsidR="001C4200" w:rsidRPr="00C630DD" w:rsidRDefault="001C4200" w:rsidP="001C4200">
      <w:pPr>
        <w:jc w:val="both"/>
        <w:rPr>
          <w:rFonts w:ascii="Arial" w:hAnsi="Arial" w:cs="Arial"/>
          <w:sz w:val="22"/>
          <w:szCs w:val="22"/>
        </w:rPr>
      </w:pPr>
    </w:p>
    <w:p w:rsidR="001C4200" w:rsidRPr="00C630DD" w:rsidRDefault="001C4200" w:rsidP="001C4200">
      <w:pPr>
        <w:jc w:val="both"/>
        <w:rPr>
          <w:rFonts w:ascii="Arial" w:hAnsi="Arial" w:cs="Arial"/>
          <w:sz w:val="22"/>
          <w:szCs w:val="22"/>
        </w:rPr>
      </w:pPr>
      <w:r w:rsidRPr="00C630DD">
        <w:rPr>
          <w:rFonts w:ascii="Arial" w:hAnsi="Arial" w:cs="Arial"/>
          <w:sz w:val="22"/>
          <w:szCs w:val="22"/>
        </w:rPr>
        <w:t>MOTIVAČNÍ PROGRAM – obsahem aktivity je rozvoj sebeprezentace, rozvoj komunikačních a sociálních dovedností, všeobecný přehled v oblasti ekonomiky, práva a zaměstnanosti. Aktivita probíhá 3 dny po 5 hodinách denně a je určena pro min. 150 klientů. Program dosud absolvovalo 70 klientů.</w:t>
      </w:r>
    </w:p>
    <w:p w:rsidR="001C4200" w:rsidRPr="00C630DD" w:rsidRDefault="001C4200" w:rsidP="001C4200">
      <w:pPr>
        <w:jc w:val="both"/>
        <w:rPr>
          <w:rFonts w:ascii="Arial" w:hAnsi="Arial" w:cs="Arial"/>
          <w:sz w:val="22"/>
          <w:szCs w:val="22"/>
        </w:rPr>
      </w:pPr>
    </w:p>
    <w:p w:rsidR="001C4200" w:rsidRPr="00C630DD" w:rsidRDefault="001C4200" w:rsidP="001C4200">
      <w:pPr>
        <w:jc w:val="both"/>
        <w:rPr>
          <w:rFonts w:ascii="Arial" w:hAnsi="Arial" w:cs="Arial"/>
          <w:sz w:val="22"/>
          <w:szCs w:val="22"/>
        </w:rPr>
      </w:pPr>
      <w:r w:rsidRPr="00C630DD">
        <w:rPr>
          <w:rFonts w:ascii="Arial" w:hAnsi="Arial" w:cs="Arial"/>
          <w:sz w:val="22"/>
          <w:szCs w:val="22"/>
        </w:rPr>
        <w:t>PROGRAM FINANČNÍ GRAMOTNOSTI – cílem aktivity nabídnout pomoc a poradenství klientům, kteří jsou v tíživé finanční situaci, naučit klienty orientovat se ve finančních rozhodnutích, spravovat osobní finanční podmínky, které mají dopad na materiální zajištění jedince, probírat témata peněz. Aktivita probíhá 5 dnů po 5 hodinách denně a je určena pro min. 300 klientů. Program dosud absolvovalo 102 klientů.</w:t>
      </w:r>
    </w:p>
    <w:p w:rsidR="001C4200" w:rsidRPr="00C630DD" w:rsidRDefault="001C4200" w:rsidP="001C4200">
      <w:pPr>
        <w:jc w:val="both"/>
        <w:rPr>
          <w:rFonts w:ascii="Arial" w:hAnsi="Arial" w:cs="Arial"/>
          <w:sz w:val="22"/>
          <w:szCs w:val="22"/>
        </w:rPr>
      </w:pPr>
    </w:p>
    <w:p w:rsidR="001C4200" w:rsidRPr="00C630DD" w:rsidRDefault="001C4200" w:rsidP="001C4200">
      <w:pPr>
        <w:jc w:val="both"/>
        <w:rPr>
          <w:rFonts w:ascii="Arial" w:hAnsi="Arial" w:cs="Arial"/>
          <w:sz w:val="22"/>
          <w:szCs w:val="22"/>
        </w:rPr>
      </w:pPr>
      <w:r w:rsidRPr="00C630DD">
        <w:rPr>
          <w:rFonts w:ascii="Arial" w:hAnsi="Arial" w:cs="Arial"/>
          <w:sz w:val="22"/>
          <w:szCs w:val="22"/>
        </w:rPr>
        <w:t>REKVALIFIKACE – jsou určeny pro min. 300 klientů projektu. Účast klientů v rekvalifikačních kurzech vychází z jejich sestaveného Plánu rozvoje klienta. Celkem je plánováno zajištění 450 rekvalifikací. Typy RK budou uvedeny na webových stránkách projektu. Dosud bylo vydáno 101 osvědčení úspěšným absolventům kurzů.</w:t>
      </w:r>
    </w:p>
    <w:p w:rsidR="001C4200" w:rsidRPr="00C630DD" w:rsidRDefault="001C4200" w:rsidP="001C4200">
      <w:pPr>
        <w:jc w:val="both"/>
        <w:rPr>
          <w:rFonts w:ascii="Arial" w:hAnsi="Arial" w:cs="Arial"/>
          <w:sz w:val="22"/>
          <w:szCs w:val="22"/>
        </w:rPr>
      </w:pPr>
    </w:p>
    <w:p w:rsidR="001C4200" w:rsidRPr="00C630DD" w:rsidRDefault="001C4200" w:rsidP="001C4200">
      <w:pPr>
        <w:jc w:val="both"/>
        <w:rPr>
          <w:rFonts w:ascii="Arial" w:hAnsi="Arial" w:cs="Arial"/>
          <w:sz w:val="22"/>
          <w:szCs w:val="22"/>
        </w:rPr>
      </w:pPr>
      <w:r w:rsidRPr="00C630DD">
        <w:rPr>
          <w:rFonts w:ascii="Arial" w:hAnsi="Arial" w:cs="Arial"/>
          <w:sz w:val="22"/>
          <w:szCs w:val="22"/>
        </w:rPr>
        <w:t xml:space="preserve">ZPROSTŘEDKOVÁNÍ ZAMĚSTNÁNÍ – odborní pracovníci dodavatele jsou nápomocni klientům projektu při hledání zaměstnání vyhledáváním vhodných potenciálních zaměstnavatelů. Celkem bude pro klienty projektu vytvořeno či nalezeno 120 vhodných zaměstnání, z toho 50 nových pracovních míst a 10 SÚPM se mzdovými příspěvky a min. 60 vhodných pracovních míst (pracovní smlouva na dobu delší než 3 měsíce, min. 50 % pracovní doby). </w:t>
      </w:r>
    </w:p>
    <w:p w:rsidR="001C4200" w:rsidRPr="00EA614E" w:rsidRDefault="001C4200" w:rsidP="001C4200">
      <w:pPr>
        <w:jc w:val="both"/>
        <w:rPr>
          <w:rFonts w:ascii="Arial" w:hAnsi="Arial" w:cs="Arial"/>
          <w:bCs/>
          <w:sz w:val="22"/>
          <w:szCs w:val="22"/>
        </w:rPr>
      </w:pPr>
      <w:r w:rsidRPr="00C630DD">
        <w:rPr>
          <w:rFonts w:ascii="Arial" w:hAnsi="Arial" w:cs="Arial"/>
          <w:sz w:val="22"/>
          <w:szCs w:val="22"/>
        </w:rPr>
        <w:t>V projektu bylo dosud podepsáno 38 Dohod o poskytnutí mzdového příspěvku na nově vytvořená pracovní místa. Z důvodu nástupu do zaměstnání vystoupilo z projektu 54 klientů.</w:t>
      </w:r>
    </w:p>
    <w:p w:rsidR="001C4200" w:rsidRPr="00B366E0" w:rsidRDefault="001C4200" w:rsidP="001C4200">
      <w:pPr>
        <w:jc w:val="both"/>
        <w:rPr>
          <w:rFonts w:ascii="Arial" w:hAnsi="Arial" w:cs="Arial"/>
          <w:sz w:val="20"/>
          <w:szCs w:val="22"/>
        </w:rPr>
      </w:pPr>
      <w:r w:rsidRPr="00B366E0">
        <w:rPr>
          <w:rFonts w:ascii="Arial" w:hAnsi="Arial" w:cs="Arial"/>
          <w:sz w:val="20"/>
          <w:szCs w:val="22"/>
        </w:rPr>
        <w:t xml:space="preserve"> </w:t>
      </w:r>
    </w:p>
    <w:p w:rsidR="001C4200" w:rsidRPr="00B366E0" w:rsidRDefault="001C4200" w:rsidP="00D27DAE">
      <w:pPr>
        <w:spacing w:after="200"/>
        <w:rPr>
          <w:rFonts w:ascii="Arial" w:eastAsiaTheme="minorHAnsi" w:hAnsi="Arial" w:cs="Arial"/>
          <w:b/>
          <w:sz w:val="20"/>
          <w:szCs w:val="22"/>
          <w:u w:val="single"/>
          <w:lang w:eastAsia="en-US"/>
        </w:rPr>
      </w:pPr>
      <w:r w:rsidRPr="00B366E0">
        <w:rPr>
          <w:rFonts w:ascii="Arial" w:hAnsi="Arial" w:cs="Arial"/>
          <w:sz w:val="22"/>
        </w:rPr>
        <w:t>Celkový rozpočet projektu činí 20 395</w:t>
      </w:r>
      <w:r>
        <w:rPr>
          <w:rFonts w:ascii="Arial" w:hAnsi="Arial" w:cs="Arial"/>
          <w:sz w:val="22"/>
        </w:rPr>
        <w:t> </w:t>
      </w:r>
      <w:r w:rsidRPr="00B366E0">
        <w:rPr>
          <w:rFonts w:ascii="Arial" w:hAnsi="Arial" w:cs="Arial"/>
          <w:sz w:val="22"/>
        </w:rPr>
        <w:t>030</w:t>
      </w:r>
      <w:r>
        <w:rPr>
          <w:rFonts w:ascii="Arial" w:hAnsi="Arial" w:cs="Arial"/>
          <w:sz w:val="22"/>
        </w:rPr>
        <w:t>,-</w:t>
      </w:r>
      <w:r w:rsidRPr="00B366E0">
        <w:rPr>
          <w:rFonts w:ascii="Arial" w:hAnsi="Arial" w:cs="Arial"/>
          <w:sz w:val="22"/>
        </w:rPr>
        <w:t xml:space="preserve"> Kč. Z této sumy bylo v roce 2014 vyčerpáno celkem 2 410</w:t>
      </w:r>
      <w:r>
        <w:rPr>
          <w:rFonts w:ascii="Arial" w:hAnsi="Arial" w:cs="Arial"/>
          <w:sz w:val="22"/>
        </w:rPr>
        <w:t> </w:t>
      </w:r>
      <w:r w:rsidRPr="00B366E0">
        <w:rPr>
          <w:rFonts w:ascii="Arial" w:hAnsi="Arial" w:cs="Arial"/>
          <w:sz w:val="22"/>
        </w:rPr>
        <w:t>242</w:t>
      </w:r>
      <w:r>
        <w:rPr>
          <w:rFonts w:ascii="Arial" w:hAnsi="Arial" w:cs="Arial"/>
          <w:sz w:val="22"/>
        </w:rPr>
        <w:t>,-</w:t>
      </w:r>
      <w:r w:rsidRPr="00B366E0">
        <w:rPr>
          <w:rFonts w:ascii="Arial" w:hAnsi="Arial" w:cs="Arial"/>
          <w:sz w:val="22"/>
        </w:rPr>
        <w:t xml:space="preserve"> Kč.</w:t>
      </w:r>
    </w:p>
    <w:p w:rsidR="001C4200" w:rsidRDefault="001C4200" w:rsidP="00D27DAE">
      <w:pPr>
        <w:jc w:val="both"/>
        <w:rPr>
          <w:rFonts w:ascii="Arial" w:hAnsi="Arial" w:cs="Arial"/>
          <w:b/>
          <w:sz w:val="26"/>
          <w:szCs w:val="26"/>
          <w:u w:val="single"/>
        </w:rPr>
      </w:pPr>
      <w:r w:rsidRPr="005446B4">
        <w:rPr>
          <w:rFonts w:ascii="Arial" w:hAnsi="Arial" w:cs="Arial"/>
          <w:b/>
          <w:sz w:val="26"/>
          <w:szCs w:val="26"/>
          <w:u w:val="single"/>
        </w:rPr>
        <w:t>RIP</w:t>
      </w:r>
      <w:r>
        <w:rPr>
          <w:rFonts w:ascii="Arial" w:hAnsi="Arial" w:cs="Arial"/>
          <w:b/>
          <w:sz w:val="26"/>
          <w:szCs w:val="26"/>
          <w:u w:val="single"/>
        </w:rPr>
        <w:t xml:space="preserve"> – cílené programy</w:t>
      </w:r>
    </w:p>
    <w:p w:rsidR="001C4200" w:rsidRPr="00EA614E" w:rsidRDefault="001C4200" w:rsidP="001C4200">
      <w:pPr>
        <w:pStyle w:val="Zprva3"/>
        <w:rPr>
          <w:rFonts w:ascii="Arial" w:hAnsi="Arial" w:cs="Arial"/>
          <w:color w:val="auto"/>
          <w:sz w:val="22"/>
          <w:szCs w:val="22"/>
        </w:rPr>
      </w:pPr>
    </w:p>
    <w:p w:rsidR="001C4200" w:rsidRPr="00461A15" w:rsidRDefault="001C4200" w:rsidP="001C4200">
      <w:pPr>
        <w:pStyle w:val="Odstavecseseznamem"/>
        <w:numPr>
          <w:ilvl w:val="0"/>
          <w:numId w:val="16"/>
        </w:numPr>
        <w:contextualSpacing/>
        <w:jc w:val="both"/>
        <w:rPr>
          <w:rFonts w:ascii="Arial" w:hAnsi="Arial" w:cs="Arial"/>
          <w:b/>
          <w:sz w:val="26"/>
          <w:szCs w:val="26"/>
        </w:rPr>
      </w:pPr>
      <w:r w:rsidRPr="00461A15">
        <w:rPr>
          <w:rFonts w:ascii="Arial" w:hAnsi="Arial" w:cs="Arial"/>
          <w:b/>
          <w:sz w:val="26"/>
          <w:szCs w:val="26"/>
        </w:rPr>
        <w:t>Nová šance</w:t>
      </w:r>
    </w:p>
    <w:p w:rsidR="001C4200" w:rsidRDefault="001C4200" w:rsidP="001C4200">
      <w:pPr>
        <w:jc w:val="both"/>
        <w:rPr>
          <w:rFonts w:ascii="Arial" w:hAnsi="Arial" w:cs="Arial"/>
          <w:b/>
          <w:sz w:val="26"/>
          <w:szCs w:val="26"/>
          <w:u w:val="single"/>
        </w:rPr>
      </w:pPr>
    </w:p>
    <w:p w:rsidR="001C4200" w:rsidRPr="00D27DAE" w:rsidRDefault="001C4200" w:rsidP="001C4200">
      <w:pPr>
        <w:shd w:val="clear" w:color="auto" w:fill="FFFFFF"/>
        <w:jc w:val="both"/>
        <w:rPr>
          <w:rFonts w:ascii="Arial" w:hAnsi="Arial" w:cs="Arial"/>
          <w:sz w:val="22"/>
          <w:szCs w:val="22"/>
        </w:rPr>
      </w:pPr>
      <w:r w:rsidRPr="00D27DAE">
        <w:rPr>
          <w:rFonts w:ascii="Arial" w:hAnsi="Arial" w:cs="Arial"/>
          <w:bCs/>
          <w:sz w:val="22"/>
          <w:szCs w:val="22"/>
        </w:rPr>
        <w:t>Od 1.9.20104 je v Jihomoravském kraji realizován cílený program</w:t>
      </w:r>
      <w:r w:rsidRPr="00D27DAE">
        <w:rPr>
          <w:rFonts w:ascii="Arial" w:hAnsi="Arial" w:cs="Arial"/>
          <w:sz w:val="22"/>
          <w:szCs w:val="22"/>
        </w:rPr>
        <w:t xml:space="preserve"> </w:t>
      </w:r>
      <w:r w:rsidRPr="00D27DAE">
        <w:rPr>
          <w:rFonts w:ascii="Arial" w:hAnsi="Arial" w:cs="Arial"/>
          <w:b/>
          <w:sz w:val="22"/>
          <w:szCs w:val="22"/>
        </w:rPr>
        <w:t>„Nová šance“</w:t>
      </w:r>
      <w:r w:rsidRPr="00D27DAE">
        <w:rPr>
          <w:rFonts w:ascii="Arial" w:hAnsi="Arial" w:cs="Arial"/>
          <w:sz w:val="22"/>
          <w:szCs w:val="22"/>
        </w:rPr>
        <w:t xml:space="preserve"> zaměřený na podporu pracovního zapojení osob dlouhodobě nezaměstnaných.</w:t>
      </w:r>
    </w:p>
    <w:p w:rsidR="001C4200" w:rsidRPr="00D27DAE" w:rsidRDefault="001C4200" w:rsidP="001C4200">
      <w:pPr>
        <w:pStyle w:val="Bezmezer"/>
        <w:spacing w:after="120" w:line="276" w:lineRule="auto"/>
        <w:jc w:val="both"/>
        <w:rPr>
          <w:rFonts w:ascii="Arial" w:hAnsi="Arial" w:cs="Arial"/>
          <w:b/>
          <w:sz w:val="22"/>
          <w:szCs w:val="22"/>
        </w:rPr>
      </w:pPr>
      <w:r w:rsidRPr="00D27DAE">
        <w:rPr>
          <w:rFonts w:ascii="Arial" w:hAnsi="Arial" w:cs="Arial"/>
          <w:b/>
          <w:sz w:val="22"/>
          <w:szCs w:val="22"/>
        </w:rPr>
        <w:t xml:space="preserve">Do programu má být zařazeno nejméně 300 osob, které jsou vedeny v evidenci uchazečů o zaměstnání déle než 12 měsíců. Očekávané celkové náklady programu budou 32,160 mil. Kč a budou hrazeny z prostředků ESF. </w:t>
      </w:r>
    </w:p>
    <w:p w:rsidR="001C4200" w:rsidRPr="00D27DAE" w:rsidRDefault="001C4200" w:rsidP="001C4200">
      <w:pPr>
        <w:pStyle w:val="Bezmezer"/>
        <w:spacing w:after="120" w:line="276" w:lineRule="auto"/>
        <w:jc w:val="both"/>
        <w:rPr>
          <w:b/>
          <w:sz w:val="22"/>
          <w:szCs w:val="22"/>
        </w:rPr>
      </w:pPr>
      <w:r w:rsidRPr="00D27DAE">
        <w:rPr>
          <w:rFonts w:ascii="Arial" w:hAnsi="Arial" w:cs="Arial"/>
          <w:b/>
          <w:sz w:val="22"/>
          <w:szCs w:val="22"/>
        </w:rPr>
        <w:t xml:space="preserve">Doba realizace: 1. 9. 2014 do 31. 8. 2015. </w:t>
      </w:r>
    </w:p>
    <w:p w:rsidR="001C4200" w:rsidRPr="00D27DAE" w:rsidRDefault="001C4200" w:rsidP="001C4200">
      <w:pPr>
        <w:shd w:val="clear" w:color="auto" w:fill="FFFFFF"/>
        <w:jc w:val="both"/>
        <w:rPr>
          <w:rFonts w:ascii="Arial" w:hAnsi="Arial" w:cs="Arial"/>
          <w:sz w:val="22"/>
          <w:szCs w:val="22"/>
        </w:rPr>
      </w:pPr>
      <w:r w:rsidRPr="00D27DAE">
        <w:rPr>
          <w:rFonts w:ascii="Arial" w:hAnsi="Arial" w:cs="Arial"/>
          <w:sz w:val="22"/>
          <w:szCs w:val="22"/>
        </w:rPr>
        <w:t>Program je určen pro dlouhodobě neumístitelné uchazeče o zaměstnání, kteří vzhledem ke svému vzdělání, pracovním zkušenostem, věku, zdravotnímu stavu a ostatním osobním charakteristikám, jsou obtížně uplatnitelní na regionálním trhu práce, respektive o které nemají z důvodu jejich dlouhodobé nezaměstnanosti zaměstnavatelé zájem.</w:t>
      </w:r>
    </w:p>
    <w:p w:rsidR="001C4200" w:rsidRPr="00D27DAE" w:rsidRDefault="001C4200" w:rsidP="001C4200">
      <w:pPr>
        <w:shd w:val="clear" w:color="auto" w:fill="FFFFFF"/>
        <w:jc w:val="both"/>
        <w:rPr>
          <w:rFonts w:ascii="Arial" w:hAnsi="Arial" w:cs="Arial"/>
          <w:sz w:val="22"/>
          <w:szCs w:val="22"/>
        </w:rPr>
      </w:pPr>
    </w:p>
    <w:p w:rsidR="001C4200" w:rsidRPr="00D27DAE" w:rsidRDefault="001C4200" w:rsidP="001C4200">
      <w:pPr>
        <w:pStyle w:val="Bezmezer"/>
        <w:spacing w:after="120" w:line="276" w:lineRule="auto"/>
        <w:jc w:val="both"/>
        <w:rPr>
          <w:rFonts w:ascii="Arial" w:hAnsi="Arial" w:cs="Arial"/>
          <w:sz w:val="22"/>
          <w:szCs w:val="22"/>
        </w:rPr>
      </w:pPr>
      <w:r w:rsidRPr="00D27DAE">
        <w:rPr>
          <w:rFonts w:ascii="Arial" w:hAnsi="Arial" w:cs="Arial"/>
          <w:sz w:val="22"/>
          <w:szCs w:val="22"/>
        </w:rPr>
        <w:t>Cílený program je určen pro venkovské regiony Jihomoravského kraje (tj. území mimo okres Brno – město), které jsou dlouhodobou nezaměstnaností nejvíce postiženy.</w:t>
      </w:r>
    </w:p>
    <w:p w:rsidR="001C4200" w:rsidRPr="00D27DAE" w:rsidRDefault="001C4200" w:rsidP="001C4200">
      <w:pPr>
        <w:pStyle w:val="Bezmezer"/>
        <w:spacing w:after="120" w:line="276" w:lineRule="auto"/>
        <w:jc w:val="both"/>
        <w:rPr>
          <w:rFonts w:ascii="Arial" w:hAnsi="Arial" w:cs="Arial"/>
          <w:sz w:val="22"/>
          <w:szCs w:val="22"/>
        </w:rPr>
      </w:pPr>
      <w:r w:rsidRPr="00D27DAE">
        <w:rPr>
          <w:rFonts w:ascii="Arial" w:hAnsi="Arial" w:cs="Arial"/>
          <w:sz w:val="22"/>
          <w:szCs w:val="22"/>
        </w:rPr>
        <w:t xml:space="preserve">Jedná se o spádové obvody KOP Boskovice, Břeclav, Bučovice, Hodonín, Ivančice, Kyjov, Mikulov, Moravský Krumlov, Pohořelice, Tišnov, Veselí nad Moravou a Znojmo.  </w:t>
      </w:r>
    </w:p>
    <w:p w:rsidR="001C4200" w:rsidRPr="00D27DAE" w:rsidRDefault="001C4200" w:rsidP="001C4200">
      <w:pPr>
        <w:pStyle w:val="Bezmezer"/>
        <w:spacing w:after="120" w:line="276" w:lineRule="auto"/>
        <w:jc w:val="both"/>
        <w:rPr>
          <w:rFonts w:ascii="Arial" w:hAnsi="Arial" w:cs="Arial"/>
          <w:sz w:val="22"/>
          <w:szCs w:val="22"/>
        </w:rPr>
      </w:pPr>
      <w:r w:rsidRPr="00D27DAE">
        <w:rPr>
          <w:rFonts w:ascii="Arial" w:hAnsi="Arial" w:cs="Arial"/>
          <w:sz w:val="22"/>
          <w:szCs w:val="22"/>
        </w:rPr>
        <w:t>Program je realizován na základě žádosti o příspěvek na vyhrazení společensky účelného pracovního místa předložené zaměstnavatelem, který bude poskytován maximálně po dobu osmi měsíců ve výši 13 400 Kč měsíčně (tj. hrubá mzda 10 000 tis. Kč měsíčně + příslušné povinné odvody).</w:t>
      </w:r>
    </w:p>
    <w:p w:rsidR="00DF03E3" w:rsidRDefault="001C4200" w:rsidP="00D27DAE">
      <w:pPr>
        <w:pStyle w:val="Bezmezer"/>
        <w:spacing w:after="120" w:line="276" w:lineRule="auto"/>
        <w:jc w:val="both"/>
        <w:rPr>
          <w:rFonts w:ascii="Arial" w:hAnsi="Arial" w:cs="Arial"/>
          <w:snapToGrid w:val="0"/>
          <w:sz w:val="22"/>
          <w:szCs w:val="22"/>
        </w:rPr>
      </w:pPr>
      <w:r w:rsidRPr="00D27DAE">
        <w:rPr>
          <w:rFonts w:ascii="Arial" w:hAnsi="Arial" w:cs="Arial"/>
          <w:sz w:val="22"/>
          <w:szCs w:val="22"/>
        </w:rPr>
        <w:t xml:space="preserve">Aby byla docílena maximální podpora postiženého území, mohou příspěvek čerpat pouze organizace mající provozovnu v podpořeném regionu. </w:t>
      </w:r>
      <w:r w:rsidR="00DF03E3">
        <w:rPr>
          <w:rFonts w:ascii="Arial" w:hAnsi="Arial" w:cs="Arial"/>
          <w:snapToGrid w:val="0"/>
          <w:sz w:val="22"/>
          <w:szCs w:val="22"/>
        </w:rPr>
        <w:br w:type="page"/>
      </w:r>
    </w:p>
    <w:p w:rsidR="00E150FB" w:rsidRPr="00E150FB" w:rsidRDefault="00E150FB" w:rsidP="00E150FB">
      <w:pPr>
        <w:pStyle w:val="Nadpis1"/>
      </w:pPr>
      <w:bookmarkStart w:id="78" w:name="_Toc411611483"/>
      <w:r w:rsidRPr="00E150FB">
        <w:t>7. Cíle APZ</w:t>
      </w:r>
      <w:r>
        <w:t xml:space="preserve"> pro rok 2015</w:t>
      </w:r>
      <w:bookmarkEnd w:id="78"/>
    </w:p>
    <w:p w:rsidR="00E150FB" w:rsidRPr="0008200F" w:rsidRDefault="00E150FB" w:rsidP="00E150FB">
      <w:pPr>
        <w:jc w:val="both"/>
        <w:rPr>
          <w:rFonts w:ascii="Arial" w:hAnsi="Arial" w:cs="Arial"/>
        </w:rPr>
      </w:pPr>
    </w:p>
    <w:p w:rsidR="00E150FB" w:rsidRPr="0008200F" w:rsidRDefault="00E150FB" w:rsidP="00E150FB">
      <w:pPr>
        <w:spacing w:after="120"/>
        <w:jc w:val="both"/>
        <w:rPr>
          <w:rFonts w:ascii="Arial" w:hAnsi="Arial" w:cs="Arial"/>
          <w:sz w:val="22"/>
          <w:szCs w:val="22"/>
        </w:rPr>
      </w:pPr>
      <w:r w:rsidRPr="0008200F">
        <w:rPr>
          <w:rFonts w:ascii="Arial" w:hAnsi="Arial" w:cs="Arial"/>
          <w:sz w:val="22"/>
          <w:szCs w:val="22"/>
        </w:rPr>
        <w:t xml:space="preserve">Aktivní politika zaměstnanosti v kraji se zaměří především na podporu uchazečů o zaměstnání znevýhodněných na trhu práce. Cílem je finančně podpořit zaměstnavatele, kteří přijímají do pracovního poměru takové uchazeče o zaměstnání, jejichž uplatnění nelze zajistit jiným způsobem. </w:t>
      </w:r>
    </w:p>
    <w:p w:rsidR="00E150FB" w:rsidRPr="0008200F" w:rsidRDefault="00E150FB" w:rsidP="00E150FB">
      <w:pPr>
        <w:spacing w:after="120"/>
        <w:jc w:val="both"/>
        <w:rPr>
          <w:rFonts w:ascii="Arial" w:hAnsi="Arial" w:cs="Arial"/>
          <w:sz w:val="22"/>
          <w:szCs w:val="22"/>
        </w:rPr>
      </w:pPr>
      <w:r w:rsidRPr="0008200F">
        <w:rPr>
          <w:rFonts w:ascii="Arial" w:hAnsi="Arial" w:cs="Arial"/>
          <w:sz w:val="22"/>
          <w:szCs w:val="22"/>
        </w:rPr>
        <w:t xml:space="preserve">Hlavní pozornost bude věnována aktivním a preventivním opatřením pro uchazeče </w:t>
      </w:r>
      <w:r w:rsidRPr="0008200F">
        <w:rPr>
          <w:rFonts w:ascii="Arial" w:hAnsi="Arial" w:cs="Arial"/>
          <w:sz w:val="22"/>
          <w:szCs w:val="22"/>
        </w:rPr>
        <w:br/>
        <w:t>o zaměstnání nejvíce znevýhodněné na trhu práce, ohrožené dlouhodobou nezaměstnaností a sociální exkluzí. U uchazečů o zaměstnání ohrožených ztrátou pracovních návyků a ztrátou motivace k hledání vhodného pracovního uplatnění bude využíváno nástrojů a opatření APZ jako motivačního a aktivizačního prvku. Podporována budou taková pracovní místa, která umožní získání nových odborných dovedností a kompetencí pro další uplatnění na volném trhu práce. Ke klientům bude krajská pobočka v Brně přistupovat individuálně, bude komplexně posuzovat kompetence uchazeče o zaměstnání, uplatnitelnost na trhu práce, ekonomickou situaci klienta a ohrožení sociálním vyloučením z důvodu setrvávání v dlouhodobé nezaměstnanosti.</w:t>
      </w:r>
    </w:p>
    <w:p w:rsidR="00E150FB" w:rsidRPr="0008200F" w:rsidRDefault="00E150FB" w:rsidP="00E150FB">
      <w:pPr>
        <w:spacing w:after="120"/>
        <w:jc w:val="both"/>
        <w:rPr>
          <w:rFonts w:ascii="Arial" w:hAnsi="Arial" w:cs="Arial"/>
          <w:sz w:val="22"/>
          <w:szCs w:val="22"/>
        </w:rPr>
      </w:pPr>
      <w:r w:rsidRPr="0008200F">
        <w:rPr>
          <w:rFonts w:ascii="Arial" w:hAnsi="Arial" w:cs="Arial"/>
          <w:sz w:val="22"/>
          <w:szCs w:val="22"/>
        </w:rPr>
        <w:t>Vhodnost použití jednotlivých nástrojů bude zvažována s ohledem na aktuální situaci na regionálním trhu práce a na strukturu uchazečů o zaměstnání.</w:t>
      </w:r>
    </w:p>
    <w:p w:rsidR="00E150FB" w:rsidRPr="0008200F" w:rsidRDefault="00E150FB" w:rsidP="00E150FB">
      <w:pPr>
        <w:spacing w:after="120"/>
        <w:jc w:val="both"/>
        <w:rPr>
          <w:rFonts w:ascii="Arial" w:hAnsi="Arial" w:cs="Arial"/>
          <w:b/>
          <w:sz w:val="22"/>
          <w:szCs w:val="22"/>
        </w:rPr>
      </w:pPr>
      <w:r w:rsidRPr="0008200F">
        <w:rPr>
          <w:rFonts w:ascii="Arial" w:hAnsi="Arial" w:cs="Arial"/>
          <w:b/>
          <w:sz w:val="22"/>
          <w:szCs w:val="22"/>
        </w:rPr>
        <w:t xml:space="preserve">Priority pro rok 2015: </w:t>
      </w:r>
    </w:p>
    <w:p w:rsidR="00E150FB" w:rsidRPr="0008200F" w:rsidRDefault="00E150FB" w:rsidP="00E150FB">
      <w:pPr>
        <w:numPr>
          <w:ilvl w:val="0"/>
          <w:numId w:val="22"/>
        </w:numPr>
        <w:spacing w:after="120"/>
        <w:jc w:val="both"/>
        <w:rPr>
          <w:rFonts w:ascii="Arial" w:hAnsi="Arial" w:cs="Arial"/>
          <w:sz w:val="22"/>
          <w:szCs w:val="22"/>
        </w:rPr>
      </w:pPr>
      <w:r w:rsidRPr="0008200F">
        <w:rPr>
          <w:rFonts w:ascii="Arial" w:hAnsi="Arial" w:cs="Arial"/>
          <w:sz w:val="22"/>
          <w:szCs w:val="22"/>
        </w:rPr>
        <w:t xml:space="preserve">Z nástrojů APZ </w:t>
      </w:r>
      <w:r w:rsidRPr="0008200F">
        <w:rPr>
          <w:rFonts w:ascii="Arial" w:hAnsi="Arial" w:cs="Arial"/>
          <w:b/>
          <w:sz w:val="22"/>
          <w:szCs w:val="22"/>
        </w:rPr>
        <w:t>preferovat  SÚPM s příspěvkem na vyhrazení</w:t>
      </w:r>
      <w:r w:rsidRPr="0008200F">
        <w:rPr>
          <w:rFonts w:ascii="Arial" w:hAnsi="Arial" w:cs="Arial"/>
          <w:sz w:val="22"/>
          <w:szCs w:val="22"/>
        </w:rPr>
        <w:t>, z</w:t>
      </w:r>
      <w:r>
        <w:rPr>
          <w:rFonts w:ascii="Arial" w:hAnsi="Arial" w:cs="Arial"/>
          <w:sz w:val="22"/>
          <w:szCs w:val="22"/>
        </w:rPr>
        <w:t xml:space="preserve">aměřit se především na podporu </w:t>
      </w:r>
      <w:r w:rsidRPr="0008200F">
        <w:rPr>
          <w:rFonts w:ascii="Arial" w:hAnsi="Arial" w:cs="Arial"/>
          <w:sz w:val="22"/>
          <w:szCs w:val="22"/>
        </w:rPr>
        <w:t>pracovních míst s perspektivou trvalého umístění.</w:t>
      </w:r>
    </w:p>
    <w:p w:rsidR="00E150FB" w:rsidRPr="0008200F" w:rsidRDefault="00E150FB" w:rsidP="00E150FB">
      <w:pPr>
        <w:numPr>
          <w:ilvl w:val="0"/>
          <w:numId w:val="22"/>
        </w:numPr>
        <w:spacing w:after="120"/>
        <w:jc w:val="both"/>
        <w:rPr>
          <w:rFonts w:ascii="Arial" w:hAnsi="Arial" w:cs="Arial"/>
          <w:sz w:val="22"/>
          <w:szCs w:val="22"/>
        </w:rPr>
      </w:pPr>
      <w:r w:rsidRPr="0008200F">
        <w:rPr>
          <w:rFonts w:ascii="Arial" w:hAnsi="Arial" w:cs="Arial"/>
          <w:sz w:val="22"/>
          <w:szCs w:val="22"/>
        </w:rPr>
        <w:t>Nástroje SÚPM využívat i k podpoře vytváření pracovních míst umožňujících u osob s nedostatečnou praxí či kvalifikací získání nových odborných dovedností a kompetencí pro integraci a další uplatnění na otevřeném trhu práce.</w:t>
      </w:r>
    </w:p>
    <w:p w:rsidR="00E150FB" w:rsidRPr="0008200F" w:rsidRDefault="00E150FB" w:rsidP="00E150FB">
      <w:pPr>
        <w:numPr>
          <w:ilvl w:val="0"/>
          <w:numId w:val="22"/>
        </w:numPr>
        <w:spacing w:after="120"/>
        <w:jc w:val="both"/>
        <w:rPr>
          <w:rFonts w:ascii="Arial" w:hAnsi="Arial" w:cs="Arial"/>
          <w:sz w:val="22"/>
          <w:szCs w:val="22"/>
        </w:rPr>
      </w:pPr>
      <w:r w:rsidRPr="0008200F">
        <w:rPr>
          <w:rFonts w:ascii="Arial" w:hAnsi="Arial" w:cs="Arial"/>
          <w:b/>
          <w:sz w:val="22"/>
          <w:szCs w:val="22"/>
        </w:rPr>
        <w:t>Věnovat zvýšenou pozornost mladým do 30 let</w:t>
      </w:r>
      <w:r w:rsidRPr="0008200F">
        <w:rPr>
          <w:rFonts w:ascii="Arial" w:hAnsi="Arial" w:cs="Arial"/>
          <w:sz w:val="22"/>
          <w:szCs w:val="22"/>
        </w:rPr>
        <w:t>, podpořit jejich umístění vhodnou kombinací nástrojů a opatření za využití rekvalifikací, odborných praxí nebo poradenství. Podpořit především absolventy bez praxe bez ohledu na délku evidence.</w:t>
      </w:r>
    </w:p>
    <w:p w:rsidR="00E150FB" w:rsidRPr="0008200F" w:rsidRDefault="00E150FB" w:rsidP="00E150FB">
      <w:pPr>
        <w:numPr>
          <w:ilvl w:val="0"/>
          <w:numId w:val="22"/>
        </w:numPr>
        <w:spacing w:after="120"/>
        <w:jc w:val="both"/>
        <w:rPr>
          <w:rFonts w:ascii="Arial" w:hAnsi="Arial" w:cs="Arial"/>
          <w:sz w:val="22"/>
          <w:szCs w:val="22"/>
        </w:rPr>
      </w:pPr>
      <w:r w:rsidRPr="0008200F">
        <w:rPr>
          <w:rFonts w:ascii="Arial" w:hAnsi="Arial" w:cs="Arial"/>
          <w:sz w:val="22"/>
          <w:szCs w:val="22"/>
        </w:rPr>
        <w:t xml:space="preserve">Využívat nástroje SÚPM také pro </w:t>
      </w:r>
      <w:r w:rsidRPr="0008200F">
        <w:rPr>
          <w:rFonts w:ascii="Arial" w:hAnsi="Arial" w:cs="Arial"/>
          <w:b/>
          <w:sz w:val="22"/>
          <w:szCs w:val="22"/>
        </w:rPr>
        <w:t>osoby se zdravotním postižením</w:t>
      </w:r>
      <w:r w:rsidRPr="0008200F">
        <w:rPr>
          <w:rFonts w:ascii="Arial" w:hAnsi="Arial" w:cs="Arial"/>
          <w:sz w:val="22"/>
          <w:szCs w:val="22"/>
        </w:rPr>
        <w:t xml:space="preserve"> a pro osoby se zdravotním znevýhodněním a podporovat tak jejich uplatnění na volném trhu práce, v odůvodněných případech podporovat i vytváření chráněných pracovních míst.</w:t>
      </w:r>
    </w:p>
    <w:p w:rsidR="00E150FB" w:rsidRPr="0008200F" w:rsidRDefault="00E150FB" w:rsidP="00E150FB">
      <w:pPr>
        <w:numPr>
          <w:ilvl w:val="0"/>
          <w:numId w:val="22"/>
        </w:numPr>
        <w:spacing w:after="120"/>
        <w:jc w:val="both"/>
        <w:rPr>
          <w:rFonts w:ascii="Arial" w:hAnsi="Arial" w:cs="Arial"/>
          <w:sz w:val="22"/>
          <w:szCs w:val="22"/>
        </w:rPr>
      </w:pPr>
      <w:r w:rsidRPr="0008200F">
        <w:rPr>
          <w:rFonts w:ascii="Arial" w:hAnsi="Arial" w:cs="Arial"/>
          <w:sz w:val="22"/>
          <w:szCs w:val="22"/>
        </w:rPr>
        <w:t xml:space="preserve">Zaměřit se na komplexní využití nástrojů a opatření APZ, jejich vzájemnou kombinaci a </w:t>
      </w:r>
      <w:r w:rsidRPr="0008200F">
        <w:rPr>
          <w:rFonts w:ascii="Arial" w:hAnsi="Arial" w:cs="Arial"/>
          <w:b/>
          <w:sz w:val="22"/>
          <w:szCs w:val="22"/>
        </w:rPr>
        <w:t>prostupnost</w:t>
      </w:r>
      <w:r w:rsidRPr="0008200F">
        <w:rPr>
          <w:rFonts w:ascii="Arial" w:hAnsi="Arial" w:cs="Arial"/>
          <w:sz w:val="22"/>
          <w:szCs w:val="22"/>
        </w:rPr>
        <w:t>, např. postup z VPP na SÚPM.</w:t>
      </w:r>
    </w:p>
    <w:p w:rsidR="00E150FB" w:rsidRPr="0008200F" w:rsidRDefault="00E150FB" w:rsidP="00E150FB">
      <w:pPr>
        <w:numPr>
          <w:ilvl w:val="3"/>
          <w:numId w:val="22"/>
        </w:numPr>
        <w:spacing w:after="120"/>
        <w:ind w:left="780"/>
        <w:jc w:val="both"/>
        <w:rPr>
          <w:rFonts w:ascii="Arial" w:hAnsi="Arial" w:cs="Arial"/>
          <w:b/>
          <w:sz w:val="22"/>
          <w:szCs w:val="22"/>
        </w:rPr>
      </w:pPr>
      <w:r w:rsidRPr="0008200F">
        <w:rPr>
          <w:rFonts w:ascii="Arial" w:hAnsi="Arial" w:cs="Arial"/>
          <w:sz w:val="22"/>
          <w:szCs w:val="22"/>
        </w:rPr>
        <w:t>Posílit aktivní spolupráci se zaměstnavateli, vzdělavateli, veřejnou správou a dalšími subjekty působícími na trhu práce.</w:t>
      </w:r>
    </w:p>
    <w:p w:rsidR="00E150FB" w:rsidRPr="0008200F" w:rsidRDefault="00E150FB" w:rsidP="00E150FB">
      <w:pPr>
        <w:numPr>
          <w:ilvl w:val="0"/>
          <w:numId w:val="22"/>
        </w:numPr>
        <w:spacing w:after="120"/>
        <w:jc w:val="both"/>
        <w:rPr>
          <w:rFonts w:ascii="Arial" w:hAnsi="Arial" w:cs="Arial"/>
          <w:sz w:val="22"/>
          <w:szCs w:val="22"/>
        </w:rPr>
      </w:pPr>
      <w:r w:rsidRPr="0008200F">
        <w:rPr>
          <w:rFonts w:ascii="Arial" w:hAnsi="Arial" w:cs="Arial"/>
          <w:sz w:val="22"/>
          <w:szCs w:val="22"/>
        </w:rPr>
        <w:t>Při řešení uplatnitelnosti klientů využívat rekvalifikace a posilovat tak zaměstnatelnost osob z dlouhodobého hlediska.</w:t>
      </w:r>
    </w:p>
    <w:p w:rsidR="00E150FB" w:rsidRPr="0008200F" w:rsidRDefault="00E150FB" w:rsidP="00E150FB">
      <w:pPr>
        <w:numPr>
          <w:ilvl w:val="0"/>
          <w:numId w:val="22"/>
        </w:numPr>
        <w:spacing w:after="120"/>
        <w:jc w:val="both"/>
        <w:rPr>
          <w:rFonts w:ascii="Arial" w:hAnsi="Arial" w:cs="Arial"/>
          <w:sz w:val="22"/>
          <w:szCs w:val="22"/>
        </w:rPr>
      </w:pPr>
      <w:r w:rsidRPr="0008200F">
        <w:rPr>
          <w:rFonts w:ascii="Arial" w:hAnsi="Arial" w:cs="Arial"/>
          <w:sz w:val="22"/>
          <w:szCs w:val="22"/>
        </w:rPr>
        <w:t>Podporovat přístup žen k zaměstnání podporou technik vyhledávání zaměstnání a rozvoje klíčových dovedností, zejména v oblasti informačních technologií, se zaměřením na ženy po rodičovské dovolené a ženy starší 50 let.</w:t>
      </w:r>
    </w:p>
    <w:p w:rsidR="00E150FB" w:rsidRPr="0008200F" w:rsidRDefault="00E150FB" w:rsidP="00E150FB">
      <w:pPr>
        <w:numPr>
          <w:ilvl w:val="3"/>
          <w:numId w:val="22"/>
        </w:numPr>
        <w:spacing w:after="120"/>
        <w:ind w:left="780"/>
        <w:jc w:val="both"/>
        <w:rPr>
          <w:rFonts w:ascii="Arial" w:hAnsi="Arial" w:cs="Arial"/>
          <w:sz w:val="22"/>
          <w:szCs w:val="22"/>
        </w:rPr>
      </w:pPr>
      <w:r w:rsidRPr="0008200F">
        <w:rPr>
          <w:rFonts w:ascii="Arial" w:hAnsi="Arial" w:cs="Arial"/>
          <w:sz w:val="22"/>
          <w:szCs w:val="22"/>
        </w:rPr>
        <w:t>Prostředky APZ vynakládat co nejefektivněji tak, aby nedocházelo k podpoření uchazeče o zaměstnání, jemuž je možné nalézt vhodné zaměstnání na volném trhu práce.</w:t>
      </w:r>
    </w:p>
    <w:p w:rsidR="003E1414" w:rsidRDefault="003E1414" w:rsidP="00E150FB">
      <w:pPr>
        <w:spacing w:after="120"/>
        <w:jc w:val="both"/>
        <w:rPr>
          <w:rFonts w:ascii="Arial" w:hAnsi="Arial" w:cs="Arial"/>
          <w:b/>
          <w:sz w:val="22"/>
          <w:szCs w:val="22"/>
        </w:rPr>
      </w:pPr>
    </w:p>
    <w:p w:rsidR="00E150FB" w:rsidRPr="0008200F" w:rsidRDefault="00E150FB" w:rsidP="00E150FB">
      <w:pPr>
        <w:spacing w:after="120"/>
        <w:jc w:val="both"/>
        <w:rPr>
          <w:rFonts w:ascii="Arial" w:hAnsi="Arial" w:cs="Arial"/>
          <w:sz w:val="22"/>
          <w:szCs w:val="22"/>
        </w:rPr>
      </w:pPr>
      <w:r w:rsidRPr="0008200F">
        <w:rPr>
          <w:rFonts w:ascii="Arial" w:hAnsi="Arial" w:cs="Arial"/>
          <w:b/>
          <w:sz w:val="22"/>
          <w:szCs w:val="22"/>
        </w:rPr>
        <w:t xml:space="preserve">Veřejná služba </w:t>
      </w:r>
      <w:r w:rsidRPr="0008200F">
        <w:rPr>
          <w:rFonts w:ascii="Arial" w:hAnsi="Arial" w:cs="Arial"/>
          <w:sz w:val="22"/>
          <w:szCs w:val="22"/>
        </w:rPr>
        <w:t>– bude nabízena uchazečům o zaměstnání jako dobrovolná doplňková aktivita.</w:t>
      </w:r>
    </w:p>
    <w:p w:rsidR="00E150FB" w:rsidRPr="0008200F" w:rsidRDefault="00E150FB" w:rsidP="00E150FB">
      <w:pPr>
        <w:spacing w:after="120"/>
        <w:jc w:val="both"/>
        <w:rPr>
          <w:rFonts w:ascii="Arial" w:hAnsi="Arial" w:cs="Arial"/>
          <w:sz w:val="22"/>
          <w:szCs w:val="22"/>
        </w:rPr>
      </w:pPr>
      <w:r w:rsidRPr="0008200F">
        <w:rPr>
          <w:rFonts w:ascii="Arial" w:hAnsi="Arial" w:cs="Arial"/>
          <w:b/>
          <w:sz w:val="22"/>
          <w:szCs w:val="22"/>
        </w:rPr>
        <w:t xml:space="preserve">Rekvalifikace, </w:t>
      </w:r>
      <w:r w:rsidRPr="0008200F">
        <w:rPr>
          <w:rFonts w:ascii="Arial" w:hAnsi="Arial" w:cs="Arial"/>
          <w:sz w:val="22"/>
          <w:szCs w:val="22"/>
        </w:rPr>
        <w:t xml:space="preserve">popř. zvolená rekvalifikace, budou realizovány v souladu s regionálními potřebami trhu práce a budou odpovídat aktuálním i předpokládaným požadavkům na pracovní sílu. Zaměření rekvalifikací bude směřovat ke konkrétnímu pracovnímu uplatnění uchazeče nebo zájemce o zaměstnání, a to jak v souladu s potřebami trhu práce, tak v souladu s individuálními potřebami uchazeče nebo zájemce o zaměstnání. Ke klientům bude přistupováno individuálně, bude komplexně posuzována jejich kvalifikace, dovednosti, motivace, uplatnitelnost na trhu práce, zdravotní stav, ekonomická situace klienta a ohrožení sociálním vyloučením z důvodu setrvání v dlouhodobé nezaměstnanosti. Pozornost při doporučování bude věnována zejména uchazečům o zaměstnání, jimž je při zprostředkování zaměstnání věnována zvýšená péče dle § 33, odst. 1, zákona o zaměstnanosti, a dále ti, jimž je z důvodu nízké či nevhodné kvalifikace ztížen vstup na trh práce. Jedná se zejména o mladé do 25 let a osoby nad 50 let věku. Mladým uchazečům se základním vzděláním ze sociálně znevýhodněných skupin budou nabízeny rekvalifikace vedoucí k získání profesní kvalifikace v souladu se zákonem č. 179/2006 Sb. </w:t>
      </w:r>
    </w:p>
    <w:p w:rsidR="00E150FB" w:rsidRPr="0008200F" w:rsidRDefault="00E150FB" w:rsidP="00E150FB">
      <w:pPr>
        <w:spacing w:after="120"/>
        <w:jc w:val="both"/>
        <w:rPr>
          <w:rFonts w:ascii="Arial" w:hAnsi="Arial" w:cs="Arial"/>
          <w:sz w:val="22"/>
          <w:szCs w:val="22"/>
        </w:rPr>
      </w:pPr>
      <w:r w:rsidRPr="0008200F">
        <w:rPr>
          <w:rFonts w:ascii="Arial" w:hAnsi="Arial" w:cs="Arial"/>
          <w:sz w:val="22"/>
          <w:szCs w:val="22"/>
        </w:rPr>
        <w:t xml:space="preserve">Do rekvalifikace nebude možno zařadit téhož uchazeče o zaměstnání opakovaně ve stejném či obdobném typu vzdělávání, jestliže k tomu není vážný důvod. Výjimkou je potřeba podpořit uchazeče o zaměstnání v takovém případě, kdy k získání potřebné kvalifikace je nutno absolvovat více rekvalifikačních kurzů, či v takovém případě, kdy obnovení či prohloubení kvalifikace rekvalifikačním kurzem přispěje k urychlení získání zaměstnání. </w:t>
      </w:r>
    </w:p>
    <w:p w:rsidR="00E150FB" w:rsidRPr="0008200F" w:rsidRDefault="00E150FB" w:rsidP="00E150FB">
      <w:pPr>
        <w:spacing w:after="120"/>
        <w:jc w:val="both"/>
        <w:rPr>
          <w:rFonts w:ascii="Arial" w:hAnsi="Arial" w:cs="Arial"/>
          <w:b/>
          <w:sz w:val="22"/>
          <w:szCs w:val="22"/>
        </w:rPr>
      </w:pPr>
      <w:r w:rsidRPr="0008200F">
        <w:rPr>
          <w:rFonts w:ascii="Arial" w:hAnsi="Arial" w:cs="Arial"/>
          <w:sz w:val="22"/>
          <w:szCs w:val="22"/>
        </w:rPr>
        <w:t>Na dobu evidence klienta na Úřadu práce ČR nebude při výběru do rekvalifikace brán zřetel, pokud se zvýší šance na jeho uplatnění na trhu práce v souladu s regionálními potřebami. Budou však upřednostňováni uchazeči o zaměstnání, jimž je při zprostředkování zaměstnání věnována zvýšená péče dle §33 ZoZ, a dále ti, jimž je z důvodu nízké či neuplatnitelné kvalifikace ztížen vstup na trh práce. Upřednostňováno bude využití projektů v rámci OP LZZ a OPZ,  NIP a RIP. Realizace rekvalifikací bude probíhat u dodavatelů vybraných v souladu se zákonem o veřejných zakázkách.</w:t>
      </w:r>
      <w:r w:rsidRPr="0008200F">
        <w:rPr>
          <w:rFonts w:ascii="Arial" w:hAnsi="Arial" w:cs="Arial"/>
          <w:b/>
          <w:sz w:val="22"/>
          <w:szCs w:val="22"/>
        </w:rPr>
        <w:t xml:space="preserve"> </w:t>
      </w:r>
    </w:p>
    <w:p w:rsidR="003E1414" w:rsidRDefault="003E1414" w:rsidP="00E150FB">
      <w:pPr>
        <w:spacing w:after="120"/>
        <w:jc w:val="both"/>
        <w:rPr>
          <w:rFonts w:ascii="Arial" w:hAnsi="Arial" w:cs="Arial"/>
          <w:b/>
          <w:sz w:val="22"/>
          <w:szCs w:val="22"/>
        </w:rPr>
      </w:pPr>
    </w:p>
    <w:p w:rsidR="00E150FB" w:rsidRPr="0008200F" w:rsidRDefault="00E150FB" w:rsidP="00E150FB">
      <w:pPr>
        <w:spacing w:after="120"/>
        <w:jc w:val="both"/>
        <w:rPr>
          <w:rFonts w:ascii="Arial" w:hAnsi="Arial" w:cs="Arial"/>
          <w:b/>
          <w:sz w:val="22"/>
          <w:szCs w:val="22"/>
        </w:rPr>
      </w:pPr>
      <w:r w:rsidRPr="0008200F">
        <w:rPr>
          <w:rFonts w:ascii="Arial" w:hAnsi="Arial" w:cs="Arial"/>
          <w:b/>
          <w:sz w:val="22"/>
          <w:szCs w:val="22"/>
        </w:rPr>
        <w:t xml:space="preserve">Cílové skupiny uchazečů o zaměstnání </w:t>
      </w:r>
      <w:r w:rsidRPr="0008200F">
        <w:rPr>
          <w:rFonts w:ascii="Arial" w:hAnsi="Arial" w:cs="Arial"/>
          <w:b/>
          <w:sz w:val="22"/>
          <w:szCs w:val="22"/>
          <w:u w:val="single"/>
        </w:rPr>
        <w:t>přednostně</w:t>
      </w:r>
      <w:r w:rsidRPr="0008200F">
        <w:rPr>
          <w:rFonts w:ascii="Arial" w:hAnsi="Arial" w:cs="Arial"/>
          <w:b/>
          <w:sz w:val="22"/>
          <w:szCs w:val="22"/>
        </w:rPr>
        <w:t xml:space="preserve"> zařazované do nástrojů APZ:</w:t>
      </w:r>
    </w:p>
    <w:p w:rsidR="00E150FB" w:rsidRPr="0008200F" w:rsidRDefault="00E150FB" w:rsidP="00E150FB">
      <w:pPr>
        <w:numPr>
          <w:ilvl w:val="0"/>
          <w:numId w:val="20"/>
        </w:numPr>
        <w:spacing w:after="120"/>
        <w:jc w:val="both"/>
        <w:rPr>
          <w:rFonts w:ascii="Arial" w:hAnsi="Arial" w:cs="Arial"/>
          <w:sz w:val="22"/>
          <w:szCs w:val="22"/>
        </w:rPr>
      </w:pPr>
      <w:r w:rsidRPr="0008200F">
        <w:rPr>
          <w:rFonts w:ascii="Arial" w:hAnsi="Arial" w:cs="Arial"/>
          <w:sz w:val="22"/>
          <w:szCs w:val="22"/>
        </w:rPr>
        <w:t>dlouhodobě evidovaní uchazeči o zaměstnání (déle než 5 měsíců)</w:t>
      </w:r>
    </w:p>
    <w:p w:rsidR="00E150FB" w:rsidRPr="0008200F" w:rsidRDefault="00E150FB" w:rsidP="00E150FB">
      <w:pPr>
        <w:numPr>
          <w:ilvl w:val="0"/>
          <w:numId w:val="20"/>
        </w:numPr>
        <w:spacing w:after="120"/>
        <w:jc w:val="both"/>
        <w:rPr>
          <w:rFonts w:ascii="Arial" w:hAnsi="Arial" w:cs="Arial"/>
          <w:sz w:val="22"/>
          <w:szCs w:val="22"/>
        </w:rPr>
      </w:pPr>
      <w:r w:rsidRPr="0008200F">
        <w:rPr>
          <w:rFonts w:ascii="Arial" w:hAnsi="Arial" w:cs="Arial"/>
          <w:sz w:val="22"/>
          <w:szCs w:val="22"/>
        </w:rPr>
        <w:t>uchazeči do 30 let věku, zejména absolventi škol bez praxe</w:t>
      </w:r>
    </w:p>
    <w:p w:rsidR="00E150FB" w:rsidRPr="0008200F" w:rsidRDefault="00E150FB" w:rsidP="00E150FB">
      <w:pPr>
        <w:numPr>
          <w:ilvl w:val="0"/>
          <w:numId w:val="20"/>
        </w:numPr>
        <w:spacing w:after="120"/>
        <w:jc w:val="both"/>
        <w:rPr>
          <w:rFonts w:ascii="Arial" w:hAnsi="Arial" w:cs="Arial"/>
          <w:sz w:val="22"/>
          <w:szCs w:val="22"/>
        </w:rPr>
      </w:pPr>
      <w:r w:rsidRPr="0008200F">
        <w:rPr>
          <w:rFonts w:ascii="Arial" w:hAnsi="Arial" w:cs="Arial"/>
          <w:sz w:val="22"/>
          <w:szCs w:val="22"/>
        </w:rPr>
        <w:t>rodiče pečující o dítě do 15 let věku</w:t>
      </w:r>
    </w:p>
    <w:p w:rsidR="00E150FB" w:rsidRPr="0008200F" w:rsidRDefault="00E150FB" w:rsidP="00E150FB">
      <w:pPr>
        <w:numPr>
          <w:ilvl w:val="0"/>
          <w:numId w:val="20"/>
        </w:numPr>
        <w:spacing w:after="120"/>
        <w:jc w:val="both"/>
        <w:rPr>
          <w:rFonts w:ascii="Arial" w:hAnsi="Arial" w:cs="Arial"/>
          <w:sz w:val="22"/>
          <w:szCs w:val="22"/>
        </w:rPr>
      </w:pPr>
      <w:r w:rsidRPr="0008200F">
        <w:rPr>
          <w:rFonts w:ascii="Arial" w:hAnsi="Arial" w:cs="Arial"/>
          <w:sz w:val="22"/>
          <w:szCs w:val="22"/>
        </w:rPr>
        <w:t>uchazeči starší 50 let věku</w:t>
      </w:r>
    </w:p>
    <w:p w:rsidR="00E150FB" w:rsidRPr="0008200F" w:rsidRDefault="00E150FB" w:rsidP="00E150FB">
      <w:pPr>
        <w:numPr>
          <w:ilvl w:val="0"/>
          <w:numId w:val="20"/>
        </w:numPr>
        <w:spacing w:after="120"/>
        <w:jc w:val="both"/>
        <w:rPr>
          <w:rFonts w:ascii="Arial" w:hAnsi="Arial" w:cs="Arial"/>
          <w:sz w:val="22"/>
          <w:szCs w:val="22"/>
        </w:rPr>
      </w:pPr>
      <w:r w:rsidRPr="0008200F">
        <w:rPr>
          <w:rFonts w:ascii="Arial" w:hAnsi="Arial" w:cs="Arial"/>
          <w:sz w:val="22"/>
          <w:szCs w:val="22"/>
        </w:rPr>
        <w:t>osoby se zdravotním postižením</w:t>
      </w:r>
    </w:p>
    <w:p w:rsidR="00E150FB" w:rsidRPr="0008200F" w:rsidRDefault="00E150FB" w:rsidP="00E150FB">
      <w:pPr>
        <w:numPr>
          <w:ilvl w:val="0"/>
          <w:numId w:val="20"/>
        </w:numPr>
        <w:spacing w:after="120"/>
        <w:jc w:val="both"/>
        <w:rPr>
          <w:rFonts w:ascii="Arial" w:hAnsi="Arial" w:cs="Arial"/>
          <w:sz w:val="22"/>
          <w:szCs w:val="22"/>
        </w:rPr>
      </w:pPr>
      <w:r w:rsidRPr="0008200F">
        <w:rPr>
          <w:rFonts w:ascii="Arial" w:hAnsi="Arial" w:cs="Arial"/>
          <w:sz w:val="22"/>
          <w:szCs w:val="22"/>
        </w:rPr>
        <w:t>ženy vracející se z mateřské nebo rodičovské dovolené</w:t>
      </w:r>
    </w:p>
    <w:p w:rsidR="00E150FB" w:rsidRPr="0008200F" w:rsidRDefault="00E150FB" w:rsidP="00E150FB">
      <w:pPr>
        <w:numPr>
          <w:ilvl w:val="0"/>
          <w:numId w:val="20"/>
        </w:numPr>
        <w:spacing w:after="120"/>
        <w:jc w:val="both"/>
        <w:rPr>
          <w:rFonts w:ascii="Arial" w:hAnsi="Arial" w:cs="Arial"/>
          <w:sz w:val="22"/>
          <w:szCs w:val="22"/>
        </w:rPr>
      </w:pPr>
      <w:r w:rsidRPr="0008200F">
        <w:rPr>
          <w:rFonts w:ascii="Arial" w:hAnsi="Arial" w:cs="Arial"/>
          <w:sz w:val="22"/>
          <w:szCs w:val="22"/>
        </w:rPr>
        <w:t>uchazeči, u kterých je důvodný předpoklad dlouhodobé evidence</w:t>
      </w:r>
    </w:p>
    <w:p w:rsidR="00E150FB" w:rsidRPr="003E1414" w:rsidRDefault="00E150FB" w:rsidP="003E1414">
      <w:pPr>
        <w:numPr>
          <w:ilvl w:val="0"/>
          <w:numId w:val="20"/>
        </w:numPr>
        <w:spacing w:after="120"/>
        <w:jc w:val="both"/>
        <w:rPr>
          <w:rFonts w:ascii="Arial" w:hAnsi="Arial" w:cs="Arial"/>
          <w:sz w:val="22"/>
          <w:szCs w:val="22"/>
        </w:rPr>
      </w:pPr>
      <w:r w:rsidRPr="0008200F">
        <w:rPr>
          <w:rFonts w:ascii="Arial" w:hAnsi="Arial" w:cs="Arial"/>
          <w:sz w:val="22"/>
          <w:szCs w:val="22"/>
        </w:rPr>
        <w:t xml:space="preserve">uchazeči, kterým je potřeba věnovat zvýšenou péči z jiného důvodu bránícího </w:t>
      </w:r>
      <w:r w:rsidRPr="003E1414">
        <w:rPr>
          <w:rFonts w:ascii="Arial" w:hAnsi="Arial" w:cs="Arial"/>
          <w:sz w:val="22"/>
          <w:szCs w:val="22"/>
        </w:rPr>
        <w:t>jejich vstupu na volný trh práce, např. ohrožení sociální exkluzí z důvodu setrvávání v dlouhodobé nezaměstnanosti</w:t>
      </w:r>
    </w:p>
    <w:p w:rsidR="00E150FB" w:rsidRPr="0008200F" w:rsidRDefault="00E150FB" w:rsidP="00E150FB">
      <w:pPr>
        <w:spacing w:after="120"/>
        <w:jc w:val="both"/>
        <w:rPr>
          <w:rFonts w:ascii="Arial" w:hAnsi="Arial" w:cs="Arial"/>
          <w:sz w:val="22"/>
          <w:szCs w:val="22"/>
        </w:rPr>
      </w:pPr>
      <w:r w:rsidRPr="0008200F">
        <w:rPr>
          <w:rFonts w:ascii="Arial" w:hAnsi="Arial" w:cs="Arial"/>
          <w:sz w:val="22"/>
          <w:szCs w:val="22"/>
        </w:rPr>
        <w:t xml:space="preserve">Zvýšená pozornost bude věnována především klientům, u nichž dochází ke kumulaci handicapů ve vztahu k trhu práce (nepříznivý zdravotní stav, vyšší věk, absence kvalifikace, apod.). </w:t>
      </w:r>
    </w:p>
    <w:p w:rsidR="00E150FB" w:rsidRPr="0008200F" w:rsidRDefault="00E150FB" w:rsidP="00E150FB">
      <w:pPr>
        <w:spacing w:after="120"/>
        <w:jc w:val="both"/>
        <w:rPr>
          <w:rFonts w:ascii="Arial" w:hAnsi="Arial" w:cs="Arial"/>
          <w:sz w:val="22"/>
          <w:szCs w:val="22"/>
        </w:rPr>
      </w:pPr>
      <w:r w:rsidRPr="0008200F">
        <w:rPr>
          <w:rFonts w:ascii="Arial" w:hAnsi="Arial" w:cs="Arial"/>
          <w:sz w:val="22"/>
          <w:szCs w:val="22"/>
        </w:rPr>
        <w:t xml:space="preserve">Pro umístění uchazečů budou využívány zejména nástroje </w:t>
      </w:r>
      <w:r w:rsidRPr="0008200F">
        <w:rPr>
          <w:rFonts w:ascii="Arial" w:hAnsi="Arial" w:cs="Arial"/>
          <w:b/>
          <w:sz w:val="22"/>
          <w:szCs w:val="22"/>
        </w:rPr>
        <w:t>společensky účelné pracovní místo</w:t>
      </w:r>
      <w:r w:rsidRPr="0008200F">
        <w:rPr>
          <w:rFonts w:ascii="Arial" w:hAnsi="Arial" w:cs="Arial"/>
          <w:sz w:val="22"/>
          <w:szCs w:val="22"/>
        </w:rPr>
        <w:t xml:space="preserve"> a </w:t>
      </w:r>
      <w:r w:rsidRPr="0008200F">
        <w:rPr>
          <w:rFonts w:ascii="Arial" w:hAnsi="Arial" w:cs="Arial"/>
          <w:b/>
          <w:sz w:val="22"/>
          <w:szCs w:val="22"/>
        </w:rPr>
        <w:t>veřejně prospěšné práce</w:t>
      </w:r>
      <w:r w:rsidRPr="0008200F">
        <w:rPr>
          <w:rFonts w:ascii="Arial" w:hAnsi="Arial" w:cs="Arial"/>
          <w:sz w:val="22"/>
          <w:szCs w:val="22"/>
        </w:rPr>
        <w:t>, realizované v rámci NIP nebo národní APZ, kterými budou podporováni uchazeči o zaměstnání, kteří pro své individuální charakteristiky nemohou bez využití APZ nalézt vhodné zaměstnání. Uchazeče o zaměstnání nelze bez vážného důvodu podpořit opakovaně. Za vážný důvod je považována zejména nutnost podpořit uchazeče o zaměstnání, kterým je věnována zvýšená péče dle § 33 ZoZ,  a tzv. „prostupné zaměstnávání“ – postup mezi nástroji VPP a SÚPM pro plynulé začlenění uchazeče na trh práce.</w:t>
      </w:r>
    </w:p>
    <w:sectPr w:rsidR="00E150FB" w:rsidRPr="0008200F" w:rsidSect="00D27DAE">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B97" w:rsidRDefault="00B82B97" w:rsidP="00873D3F">
      <w:pPr>
        <w:spacing w:line="240" w:lineRule="auto"/>
      </w:pPr>
      <w:r>
        <w:separator/>
      </w:r>
    </w:p>
  </w:endnote>
  <w:endnote w:type="continuationSeparator" w:id="0">
    <w:p w:rsidR="00B82B97" w:rsidRDefault="00B82B97" w:rsidP="00873D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Myriad Pro"/>
    <w:panose1 w:val="00000000000000000000"/>
    <w:charset w:val="EE"/>
    <w:family w:val="swiss"/>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TitilliumText22L-400wt">
    <w:panose1 w:val="00000000000000000000"/>
    <w:charset w:val="EE"/>
    <w:family w:val="auto"/>
    <w:notTrueType/>
    <w:pitch w:val="default"/>
    <w:sig w:usb0="00000005" w:usb1="00000000" w:usb2="00000000" w:usb3="00000000" w:csb0="00000002" w:csb1="00000000"/>
  </w:font>
  <w:font w:name="PFDinTextPro-ExtraBlack">
    <w:altName w:val="MS Mincho"/>
    <w:panose1 w:val="00000000000000000000"/>
    <w:charset w:val="80"/>
    <w:family w:val="auto"/>
    <w:notTrueType/>
    <w:pitch w:val="default"/>
    <w:sig w:usb0="00000000" w:usb1="08070000" w:usb2="00000010" w:usb3="00000000" w:csb0="00020000" w:csb1="00000000"/>
  </w:font>
  <w:font w:name="DINPro-Regular">
    <w:panose1 w:val="00000000000000000000"/>
    <w:charset w:val="EE"/>
    <w:family w:val="swiss"/>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683264"/>
      <w:docPartObj>
        <w:docPartGallery w:val="Page Numbers (Bottom of Page)"/>
        <w:docPartUnique/>
      </w:docPartObj>
    </w:sdtPr>
    <w:sdtEndPr/>
    <w:sdtContent>
      <w:p w:rsidR="004378F3" w:rsidRDefault="004378F3">
        <w:pPr>
          <w:pStyle w:val="Zpat"/>
          <w:jc w:val="center"/>
        </w:pPr>
        <w:r>
          <w:fldChar w:fldCharType="begin"/>
        </w:r>
        <w:r>
          <w:instrText>PAGE   \* MERGEFORMAT</w:instrText>
        </w:r>
        <w:r>
          <w:fldChar w:fldCharType="separate"/>
        </w:r>
        <w:r w:rsidR="00126B9C">
          <w:rPr>
            <w:noProof/>
          </w:rPr>
          <w:t>1</w:t>
        </w:r>
        <w:r>
          <w:fldChar w:fldCharType="end"/>
        </w:r>
      </w:p>
    </w:sdtContent>
  </w:sdt>
  <w:p w:rsidR="004378F3" w:rsidRPr="00675692" w:rsidRDefault="004378F3" w:rsidP="005A265C">
    <w:pPr>
      <w:jc w:val="right"/>
      <w:rPr>
        <w:color w:val="548DD4"/>
      </w:rPr>
    </w:pPr>
    <w:r>
      <w:rPr>
        <w:color w:val="548DD4"/>
      </w:rPr>
      <w:t>Zpráva o situaci na krajském trhu práce</w:t>
    </w:r>
  </w:p>
  <w:p w:rsidR="004378F3" w:rsidRDefault="004378F3" w:rsidP="005A265C">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B97" w:rsidRDefault="00B82B97" w:rsidP="00873D3F">
      <w:pPr>
        <w:spacing w:line="240" w:lineRule="auto"/>
      </w:pPr>
      <w:r>
        <w:separator/>
      </w:r>
    </w:p>
  </w:footnote>
  <w:footnote w:type="continuationSeparator" w:id="0">
    <w:p w:rsidR="00B82B97" w:rsidRDefault="00B82B97" w:rsidP="00873D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8F3" w:rsidRPr="00F50970" w:rsidRDefault="004378F3" w:rsidP="005A265C">
    <w:pPr>
      <w:pStyle w:val="Zhlav"/>
      <w:ind w:left="426"/>
      <w:rPr>
        <w:color w:val="548DD4"/>
      </w:rPr>
    </w:pPr>
    <w:r>
      <w:rPr>
        <w:noProof/>
      </w:rPr>
      <w:drawing>
        <wp:anchor distT="0" distB="0" distL="114300" distR="114300" simplePos="0" relativeHeight="251658240" behindDoc="0" locked="0" layoutInCell="1" allowOverlap="1" wp14:anchorId="3156F4BE" wp14:editId="6FF7E6C0">
          <wp:simplePos x="0" y="0"/>
          <wp:positionH relativeFrom="column">
            <wp:posOffset>-692785</wp:posOffset>
          </wp:positionH>
          <wp:positionV relativeFrom="paragraph">
            <wp:posOffset>-344170</wp:posOffset>
          </wp:positionV>
          <wp:extent cx="666750" cy="666750"/>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970">
      <w:rPr>
        <w:color w:val="548DD4"/>
      </w:rPr>
      <w:t xml:space="preserve">Úřad práce České republiky, </w:t>
    </w:r>
    <w:r>
      <w:rPr>
        <w:color w:val="548DD4"/>
      </w:rPr>
      <w:t>Krajská pobočka v Brně</w:t>
    </w:r>
  </w:p>
  <w:p w:rsidR="004378F3" w:rsidRDefault="004378F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236"/>
    <w:multiLevelType w:val="hybridMultilevel"/>
    <w:tmpl w:val="1B7CE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BE801DB"/>
    <w:multiLevelType w:val="hybridMultilevel"/>
    <w:tmpl w:val="C6D6BC1C"/>
    <w:lvl w:ilvl="0" w:tplc="B7CA3222">
      <w:start w:val="1"/>
      <w:numFmt w:val="decimal"/>
      <w:lvlText w:val="%1."/>
      <w:lvlJc w:val="left"/>
      <w:pPr>
        <w:ind w:left="1080" w:hanging="360"/>
      </w:pPr>
      <w:rPr>
        <w:rFonts w:ascii="Arial" w:eastAsia="Times New Roman" w:hAnsi="Arial" w:cs="Aria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10105D06"/>
    <w:multiLevelType w:val="hybridMultilevel"/>
    <w:tmpl w:val="15A6CF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017D86"/>
    <w:multiLevelType w:val="hybridMultilevel"/>
    <w:tmpl w:val="6D08525A"/>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5F46028"/>
    <w:multiLevelType w:val="hybridMultilevel"/>
    <w:tmpl w:val="FE58FB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61D1811"/>
    <w:multiLevelType w:val="hybridMultilevel"/>
    <w:tmpl w:val="D7F8DBC6"/>
    <w:lvl w:ilvl="0" w:tplc="FFFFFFFF">
      <w:start w:val="1"/>
      <w:numFmt w:val="bullet"/>
      <w:pStyle w:val="StylTextkomente"/>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79A327E"/>
    <w:multiLevelType w:val="hybridMultilevel"/>
    <w:tmpl w:val="8EFCF918"/>
    <w:lvl w:ilvl="0" w:tplc="7BEC70E4">
      <w:start w:val="1"/>
      <w:numFmt w:val="bullet"/>
      <w:lvlText w:val=""/>
      <w:lvlJc w:val="left"/>
      <w:pPr>
        <w:ind w:left="644"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8467CA8"/>
    <w:multiLevelType w:val="hybridMultilevel"/>
    <w:tmpl w:val="E0C0E088"/>
    <w:lvl w:ilvl="0" w:tplc="8C94B45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8">
    <w:nsid w:val="1B9718F3"/>
    <w:multiLevelType w:val="hybridMultilevel"/>
    <w:tmpl w:val="4D24D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4DF42FF"/>
    <w:multiLevelType w:val="hybridMultilevel"/>
    <w:tmpl w:val="38AED22A"/>
    <w:lvl w:ilvl="0" w:tplc="715C33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70D45EF"/>
    <w:multiLevelType w:val="hybridMultilevel"/>
    <w:tmpl w:val="33BAF738"/>
    <w:lvl w:ilvl="0" w:tplc="715C33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A970D73"/>
    <w:multiLevelType w:val="hybridMultilevel"/>
    <w:tmpl w:val="3566E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0056A01"/>
    <w:multiLevelType w:val="hybridMultilevel"/>
    <w:tmpl w:val="FB3E3F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8815AA3"/>
    <w:multiLevelType w:val="hybridMultilevel"/>
    <w:tmpl w:val="F66416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AEC4282"/>
    <w:multiLevelType w:val="hybridMultilevel"/>
    <w:tmpl w:val="1FEC0C9E"/>
    <w:lvl w:ilvl="0" w:tplc="8D36E5F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CC3489E"/>
    <w:multiLevelType w:val="hybridMultilevel"/>
    <w:tmpl w:val="22743820"/>
    <w:lvl w:ilvl="0" w:tplc="715C332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nsid w:val="3D2B69D1"/>
    <w:multiLevelType w:val="hybridMultilevel"/>
    <w:tmpl w:val="89DEA050"/>
    <w:lvl w:ilvl="0" w:tplc="04050017">
      <w:start w:val="1"/>
      <w:numFmt w:val="lowerLetter"/>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7">
    <w:nsid w:val="3E1D14C0"/>
    <w:multiLevelType w:val="hybridMultilevel"/>
    <w:tmpl w:val="88DA95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F51572F"/>
    <w:multiLevelType w:val="hybridMultilevel"/>
    <w:tmpl w:val="B232A9FE"/>
    <w:lvl w:ilvl="0" w:tplc="4AC0F72A">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0F11CBD"/>
    <w:multiLevelType w:val="hybridMultilevel"/>
    <w:tmpl w:val="469E7310"/>
    <w:lvl w:ilvl="0" w:tplc="5BBA42D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5464FE4"/>
    <w:multiLevelType w:val="hybridMultilevel"/>
    <w:tmpl w:val="24E0F1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95D4328"/>
    <w:multiLevelType w:val="hybridMultilevel"/>
    <w:tmpl w:val="570865DE"/>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2">
    <w:nsid w:val="49A167C4"/>
    <w:multiLevelType w:val="hybridMultilevel"/>
    <w:tmpl w:val="D88E6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DFA4193"/>
    <w:multiLevelType w:val="hybridMultilevel"/>
    <w:tmpl w:val="DFECE104"/>
    <w:lvl w:ilvl="0" w:tplc="04050001">
      <w:start w:val="1"/>
      <w:numFmt w:val="bullet"/>
      <w:lvlText w:val=""/>
      <w:lvlJc w:val="left"/>
      <w:pPr>
        <w:tabs>
          <w:tab w:val="num" w:pos="1245"/>
        </w:tabs>
        <w:ind w:left="1245" w:hanging="360"/>
      </w:pPr>
      <w:rPr>
        <w:rFonts w:ascii="Symbol" w:hAnsi="Symbol" w:hint="default"/>
      </w:rPr>
    </w:lvl>
    <w:lvl w:ilvl="1" w:tplc="04050003" w:tentative="1">
      <w:start w:val="1"/>
      <w:numFmt w:val="bullet"/>
      <w:lvlText w:val="o"/>
      <w:lvlJc w:val="left"/>
      <w:pPr>
        <w:tabs>
          <w:tab w:val="num" w:pos="1965"/>
        </w:tabs>
        <w:ind w:left="1965" w:hanging="360"/>
      </w:pPr>
      <w:rPr>
        <w:rFonts w:ascii="Courier New" w:hAnsi="Courier New" w:cs="Courier New" w:hint="default"/>
      </w:rPr>
    </w:lvl>
    <w:lvl w:ilvl="2" w:tplc="04050005" w:tentative="1">
      <w:start w:val="1"/>
      <w:numFmt w:val="bullet"/>
      <w:lvlText w:val=""/>
      <w:lvlJc w:val="left"/>
      <w:pPr>
        <w:tabs>
          <w:tab w:val="num" w:pos="2685"/>
        </w:tabs>
        <w:ind w:left="2685" w:hanging="360"/>
      </w:pPr>
      <w:rPr>
        <w:rFonts w:ascii="Wingdings" w:hAnsi="Wingdings" w:hint="default"/>
      </w:rPr>
    </w:lvl>
    <w:lvl w:ilvl="3" w:tplc="04050001" w:tentative="1">
      <w:start w:val="1"/>
      <w:numFmt w:val="bullet"/>
      <w:lvlText w:val=""/>
      <w:lvlJc w:val="left"/>
      <w:pPr>
        <w:tabs>
          <w:tab w:val="num" w:pos="3405"/>
        </w:tabs>
        <w:ind w:left="3405" w:hanging="360"/>
      </w:pPr>
      <w:rPr>
        <w:rFonts w:ascii="Symbol" w:hAnsi="Symbol" w:hint="default"/>
      </w:rPr>
    </w:lvl>
    <w:lvl w:ilvl="4" w:tplc="04050003" w:tentative="1">
      <w:start w:val="1"/>
      <w:numFmt w:val="bullet"/>
      <w:lvlText w:val="o"/>
      <w:lvlJc w:val="left"/>
      <w:pPr>
        <w:tabs>
          <w:tab w:val="num" w:pos="4125"/>
        </w:tabs>
        <w:ind w:left="4125" w:hanging="360"/>
      </w:pPr>
      <w:rPr>
        <w:rFonts w:ascii="Courier New" w:hAnsi="Courier New" w:cs="Courier New" w:hint="default"/>
      </w:rPr>
    </w:lvl>
    <w:lvl w:ilvl="5" w:tplc="04050005" w:tentative="1">
      <w:start w:val="1"/>
      <w:numFmt w:val="bullet"/>
      <w:lvlText w:val=""/>
      <w:lvlJc w:val="left"/>
      <w:pPr>
        <w:tabs>
          <w:tab w:val="num" w:pos="4845"/>
        </w:tabs>
        <w:ind w:left="4845" w:hanging="360"/>
      </w:pPr>
      <w:rPr>
        <w:rFonts w:ascii="Wingdings" w:hAnsi="Wingdings" w:hint="default"/>
      </w:rPr>
    </w:lvl>
    <w:lvl w:ilvl="6" w:tplc="04050001" w:tentative="1">
      <w:start w:val="1"/>
      <w:numFmt w:val="bullet"/>
      <w:lvlText w:val=""/>
      <w:lvlJc w:val="left"/>
      <w:pPr>
        <w:tabs>
          <w:tab w:val="num" w:pos="5565"/>
        </w:tabs>
        <w:ind w:left="5565" w:hanging="360"/>
      </w:pPr>
      <w:rPr>
        <w:rFonts w:ascii="Symbol" w:hAnsi="Symbol" w:hint="default"/>
      </w:rPr>
    </w:lvl>
    <w:lvl w:ilvl="7" w:tplc="04050003" w:tentative="1">
      <w:start w:val="1"/>
      <w:numFmt w:val="bullet"/>
      <w:lvlText w:val="o"/>
      <w:lvlJc w:val="left"/>
      <w:pPr>
        <w:tabs>
          <w:tab w:val="num" w:pos="6285"/>
        </w:tabs>
        <w:ind w:left="6285" w:hanging="360"/>
      </w:pPr>
      <w:rPr>
        <w:rFonts w:ascii="Courier New" w:hAnsi="Courier New" w:cs="Courier New" w:hint="default"/>
      </w:rPr>
    </w:lvl>
    <w:lvl w:ilvl="8" w:tplc="04050005" w:tentative="1">
      <w:start w:val="1"/>
      <w:numFmt w:val="bullet"/>
      <w:lvlText w:val=""/>
      <w:lvlJc w:val="left"/>
      <w:pPr>
        <w:tabs>
          <w:tab w:val="num" w:pos="7005"/>
        </w:tabs>
        <w:ind w:left="7005" w:hanging="360"/>
      </w:pPr>
      <w:rPr>
        <w:rFonts w:ascii="Wingdings" w:hAnsi="Wingdings" w:hint="default"/>
      </w:rPr>
    </w:lvl>
  </w:abstractNum>
  <w:abstractNum w:abstractNumId="24">
    <w:nsid w:val="5D3B7523"/>
    <w:multiLevelType w:val="hybridMultilevel"/>
    <w:tmpl w:val="6D08525A"/>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DC819F1"/>
    <w:multiLevelType w:val="hybridMultilevel"/>
    <w:tmpl w:val="11C616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E69266E"/>
    <w:multiLevelType w:val="hybridMultilevel"/>
    <w:tmpl w:val="9F4CAD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7877911"/>
    <w:multiLevelType w:val="multilevel"/>
    <w:tmpl w:val="8142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256254"/>
    <w:multiLevelType w:val="hybridMultilevel"/>
    <w:tmpl w:val="1728A4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AC00F2A"/>
    <w:multiLevelType w:val="hybridMultilevel"/>
    <w:tmpl w:val="CCF690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6CE60F40"/>
    <w:multiLevelType w:val="hybridMultilevel"/>
    <w:tmpl w:val="193E9F24"/>
    <w:lvl w:ilvl="0" w:tplc="04050017">
      <w:start w:val="1"/>
      <w:numFmt w:val="lowerLetter"/>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C495E4F"/>
    <w:multiLevelType w:val="hybridMultilevel"/>
    <w:tmpl w:val="B904772E"/>
    <w:lvl w:ilvl="0" w:tplc="8440359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3"/>
  </w:num>
  <w:num w:numId="2">
    <w:abstractNumId w:val="29"/>
  </w:num>
  <w:num w:numId="3">
    <w:abstractNumId w:val="5"/>
  </w:num>
  <w:num w:numId="4">
    <w:abstractNumId w:val="22"/>
  </w:num>
  <w:num w:numId="5">
    <w:abstractNumId w:val="2"/>
  </w:num>
  <w:num w:numId="6">
    <w:abstractNumId w:val="12"/>
  </w:num>
  <w:num w:numId="7">
    <w:abstractNumId w:val="4"/>
  </w:num>
  <w:num w:numId="8">
    <w:abstractNumId w:val="20"/>
  </w:num>
  <w:num w:numId="9">
    <w:abstractNumId w:val="13"/>
  </w:num>
  <w:num w:numId="10">
    <w:abstractNumId w:val="0"/>
  </w:num>
  <w:num w:numId="11">
    <w:abstractNumId w:val="11"/>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5"/>
  </w:num>
  <w:num w:numId="15">
    <w:abstractNumId w:val="6"/>
  </w:num>
  <w:num w:numId="16">
    <w:abstractNumId w:val="8"/>
  </w:num>
  <w:num w:numId="17">
    <w:abstractNumId w:val="1"/>
  </w:num>
  <w:num w:numId="18">
    <w:abstractNumId w:val="16"/>
  </w:num>
  <w:num w:numId="19">
    <w:abstractNumId w:val="10"/>
  </w:num>
  <w:num w:numId="20">
    <w:abstractNumId w:val="7"/>
  </w:num>
  <w:num w:numId="21">
    <w:abstractNumId w:val="19"/>
  </w:num>
  <w:num w:numId="22">
    <w:abstractNumId w:val="21"/>
  </w:num>
  <w:num w:numId="23">
    <w:abstractNumId w:val="31"/>
  </w:num>
  <w:num w:numId="24">
    <w:abstractNumId w:val="26"/>
  </w:num>
  <w:num w:numId="25">
    <w:abstractNumId w:val="25"/>
  </w:num>
  <w:num w:numId="26">
    <w:abstractNumId w:val="30"/>
  </w:num>
  <w:num w:numId="27">
    <w:abstractNumId w:val="27"/>
  </w:num>
  <w:num w:numId="28">
    <w:abstractNumId w:val="14"/>
  </w:num>
  <w:num w:numId="29">
    <w:abstractNumId w:val="18"/>
  </w:num>
  <w:num w:numId="30">
    <w:abstractNumId w:val="17"/>
  </w:num>
  <w:num w:numId="31">
    <w:abstractNumId w:val="24"/>
  </w:num>
  <w:num w:numId="32">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592"/>
    <w:rsid w:val="00001E4E"/>
    <w:rsid w:val="0000451B"/>
    <w:rsid w:val="00006683"/>
    <w:rsid w:val="000311EB"/>
    <w:rsid w:val="00036169"/>
    <w:rsid w:val="00037A06"/>
    <w:rsid w:val="000438C1"/>
    <w:rsid w:val="0004521E"/>
    <w:rsid w:val="00060EFF"/>
    <w:rsid w:val="00063CD1"/>
    <w:rsid w:val="00075320"/>
    <w:rsid w:val="0008116D"/>
    <w:rsid w:val="00082C90"/>
    <w:rsid w:val="00087E45"/>
    <w:rsid w:val="000D3B3B"/>
    <w:rsid w:val="00104500"/>
    <w:rsid w:val="00114AAF"/>
    <w:rsid w:val="001236AA"/>
    <w:rsid w:val="00125EE0"/>
    <w:rsid w:val="00126B9C"/>
    <w:rsid w:val="001378C5"/>
    <w:rsid w:val="00143742"/>
    <w:rsid w:val="0014673A"/>
    <w:rsid w:val="00151775"/>
    <w:rsid w:val="00152564"/>
    <w:rsid w:val="00160245"/>
    <w:rsid w:val="0016160B"/>
    <w:rsid w:val="00166251"/>
    <w:rsid w:val="00166ABA"/>
    <w:rsid w:val="00191411"/>
    <w:rsid w:val="00193495"/>
    <w:rsid w:val="001A2533"/>
    <w:rsid w:val="001A64AE"/>
    <w:rsid w:val="001B027C"/>
    <w:rsid w:val="001B196C"/>
    <w:rsid w:val="001C4200"/>
    <w:rsid w:val="001C6201"/>
    <w:rsid w:val="001D29D0"/>
    <w:rsid w:val="001E7FA3"/>
    <w:rsid w:val="002012AE"/>
    <w:rsid w:val="002309FE"/>
    <w:rsid w:val="00241CB2"/>
    <w:rsid w:val="0024494D"/>
    <w:rsid w:val="002625D2"/>
    <w:rsid w:val="00267B77"/>
    <w:rsid w:val="00286BFF"/>
    <w:rsid w:val="00296A41"/>
    <w:rsid w:val="002A0219"/>
    <w:rsid w:val="002A6C1E"/>
    <w:rsid w:val="002B21A4"/>
    <w:rsid w:val="002C244D"/>
    <w:rsid w:val="002D31FC"/>
    <w:rsid w:val="002D4A23"/>
    <w:rsid w:val="002F449B"/>
    <w:rsid w:val="002F4C0E"/>
    <w:rsid w:val="00300538"/>
    <w:rsid w:val="00305571"/>
    <w:rsid w:val="00323E90"/>
    <w:rsid w:val="00324C70"/>
    <w:rsid w:val="0032765A"/>
    <w:rsid w:val="0033301A"/>
    <w:rsid w:val="00345237"/>
    <w:rsid w:val="003666E9"/>
    <w:rsid w:val="00370685"/>
    <w:rsid w:val="003729B8"/>
    <w:rsid w:val="00391FC4"/>
    <w:rsid w:val="003B52DC"/>
    <w:rsid w:val="003C0A41"/>
    <w:rsid w:val="003D2A6F"/>
    <w:rsid w:val="003D5E0A"/>
    <w:rsid w:val="003D62D4"/>
    <w:rsid w:val="003E1414"/>
    <w:rsid w:val="003F040F"/>
    <w:rsid w:val="003F7D34"/>
    <w:rsid w:val="00400A4A"/>
    <w:rsid w:val="0041708C"/>
    <w:rsid w:val="00424A6A"/>
    <w:rsid w:val="004317F1"/>
    <w:rsid w:val="00432414"/>
    <w:rsid w:val="00436866"/>
    <w:rsid w:val="004378F3"/>
    <w:rsid w:val="00442585"/>
    <w:rsid w:val="004565EE"/>
    <w:rsid w:val="0046194B"/>
    <w:rsid w:val="004777CD"/>
    <w:rsid w:val="00481C2E"/>
    <w:rsid w:val="00482B40"/>
    <w:rsid w:val="00487813"/>
    <w:rsid w:val="004A741A"/>
    <w:rsid w:val="004C1162"/>
    <w:rsid w:val="004C3E96"/>
    <w:rsid w:val="004C43AF"/>
    <w:rsid w:val="004D1731"/>
    <w:rsid w:val="004D38D3"/>
    <w:rsid w:val="004D5B2E"/>
    <w:rsid w:val="004D6CF5"/>
    <w:rsid w:val="004F5CB1"/>
    <w:rsid w:val="00507D0E"/>
    <w:rsid w:val="00522126"/>
    <w:rsid w:val="00531922"/>
    <w:rsid w:val="0053719A"/>
    <w:rsid w:val="005438D3"/>
    <w:rsid w:val="00543D58"/>
    <w:rsid w:val="0055130B"/>
    <w:rsid w:val="00553135"/>
    <w:rsid w:val="005542ED"/>
    <w:rsid w:val="0056000B"/>
    <w:rsid w:val="00561EAD"/>
    <w:rsid w:val="00570EF7"/>
    <w:rsid w:val="0059443B"/>
    <w:rsid w:val="005958F4"/>
    <w:rsid w:val="005A25BB"/>
    <w:rsid w:val="005A265C"/>
    <w:rsid w:val="005A3FC0"/>
    <w:rsid w:val="005C27CB"/>
    <w:rsid w:val="005D731F"/>
    <w:rsid w:val="005D7F57"/>
    <w:rsid w:val="005E2CE6"/>
    <w:rsid w:val="005F053D"/>
    <w:rsid w:val="0060115A"/>
    <w:rsid w:val="00615A61"/>
    <w:rsid w:val="00617806"/>
    <w:rsid w:val="006502D8"/>
    <w:rsid w:val="00651310"/>
    <w:rsid w:val="00661763"/>
    <w:rsid w:val="00667EF9"/>
    <w:rsid w:val="00694456"/>
    <w:rsid w:val="006A08D0"/>
    <w:rsid w:val="006B3646"/>
    <w:rsid w:val="006B462F"/>
    <w:rsid w:val="006B6E52"/>
    <w:rsid w:val="006C19AB"/>
    <w:rsid w:val="006C6669"/>
    <w:rsid w:val="006F4A1C"/>
    <w:rsid w:val="006F74AD"/>
    <w:rsid w:val="00713F1B"/>
    <w:rsid w:val="007168E0"/>
    <w:rsid w:val="00730709"/>
    <w:rsid w:val="00765417"/>
    <w:rsid w:val="00767693"/>
    <w:rsid w:val="00770C51"/>
    <w:rsid w:val="00775A05"/>
    <w:rsid w:val="007773FE"/>
    <w:rsid w:val="00791A53"/>
    <w:rsid w:val="00795A25"/>
    <w:rsid w:val="007975D4"/>
    <w:rsid w:val="007A1935"/>
    <w:rsid w:val="007B29C7"/>
    <w:rsid w:val="007B7A8C"/>
    <w:rsid w:val="007C654E"/>
    <w:rsid w:val="007D69DB"/>
    <w:rsid w:val="007D7EB2"/>
    <w:rsid w:val="007E2A20"/>
    <w:rsid w:val="007E43B5"/>
    <w:rsid w:val="008137A6"/>
    <w:rsid w:val="00813F43"/>
    <w:rsid w:val="00815F66"/>
    <w:rsid w:val="00816652"/>
    <w:rsid w:val="008167D3"/>
    <w:rsid w:val="0084055C"/>
    <w:rsid w:val="008415F5"/>
    <w:rsid w:val="008451B9"/>
    <w:rsid w:val="00850251"/>
    <w:rsid w:val="00872766"/>
    <w:rsid w:val="00873D3F"/>
    <w:rsid w:val="008866F3"/>
    <w:rsid w:val="00891D08"/>
    <w:rsid w:val="00896C25"/>
    <w:rsid w:val="008A7DEA"/>
    <w:rsid w:val="008C2101"/>
    <w:rsid w:val="008C37D4"/>
    <w:rsid w:val="008D41B2"/>
    <w:rsid w:val="008E4454"/>
    <w:rsid w:val="008E5C4B"/>
    <w:rsid w:val="009064B9"/>
    <w:rsid w:val="00935C54"/>
    <w:rsid w:val="00937180"/>
    <w:rsid w:val="0094464A"/>
    <w:rsid w:val="009446BA"/>
    <w:rsid w:val="00965535"/>
    <w:rsid w:val="00975181"/>
    <w:rsid w:val="00976E08"/>
    <w:rsid w:val="00982034"/>
    <w:rsid w:val="00984EC6"/>
    <w:rsid w:val="009933C8"/>
    <w:rsid w:val="009B23E5"/>
    <w:rsid w:val="009B4998"/>
    <w:rsid w:val="009B71FA"/>
    <w:rsid w:val="009C773D"/>
    <w:rsid w:val="009E38FD"/>
    <w:rsid w:val="009F2E37"/>
    <w:rsid w:val="00A01584"/>
    <w:rsid w:val="00A136D5"/>
    <w:rsid w:val="00A311BE"/>
    <w:rsid w:val="00A41D99"/>
    <w:rsid w:val="00A42120"/>
    <w:rsid w:val="00A75801"/>
    <w:rsid w:val="00A82EF5"/>
    <w:rsid w:val="00A91525"/>
    <w:rsid w:val="00A97198"/>
    <w:rsid w:val="00AA2830"/>
    <w:rsid w:val="00AA3D2E"/>
    <w:rsid w:val="00AC272E"/>
    <w:rsid w:val="00AD2C21"/>
    <w:rsid w:val="00AD4C3A"/>
    <w:rsid w:val="00B0094B"/>
    <w:rsid w:val="00B03B0C"/>
    <w:rsid w:val="00B267F3"/>
    <w:rsid w:val="00B37578"/>
    <w:rsid w:val="00B432E0"/>
    <w:rsid w:val="00B54CB3"/>
    <w:rsid w:val="00B61805"/>
    <w:rsid w:val="00B672F4"/>
    <w:rsid w:val="00B82B97"/>
    <w:rsid w:val="00B90DF7"/>
    <w:rsid w:val="00B9126F"/>
    <w:rsid w:val="00BA162D"/>
    <w:rsid w:val="00BA2259"/>
    <w:rsid w:val="00BA3895"/>
    <w:rsid w:val="00BB56E8"/>
    <w:rsid w:val="00BC13BA"/>
    <w:rsid w:val="00BD75BF"/>
    <w:rsid w:val="00BE3F7B"/>
    <w:rsid w:val="00BF5F5B"/>
    <w:rsid w:val="00BF668D"/>
    <w:rsid w:val="00C04613"/>
    <w:rsid w:val="00C101B8"/>
    <w:rsid w:val="00C10408"/>
    <w:rsid w:val="00C112A9"/>
    <w:rsid w:val="00C1297B"/>
    <w:rsid w:val="00C25A84"/>
    <w:rsid w:val="00C264A0"/>
    <w:rsid w:val="00C36B70"/>
    <w:rsid w:val="00C46C3D"/>
    <w:rsid w:val="00C6264C"/>
    <w:rsid w:val="00C67705"/>
    <w:rsid w:val="00C73A67"/>
    <w:rsid w:val="00C74AD3"/>
    <w:rsid w:val="00C83592"/>
    <w:rsid w:val="00C837F3"/>
    <w:rsid w:val="00C943C7"/>
    <w:rsid w:val="00C96239"/>
    <w:rsid w:val="00C97750"/>
    <w:rsid w:val="00CB0078"/>
    <w:rsid w:val="00CB0C48"/>
    <w:rsid w:val="00CB38E7"/>
    <w:rsid w:val="00CC5787"/>
    <w:rsid w:val="00CC7FB9"/>
    <w:rsid w:val="00CE1E93"/>
    <w:rsid w:val="00D27DAE"/>
    <w:rsid w:val="00D336DD"/>
    <w:rsid w:val="00D45378"/>
    <w:rsid w:val="00D54047"/>
    <w:rsid w:val="00D55A55"/>
    <w:rsid w:val="00DA4161"/>
    <w:rsid w:val="00DB0F0B"/>
    <w:rsid w:val="00DB1EB9"/>
    <w:rsid w:val="00DB5EF9"/>
    <w:rsid w:val="00DE2757"/>
    <w:rsid w:val="00DE3F37"/>
    <w:rsid w:val="00DE6490"/>
    <w:rsid w:val="00DF03E3"/>
    <w:rsid w:val="00DF5C9D"/>
    <w:rsid w:val="00E02646"/>
    <w:rsid w:val="00E135A0"/>
    <w:rsid w:val="00E14CCB"/>
    <w:rsid w:val="00E150FB"/>
    <w:rsid w:val="00E248D4"/>
    <w:rsid w:val="00E25009"/>
    <w:rsid w:val="00E32DBD"/>
    <w:rsid w:val="00E4102F"/>
    <w:rsid w:val="00E41DD2"/>
    <w:rsid w:val="00E41F7A"/>
    <w:rsid w:val="00E6427E"/>
    <w:rsid w:val="00E70281"/>
    <w:rsid w:val="00E75F83"/>
    <w:rsid w:val="00E8696A"/>
    <w:rsid w:val="00E95176"/>
    <w:rsid w:val="00E978A4"/>
    <w:rsid w:val="00EA2B38"/>
    <w:rsid w:val="00EC2D91"/>
    <w:rsid w:val="00EC2E95"/>
    <w:rsid w:val="00EC3D20"/>
    <w:rsid w:val="00ED5E4D"/>
    <w:rsid w:val="00ED5FB1"/>
    <w:rsid w:val="00ED6FDA"/>
    <w:rsid w:val="00EF78B5"/>
    <w:rsid w:val="00F01884"/>
    <w:rsid w:val="00F058D1"/>
    <w:rsid w:val="00F314A8"/>
    <w:rsid w:val="00F4056B"/>
    <w:rsid w:val="00F41FCC"/>
    <w:rsid w:val="00F56D02"/>
    <w:rsid w:val="00F60E27"/>
    <w:rsid w:val="00F91C2E"/>
    <w:rsid w:val="00FB0564"/>
    <w:rsid w:val="00FE5737"/>
    <w:rsid w:val="00FE7666"/>
    <w:rsid w:val="00FF2A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D62D4"/>
    <w:pPr>
      <w:spacing w:after="0"/>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AA2830"/>
    <w:pPr>
      <w:keepNext/>
      <w:keepLines/>
      <w:spacing w:before="480"/>
      <w:outlineLvl w:val="0"/>
    </w:pPr>
    <w:rPr>
      <w:rFonts w:ascii="Arial" w:eastAsiaTheme="majorEastAsia" w:hAnsi="Arial" w:cstheme="majorBidi"/>
      <w:b/>
      <w:bCs/>
      <w:sz w:val="32"/>
      <w:szCs w:val="28"/>
    </w:rPr>
  </w:style>
  <w:style w:type="paragraph" w:styleId="Nadpis2">
    <w:name w:val="heading 2"/>
    <w:basedOn w:val="Normln"/>
    <w:next w:val="Normln"/>
    <w:link w:val="Nadpis2Char"/>
    <w:uiPriority w:val="9"/>
    <w:unhideWhenUsed/>
    <w:qFormat/>
    <w:rsid w:val="00BA162D"/>
    <w:pPr>
      <w:keepNext/>
      <w:keepLines/>
      <w:spacing w:before="200"/>
      <w:jc w:val="both"/>
      <w:outlineLvl w:val="1"/>
    </w:pPr>
    <w:rPr>
      <w:rFonts w:ascii="Arial" w:eastAsiaTheme="majorEastAsia" w:hAnsi="Arial" w:cstheme="majorBidi"/>
      <w:b/>
      <w:bCs/>
      <w:sz w:val="30"/>
      <w:szCs w:val="26"/>
    </w:rPr>
  </w:style>
  <w:style w:type="paragraph" w:styleId="Nadpis3">
    <w:name w:val="heading 3"/>
    <w:basedOn w:val="Normln"/>
    <w:next w:val="Normln"/>
    <w:link w:val="Nadpis3Char"/>
    <w:uiPriority w:val="9"/>
    <w:unhideWhenUsed/>
    <w:qFormat/>
    <w:rsid w:val="008137A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rsid w:val="00C83592"/>
    <w:pPr>
      <w:keepNext/>
      <w:outlineLvl w:val="4"/>
    </w:pPr>
    <w:rPr>
      <w:b/>
      <w:szCs w:val="20"/>
    </w:rPr>
  </w:style>
  <w:style w:type="paragraph" w:styleId="Nadpis6">
    <w:name w:val="heading 6"/>
    <w:basedOn w:val="Normln"/>
    <w:next w:val="Normln"/>
    <w:link w:val="Nadpis6Char"/>
    <w:uiPriority w:val="9"/>
    <w:semiHidden/>
    <w:unhideWhenUsed/>
    <w:qFormat/>
    <w:rsid w:val="00CB38E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A2830"/>
    <w:rPr>
      <w:rFonts w:ascii="Arial" w:eastAsiaTheme="majorEastAsia" w:hAnsi="Arial" w:cstheme="majorBidi"/>
      <w:b/>
      <w:bCs/>
      <w:sz w:val="32"/>
      <w:szCs w:val="28"/>
      <w:lang w:eastAsia="cs-CZ"/>
    </w:rPr>
  </w:style>
  <w:style w:type="character" w:customStyle="1" w:styleId="Nadpis2Char">
    <w:name w:val="Nadpis 2 Char"/>
    <w:basedOn w:val="Standardnpsmoodstavce"/>
    <w:link w:val="Nadpis2"/>
    <w:uiPriority w:val="9"/>
    <w:rsid w:val="00BA162D"/>
    <w:rPr>
      <w:rFonts w:ascii="Arial" w:eastAsiaTheme="majorEastAsia" w:hAnsi="Arial" w:cstheme="majorBidi"/>
      <w:b/>
      <w:bCs/>
      <w:sz w:val="30"/>
      <w:szCs w:val="26"/>
      <w:lang w:eastAsia="cs-CZ"/>
    </w:rPr>
  </w:style>
  <w:style w:type="character" w:customStyle="1" w:styleId="Nadpis3Char">
    <w:name w:val="Nadpis 3 Char"/>
    <w:basedOn w:val="Standardnpsmoodstavce"/>
    <w:link w:val="Nadpis3"/>
    <w:uiPriority w:val="9"/>
    <w:rsid w:val="008137A6"/>
    <w:rPr>
      <w:rFonts w:asciiTheme="majorHAnsi" w:eastAsiaTheme="majorEastAsia" w:hAnsiTheme="majorHAnsi" w:cstheme="majorBidi"/>
      <w:b/>
      <w:bCs/>
      <w:color w:val="4F81BD" w:themeColor="accent1"/>
      <w:sz w:val="24"/>
      <w:szCs w:val="24"/>
      <w:lang w:eastAsia="cs-CZ"/>
    </w:rPr>
  </w:style>
  <w:style w:type="character" w:customStyle="1" w:styleId="Nadpis5Char">
    <w:name w:val="Nadpis 5 Char"/>
    <w:basedOn w:val="Standardnpsmoodstavce"/>
    <w:link w:val="Nadpis5"/>
    <w:rsid w:val="00C83592"/>
    <w:rPr>
      <w:rFonts w:ascii="Times New Roman" w:eastAsia="Times New Roman" w:hAnsi="Times New Roman" w:cs="Times New Roman"/>
      <w:b/>
      <w:sz w:val="24"/>
      <w:szCs w:val="20"/>
      <w:lang w:eastAsia="cs-CZ"/>
    </w:rPr>
  </w:style>
  <w:style w:type="paragraph" w:styleId="Zkladntext">
    <w:name w:val="Body Text"/>
    <w:basedOn w:val="Normln"/>
    <w:link w:val="ZkladntextChar"/>
    <w:uiPriority w:val="99"/>
    <w:rsid w:val="00C83592"/>
    <w:rPr>
      <w:b/>
      <w:bCs/>
    </w:rPr>
  </w:style>
  <w:style w:type="character" w:customStyle="1" w:styleId="ZkladntextChar">
    <w:name w:val="Základní text Char"/>
    <w:basedOn w:val="Standardnpsmoodstavce"/>
    <w:link w:val="Zkladntext"/>
    <w:uiPriority w:val="99"/>
    <w:rsid w:val="00C83592"/>
    <w:rPr>
      <w:rFonts w:ascii="Times New Roman" w:eastAsia="Times New Roman" w:hAnsi="Times New Roman" w:cs="Times New Roman"/>
      <w:b/>
      <w:bCs/>
      <w:sz w:val="24"/>
      <w:szCs w:val="24"/>
      <w:lang w:eastAsia="cs-CZ"/>
    </w:rPr>
  </w:style>
  <w:style w:type="paragraph" w:styleId="Odstavecseseznamem">
    <w:name w:val="List Paragraph"/>
    <w:basedOn w:val="Normln"/>
    <w:uiPriority w:val="34"/>
    <w:qFormat/>
    <w:rsid w:val="00C83592"/>
    <w:pPr>
      <w:ind w:left="708"/>
    </w:pPr>
  </w:style>
  <w:style w:type="character" w:customStyle="1" w:styleId="WardaChar1">
    <w:name w:val="Warda Char1"/>
    <w:link w:val="Warda"/>
    <w:locked/>
    <w:rsid w:val="00125EE0"/>
    <w:rPr>
      <w:rFonts w:ascii="Arial" w:hAnsi="Arial" w:cs="Arial"/>
      <w:lang w:eastAsia="cs-CZ"/>
    </w:rPr>
  </w:style>
  <w:style w:type="paragraph" w:customStyle="1" w:styleId="Warda">
    <w:name w:val="Warda"/>
    <w:basedOn w:val="Normln"/>
    <w:link w:val="WardaChar1"/>
    <w:autoRedefine/>
    <w:rsid w:val="00125EE0"/>
    <w:pPr>
      <w:jc w:val="both"/>
    </w:pPr>
    <w:rPr>
      <w:rFonts w:ascii="Arial" w:eastAsiaTheme="minorHAnsi" w:hAnsi="Arial" w:cs="Arial"/>
      <w:sz w:val="22"/>
      <w:szCs w:val="22"/>
    </w:rPr>
  </w:style>
  <w:style w:type="paragraph" w:styleId="Textbubliny">
    <w:name w:val="Balloon Text"/>
    <w:basedOn w:val="Normln"/>
    <w:link w:val="TextbublinyChar"/>
    <w:uiPriority w:val="99"/>
    <w:semiHidden/>
    <w:unhideWhenUsed/>
    <w:rsid w:val="00FB0564"/>
    <w:rPr>
      <w:rFonts w:ascii="Tahoma" w:hAnsi="Tahoma" w:cs="Tahoma"/>
      <w:sz w:val="16"/>
      <w:szCs w:val="16"/>
    </w:rPr>
  </w:style>
  <w:style w:type="character" w:customStyle="1" w:styleId="TextbublinyChar">
    <w:name w:val="Text bubliny Char"/>
    <w:basedOn w:val="Standardnpsmoodstavce"/>
    <w:link w:val="Textbubliny"/>
    <w:uiPriority w:val="99"/>
    <w:semiHidden/>
    <w:rsid w:val="00FB0564"/>
    <w:rPr>
      <w:rFonts w:ascii="Tahoma" w:eastAsia="Times New Roman" w:hAnsi="Tahoma" w:cs="Tahoma"/>
      <w:sz w:val="16"/>
      <w:szCs w:val="16"/>
      <w:lang w:eastAsia="cs-CZ"/>
    </w:rPr>
  </w:style>
  <w:style w:type="paragraph" w:styleId="Zkladntext2">
    <w:name w:val="Body Text 2"/>
    <w:basedOn w:val="Normln"/>
    <w:link w:val="Zkladntext2Char"/>
    <w:uiPriority w:val="99"/>
    <w:semiHidden/>
    <w:unhideWhenUsed/>
    <w:rsid w:val="00770C51"/>
    <w:pPr>
      <w:spacing w:after="120" w:line="480" w:lineRule="auto"/>
    </w:pPr>
  </w:style>
  <w:style w:type="character" w:customStyle="1" w:styleId="Zkladntext2Char">
    <w:name w:val="Základní text 2 Char"/>
    <w:basedOn w:val="Standardnpsmoodstavce"/>
    <w:link w:val="Zkladntext2"/>
    <w:uiPriority w:val="99"/>
    <w:semiHidden/>
    <w:rsid w:val="00770C51"/>
    <w:rPr>
      <w:rFonts w:ascii="Times New Roman" w:eastAsia="Times New Roman" w:hAnsi="Times New Roman" w:cs="Times New Roman"/>
      <w:sz w:val="24"/>
      <w:szCs w:val="24"/>
      <w:lang w:eastAsia="cs-CZ"/>
    </w:rPr>
  </w:style>
  <w:style w:type="paragraph" w:customStyle="1" w:styleId="Tabulka">
    <w:name w:val="Tabulka"/>
    <w:basedOn w:val="Nadpis5"/>
    <w:autoRedefine/>
    <w:uiPriority w:val="99"/>
    <w:rsid w:val="004317F1"/>
    <w:pPr>
      <w:keepNext w:val="0"/>
      <w:spacing w:line="240" w:lineRule="auto"/>
      <w:jc w:val="both"/>
      <w:outlineLvl w:val="9"/>
    </w:pPr>
    <w:rPr>
      <w:rFonts w:ascii="Arial" w:hAnsi="Arial" w:cs="Arial"/>
      <w:bCs/>
      <w:i/>
      <w:sz w:val="20"/>
    </w:rPr>
  </w:style>
  <w:style w:type="paragraph" w:styleId="Bezmezer">
    <w:name w:val="No Spacing"/>
    <w:uiPriority w:val="1"/>
    <w:qFormat/>
    <w:rsid w:val="004F5CB1"/>
    <w:pPr>
      <w:spacing w:after="0" w:line="240" w:lineRule="auto"/>
    </w:pPr>
    <w:rPr>
      <w:rFonts w:ascii="Times New Roman" w:eastAsia="Times New Roman" w:hAnsi="Times New Roman" w:cs="Times New Roman"/>
      <w:sz w:val="24"/>
      <w:szCs w:val="24"/>
      <w:lang w:eastAsia="cs-CZ"/>
    </w:rPr>
  </w:style>
  <w:style w:type="paragraph" w:customStyle="1" w:styleId="Zprva2">
    <w:name w:val="Zpráva 2"/>
    <w:basedOn w:val="Zkladntext"/>
    <w:rsid w:val="0084055C"/>
    <w:pPr>
      <w:widowControl w:val="0"/>
      <w:spacing w:line="240" w:lineRule="auto"/>
      <w:jc w:val="both"/>
    </w:pPr>
    <w:rPr>
      <w:bCs w:val="0"/>
      <w:snapToGrid w:val="0"/>
      <w:color w:val="000000"/>
      <w:sz w:val="28"/>
      <w:szCs w:val="20"/>
    </w:rPr>
  </w:style>
  <w:style w:type="paragraph" w:customStyle="1" w:styleId="odrky-zprva-podniky">
    <w:name w:val="odrážky - zpráva - podniky"/>
    <w:basedOn w:val="Normln"/>
    <w:rsid w:val="0084055C"/>
    <w:pPr>
      <w:widowControl w:val="0"/>
      <w:tabs>
        <w:tab w:val="num" w:pos="360"/>
      </w:tabs>
      <w:spacing w:after="40" w:line="240" w:lineRule="atLeast"/>
      <w:ind w:left="567" w:firstLine="1213"/>
      <w:jc w:val="both"/>
    </w:pPr>
    <w:rPr>
      <w:snapToGrid w:val="0"/>
      <w:szCs w:val="20"/>
    </w:rPr>
  </w:style>
  <w:style w:type="paragraph" w:styleId="Normlnweb">
    <w:name w:val="Normal (Web)"/>
    <w:basedOn w:val="Normln"/>
    <w:unhideWhenUsed/>
    <w:rsid w:val="0084055C"/>
    <w:pPr>
      <w:spacing w:after="240" w:line="240" w:lineRule="auto"/>
    </w:pPr>
  </w:style>
  <w:style w:type="character" w:customStyle="1" w:styleId="WardaChar">
    <w:name w:val="Warda Char"/>
    <w:rsid w:val="002B21A4"/>
    <w:rPr>
      <w:rFonts w:ascii="Arial" w:eastAsia="Times New Roman" w:hAnsi="Arial" w:cs="Arial"/>
      <w:bCs/>
      <w:lang w:eastAsia="cs-CZ"/>
    </w:rPr>
  </w:style>
  <w:style w:type="paragraph" w:customStyle="1" w:styleId="Zprva3">
    <w:name w:val="Zpráva 3"/>
    <w:basedOn w:val="Zkladntext"/>
    <w:rsid w:val="002B21A4"/>
    <w:pPr>
      <w:widowControl w:val="0"/>
      <w:spacing w:line="240" w:lineRule="auto"/>
      <w:jc w:val="both"/>
    </w:pPr>
    <w:rPr>
      <w:bCs w:val="0"/>
      <w:snapToGrid w:val="0"/>
      <w:color w:val="000000"/>
      <w:szCs w:val="20"/>
    </w:rPr>
  </w:style>
  <w:style w:type="paragraph" w:styleId="Seznam2">
    <w:name w:val="List 2"/>
    <w:basedOn w:val="Normln"/>
    <w:rsid w:val="002B21A4"/>
    <w:pPr>
      <w:spacing w:line="240" w:lineRule="auto"/>
      <w:ind w:left="566" w:hanging="283"/>
    </w:pPr>
    <w:rPr>
      <w:sz w:val="20"/>
      <w:szCs w:val="20"/>
    </w:rPr>
  </w:style>
  <w:style w:type="character" w:customStyle="1" w:styleId="Nadpis6Char">
    <w:name w:val="Nadpis 6 Char"/>
    <w:basedOn w:val="Standardnpsmoodstavce"/>
    <w:link w:val="Nadpis6"/>
    <w:uiPriority w:val="9"/>
    <w:semiHidden/>
    <w:rsid w:val="00CB38E7"/>
    <w:rPr>
      <w:rFonts w:asciiTheme="majorHAnsi" w:eastAsiaTheme="majorEastAsia" w:hAnsiTheme="majorHAnsi" w:cstheme="majorBidi"/>
      <w:i/>
      <w:iCs/>
      <w:color w:val="243F60" w:themeColor="accent1" w:themeShade="7F"/>
      <w:sz w:val="24"/>
      <w:szCs w:val="24"/>
      <w:lang w:eastAsia="cs-CZ"/>
    </w:rPr>
  </w:style>
  <w:style w:type="paragraph" w:customStyle="1" w:styleId="odstaveczprva">
    <w:name w:val="odstavec zpráva"/>
    <w:basedOn w:val="Normln"/>
    <w:rsid w:val="00DE6490"/>
    <w:pPr>
      <w:tabs>
        <w:tab w:val="left" w:pos="709"/>
      </w:tabs>
      <w:spacing w:before="120" w:after="120" w:line="240" w:lineRule="auto"/>
      <w:jc w:val="both"/>
    </w:pPr>
    <w:rPr>
      <w:szCs w:val="20"/>
    </w:rPr>
  </w:style>
  <w:style w:type="paragraph" w:customStyle="1" w:styleId="odstavec-zprva">
    <w:name w:val="odstavec-zpráva"/>
    <w:basedOn w:val="Normln"/>
    <w:link w:val="odstavec-zprvaChar"/>
    <w:rsid w:val="00DE6490"/>
    <w:pPr>
      <w:spacing w:before="80" w:after="80" w:line="240" w:lineRule="auto"/>
      <w:ind w:firstLine="709"/>
      <w:jc w:val="both"/>
    </w:pPr>
    <w:rPr>
      <w:szCs w:val="20"/>
    </w:rPr>
  </w:style>
  <w:style w:type="character" w:customStyle="1" w:styleId="odstavec-zprvaChar">
    <w:name w:val="odstavec-zpráva Char"/>
    <w:basedOn w:val="Standardnpsmoodstavce"/>
    <w:link w:val="odstavec-zprva"/>
    <w:rsid w:val="00DE6490"/>
    <w:rPr>
      <w:rFonts w:ascii="Times New Roman" w:eastAsia="Times New Roman" w:hAnsi="Times New Roman" w:cs="Times New Roman"/>
      <w:sz w:val="24"/>
      <w:szCs w:val="20"/>
      <w:lang w:eastAsia="cs-CZ"/>
    </w:rPr>
  </w:style>
  <w:style w:type="paragraph" w:customStyle="1" w:styleId="Nadpis2-zprva">
    <w:name w:val="Nadpis 2 - zpráva"/>
    <w:basedOn w:val="Nadpis2"/>
    <w:rsid w:val="00DE6490"/>
    <w:pPr>
      <w:keepLines w:val="0"/>
      <w:spacing w:before="120" w:after="120" w:line="240" w:lineRule="auto"/>
    </w:pPr>
    <w:rPr>
      <w:rFonts w:eastAsia="Times New Roman" w:cs="Times New Roman"/>
      <w:bCs w:val="0"/>
      <w:i/>
      <w:sz w:val="32"/>
      <w:szCs w:val="20"/>
    </w:rPr>
  </w:style>
  <w:style w:type="paragraph" w:customStyle="1" w:styleId="StylTextkomente">
    <w:name w:val="Styl Text komentáře"/>
    <w:aliases w:val="Text poznámky - u tabulky + Doprava Vpravo:  ..."/>
    <w:basedOn w:val="Textkomente"/>
    <w:rsid w:val="00DE6490"/>
    <w:pPr>
      <w:numPr>
        <w:numId w:val="3"/>
      </w:numPr>
      <w:tabs>
        <w:tab w:val="clear" w:pos="720"/>
      </w:tabs>
      <w:ind w:left="0" w:right="844" w:firstLine="0"/>
    </w:pPr>
  </w:style>
  <w:style w:type="paragraph" w:customStyle="1" w:styleId="odrky-zprva">
    <w:name w:val="odrážky - zpráva"/>
    <w:basedOn w:val="Normln"/>
    <w:rsid w:val="00DE6490"/>
    <w:pPr>
      <w:tabs>
        <w:tab w:val="num" w:pos="360"/>
      </w:tabs>
      <w:spacing w:line="360" w:lineRule="auto"/>
      <w:jc w:val="both"/>
    </w:pPr>
    <w:rPr>
      <w:szCs w:val="20"/>
    </w:rPr>
  </w:style>
  <w:style w:type="paragraph" w:styleId="Textkomente">
    <w:name w:val="annotation text"/>
    <w:basedOn w:val="Normln"/>
    <w:link w:val="TextkomenteChar"/>
    <w:uiPriority w:val="99"/>
    <w:semiHidden/>
    <w:unhideWhenUsed/>
    <w:rsid w:val="00DE6490"/>
    <w:pPr>
      <w:spacing w:line="240" w:lineRule="auto"/>
    </w:pPr>
    <w:rPr>
      <w:sz w:val="20"/>
      <w:szCs w:val="20"/>
    </w:rPr>
  </w:style>
  <w:style w:type="character" w:customStyle="1" w:styleId="TextkomenteChar">
    <w:name w:val="Text komentáře Char"/>
    <w:basedOn w:val="Standardnpsmoodstavce"/>
    <w:link w:val="Textkomente"/>
    <w:uiPriority w:val="99"/>
    <w:semiHidden/>
    <w:rsid w:val="00DE6490"/>
    <w:rPr>
      <w:rFonts w:ascii="Times New Roman" w:eastAsia="Times New Roman" w:hAnsi="Times New Roman" w:cs="Times New Roman"/>
      <w:sz w:val="20"/>
      <w:szCs w:val="20"/>
      <w:lang w:eastAsia="cs-CZ"/>
    </w:rPr>
  </w:style>
  <w:style w:type="paragraph" w:customStyle="1" w:styleId="Default">
    <w:name w:val="Default"/>
    <w:rsid w:val="008451B9"/>
    <w:pPr>
      <w:autoSpaceDE w:val="0"/>
      <w:autoSpaceDN w:val="0"/>
      <w:adjustRightInd w:val="0"/>
      <w:spacing w:after="0" w:line="240" w:lineRule="auto"/>
    </w:pPr>
    <w:rPr>
      <w:rFonts w:ascii="Myriad Pro" w:hAnsi="Myriad Pro" w:cs="Myriad Pro"/>
      <w:color w:val="000000"/>
      <w:sz w:val="24"/>
      <w:szCs w:val="24"/>
    </w:rPr>
  </w:style>
  <w:style w:type="character" w:customStyle="1" w:styleId="A2">
    <w:name w:val="A2"/>
    <w:uiPriority w:val="99"/>
    <w:rsid w:val="008451B9"/>
    <w:rPr>
      <w:rFonts w:cs="Myriad Pro"/>
      <w:color w:val="000000"/>
      <w:sz w:val="16"/>
      <w:szCs w:val="16"/>
    </w:rPr>
  </w:style>
  <w:style w:type="paragraph" w:customStyle="1" w:styleId="Zprva1">
    <w:name w:val="Zpráva 1"/>
    <w:basedOn w:val="Zkladntext"/>
    <w:rsid w:val="00873D3F"/>
    <w:pPr>
      <w:widowControl w:val="0"/>
      <w:spacing w:line="240" w:lineRule="auto"/>
      <w:jc w:val="both"/>
    </w:pPr>
    <w:rPr>
      <w:bCs w:val="0"/>
      <w:snapToGrid w:val="0"/>
      <w:color w:val="0000FF"/>
      <w:sz w:val="36"/>
      <w:szCs w:val="20"/>
    </w:rPr>
  </w:style>
  <w:style w:type="character" w:styleId="Hypertextovodkaz">
    <w:name w:val="Hyperlink"/>
    <w:basedOn w:val="Standardnpsmoodstavce"/>
    <w:uiPriority w:val="99"/>
    <w:unhideWhenUsed/>
    <w:rsid w:val="00873D3F"/>
    <w:rPr>
      <w:rFonts w:ascii="Arial CE" w:hAnsi="Arial CE" w:cs="Arial CE" w:hint="default"/>
      <w:color w:val="25659A"/>
      <w:u w:val="single"/>
    </w:rPr>
  </w:style>
  <w:style w:type="paragraph" w:styleId="Zhlav">
    <w:name w:val="header"/>
    <w:basedOn w:val="Normln"/>
    <w:link w:val="ZhlavChar"/>
    <w:unhideWhenUsed/>
    <w:rsid w:val="00873D3F"/>
    <w:pPr>
      <w:tabs>
        <w:tab w:val="center" w:pos="4536"/>
        <w:tab w:val="right" w:pos="9072"/>
      </w:tabs>
      <w:spacing w:line="240" w:lineRule="auto"/>
    </w:pPr>
  </w:style>
  <w:style w:type="character" w:customStyle="1" w:styleId="ZhlavChar">
    <w:name w:val="Záhlaví Char"/>
    <w:basedOn w:val="Standardnpsmoodstavce"/>
    <w:link w:val="Zhlav"/>
    <w:rsid w:val="00873D3F"/>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873D3F"/>
    <w:pPr>
      <w:tabs>
        <w:tab w:val="center" w:pos="4536"/>
        <w:tab w:val="right" w:pos="9072"/>
      </w:tabs>
      <w:spacing w:line="240" w:lineRule="auto"/>
    </w:pPr>
  </w:style>
  <w:style w:type="character" w:customStyle="1" w:styleId="ZpatChar">
    <w:name w:val="Zápatí Char"/>
    <w:basedOn w:val="Standardnpsmoodstavce"/>
    <w:link w:val="Zpat"/>
    <w:uiPriority w:val="99"/>
    <w:rsid w:val="00873D3F"/>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semiHidden/>
    <w:unhideWhenUsed/>
    <w:rsid w:val="00A01584"/>
    <w:pPr>
      <w:spacing w:after="120"/>
      <w:ind w:left="283"/>
    </w:pPr>
  </w:style>
  <w:style w:type="character" w:customStyle="1" w:styleId="ZkladntextodsazenChar">
    <w:name w:val="Základní text odsazený Char"/>
    <w:basedOn w:val="Standardnpsmoodstavce"/>
    <w:link w:val="Zkladntextodsazen"/>
    <w:uiPriority w:val="99"/>
    <w:semiHidden/>
    <w:rsid w:val="00A01584"/>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E6427E"/>
    <w:pPr>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E6427E"/>
    <w:pPr>
      <w:spacing w:after="100"/>
    </w:pPr>
  </w:style>
  <w:style w:type="paragraph" w:styleId="Obsah2">
    <w:name w:val="toc 2"/>
    <w:basedOn w:val="Normln"/>
    <w:next w:val="Normln"/>
    <w:autoRedefine/>
    <w:uiPriority w:val="39"/>
    <w:unhideWhenUsed/>
    <w:rsid w:val="00E6427E"/>
    <w:pPr>
      <w:spacing w:after="100"/>
      <w:ind w:left="240"/>
    </w:pPr>
  </w:style>
  <w:style w:type="paragraph" w:styleId="Obsah3">
    <w:name w:val="toc 3"/>
    <w:basedOn w:val="Normln"/>
    <w:next w:val="Normln"/>
    <w:autoRedefine/>
    <w:uiPriority w:val="39"/>
    <w:unhideWhenUsed/>
    <w:rsid w:val="00E6427E"/>
    <w:pPr>
      <w:spacing w:after="100"/>
      <w:ind w:left="480"/>
    </w:pPr>
  </w:style>
  <w:style w:type="paragraph" w:styleId="Titulek">
    <w:name w:val="caption"/>
    <w:basedOn w:val="Normln"/>
    <w:next w:val="Normln"/>
    <w:uiPriority w:val="35"/>
    <w:unhideWhenUsed/>
    <w:qFormat/>
    <w:rsid w:val="002625D2"/>
    <w:pPr>
      <w:spacing w:after="200" w:line="240" w:lineRule="auto"/>
    </w:pPr>
    <w:rPr>
      <w:b/>
      <w:bCs/>
      <w:color w:val="4F81BD" w:themeColor="accent1"/>
      <w:sz w:val="18"/>
      <w:szCs w:val="18"/>
    </w:rPr>
  </w:style>
  <w:style w:type="character" w:customStyle="1" w:styleId="hit">
    <w:name w:val="hit"/>
    <w:basedOn w:val="Standardnpsmoodstavce"/>
    <w:rsid w:val="00060EFF"/>
  </w:style>
  <w:style w:type="paragraph" w:styleId="FormtovanvHTML">
    <w:name w:val="HTML Preformatted"/>
    <w:basedOn w:val="Normln"/>
    <w:link w:val="FormtovanvHTMLChar"/>
    <w:uiPriority w:val="99"/>
    <w:unhideWhenUsed/>
    <w:rsid w:val="00060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060EFF"/>
    <w:rPr>
      <w:rFonts w:ascii="Courier New" w:eastAsia="Times New Roman" w:hAnsi="Courier New" w:cs="Courier New"/>
      <w:sz w:val="20"/>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D62D4"/>
    <w:pPr>
      <w:spacing w:after="0"/>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AA2830"/>
    <w:pPr>
      <w:keepNext/>
      <w:keepLines/>
      <w:spacing w:before="480"/>
      <w:outlineLvl w:val="0"/>
    </w:pPr>
    <w:rPr>
      <w:rFonts w:ascii="Arial" w:eastAsiaTheme="majorEastAsia" w:hAnsi="Arial" w:cstheme="majorBidi"/>
      <w:b/>
      <w:bCs/>
      <w:sz w:val="32"/>
      <w:szCs w:val="28"/>
    </w:rPr>
  </w:style>
  <w:style w:type="paragraph" w:styleId="Nadpis2">
    <w:name w:val="heading 2"/>
    <w:basedOn w:val="Normln"/>
    <w:next w:val="Normln"/>
    <w:link w:val="Nadpis2Char"/>
    <w:uiPriority w:val="9"/>
    <w:unhideWhenUsed/>
    <w:qFormat/>
    <w:rsid w:val="00BA162D"/>
    <w:pPr>
      <w:keepNext/>
      <w:keepLines/>
      <w:spacing w:before="200"/>
      <w:jc w:val="both"/>
      <w:outlineLvl w:val="1"/>
    </w:pPr>
    <w:rPr>
      <w:rFonts w:ascii="Arial" w:eastAsiaTheme="majorEastAsia" w:hAnsi="Arial" w:cstheme="majorBidi"/>
      <w:b/>
      <w:bCs/>
      <w:sz w:val="30"/>
      <w:szCs w:val="26"/>
    </w:rPr>
  </w:style>
  <w:style w:type="paragraph" w:styleId="Nadpis3">
    <w:name w:val="heading 3"/>
    <w:basedOn w:val="Normln"/>
    <w:next w:val="Normln"/>
    <w:link w:val="Nadpis3Char"/>
    <w:uiPriority w:val="9"/>
    <w:unhideWhenUsed/>
    <w:qFormat/>
    <w:rsid w:val="008137A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rsid w:val="00C83592"/>
    <w:pPr>
      <w:keepNext/>
      <w:outlineLvl w:val="4"/>
    </w:pPr>
    <w:rPr>
      <w:b/>
      <w:szCs w:val="20"/>
    </w:rPr>
  </w:style>
  <w:style w:type="paragraph" w:styleId="Nadpis6">
    <w:name w:val="heading 6"/>
    <w:basedOn w:val="Normln"/>
    <w:next w:val="Normln"/>
    <w:link w:val="Nadpis6Char"/>
    <w:uiPriority w:val="9"/>
    <w:semiHidden/>
    <w:unhideWhenUsed/>
    <w:qFormat/>
    <w:rsid w:val="00CB38E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A2830"/>
    <w:rPr>
      <w:rFonts w:ascii="Arial" w:eastAsiaTheme="majorEastAsia" w:hAnsi="Arial" w:cstheme="majorBidi"/>
      <w:b/>
      <w:bCs/>
      <w:sz w:val="32"/>
      <w:szCs w:val="28"/>
      <w:lang w:eastAsia="cs-CZ"/>
    </w:rPr>
  </w:style>
  <w:style w:type="character" w:customStyle="1" w:styleId="Nadpis2Char">
    <w:name w:val="Nadpis 2 Char"/>
    <w:basedOn w:val="Standardnpsmoodstavce"/>
    <w:link w:val="Nadpis2"/>
    <w:uiPriority w:val="9"/>
    <w:rsid w:val="00BA162D"/>
    <w:rPr>
      <w:rFonts w:ascii="Arial" w:eastAsiaTheme="majorEastAsia" w:hAnsi="Arial" w:cstheme="majorBidi"/>
      <w:b/>
      <w:bCs/>
      <w:sz w:val="30"/>
      <w:szCs w:val="26"/>
      <w:lang w:eastAsia="cs-CZ"/>
    </w:rPr>
  </w:style>
  <w:style w:type="character" w:customStyle="1" w:styleId="Nadpis3Char">
    <w:name w:val="Nadpis 3 Char"/>
    <w:basedOn w:val="Standardnpsmoodstavce"/>
    <w:link w:val="Nadpis3"/>
    <w:uiPriority w:val="9"/>
    <w:rsid w:val="008137A6"/>
    <w:rPr>
      <w:rFonts w:asciiTheme="majorHAnsi" w:eastAsiaTheme="majorEastAsia" w:hAnsiTheme="majorHAnsi" w:cstheme="majorBidi"/>
      <w:b/>
      <w:bCs/>
      <w:color w:val="4F81BD" w:themeColor="accent1"/>
      <w:sz w:val="24"/>
      <w:szCs w:val="24"/>
      <w:lang w:eastAsia="cs-CZ"/>
    </w:rPr>
  </w:style>
  <w:style w:type="character" w:customStyle="1" w:styleId="Nadpis5Char">
    <w:name w:val="Nadpis 5 Char"/>
    <w:basedOn w:val="Standardnpsmoodstavce"/>
    <w:link w:val="Nadpis5"/>
    <w:rsid w:val="00C83592"/>
    <w:rPr>
      <w:rFonts w:ascii="Times New Roman" w:eastAsia="Times New Roman" w:hAnsi="Times New Roman" w:cs="Times New Roman"/>
      <w:b/>
      <w:sz w:val="24"/>
      <w:szCs w:val="20"/>
      <w:lang w:eastAsia="cs-CZ"/>
    </w:rPr>
  </w:style>
  <w:style w:type="paragraph" w:styleId="Zkladntext">
    <w:name w:val="Body Text"/>
    <w:basedOn w:val="Normln"/>
    <w:link w:val="ZkladntextChar"/>
    <w:uiPriority w:val="99"/>
    <w:rsid w:val="00C83592"/>
    <w:rPr>
      <w:b/>
      <w:bCs/>
    </w:rPr>
  </w:style>
  <w:style w:type="character" w:customStyle="1" w:styleId="ZkladntextChar">
    <w:name w:val="Základní text Char"/>
    <w:basedOn w:val="Standardnpsmoodstavce"/>
    <w:link w:val="Zkladntext"/>
    <w:uiPriority w:val="99"/>
    <w:rsid w:val="00C83592"/>
    <w:rPr>
      <w:rFonts w:ascii="Times New Roman" w:eastAsia="Times New Roman" w:hAnsi="Times New Roman" w:cs="Times New Roman"/>
      <w:b/>
      <w:bCs/>
      <w:sz w:val="24"/>
      <w:szCs w:val="24"/>
      <w:lang w:eastAsia="cs-CZ"/>
    </w:rPr>
  </w:style>
  <w:style w:type="paragraph" w:styleId="Odstavecseseznamem">
    <w:name w:val="List Paragraph"/>
    <w:basedOn w:val="Normln"/>
    <w:uiPriority w:val="34"/>
    <w:qFormat/>
    <w:rsid w:val="00C83592"/>
    <w:pPr>
      <w:ind w:left="708"/>
    </w:pPr>
  </w:style>
  <w:style w:type="character" w:customStyle="1" w:styleId="WardaChar1">
    <w:name w:val="Warda Char1"/>
    <w:link w:val="Warda"/>
    <w:locked/>
    <w:rsid w:val="00125EE0"/>
    <w:rPr>
      <w:rFonts w:ascii="Arial" w:hAnsi="Arial" w:cs="Arial"/>
      <w:lang w:eastAsia="cs-CZ"/>
    </w:rPr>
  </w:style>
  <w:style w:type="paragraph" w:customStyle="1" w:styleId="Warda">
    <w:name w:val="Warda"/>
    <w:basedOn w:val="Normln"/>
    <w:link w:val="WardaChar1"/>
    <w:autoRedefine/>
    <w:rsid w:val="00125EE0"/>
    <w:pPr>
      <w:jc w:val="both"/>
    </w:pPr>
    <w:rPr>
      <w:rFonts w:ascii="Arial" w:eastAsiaTheme="minorHAnsi" w:hAnsi="Arial" w:cs="Arial"/>
      <w:sz w:val="22"/>
      <w:szCs w:val="22"/>
    </w:rPr>
  </w:style>
  <w:style w:type="paragraph" w:styleId="Textbubliny">
    <w:name w:val="Balloon Text"/>
    <w:basedOn w:val="Normln"/>
    <w:link w:val="TextbublinyChar"/>
    <w:uiPriority w:val="99"/>
    <w:semiHidden/>
    <w:unhideWhenUsed/>
    <w:rsid w:val="00FB0564"/>
    <w:rPr>
      <w:rFonts w:ascii="Tahoma" w:hAnsi="Tahoma" w:cs="Tahoma"/>
      <w:sz w:val="16"/>
      <w:szCs w:val="16"/>
    </w:rPr>
  </w:style>
  <w:style w:type="character" w:customStyle="1" w:styleId="TextbublinyChar">
    <w:name w:val="Text bubliny Char"/>
    <w:basedOn w:val="Standardnpsmoodstavce"/>
    <w:link w:val="Textbubliny"/>
    <w:uiPriority w:val="99"/>
    <w:semiHidden/>
    <w:rsid w:val="00FB0564"/>
    <w:rPr>
      <w:rFonts w:ascii="Tahoma" w:eastAsia="Times New Roman" w:hAnsi="Tahoma" w:cs="Tahoma"/>
      <w:sz w:val="16"/>
      <w:szCs w:val="16"/>
      <w:lang w:eastAsia="cs-CZ"/>
    </w:rPr>
  </w:style>
  <w:style w:type="paragraph" w:styleId="Zkladntext2">
    <w:name w:val="Body Text 2"/>
    <w:basedOn w:val="Normln"/>
    <w:link w:val="Zkladntext2Char"/>
    <w:uiPriority w:val="99"/>
    <w:semiHidden/>
    <w:unhideWhenUsed/>
    <w:rsid w:val="00770C51"/>
    <w:pPr>
      <w:spacing w:after="120" w:line="480" w:lineRule="auto"/>
    </w:pPr>
  </w:style>
  <w:style w:type="character" w:customStyle="1" w:styleId="Zkladntext2Char">
    <w:name w:val="Základní text 2 Char"/>
    <w:basedOn w:val="Standardnpsmoodstavce"/>
    <w:link w:val="Zkladntext2"/>
    <w:uiPriority w:val="99"/>
    <w:semiHidden/>
    <w:rsid w:val="00770C51"/>
    <w:rPr>
      <w:rFonts w:ascii="Times New Roman" w:eastAsia="Times New Roman" w:hAnsi="Times New Roman" w:cs="Times New Roman"/>
      <w:sz w:val="24"/>
      <w:szCs w:val="24"/>
      <w:lang w:eastAsia="cs-CZ"/>
    </w:rPr>
  </w:style>
  <w:style w:type="paragraph" w:customStyle="1" w:styleId="Tabulka">
    <w:name w:val="Tabulka"/>
    <w:basedOn w:val="Nadpis5"/>
    <w:autoRedefine/>
    <w:uiPriority w:val="99"/>
    <w:rsid w:val="004317F1"/>
    <w:pPr>
      <w:keepNext w:val="0"/>
      <w:spacing w:line="240" w:lineRule="auto"/>
      <w:jc w:val="both"/>
      <w:outlineLvl w:val="9"/>
    </w:pPr>
    <w:rPr>
      <w:rFonts w:ascii="Arial" w:hAnsi="Arial" w:cs="Arial"/>
      <w:bCs/>
      <w:i/>
      <w:sz w:val="20"/>
    </w:rPr>
  </w:style>
  <w:style w:type="paragraph" w:styleId="Bezmezer">
    <w:name w:val="No Spacing"/>
    <w:uiPriority w:val="1"/>
    <w:qFormat/>
    <w:rsid w:val="004F5CB1"/>
    <w:pPr>
      <w:spacing w:after="0" w:line="240" w:lineRule="auto"/>
    </w:pPr>
    <w:rPr>
      <w:rFonts w:ascii="Times New Roman" w:eastAsia="Times New Roman" w:hAnsi="Times New Roman" w:cs="Times New Roman"/>
      <w:sz w:val="24"/>
      <w:szCs w:val="24"/>
      <w:lang w:eastAsia="cs-CZ"/>
    </w:rPr>
  </w:style>
  <w:style w:type="paragraph" w:customStyle="1" w:styleId="Zprva2">
    <w:name w:val="Zpráva 2"/>
    <w:basedOn w:val="Zkladntext"/>
    <w:rsid w:val="0084055C"/>
    <w:pPr>
      <w:widowControl w:val="0"/>
      <w:spacing w:line="240" w:lineRule="auto"/>
      <w:jc w:val="both"/>
    </w:pPr>
    <w:rPr>
      <w:bCs w:val="0"/>
      <w:snapToGrid w:val="0"/>
      <w:color w:val="000000"/>
      <w:sz w:val="28"/>
      <w:szCs w:val="20"/>
    </w:rPr>
  </w:style>
  <w:style w:type="paragraph" w:customStyle="1" w:styleId="odrky-zprva-podniky">
    <w:name w:val="odrážky - zpráva - podniky"/>
    <w:basedOn w:val="Normln"/>
    <w:rsid w:val="0084055C"/>
    <w:pPr>
      <w:widowControl w:val="0"/>
      <w:tabs>
        <w:tab w:val="num" w:pos="360"/>
      </w:tabs>
      <w:spacing w:after="40" w:line="240" w:lineRule="atLeast"/>
      <w:ind w:left="567" w:firstLine="1213"/>
      <w:jc w:val="both"/>
    </w:pPr>
    <w:rPr>
      <w:snapToGrid w:val="0"/>
      <w:szCs w:val="20"/>
    </w:rPr>
  </w:style>
  <w:style w:type="paragraph" w:styleId="Normlnweb">
    <w:name w:val="Normal (Web)"/>
    <w:basedOn w:val="Normln"/>
    <w:unhideWhenUsed/>
    <w:rsid w:val="0084055C"/>
    <w:pPr>
      <w:spacing w:after="240" w:line="240" w:lineRule="auto"/>
    </w:pPr>
  </w:style>
  <w:style w:type="character" w:customStyle="1" w:styleId="WardaChar">
    <w:name w:val="Warda Char"/>
    <w:rsid w:val="002B21A4"/>
    <w:rPr>
      <w:rFonts w:ascii="Arial" w:eastAsia="Times New Roman" w:hAnsi="Arial" w:cs="Arial"/>
      <w:bCs/>
      <w:lang w:eastAsia="cs-CZ"/>
    </w:rPr>
  </w:style>
  <w:style w:type="paragraph" w:customStyle="1" w:styleId="Zprva3">
    <w:name w:val="Zpráva 3"/>
    <w:basedOn w:val="Zkladntext"/>
    <w:rsid w:val="002B21A4"/>
    <w:pPr>
      <w:widowControl w:val="0"/>
      <w:spacing w:line="240" w:lineRule="auto"/>
      <w:jc w:val="both"/>
    </w:pPr>
    <w:rPr>
      <w:bCs w:val="0"/>
      <w:snapToGrid w:val="0"/>
      <w:color w:val="000000"/>
      <w:szCs w:val="20"/>
    </w:rPr>
  </w:style>
  <w:style w:type="paragraph" w:styleId="Seznam2">
    <w:name w:val="List 2"/>
    <w:basedOn w:val="Normln"/>
    <w:rsid w:val="002B21A4"/>
    <w:pPr>
      <w:spacing w:line="240" w:lineRule="auto"/>
      <w:ind w:left="566" w:hanging="283"/>
    </w:pPr>
    <w:rPr>
      <w:sz w:val="20"/>
      <w:szCs w:val="20"/>
    </w:rPr>
  </w:style>
  <w:style w:type="character" w:customStyle="1" w:styleId="Nadpis6Char">
    <w:name w:val="Nadpis 6 Char"/>
    <w:basedOn w:val="Standardnpsmoodstavce"/>
    <w:link w:val="Nadpis6"/>
    <w:uiPriority w:val="9"/>
    <w:semiHidden/>
    <w:rsid w:val="00CB38E7"/>
    <w:rPr>
      <w:rFonts w:asciiTheme="majorHAnsi" w:eastAsiaTheme="majorEastAsia" w:hAnsiTheme="majorHAnsi" w:cstheme="majorBidi"/>
      <w:i/>
      <w:iCs/>
      <w:color w:val="243F60" w:themeColor="accent1" w:themeShade="7F"/>
      <w:sz w:val="24"/>
      <w:szCs w:val="24"/>
      <w:lang w:eastAsia="cs-CZ"/>
    </w:rPr>
  </w:style>
  <w:style w:type="paragraph" w:customStyle="1" w:styleId="odstaveczprva">
    <w:name w:val="odstavec zpráva"/>
    <w:basedOn w:val="Normln"/>
    <w:rsid w:val="00DE6490"/>
    <w:pPr>
      <w:tabs>
        <w:tab w:val="left" w:pos="709"/>
      </w:tabs>
      <w:spacing w:before="120" w:after="120" w:line="240" w:lineRule="auto"/>
      <w:jc w:val="both"/>
    </w:pPr>
    <w:rPr>
      <w:szCs w:val="20"/>
    </w:rPr>
  </w:style>
  <w:style w:type="paragraph" w:customStyle="1" w:styleId="odstavec-zprva">
    <w:name w:val="odstavec-zpráva"/>
    <w:basedOn w:val="Normln"/>
    <w:link w:val="odstavec-zprvaChar"/>
    <w:rsid w:val="00DE6490"/>
    <w:pPr>
      <w:spacing w:before="80" w:after="80" w:line="240" w:lineRule="auto"/>
      <w:ind w:firstLine="709"/>
      <w:jc w:val="both"/>
    </w:pPr>
    <w:rPr>
      <w:szCs w:val="20"/>
    </w:rPr>
  </w:style>
  <w:style w:type="character" w:customStyle="1" w:styleId="odstavec-zprvaChar">
    <w:name w:val="odstavec-zpráva Char"/>
    <w:basedOn w:val="Standardnpsmoodstavce"/>
    <w:link w:val="odstavec-zprva"/>
    <w:rsid w:val="00DE6490"/>
    <w:rPr>
      <w:rFonts w:ascii="Times New Roman" w:eastAsia="Times New Roman" w:hAnsi="Times New Roman" w:cs="Times New Roman"/>
      <w:sz w:val="24"/>
      <w:szCs w:val="20"/>
      <w:lang w:eastAsia="cs-CZ"/>
    </w:rPr>
  </w:style>
  <w:style w:type="paragraph" w:customStyle="1" w:styleId="Nadpis2-zprva">
    <w:name w:val="Nadpis 2 - zpráva"/>
    <w:basedOn w:val="Nadpis2"/>
    <w:rsid w:val="00DE6490"/>
    <w:pPr>
      <w:keepLines w:val="0"/>
      <w:spacing w:before="120" w:after="120" w:line="240" w:lineRule="auto"/>
    </w:pPr>
    <w:rPr>
      <w:rFonts w:eastAsia="Times New Roman" w:cs="Times New Roman"/>
      <w:bCs w:val="0"/>
      <w:i/>
      <w:sz w:val="32"/>
      <w:szCs w:val="20"/>
    </w:rPr>
  </w:style>
  <w:style w:type="paragraph" w:customStyle="1" w:styleId="StylTextkomente">
    <w:name w:val="Styl Text komentáře"/>
    <w:aliases w:val="Text poznámky - u tabulky + Doprava Vpravo:  ..."/>
    <w:basedOn w:val="Textkomente"/>
    <w:rsid w:val="00DE6490"/>
    <w:pPr>
      <w:numPr>
        <w:numId w:val="3"/>
      </w:numPr>
      <w:tabs>
        <w:tab w:val="clear" w:pos="720"/>
      </w:tabs>
      <w:ind w:left="0" w:right="844" w:firstLine="0"/>
    </w:pPr>
  </w:style>
  <w:style w:type="paragraph" w:customStyle="1" w:styleId="odrky-zprva">
    <w:name w:val="odrážky - zpráva"/>
    <w:basedOn w:val="Normln"/>
    <w:rsid w:val="00DE6490"/>
    <w:pPr>
      <w:tabs>
        <w:tab w:val="num" w:pos="360"/>
      </w:tabs>
      <w:spacing w:line="360" w:lineRule="auto"/>
      <w:jc w:val="both"/>
    </w:pPr>
    <w:rPr>
      <w:szCs w:val="20"/>
    </w:rPr>
  </w:style>
  <w:style w:type="paragraph" w:styleId="Textkomente">
    <w:name w:val="annotation text"/>
    <w:basedOn w:val="Normln"/>
    <w:link w:val="TextkomenteChar"/>
    <w:uiPriority w:val="99"/>
    <w:semiHidden/>
    <w:unhideWhenUsed/>
    <w:rsid w:val="00DE6490"/>
    <w:pPr>
      <w:spacing w:line="240" w:lineRule="auto"/>
    </w:pPr>
    <w:rPr>
      <w:sz w:val="20"/>
      <w:szCs w:val="20"/>
    </w:rPr>
  </w:style>
  <w:style w:type="character" w:customStyle="1" w:styleId="TextkomenteChar">
    <w:name w:val="Text komentáře Char"/>
    <w:basedOn w:val="Standardnpsmoodstavce"/>
    <w:link w:val="Textkomente"/>
    <w:uiPriority w:val="99"/>
    <w:semiHidden/>
    <w:rsid w:val="00DE6490"/>
    <w:rPr>
      <w:rFonts w:ascii="Times New Roman" w:eastAsia="Times New Roman" w:hAnsi="Times New Roman" w:cs="Times New Roman"/>
      <w:sz w:val="20"/>
      <w:szCs w:val="20"/>
      <w:lang w:eastAsia="cs-CZ"/>
    </w:rPr>
  </w:style>
  <w:style w:type="paragraph" w:customStyle="1" w:styleId="Default">
    <w:name w:val="Default"/>
    <w:rsid w:val="008451B9"/>
    <w:pPr>
      <w:autoSpaceDE w:val="0"/>
      <w:autoSpaceDN w:val="0"/>
      <w:adjustRightInd w:val="0"/>
      <w:spacing w:after="0" w:line="240" w:lineRule="auto"/>
    </w:pPr>
    <w:rPr>
      <w:rFonts w:ascii="Myriad Pro" w:hAnsi="Myriad Pro" w:cs="Myriad Pro"/>
      <w:color w:val="000000"/>
      <w:sz w:val="24"/>
      <w:szCs w:val="24"/>
    </w:rPr>
  </w:style>
  <w:style w:type="character" w:customStyle="1" w:styleId="A2">
    <w:name w:val="A2"/>
    <w:uiPriority w:val="99"/>
    <w:rsid w:val="008451B9"/>
    <w:rPr>
      <w:rFonts w:cs="Myriad Pro"/>
      <w:color w:val="000000"/>
      <w:sz w:val="16"/>
      <w:szCs w:val="16"/>
    </w:rPr>
  </w:style>
  <w:style w:type="paragraph" w:customStyle="1" w:styleId="Zprva1">
    <w:name w:val="Zpráva 1"/>
    <w:basedOn w:val="Zkladntext"/>
    <w:rsid w:val="00873D3F"/>
    <w:pPr>
      <w:widowControl w:val="0"/>
      <w:spacing w:line="240" w:lineRule="auto"/>
      <w:jc w:val="both"/>
    </w:pPr>
    <w:rPr>
      <w:bCs w:val="0"/>
      <w:snapToGrid w:val="0"/>
      <w:color w:val="0000FF"/>
      <w:sz w:val="36"/>
      <w:szCs w:val="20"/>
    </w:rPr>
  </w:style>
  <w:style w:type="character" w:styleId="Hypertextovodkaz">
    <w:name w:val="Hyperlink"/>
    <w:basedOn w:val="Standardnpsmoodstavce"/>
    <w:uiPriority w:val="99"/>
    <w:unhideWhenUsed/>
    <w:rsid w:val="00873D3F"/>
    <w:rPr>
      <w:rFonts w:ascii="Arial CE" w:hAnsi="Arial CE" w:cs="Arial CE" w:hint="default"/>
      <w:color w:val="25659A"/>
      <w:u w:val="single"/>
    </w:rPr>
  </w:style>
  <w:style w:type="paragraph" w:styleId="Zhlav">
    <w:name w:val="header"/>
    <w:basedOn w:val="Normln"/>
    <w:link w:val="ZhlavChar"/>
    <w:unhideWhenUsed/>
    <w:rsid w:val="00873D3F"/>
    <w:pPr>
      <w:tabs>
        <w:tab w:val="center" w:pos="4536"/>
        <w:tab w:val="right" w:pos="9072"/>
      </w:tabs>
      <w:spacing w:line="240" w:lineRule="auto"/>
    </w:pPr>
  </w:style>
  <w:style w:type="character" w:customStyle="1" w:styleId="ZhlavChar">
    <w:name w:val="Záhlaví Char"/>
    <w:basedOn w:val="Standardnpsmoodstavce"/>
    <w:link w:val="Zhlav"/>
    <w:rsid w:val="00873D3F"/>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873D3F"/>
    <w:pPr>
      <w:tabs>
        <w:tab w:val="center" w:pos="4536"/>
        <w:tab w:val="right" w:pos="9072"/>
      </w:tabs>
      <w:spacing w:line="240" w:lineRule="auto"/>
    </w:pPr>
  </w:style>
  <w:style w:type="character" w:customStyle="1" w:styleId="ZpatChar">
    <w:name w:val="Zápatí Char"/>
    <w:basedOn w:val="Standardnpsmoodstavce"/>
    <w:link w:val="Zpat"/>
    <w:uiPriority w:val="99"/>
    <w:rsid w:val="00873D3F"/>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semiHidden/>
    <w:unhideWhenUsed/>
    <w:rsid w:val="00A01584"/>
    <w:pPr>
      <w:spacing w:after="120"/>
      <w:ind w:left="283"/>
    </w:pPr>
  </w:style>
  <w:style w:type="character" w:customStyle="1" w:styleId="ZkladntextodsazenChar">
    <w:name w:val="Základní text odsazený Char"/>
    <w:basedOn w:val="Standardnpsmoodstavce"/>
    <w:link w:val="Zkladntextodsazen"/>
    <w:uiPriority w:val="99"/>
    <w:semiHidden/>
    <w:rsid w:val="00A01584"/>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E6427E"/>
    <w:pPr>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E6427E"/>
    <w:pPr>
      <w:spacing w:after="100"/>
    </w:pPr>
  </w:style>
  <w:style w:type="paragraph" w:styleId="Obsah2">
    <w:name w:val="toc 2"/>
    <w:basedOn w:val="Normln"/>
    <w:next w:val="Normln"/>
    <w:autoRedefine/>
    <w:uiPriority w:val="39"/>
    <w:unhideWhenUsed/>
    <w:rsid w:val="00E6427E"/>
    <w:pPr>
      <w:spacing w:after="100"/>
      <w:ind w:left="240"/>
    </w:pPr>
  </w:style>
  <w:style w:type="paragraph" w:styleId="Obsah3">
    <w:name w:val="toc 3"/>
    <w:basedOn w:val="Normln"/>
    <w:next w:val="Normln"/>
    <w:autoRedefine/>
    <w:uiPriority w:val="39"/>
    <w:unhideWhenUsed/>
    <w:rsid w:val="00E6427E"/>
    <w:pPr>
      <w:spacing w:after="100"/>
      <w:ind w:left="480"/>
    </w:pPr>
  </w:style>
  <w:style w:type="paragraph" w:styleId="Titulek">
    <w:name w:val="caption"/>
    <w:basedOn w:val="Normln"/>
    <w:next w:val="Normln"/>
    <w:uiPriority w:val="35"/>
    <w:unhideWhenUsed/>
    <w:qFormat/>
    <w:rsid w:val="002625D2"/>
    <w:pPr>
      <w:spacing w:after="200" w:line="240" w:lineRule="auto"/>
    </w:pPr>
    <w:rPr>
      <w:b/>
      <w:bCs/>
      <w:color w:val="4F81BD" w:themeColor="accent1"/>
      <w:sz w:val="18"/>
      <w:szCs w:val="18"/>
    </w:rPr>
  </w:style>
  <w:style w:type="character" w:customStyle="1" w:styleId="hit">
    <w:name w:val="hit"/>
    <w:basedOn w:val="Standardnpsmoodstavce"/>
    <w:rsid w:val="00060EFF"/>
  </w:style>
  <w:style w:type="paragraph" w:styleId="FormtovanvHTML">
    <w:name w:val="HTML Preformatted"/>
    <w:basedOn w:val="Normln"/>
    <w:link w:val="FormtovanvHTMLChar"/>
    <w:uiPriority w:val="99"/>
    <w:unhideWhenUsed/>
    <w:rsid w:val="00060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060EFF"/>
    <w:rPr>
      <w:rFonts w:ascii="Courier New" w:eastAsia="Times New Roman" w:hAnsi="Courier New" w:cs="Courier New"/>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58866">
      <w:bodyDiv w:val="1"/>
      <w:marLeft w:val="0"/>
      <w:marRight w:val="0"/>
      <w:marTop w:val="0"/>
      <w:marBottom w:val="0"/>
      <w:divBdr>
        <w:top w:val="none" w:sz="0" w:space="0" w:color="auto"/>
        <w:left w:val="none" w:sz="0" w:space="0" w:color="auto"/>
        <w:bottom w:val="none" w:sz="0" w:space="0" w:color="auto"/>
        <w:right w:val="none" w:sz="0" w:space="0" w:color="auto"/>
      </w:divBdr>
    </w:div>
    <w:div w:id="274601467">
      <w:bodyDiv w:val="1"/>
      <w:marLeft w:val="0"/>
      <w:marRight w:val="0"/>
      <w:marTop w:val="0"/>
      <w:marBottom w:val="0"/>
      <w:divBdr>
        <w:top w:val="none" w:sz="0" w:space="0" w:color="auto"/>
        <w:left w:val="none" w:sz="0" w:space="0" w:color="auto"/>
        <w:bottom w:val="none" w:sz="0" w:space="0" w:color="auto"/>
        <w:right w:val="none" w:sz="0" w:space="0" w:color="auto"/>
      </w:divBdr>
    </w:div>
    <w:div w:id="834220387">
      <w:bodyDiv w:val="1"/>
      <w:marLeft w:val="0"/>
      <w:marRight w:val="0"/>
      <w:marTop w:val="0"/>
      <w:marBottom w:val="0"/>
      <w:divBdr>
        <w:top w:val="none" w:sz="0" w:space="0" w:color="auto"/>
        <w:left w:val="none" w:sz="0" w:space="0" w:color="auto"/>
        <w:bottom w:val="none" w:sz="0" w:space="0" w:color="auto"/>
        <w:right w:val="none" w:sz="0" w:space="0" w:color="auto"/>
      </w:divBdr>
    </w:div>
    <w:div w:id="1212154911">
      <w:bodyDiv w:val="1"/>
      <w:marLeft w:val="0"/>
      <w:marRight w:val="0"/>
      <w:marTop w:val="0"/>
      <w:marBottom w:val="0"/>
      <w:divBdr>
        <w:top w:val="none" w:sz="0" w:space="0" w:color="auto"/>
        <w:left w:val="none" w:sz="0" w:space="0" w:color="auto"/>
        <w:bottom w:val="none" w:sz="0" w:space="0" w:color="auto"/>
        <w:right w:val="none" w:sz="0" w:space="0" w:color="auto"/>
      </w:divBdr>
    </w:div>
    <w:div w:id="1711801384">
      <w:bodyDiv w:val="1"/>
      <w:marLeft w:val="0"/>
      <w:marRight w:val="0"/>
      <w:marTop w:val="0"/>
      <w:marBottom w:val="0"/>
      <w:divBdr>
        <w:top w:val="none" w:sz="0" w:space="0" w:color="auto"/>
        <w:left w:val="none" w:sz="0" w:space="0" w:color="auto"/>
        <w:bottom w:val="none" w:sz="0" w:space="0" w:color="auto"/>
        <w:right w:val="none" w:sz="0" w:space="0" w:color="auto"/>
      </w:divBdr>
    </w:div>
    <w:div w:id="1773936698">
      <w:bodyDiv w:val="1"/>
      <w:marLeft w:val="0"/>
      <w:marRight w:val="0"/>
      <w:marTop w:val="0"/>
      <w:marBottom w:val="0"/>
      <w:divBdr>
        <w:top w:val="none" w:sz="0" w:space="0" w:color="auto"/>
        <w:left w:val="none" w:sz="0" w:space="0" w:color="auto"/>
        <w:bottom w:val="none" w:sz="0" w:space="0" w:color="auto"/>
        <w:right w:val="none" w:sz="0" w:space="0" w:color="auto"/>
      </w:divBdr>
    </w:div>
    <w:div w:id="1853640109">
      <w:bodyDiv w:val="1"/>
      <w:marLeft w:val="0"/>
      <w:marRight w:val="0"/>
      <w:marTop w:val="0"/>
      <w:marBottom w:val="0"/>
      <w:divBdr>
        <w:top w:val="none" w:sz="0" w:space="0" w:color="auto"/>
        <w:left w:val="none" w:sz="0" w:space="0" w:color="auto"/>
        <w:bottom w:val="none" w:sz="0" w:space="0" w:color="auto"/>
        <w:right w:val="none" w:sz="0" w:space="0" w:color="auto"/>
      </w:divBdr>
    </w:div>
    <w:div w:id="1895043003">
      <w:bodyDiv w:val="1"/>
      <w:marLeft w:val="0"/>
      <w:marRight w:val="0"/>
      <w:marTop w:val="0"/>
      <w:marBottom w:val="0"/>
      <w:divBdr>
        <w:top w:val="none" w:sz="0" w:space="0" w:color="auto"/>
        <w:left w:val="none" w:sz="0" w:space="0" w:color="auto"/>
        <w:bottom w:val="none" w:sz="0" w:space="0" w:color="auto"/>
        <w:right w:val="none" w:sz="0" w:space="0" w:color="auto"/>
      </w:divBdr>
    </w:div>
    <w:div w:id="1965234433">
      <w:bodyDiv w:val="1"/>
      <w:marLeft w:val="0"/>
      <w:marRight w:val="0"/>
      <w:marTop w:val="0"/>
      <w:marBottom w:val="0"/>
      <w:divBdr>
        <w:top w:val="none" w:sz="0" w:space="0" w:color="auto"/>
        <w:left w:val="none" w:sz="0" w:space="0" w:color="auto"/>
        <w:bottom w:val="none" w:sz="0" w:space="0" w:color="auto"/>
        <w:right w:val="none" w:sz="0" w:space="0" w:color="auto"/>
      </w:divBdr>
    </w:div>
    <w:div w:id="206386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5.xm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6.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gazin.aktualne.cz/kuriozity/foto-ufo-u-boskovic-v-obili-se-objevil-tajemny-obrazec/r~9f726be8003b11e4bd55002590604f2e/"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chart" Target="charts/chart8.xml"/><Relationship Id="rId40" Type="http://schemas.openxmlformats.org/officeDocument/2006/relationships/hyperlink" Target="http://portal.mpsv.cz/sz/obecne/prav_predpisy/akt_zneni/sdeleni_phm"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1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chart" Target="charts/chart6.xm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C:\-%20D%20-\111\GRAFY\2015\2015_01\2015_01\kraj%20-%20&#268;asov&#233;%20&#345;ady%202015-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20D%20-\111\1%20ZPR&#193;VY\KRAJ\2014\Cizinci\Cizinci%202014%20-%20kraj%20-%20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va.touskova\AppData\Local\Microsoft\Windows\Temporary%20Internet%20Files\Content.Outlook\6RMWRZWV\NEZ_Grafy%20-%20JM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20D%20-\111\1%20ZPR&#193;VY\KRAJ\2014\Cizinci\Cizinci%202014%20-%20kraj%20-%20graf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20D%20-\111\1%20ZPR&#193;VY\KRAJ\2014\Cizinci\Cizinci%202014%20-%20kraj%20-%20graf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20D%20-\111\1%20ZPR&#193;VY\KRAJ\2014\Cizinci\Cizinci%202014%20-%20kraj%20-%20graf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20D%20-\111\1%20ZPR&#193;VY\KRAJ\2014\Cizinci\Cizinci%202014%20-%20kraj%20-%20graf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20D%20-\111\1%20ZPR&#193;VY\KRAJ\2014\Cizinci\Cizinci%202014%20-%20kraj%20-%20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1739489383526"/>
          <c:y val="6.6636078953493411E-2"/>
          <c:w val="0.72577312767900737"/>
          <c:h val="0.82842027104980576"/>
        </c:manualLayout>
      </c:layout>
      <c:lineChart>
        <c:grouping val="standard"/>
        <c:varyColors val="0"/>
        <c:ser>
          <c:idx val="0"/>
          <c:order val="0"/>
          <c:tx>
            <c:strRef>
              <c:f>List1!$A$25</c:f>
              <c:strCache>
                <c:ptCount val="1"/>
                <c:pt idx="0">
                  <c:v>2011</c:v>
                </c:pt>
              </c:strCache>
            </c:strRef>
          </c:tx>
          <c:spPr>
            <a:ln>
              <a:solidFill>
                <a:srgbClr val="92D050"/>
              </a:solidFill>
            </a:ln>
          </c:spPr>
          <c:marker>
            <c:symbol val="star"/>
            <c:size val="5"/>
            <c:spPr>
              <a:solidFill>
                <a:srgbClr val="92D050"/>
              </a:solidFill>
              <a:ln>
                <a:solidFill>
                  <a:srgbClr val="92D050"/>
                </a:solidFill>
              </a:ln>
            </c:spPr>
          </c:marker>
          <c:val>
            <c:numRef>
              <c:f>List1!$B$25:$M$25</c:f>
              <c:numCache>
                <c:formatCode>#,##0</c:formatCode>
                <c:ptCount val="12"/>
                <c:pt idx="0">
                  <c:v>70119</c:v>
                </c:pt>
                <c:pt idx="1">
                  <c:v>69486</c:v>
                </c:pt>
                <c:pt idx="2">
                  <c:v>66984</c:v>
                </c:pt>
                <c:pt idx="3">
                  <c:v>62958</c:v>
                </c:pt>
                <c:pt idx="4">
                  <c:v>59963</c:v>
                </c:pt>
                <c:pt idx="5">
                  <c:v>58431</c:v>
                </c:pt>
                <c:pt idx="6">
                  <c:v>59139</c:v>
                </c:pt>
                <c:pt idx="7">
                  <c:v>58753</c:v>
                </c:pt>
                <c:pt idx="8">
                  <c:v>57811</c:v>
                </c:pt>
                <c:pt idx="9">
                  <c:v>57087</c:v>
                </c:pt>
                <c:pt idx="10">
                  <c:v>58322</c:v>
                </c:pt>
                <c:pt idx="11">
                  <c:v>62722</c:v>
                </c:pt>
              </c:numCache>
            </c:numRef>
          </c:val>
          <c:smooth val="0"/>
        </c:ser>
        <c:ser>
          <c:idx val="1"/>
          <c:order val="1"/>
          <c:tx>
            <c:strRef>
              <c:f>List1!$A$26</c:f>
              <c:strCache>
                <c:ptCount val="1"/>
                <c:pt idx="0">
                  <c:v>2012</c:v>
                </c:pt>
              </c:strCache>
            </c:strRef>
          </c:tx>
          <c:spPr>
            <a:ln>
              <a:solidFill>
                <a:schemeClr val="accent4"/>
              </a:solidFill>
            </a:ln>
          </c:spPr>
          <c:marker>
            <c:symbol val="square"/>
            <c:size val="5"/>
            <c:spPr>
              <a:solidFill>
                <a:schemeClr val="accent4"/>
              </a:solidFill>
              <a:ln>
                <a:solidFill>
                  <a:schemeClr val="accent4"/>
                </a:solidFill>
              </a:ln>
            </c:spPr>
          </c:marker>
          <c:val>
            <c:numRef>
              <c:f>List1!$B$26:$M$26</c:f>
              <c:numCache>
                <c:formatCode>#,##0</c:formatCode>
                <c:ptCount val="12"/>
                <c:pt idx="0">
                  <c:v>65642</c:v>
                </c:pt>
                <c:pt idx="1">
                  <c:v>66201</c:v>
                </c:pt>
                <c:pt idx="2">
                  <c:v>64346</c:v>
                </c:pt>
                <c:pt idx="3">
                  <c:v>60332</c:v>
                </c:pt>
                <c:pt idx="4">
                  <c:v>57943</c:v>
                </c:pt>
                <c:pt idx="5">
                  <c:v>57019</c:v>
                </c:pt>
                <c:pt idx="6">
                  <c:v>58997</c:v>
                </c:pt>
                <c:pt idx="7">
                  <c:v>59099</c:v>
                </c:pt>
                <c:pt idx="8">
                  <c:v>60061</c:v>
                </c:pt>
                <c:pt idx="9">
                  <c:v>60109</c:v>
                </c:pt>
                <c:pt idx="10">
                  <c:v>61640</c:v>
                </c:pt>
                <c:pt idx="11">
                  <c:v>66435</c:v>
                </c:pt>
              </c:numCache>
            </c:numRef>
          </c:val>
          <c:smooth val="0"/>
        </c:ser>
        <c:ser>
          <c:idx val="2"/>
          <c:order val="2"/>
          <c:tx>
            <c:strRef>
              <c:f>List1!$A$27</c:f>
              <c:strCache>
                <c:ptCount val="1"/>
                <c:pt idx="0">
                  <c:v>2013</c:v>
                </c:pt>
              </c:strCache>
            </c:strRef>
          </c:tx>
          <c:spPr>
            <a:ln>
              <a:solidFill>
                <a:schemeClr val="tx2">
                  <a:lumMod val="60000"/>
                  <a:lumOff val="40000"/>
                </a:schemeClr>
              </a:solidFill>
            </a:ln>
          </c:spPr>
          <c:marker>
            <c:symbol val="triangle"/>
            <c:size val="5"/>
            <c:spPr>
              <a:solidFill>
                <a:schemeClr val="tx2">
                  <a:lumMod val="60000"/>
                  <a:lumOff val="40000"/>
                </a:schemeClr>
              </a:solidFill>
              <a:ln>
                <a:solidFill>
                  <a:schemeClr val="accent1"/>
                </a:solidFill>
              </a:ln>
            </c:spPr>
          </c:marker>
          <c:val>
            <c:numRef>
              <c:f>List1!$B$27:$M$27</c:f>
              <c:numCache>
                <c:formatCode>#,##0</c:formatCode>
                <c:ptCount val="12"/>
                <c:pt idx="0">
                  <c:v>70687</c:v>
                </c:pt>
                <c:pt idx="1">
                  <c:v>71215</c:v>
                </c:pt>
                <c:pt idx="2">
                  <c:v>69491</c:v>
                </c:pt>
                <c:pt idx="3">
                  <c:v>66273</c:v>
                </c:pt>
                <c:pt idx="4">
                  <c:v>64150</c:v>
                </c:pt>
                <c:pt idx="5">
                  <c:v>63427</c:v>
                </c:pt>
                <c:pt idx="6">
                  <c:v>64813</c:v>
                </c:pt>
                <c:pt idx="7">
                  <c:v>65030</c:v>
                </c:pt>
                <c:pt idx="8">
                  <c:v>65727</c:v>
                </c:pt>
                <c:pt idx="9">
                  <c:v>65325</c:v>
                </c:pt>
                <c:pt idx="10">
                  <c:v>67337</c:v>
                </c:pt>
                <c:pt idx="11">
                  <c:v>71970</c:v>
                </c:pt>
              </c:numCache>
            </c:numRef>
          </c:val>
          <c:smooth val="0"/>
        </c:ser>
        <c:ser>
          <c:idx val="3"/>
          <c:order val="3"/>
          <c:tx>
            <c:strRef>
              <c:f>List1!$A$28</c:f>
              <c:strCache>
                <c:ptCount val="1"/>
                <c:pt idx="0">
                  <c:v>2014</c:v>
                </c:pt>
              </c:strCache>
            </c:strRef>
          </c:tx>
          <c:spPr>
            <a:ln>
              <a:solidFill>
                <a:srgbClr val="C00000"/>
              </a:solidFill>
            </a:ln>
          </c:spPr>
          <c:marker>
            <c:symbol val="circle"/>
            <c:size val="5"/>
            <c:spPr>
              <a:solidFill>
                <a:srgbClr val="C00000"/>
              </a:solidFill>
              <a:ln>
                <a:solidFill>
                  <a:srgbClr val="C00000"/>
                </a:solidFill>
              </a:ln>
            </c:spPr>
          </c:marker>
          <c:dLbls>
            <c:dLbl>
              <c:idx val="0"/>
              <c:layout>
                <c:manualLayout>
                  <c:x val="-3.7431355680486299E-2"/>
                  <c:y val="-3.5751845595191983E-2"/>
                </c:manualLayout>
              </c:layout>
              <c:showLegendKey val="0"/>
              <c:showVal val="1"/>
              <c:showCatName val="0"/>
              <c:showSerName val="0"/>
              <c:showPercent val="0"/>
              <c:showBubbleSize val="0"/>
            </c:dLbl>
            <c:dLbl>
              <c:idx val="9"/>
              <c:layout>
                <c:manualLayout>
                  <c:x val="-3.1192659949574323E-2"/>
                  <c:y val="-2.3834563730127992E-2"/>
                </c:manualLayout>
              </c:layout>
              <c:showLegendKey val="0"/>
              <c:showVal val="1"/>
              <c:showCatName val="0"/>
              <c:showSerName val="0"/>
              <c:showPercent val="0"/>
              <c:showBubbleSize val="0"/>
            </c:dLbl>
            <c:dLbl>
              <c:idx val="11"/>
              <c:layout>
                <c:manualLayout>
                  <c:x val="-4.3669723929404054E-2"/>
                  <c:y val="-3.2772525128925985E-2"/>
                </c:manualLayout>
              </c:layout>
              <c:showLegendKey val="0"/>
              <c:showVal val="1"/>
              <c:showCatName val="0"/>
              <c:showSerName val="0"/>
              <c:showPercent val="0"/>
              <c:showBubbleSize val="0"/>
            </c:dLbl>
            <c:showLegendKey val="0"/>
            <c:showVal val="0"/>
            <c:showCatName val="0"/>
            <c:showSerName val="0"/>
            <c:showPercent val="0"/>
            <c:showBubbleSize val="0"/>
          </c:dLbls>
          <c:val>
            <c:numRef>
              <c:f>List1!$B$28:$M$28</c:f>
              <c:numCache>
                <c:formatCode>#,##0</c:formatCode>
                <c:ptCount val="12"/>
                <c:pt idx="0">
                  <c:v>75378</c:v>
                </c:pt>
                <c:pt idx="1">
                  <c:v>74823</c:v>
                </c:pt>
                <c:pt idx="2">
                  <c:v>73200</c:v>
                </c:pt>
                <c:pt idx="3">
                  <c:v>68885</c:v>
                </c:pt>
                <c:pt idx="4">
                  <c:v>65880</c:v>
                </c:pt>
                <c:pt idx="5">
                  <c:v>64359</c:v>
                </c:pt>
                <c:pt idx="6">
                  <c:v>65040</c:v>
                </c:pt>
                <c:pt idx="7">
                  <c:v>64428</c:v>
                </c:pt>
                <c:pt idx="8">
                  <c:v>63575</c:v>
                </c:pt>
                <c:pt idx="9">
                  <c:v>62547</c:v>
                </c:pt>
                <c:pt idx="10">
                  <c:v>62592</c:v>
                </c:pt>
                <c:pt idx="11">
                  <c:v>66203</c:v>
                </c:pt>
              </c:numCache>
            </c:numRef>
          </c:val>
          <c:smooth val="0"/>
        </c:ser>
        <c:dLbls>
          <c:showLegendKey val="0"/>
          <c:showVal val="0"/>
          <c:showCatName val="0"/>
          <c:showSerName val="0"/>
          <c:showPercent val="0"/>
          <c:showBubbleSize val="0"/>
        </c:dLbls>
        <c:marker val="1"/>
        <c:smooth val="0"/>
        <c:axId val="146324096"/>
        <c:axId val="175035136"/>
      </c:lineChart>
      <c:catAx>
        <c:axId val="146324096"/>
        <c:scaling>
          <c:orientation val="minMax"/>
        </c:scaling>
        <c:delete val="0"/>
        <c:axPos val="b"/>
        <c:title>
          <c:tx>
            <c:rich>
              <a:bodyPr/>
              <a:lstStyle/>
              <a:p>
                <a:pPr>
                  <a:defRPr/>
                </a:pPr>
                <a:r>
                  <a:rPr lang="cs-CZ"/>
                  <a:t>měsíc</a:t>
                </a:r>
              </a:p>
            </c:rich>
          </c:tx>
          <c:layout>
            <c:manualLayout>
              <c:xMode val="edge"/>
              <c:yMode val="edge"/>
              <c:x val="0.43811982107693764"/>
              <c:y val="0.94278203314928011"/>
            </c:manualLayout>
          </c:layout>
          <c:overlay val="0"/>
        </c:title>
        <c:majorTickMark val="out"/>
        <c:minorTickMark val="none"/>
        <c:tickLblPos val="nextTo"/>
        <c:crossAx val="175035136"/>
        <c:crosses val="autoZero"/>
        <c:auto val="1"/>
        <c:lblAlgn val="ctr"/>
        <c:lblOffset val="100"/>
        <c:noMultiLvlLbl val="0"/>
      </c:catAx>
      <c:valAx>
        <c:axId val="175035136"/>
        <c:scaling>
          <c:orientation val="minMax"/>
          <c:max val="80000"/>
          <c:min val="50000"/>
        </c:scaling>
        <c:delete val="0"/>
        <c:axPos val="l"/>
        <c:majorGridlines/>
        <c:title>
          <c:tx>
            <c:rich>
              <a:bodyPr rot="-5400000" vert="horz"/>
              <a:lstStyle/>
              <a:p>
                <a:pPr>
                  <a:defRPr/>
                </a:pPr>
                <a:r>
                  <a:rPr lang="en-US"/>
                  <a:t>počet uchazečů</a:t>
                </a:r>
              </a:p>
            </c:rich>
          </c:tx>
          <c:layout>
            <c:manualLayout>
              <c:xMode val="edge"/>
              <c:yMode val="edge"/>
              <c:x val="5.1488355622213893E-3"/>
              <c:y val="0.34065606299212597"/>
            </c:manualLayout>
          </c:layout>
          <c:overlay val="0"/>
        </c:title>
        <c:numFmt formatCode="#,##0" sourceLinked="1"/>
        <c:majorTickMark val="out"/>
        <c:minorTickMark val="none"/>
        <c:tickLblPos val="nextTo"/>
        <c:crossAx val="146324096"/>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b="1" baseline="0"/>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08523531332778"/>
          <c:y val="9.3080598315637836E-2"/>
          <c:w val="0.74799944361793491"/>
          <c:h val="0.6398173060420137"/>
        </c:manualLayout>
      </c:layout>
      <c:barChart>
        <c:barDir val="col"/>
        <c:grouping val="clustered"/>
        <c:varyColors val="0"/>
        <c:ser>
          <c:idx val="0"/>
          <c:order val="0"/>
          <c:tx>
            <c:strRef>
              <c:f>'kvalifikační struktura'!$B$11</c:f>
              <c:strCache>
                <c:ptCount val="1"/>
                <c:pt idx="0">
                  <c:v>základní</c:v>
                </c:pt>
              </c:strCache>
            </c:strRef>
          </c:tx>
          <c:spPr>
            <a:ln>
              <a:solidFill>
                <a:sysClr val="windowText" lastClr="000000"/>
              </a:solidFill>
            </a:ln>
          </c:spPr>
          <c:invertIfNegative val="0"/>
          <c:dLbls>
            <c:dLbl>
              <c:idx val="0"/>
              <c:layout>
                <c:manualLayout>
                  <c:x val="1.9138755980861245E-3"/>
                  <c:y val="1.2020039830986278E-3"/>
                </c:manualLayout>
              </c:layout>
              <c:showLegendKey val="0"/>
              <c:showVal val="1"/>
              <c:showCatName val="0"/>
              <c:showSerName val="0"/>
              <c:showPercent val="0"/>
              <c:showBubbleSize val="0"/>
            </c:dLbl>
            <c:dLbl>
              <c:idx val="1"/>
              <c:layout>
                <c:manualLayout>
                  <c:x val="0"/>
                  <c:y val="-1.2631653414681728E-2"/>
                </c:manualLayout>
              </c:layout>
              <c:showLegendKey val="0"/>
              <c:showVal val="1"/>
              <c:showCatName val="0"/>
              <c:showSerName val="0"/>
              <c:showPercent val="0"/>
              <c:showBubbleSize val="0"/>
            </c:dLbl>
            <c:dLbl>
              <c:idx val="2"/>
              <c:layout>
                <c:manualLayout>
                  <c:x val="0"/>
                  <c:y val="8.167710318540702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'kvalifikační struktura'!$A$12:$A$14</c:f>
              <c:strCache>
                <c:ptCount val="3"/>
                <c:pt idx="0">
                  <c:v>cizinci s pracovním povolením  </c:v>
                </c:pt>
                <c:pt idx="1">
                  <c:v>občané EU/EHP, Švýcarska  </c:v>
                </c:pt>
                <c:pt idx="2">
                  <c:v>Informace cizinců  dle § 98</c:v>
                </c:pt>
              </c:strCache>
            </c:strRef>
          </c:cat>
          <c:val>
            <c:numRef>
              <c:f>'kvalifikační struktura'!$B$12:$B$14</c:f>
              <c:numCache>
                <c:formatCode>0.0</c:formatCode>
                <c:ptCount val="3"/>
                <c:pt idx="0">
                  <c:v>39.541284403669721</c:v>
                </c:pt>
                <c:pt idx="1">
                  <c:v>28.472906403940883</c:v>
                </c:pt>
                <c:pt idx="2">
                  <c:v>32.555534814261719</c:v>
                </c:pt>
              </c:numCache>
            </c:numRef>
          </c:val>
        </c:ser>
        <c:ser>
          <c:idx val="1"/>
          <c:order val="1"/>
          <c:tx>
            <c:strRef>
              <c:f>'kvalifikační struktura'!$C$11</c:f>
              <c:strCache>
                <c:ptCount val="1"/>
                <c:pt idx="0">
                  <c:v>vyučen</c:v>
                </c:pt>
              </c:strCache>
            </c:strRef>
          </c:tx>
          <c:spPr>
            <a:ln>
              <a:solidFill>
                <a:sysClr val="windowText" lastClr="000000"/>
              </a:solidFill>
            </a:ln>
          </c:spPr>
          <c:invertIfNegative val="0"/>
          <c:dLbls>
            <c:dLbl>
              <c:idx val="0"/>
              <c:layout>
                <c:manualLayout>
                  <c:x val="0"/>
                  <c:y val="1.4814814814814815E-2"/>
                </c:manualLayout>
              </c:layout>
              <c:showLegendKey val="0"/>
              <c:showVal val="1"/>
              <c:showCatName val="0"/>
              <c:showSerName val="0"/>
              <c:showPercent val="0"/>
              <c:showBubbleSize val="0"/>
            </c:dLbl>
            <c:dLbl>
              <c:idx val="1"/>
              <c:layout>
                <c:manualLayout>
                  <c:x val="2.3073373327180432E-3"/>
                  <c:y val="7.262164124909223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'kvalifikační struktura'!$A$12:$A$14</c:f>
              <c:strCache>
                <c:ptCount val="3"/>
                <c:pt idx="0">
                  <c:v>cizinci s pracovním povolením  </c:v>
                </c:pt>
                <c:pt idx="1">
                  <c:v>občané EU/EHP, Švýcarska  </c:v>
                </c:pt>
                <c:pt idx="2">
                  <c:v>Informace cizinců  dle § 98</c:v>
                </c:pt>
              </c:strCache>
            </c:strRef>
          </c:cat>
          <c:val>
            <c:numRef>
              <c:f>'kvalifikační struktura'!$C$12:$C$14</c:f>
              <c:numCache>
                <c:formatCode>0.0</c:formatCode>
                <c:ptCount val="3"/>
                <c:pt idx="0">
                  <c:v>20.36697247706422</c:v>
                </c:pt>
                <c:pt idx="1">
                  <c:v>22.376354679802958</c:v>
                </c:pt>
                <c:pt idx="2">
                  <c:v>19.245846555908159</c:v>
                </c:pt>
              </c:numCache>
            </c:numRef>
          </c:val>
        </c:ser>
        <c:ser>
          <c:idx val="2"/>
          <c:order val="2"/>
          <c:tx>
            <c:strRef>
              <c:f>'kvalifikační struktura'!$D$11</c:f>
              <c:strCache>
                <c:ptCount val="1"/>
                <c:pt idx="0">
                  <c:v>SŠ s maturitou</c:v>
                </c:pt>
              </c:strCache>
            </c:strRef>
          </c:tx>
          <c:spPr>
            <a:ln>
              <a:solidFill>
                <a:sysClr val="windowText" lastClr="000000"/>
              </a:solidFill>
            </a:ln>
          </c:spPr>
          <c:invertIfNegative val="0"/>
          <c:dLbls>
            <c:dLbl>
              <c:idx val="1"/>
              <c:layout>
                <c:manualLayout>
                  <c:x val="7.0174627933201112E-17"/>
                  <c:y val="-8.167710318540702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'kvalifikační struktura'!$A$12:$A$14</c:f>
              <c:strCache>
                <c:ptCount val="3"/>
                <c:pt idx="0">
                  <c:v>cizinci s pracovním povolením  </c:v>
                </c:pt>
                <c:pt idx="1">
                  <c:v>občané EU/EHP, Švýcarska  </c:v>
                </c:pt>
                <c:pt idx="2">
                  <c:v>Informace cizinců  dle § 98</c:v>
                </c:pt>
              </c:strCache>
            </c:strRef>
          </c:cat>
          <c:val>
            <c:numRef>
              <c:f>'kvalifikační struktura'!$D$12:$D$14</c:f>
              <c:numCache>
                <c:formatCode>0.0</c:formatCode>
                <c:ptCount val="3"/>
                <c:pt idx="0">
                  <c:v>9.0825688073394506</c:v>
                </c:pt>
                <c:pt idx="1">
                  <c:v>28.500492610837437</c:v>
                </c:pt>
                <c:pt idx="2">
                  <c:v>25.779354116109765</c:v>
                </c:pt>
              </c:numCache>
            </c:numRef>
          </c:val>
        </c:ser>
        <c:ser>
          <c:idx val="3"/>
          <c:order val="3"/>
          <c:tx>
            <c:strRef>
              <c:f>'kvalifikační struktura'!$E$11</c:f>
              <c:strCache>
                <c:ptCount val="1"/>
                <c:pt idx="0">
                  <c:v>VŠ</c:v>
                </c:pt>
              </c:strCache>
            </c:strRef>
          </c:tx>
          <c:spPr>
            <a:ln>
              <a:solidFill>
                <a:sysClr val="windowText" lastClr="000000"/>
              </a:solidFill>
            </a:ln>
          </c:spPr>
          <c:invertIfNegative val="0"/>
          <c:dLbls>
            <c:dLbl>
              <c:idx val="1"/>
              <c:layout>
                <c:manualLayout>
                  <c:x val="2.5602230343216665E-3"/>
                  <c:y val="-5.393690068621629E-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'kvalifikační struktura'!$A$12:$A$14</c:f>
              <c:strCache>
                <c:ptCount val="3"/>
                <c:pt idx="0">
                  <c:v>cizinci s pracovním povolením  </c:v>
                </c:pt>
                <c:pt idx="1">
                  <c:v>občané EU/EHP, Švýcarska  </c:v>
                </c:pt>
                <c:pt idx="2">
                  <c:v>Informace cizinců  dle § 98</c:v>
                </c:pt>
              </c:strCache>
            </c:strRef>
          </c:cat>
          <c:val>
            <c:numRef>
              <c:f>'kvalifikační struktura'!$E$12:$E$14</c:f>
              <c:numCache>
                <c:formatCode>0.0</c:formatCode>
                <c:ptCount val="3"/>
                <c:pt idx="0">
                  <c:v>30.917431192660551</c:v>
                </c:pt>
                <c:pt idx="1">
                  <c:v>20.650246305418719</c:v>
                </c:pt>
                <c:pt idx="2">
                  <c:v>20.888557028187417</c:v>
                </c:pt>
              </c:numCache>
            </c:numRef>
          </c:val>
        </c:ser>
        <c:dLbls>
          <c:showLegendKey val="0"/>
          <c:showVal val="0"/>
          <c:showCatName val="0"/>
          <c:showSerName val="0"/>
          <c:showPercent val="0"/>
          <c:showBubbleSize val="0"/>
        </c:dLbls>
        <c:gapWidth val="150"/>
        <c:axId val="207643776"/>
        <c:axId val="207645312"/>
      </c:barChart>
      <c:catAx>
        <c:axId val="207643776"/>
        <c:scaling>
          <c:orientation val="minMax"/>
        </c:scaling>
        <c:delete val="0"/>
        <c:axPos val="b"/>
        <c:majorTickMark val="out"/>
        <c:minorTickMark val="none"/>
        <c:tickLblPos val="nextTo"/>
        <c:txPr>
          <a:bodyPr/>
          <a:lstStyle/>
          <a:p>
            <a:pPr>
              <a:defRPr sz="1200" baseline="0"/>
            </a:pPr>
            <a:endParaRPr lang="cs-CZ"/>
          </a:p>
        </c:txPr>
        <c:crossAx val="207645312"/>
        <c:crosses val="autoZero"/>
        <c:auto val="1"/>
        <c:lblAlgn val="ctr"/>
        <c:lblOffset val="100"/>
        <c:noMultiLvlLbl val="0"/>
      </c:catAx>
      <c:valAx>
        <c:axId val="207645312"/>
        <c:scaling>
          <c:orientation val="minMax"/>
        </c:scaling>
        <c:delete val="0"/>
        <c:axPos val="l"/>
        <c:majorGridlines/>
        <c:title>
          <c:tx>
            <c:rich>
              <a:bodyPr rot="0" vert="horz"/>
              <a:lstStyle/>
              <a:p>
                <a:pPr>
                  <a:defRPr/>
                </a:pPr>
                <a:r>
                  <a:rPr lang="en-US"/>
                  <a:t>%</a:t>
                </a:r>
              </a:p>
            </c:rich>
          </c:tx>
          <c:layout>
            <c:manualLayout>
              <c:xMode val="edge"/>
              <c:yMode val="edge"/>
              <c:x val="3.0612145704009216E-2"/>
              <c:y val="8.5611801269078469E-2"/>
            </c:manualLayout>
          </c:layout>
          <c:overlay val="0"/>
        </c:title>
        <c:numFmt formatCode="0.0" sourceLinked="1"/>
        <c:majorTickMark val="out"/>
        <c:minorTickMark val="none"/>
        <c:tickLblPos val="nextTo"/>
        <c:txPr>
          <a:bodyPr/>
          <a:lstStyle/>
          <a:p>
            <a:pPr>
              <a:defRPr sz="1000"/>
            </a:pPr>
            <a:endParaRPr lang="cs-CZ"/>
          </a:p>
        </c:txPr>
        <c:crossAx val="207643776"/>
        <c:crosses val="autoZero"/>
        <c:crossBetween val="between"/>
      </c:valAx>
    </c:plotArea>
    <c:legend>
      <c:legendPos val="b"/>
      <c:layout>
        <c:manualLayout>
          <c:xMode val="edge"/>
          <c:yMode val="edge"/>
          <c:x val="0.15801182986098028"/>
          <c:y val="0.88079997135374544"/>
          <c:w val="0.68807890949115236"/>
          <c:h val="7.2664270185630195E-2"/>
        </c:manualLayout>
      </c:layout>
      <c:overlay val="0"/>
      <c:txPr>
        <a:bodyPr/>
        <a:lstStyle/>
        <a:p>
          <a:pPr>
            <a:defRPr sz="1200" baseline="0"/>
          </a:pPr>
          <a:endParaRPr lang="cs-CZ"/>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ysClr val="windowText" lastClr="000000"/>
      </a:solidFill>
    </a:ln>
  </c:spPr>
  <c:txPr>
    <a:bodyPr/>
    <a:lstStyle/>
    <a:p>
      <a:pPr>
        <a:defRPr sz="900" b="1" i="0" baseline="0"/>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28247163549003"/>
          <c:y val="0.16702091847737469"/>
          <c:w val="0.4677724312238748"/>
          <c:h val="0.74021131973887877"/>
        </c:manualLayout>
      </c:layout>
      <c:pieChart>
        <c:varyColors val="1"/>
        <c:ser>
          <c:idx val="0"/>
          <c:order val="0"/>
          <c:spPr>
            <a:ln w="3175">
              <a:solidFill>
                <a:schemeClr val="tx1"/>
              </a:solidFill>
            </a:ln>
          </c:spPr>
          <c:dLbls>
            <c:dLbl>
              <c:idx val="1"/>
              <c:layout>
                <c:manualLayout>
                  <c:x val="-7.4236433283677378E-2"/>
                  <c:y val="-0.21764165601268473"/>
                </c:manualLayout>
              </c:layout>
              <c:showLegendKey val="0"/>
              <c:showVal val="0"/>
              <c:showCatName val="1"/>
              <c:showSerName val="0"/>
              <c:showPercent val="1"/>
              <c:showBubbleSize val="0"/>
            </c:dLbl>
            <c:dLbl>
              <c:idx val="2"/>
              <c:layout>
                <c:manualLayout>
                  <c:x val="-4.657167819515682E-2"/>
                  <c:y val="7.7738923431750109E-2"/>
                </c:manualLayout>
              </c:layout>
              <c:showLegendKey val="0"/>
              <c:showVal val="0"/>
              <c:showCatName val="1"/>
              <c:showSerName val="0"/>
              <c:showPercent val="1"/>
              <c:showBubbleSize val="0"/>
            </c:dLbl>
            <c:dLbl>
              <c:idx val="3"/>
              <c:layout>
                <c:manualLayout>
                  <c:x val="-2.2203109041080459E-3"/>
                  <c:y val="1.7361683805542196E-3"/>
                </c:manualLayout>
              </c:layout>
              <c:showLegendKey val="0"/>
              <c:showVal val="0"/>
              <c:showCatName val="1"/>
              <c:showSerName val="0"/>
              <c:showPercent val="1"/>
              <c:showBubbleSize val="0"/>
            </c:dLbl>
            <c:dLbl>
              <c:idx val="4"/>
              <c:layout>
                <c:manualLayout>
                  <c:x val="0.16307605646516407"/>
                  <c:y val="8.2030202136556582E-2"/>
                </c:manualLayout>
              </c:layout>
              <c:showLegendKey val="0"/>
              <c:showVal val="0"/>
              <c:showCatName val="1"/>
              <c:showSerName val="0"/>
              <c:showPercent val="1"/>
              <c:showBubbleSize val="0"/>
            </c:dLbl>
            <c:dLbl>
              <c:idx val="5"/>
              <c:layout>
                <c:manualLayout>
                  <c:x val="-0.10436099810756584"/>
                  <c:y val="0.10580557344773525"/>
                </c:manualLayout>
              </c:layout>
              <c:showLegendKey val="0"/>
              <c:showVal val="0"/>
              <c:showCatName val="1"/>
              <c:showSerName val="0"/>
              <c:showPercent val="1"/>
              <c:showBubbleSize val="0"/>
            </c:dLbl>
            <c:dLbl>
              <c:idx val="6"/>
              <c:layout>
                <c:manualLayout>
                  <c:x val="3.0670761319156616E-2"/>
                  <c:y val="-1.0856012859551171E-3"/>
                </c:manualLayout>
              </c:layout>
              <c:showLegendKey val="0"/>
              <c:showVal val="0"/>
              <c:showCatName val="1"/>
              <c:showSerName val="0"/>
              <c:showPercent val="1"/>
              <c:showBubbleSize val="0"/>
            </c:dLbl>
            <c:txPr>
              <a:bodyPr/>
              <a:lstStyle/>
              <a:p>
                <a:pPr>
                  <a:defRPr b="1" i="0" baseline="0"/>
                </a:pPr>
                <a:endParaRPr lang="cs-CZ"/>
              </a:p>
            </c:txPr>
            <c:showLegendKey val="0"/>
            <c:showVal val="0"/>
            <c:showCatName val="1"/>
            <c:showSerName val="0"/>
            <c:showPercent val="1"/>
            <c:showBubbleSize val="0"/>
            <c:showLeaderLines val="1"/>
          </c:dLbls>
          <c:cat>
            <c:strRef>
              <c:f>'struktury uch'!$AA$72:$AA$78</c:f>
              <c:strCache>
                <c:ptCount val="7"/>
                <c:pt idx="0">
                  <c:v>základní</c:v>
                </c:pt>
                <c:pt idx="1">
                  <c:v>střední odborné vzdělání (vyučen)</c:v>
                </c:pt>
                <c:pt idx="2">
                  <c:v>ÚSV vzdělání</c:v>
                </c:pt>
                <c:pt idx="3">
                  <c:v>vyučení s maturitou</c:v>
                </c:pt>
                <c:pt idx="4">
                  <c:v>SOŠ s maturitou</c:v>
                </c:pt>
                <c:pt idx="5">
                  <c:v>vyšší odborné vzdělání</c:v>
                </c:pt>
                <c:pt idx="6">
                  <c:v>vysokoškolské vzdělání</c:v>
                </c:pt>
              </c:strCache>
            </c:strRef>
          </c:cat>
          <c:val>
            <c:numRef>
              <c:f>'struktury uch'!$AB$72:$AB$78</c:f>
              <c:numCache>
                <c:formatCode>General</c:formatCode>
                <c:ptCount val="7"/>
                <c:pt idx="0">
                  <c:v>24</c:v>
                </c:pt>
                <c:pt idx="1">
                  <c:v>40.5</c:v>
                </c:pt>
                <c:pt idx="2">
                  <c:v>3.3</c:v>
                </c:pt>
                <c:pt idx="3">
                  <c:v>5.0999999999999996</c:v>
                </c:pt>
                <c:pt idx="4">
                  <c:v>17.8</c:v>
                </c:pt>
                <c:pt idx="5">
                  <c:v>1</c:v>
                </c:pt>
                <c:pt idx="6">
                  <c:v>8.3000000000000007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35034834921694"/>
          <c:y val="0.16186040583761002"/>
          <c:w val="0.69504572161541656"/>
          <c:h val="0.64543737577829119"/>
        </c:manualLayout>
      </c:layout>
      <c:barChart>
        <c:barDir val="bar"/>
        <c:grouping val="clustered"/>
        <c:varyColors val="0"/>
        <c:ser>
          <c:idx val="1"/>
          <c:order val="0"/>
          <c:tx>
            <c:strRef>
              <c:f>JMK!$C$138</c:f>
              <c:strCache>
                <c:ptCount val="1"/>
                <c:pt idx="0">
                  <c:v>ženy</c:v>
                </c:pt>
              </c:strCache>
            </c:strRef>
          </c:tx>
          <c:invertIfNegative val="0"/>
          <c:cat>
            <c:strRef>
              <c:f>JMK!$A$139:$A$148</c:f>
              <c:strCache>
                <c:ptCount val="10"/>
                <c:pt idx="0">
                  <c:v>    do 19 let</c:v>
                </c:pt>
                <c:pt idx="1">
                  <c:v>    20-24 let</c:v>
                </c:pt>
                <c:pt idx="2">
                  <c:v>    25-29 let</c:v>
                </c:pt>
                <c:pt idx="3">
                  <c:v>    30-34 let</c:v>
                </c:pt>
                <c:pt idx="4">
                  <c:v>    35-39 let</c:v>
                </c:pt>
                <c:pt idx="5">
                  <c:v>    40-44 let</c:v>
                </c:pt>
                <c:pt idx="6">
                  <c:v>    45-49 let</c:v>
                </c:pt>
                <c:pt idx="7">
                  <c:v>    50-54 let</c:v>
                </c:pt>
                <c:pt idx="8">
                  <c:v>    55-59 let</c:v>
                </c:pt>
                <c:pt idx="9">
                  <c:v>    nad 60 let</c:v>
                </c:pt>
              </c:strCache>
            </c:strRef>
          </c:cat>
          <c:val>
            <c:numRef>
              <c:f>JMK!$C$139:$C$148</c:f>
              <c:numCache>
                <c:formatCode>#,##0</c:formatCode>
                <c:ptCount val="10"/>
                <c:pt idx="0" formatCode="General">
                  <c:v>845</c:v>
                </c:pt>
                <c:pt idx="1">
                  <c:v>3677</c:v>
                </c:pt>
                <c:pt idx="2">
                  <c:v>3598</c:v>
                </c:pt>
                <c:pt idx="3">
                  <c:v>3784</c:v>
                </c:pt>
                <c:pt idx="4">
                  <c:v>4936</c:v>
                </c:pt>
                <c:pt idx="5">
                  <c:v>4200</c:v>
                </c:pt>
                <c:pt idx="6">
                  <c:v>3520</c:v>
                </c:pt>
                <c:pt idx="7">
                  <c:v>3627</c:v>
                </c:pt>
                <c:pt idx="8">
                  <c:v>4262</c:v>
                </c:pt>
                <c:pt idx="9">
                  <c:v>467</c:v>
                </c:pt>
              </c:numCache>
            </c:numRef>
          </c:val>
        </c:ser>
        <c:ser>
          <c:idx val="2"/>
          <c:order val="1"/>
          <c:tx>
            <c:strRef>
              <c:f>JMK!$D$138</c:f>
              <c:strCache>
                <c:ptCount val="1"/>
                <c:pt idx="0">
                  <c:v>muži</c:v>
                </c:pt>
              </c:strCache>
            </c:strRef>
          </c:tx>
          <c:spPr>
            <a:solidFill>
              <a:schemeClr val="tx2">
                <a:lumMod val="60000"/>
                <a:lumOff val="40000"/>
              </a:schemeClr>
            </a:solidFill>
          </c:spPr>
          <c:invertIfNegative val="0"/>
          <c:cat>
            <c:strRef>
              <c:f>JMK!$A$139:$A$148</c:f>
              <c:strCache>
                <c:ptCount val="10"/>
                <c:pt idx="0">
                  <c:v>    do 19 let</c:v>
                </c:pt>
                <c:pt idx="1">
                  <c:v>    20-24 let</c:v>
                </c:pt>
                <c:pt idx="2">
                  <c:v>    25-29 let</c:v>
                </c:pt>
                <c:pt idx="3">
                  <c:v>    30-34 let</c:v>
                </c:pt>
                <c:pt idx="4">
                  <c:v>    35-39 let</c:v>
                </c:pt>
                <c:pt idx="5">
                  <c:v>    40-44 let</c:v>
                </c:pt>
                <c:pt idx="6">
                  <c:v>    45-49 let</c:v>
                </c:pt>
                <c:pt idx="7">
                  <c:v>    50-54 let</c:v>
                </c:pt>
                <c:pt idx="8">
                  <c:v>    55-59 let</c:v>
                </c:pt>
                <c:pt idx="9">
                  <c:v>    nad 60 let</c:v>
                </c:pt>
              </c:strCache>
            </c:strRef>
          </c:cat>
          <c:val>
            <c:numRef>
              <c:f>JMK!$D$139:$D$148</c:f>
              <c:numCache>
                <c:formatCode>#,##0</c:formatCode>
                <c:ptCount val="10"/>
                <c:pt idx="0">
                  <c:v>1034</c:v>
                </c:pt>
                <c:pt idx="1">
                  <c:v>4514</c:v>
                </c:pt>
                <c:pt idx="2">
                  <c:v>3837</c:v>
                </c:pt>
                <c:pt idx="3">
                  <c:v>3442</c:v>
                </c:pt>
                <c:pt idx="4">
                  <c:v>3720</c:v>
                </c:pt>
                <c:pt idx="5">
                  <c:v>3277</c:v>
                </c:pt>
                <c:pt idx="6">
                  <c:v>3180</c:v>
                </c:pt>
                <c:pt idx="7">
                  <c:v>3498</c:v>
                </c:pt>
                <c:pt idx="8">
                  <c:v>4368</c:v>
                </c:pt>
                <c:pt idx="9">
                  <c:v>2467</c:v>
                </c:pt>
              </c:numCache>
            </c:numRef>
          </c:val>
        </c:ser>
        <c:dLbls>
          <c:showLegendKey val="0"/>
          <c:showVal val="0"/>
          <c:showCatName val="0"/>
          <c:showSerName val="0"/>
          <c:showPercent val="0"/>
          <c:showBubbleSize val="0"/>
        </c:dLbls>
        <c:gapWidth val="150"/>
        <c:axId val="179854720"/>
        <c:axId val="179881088"/>
      </c:barChart>
      <c:catAx>
        <c:axId val="179854720"/>
        <c:scaling>
          <c:orientation val="minMax"/>
        </c:scaling>
        <c:delete val="0"/>
        <c:axPos val="l"/>
        <c:majorTickMark val="out"/>
        <c:minorTickMark val="none"/>
        <c:tickLblPos val="nextTo"/>
        <c:crossAx val="179881088"/>
        <c:crosses val="autoZero"/>
        <c:auto val="1"/>
        <c:lblAlgn val="ctr"/>
        <c:lblOffset val="100"/>
        <c:noMultiLvlLbl val="0"/>
      </c:catAx>
      <c:valAx>
        <c:axId val="179881088"/>
        <c:scaling>
          <c:orientation val="minMax"/>
        </c:scaling>
        <c:delete val="0"/>
        <c:axPos val="b"/>
        <c:majorGridlines/>
        <c:numFmt formatCode="General" sourceLinked="1"/>
        <c:majorTickMark val="out"/>
        <c:minorTickMark val="none"/>
        <c:tickLblPos val="nextTo"/>
        <c:crossAx val="179854720"/>
        <c:crosses val="autoZero"/>
        <c:crossBetween val="between"/>
      </c:valAx>
    </c:plotArea>
    <c:legend>
      <c:legendPos val="r"/>
      <c:layout>
        <c:manualLayout>
          <c:xMode val="edge"/>
          <c:yMode val="edge"/>
          <c:x val="0.271479221106182"/>
          <c:y val="0.89088348457790489"/>
          <c:w val="0.46152446958786641"/>
          <c:h val="9.4263621510541976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1100" b="1" i="0" baseline="0">
          <a:latin typeface="Calibri" panose="020F0502020204030204" pitchFamily="34"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35034834921694"/>
          <c:y val="0.16186040583761002"/>
          <c:w val="0.69504572161541656"/>
          <c:h val="0.64543737577829119"/>
        </c:manualLayout>
      </c:layout>
      <c:barChart>
        <c:barDir val="bar"/>
        <c:grouping val="clustered"/>
        <c:varyColors val="0"/>
        <c:ser>
          <c:idx val="1"/>
          <c:order val="0"/>
          <c:tx>
            <c:strRef>
              <c:f>JMK!$C$194</c:f>
              <c:strCache>
                <c:ptCount val="1"/>
                <c:pt idx="0">
                  <c:v>ženy</c:v>
                </c:pt>
              </c:strCache>
            </c:strRef>
          </c:tx>
          <c:invertIfNegative val="0"/>
          <c:dLbls>
            <c:dLbl>
              <c:idx val="3"/>
              <c:layout>
                <c:manualLayout>
                  <c:x val="-5.1487467531475938E-3"/>
                  <c:y val="2.9970013467627314E-3"/>
                </c:manualLayout>
              </c:layout>
              <c:showLegendKey val="0"/>
              <c:showVal val="1"/>
              <c:showCatName val="0"/>
              <c:showSerName val="0"/>
              <c:showPercent val="0"/>
              <c:showBubbleSize val="0"/>
            </c:dLbl>
            <c:txPr>
              <a:bodyPr/>
              <a:lstStyle/>
              <a:p>
                <a:pPr>
                  <a:defRPr sz="900" baseline="0"/>
                </a:pPr>
                <a:endParaRPr lang="cs-CZ"/>
              </a:p>
            </c:txPr>
            <c:showLegendKey val="0"/>
            <c:showVal val="1"/>
            <c:showCatName val="0"/>
            <c:showSerName val="0"/>
            <c:showPercent val="0"/>
            <c:showBubbleSize val="0"/>
            <c:showLeaderLines val="0"/>
          </c:dLbls>
          <c:cat>
            <c:strRef>
              <c:f>JMK!$A$195:$A$200</c:f>
              <c:strCache>
                <c:ptCount val="6"/>
                <c:pt idx="0">
                  <c:v>    do 3 měsíců</c:v>
                </c:pt>
                <c:pt idx="1">
                  <c:v>    3 - 6 měsíců</c:v>
                </c:pt>
                <c:pt idx="2">
                  <c:v>    6 - 9 měsíců</c:v>
                </c:pt>
                <c:pt idx="3">
                  <c:v>    9 - 12 měsíců</c:v>
                </c:pt>
                <c:pt idx="4">
                  <c:v>   12 - 24 měsíců</c:v>
                </c:pt>
                <c:pt idx="5">
                  <c:v>    nad 24 měsíce</c:v>
                </c:pt>
              </c:strCache>
            </c:strRef>
          </c:cat>
          <c:val>
            <c:numRef>
              <c:f>JMK!$C$195:$C$200</c:f>
              <c:numCache>
                <c:formatCode>#,##0</c:formatCode>
                <c:ptCount val="6"/>
                <c:pt idx="0">
                  <c:v>6799</c:v>
                </c:pt>
                <c:pt idx="1">
                  <c:v>5412</c:v>
                </c:pt>
                <c:pt idx="2">
                  <c:v>3007</c:v>
                </c:pt>
                <c:pt idx="3">
                  <c:v>2436</c:v>
                </c:pt>
                <c:pt idx="4">
                  <c:v>5827</c:v>
                </c:pt>
                <c:pt idx="5">
                  <c:v>9435</c:v>
                </c:pt>
              </c:numCache>
            </c:numRef>
          </c:val>
        </c:ser>
        <c:ser>
          <c:idx val="2"/>
          <c:order val="1"/>
          <c:tx>
            <c:strRef>
              <c:f>JMK!$D$231</c:f>
              <c:strCache>
                <c:ptCount val="1"/>
                <c:pt idx="0">
                  <c:v>muži</c:v>
                </c:pt>
              </c:strCache>
            </c:strRef>
          </c:tx>
          <c:spPr>
            <a:solidFill>
              <a:schemeClr val="tx2">
                <a:lumMod val="60000"/>
                <a:lumOff val="40000"/>
              </a:schemeClr>
            </a:solidFill>
          </c:spPr>
          <c:invertIfNegative val="0"/>
          <c:dLbls>
            <c:dLbl>
              <c:idx val="2"/>
              <c:layout>
                <c:manualLayout>
                  <c:x val="-6.8649956708634902E-3"/>
                  <c:y val="-5.9940026935254628E-3"/>
                </c:manualLayout>
              </c:layout>
              <c:showLegendKey val="0"/>
              <c:showVal val="1"/>
              <c:showCatName val="0"/>
              <c:showSerName val="0"/>
              <c:showPercent val="0"/>
              <c:showBubbleSize val="0"/>
            </c:dLbl>
            <c:txPr>
              <a:bodyPr/>
              <a:lstStyle/>
              <a:p>
                <a:pPr>
                  <a:defRPr sz="900" baseline="0"/>
                </a:pPr>
                <a:endParaRPr lang="cs-CZ"/>
              </a:p>
            </c:txPr>
            <c:showLegendKey val="0"/>
            <c:showVal val="1"/>
            <c:showCatName val="0"/>
            <c:showSerName val="0"/>
            <c:showPercent val="0"/>
            <c:showBubbleSize val="0"/>
            <c:showLeaderLines val="0"/>
          </c:dLbls>
          <c:cat>
            <c:strRef>
              <c:f>JMK!$A$195:$A$200</c:f>
              <c:strCache>
                <c:ptCount val="6"/>
                <c:pt idx="0">
                  <c:v>    do 3 měsíců</c:v>
                </c:pt>
                <c:pt idx="1">
                  <c:v>    3 - 6 měsíců</c:v>
                </c:pt>
                <c:pt idx="2">
                  <c:v>    6 - 9 měsíců</c:v>
                </c:pt>
                <c:pt idx="3">
                  <c:v>    9 - 12 měsíců</c:v>
                </c:pt>
                <c:pt idx="4">
                  <c:v>   12 - 24 měsíců</c:v>
                </c:pt>
                <c:pt idx="5">
                  <c:v>    nad 24 měsíce</c:v>
                </c:pt>
              </c:strCache>
            </c:strRef>
          </c:cat>
          <c:val>
            <c:numRef>
              <c:f>JMK!$D$195:$D$200</c:f>
              <c:numCache>
                <c:formatCode>#,##0</c:formatCode>
                <c:ptCount val="6"/>
                <c:pt idx="0">
                  <c:v>9455</c:v>
                </c:pt>
                <c:pt idx="1">
                  <c:v>4791</c:v>
                </c:pt>
                <c:pt idx="2">
                  <c:v>2658</c:v>
                </c:pt>
                <c:pt idx="3">
                  <c:v>2324</c:v>
                </c:pt>
                <c:pt idx="4">
                  <c:v>5442</c:v>
                </c:pt>
                <c:pt idx="5">
                  <c:v>8617</c:v>
                </c:pt>
              </c:numCache>
            </c:numRef>
          </c:val>
        </c:ser>
        <c:dLbls>
          <c:showLegendKey val="0"/>
          <c:showVal val="0"/>
          <c:showCatName val="0"/>
          <c:showSerName val="0"/>
          <c:showPercent val="0"/>
          <c:showBubbleSize val="0"/>
        </c:dLbls>
        <c:gapWidth val="150"/>
        <c:axId val="179906816"/>
        <c:axId val="179912704"/>
      </c:barChart>
      <c:catAx>
        <c:axId val="179906816"/>
        <c:scaling>
          <c:orientation val="minMax"/>
        </c:scaling>
        <c:delete val="0"/>
        <c:axPos val="l"/>
        <c:majorTickMark val="out"/>
        <c:minorTickMark val="none"/>
        <c:tickLblPos val="nextTo"/>
        <c:crossAx val="179912704"/>
        <c:crosses val="autoZero"/>
        <c:auto val="1"/>
        <c:lblAlgn val="ctr"/>
        <c:lblOffset val="100"/>
        <c:noMultiLvlLbl val="0"/>
      </c:catAx>
      <c:valAx>
        <c:axId val="179912704"/>
        <c:scaling>
          <c:orientation val="minMax"/>
        </c:scaling>
        <c:delete val="0"/>
        <c:axPos val="b"/>
        <c:majorGridlines/>
        <c:numFmt formatCode="#,##0" sourceLinked="1"/>
        <c:majorTickMark val="out"/>
        <c:minorTickMark val="none"/>
        <c:tickLblPos val="nextTo"/>
        <c:crossAx val="179906816"/>
        <c:crosses val="autoZero"/>
        <c:crossBetween val="between"/>
      </c:valAx>
    </c:plotArea>
    <c:legend>
      <c:legendPos val="r"/>
      <c:layout>
        <c:manualLayout>
          <c:xMode val="edge"/>
          <c:yMode val="edge"/>
          <c:x val="0.27588944600160625"/>
          <c:y val="0.87872362668312898"/>
          <c:w val="0.46152446958786641"/>
          <c:h val="9.4263621510541976E-2"/>
        </c:manualLayout>
      </c:layout>
      <c:overlay val="0"/>
      <c:txPr>
        <a:bodyPr/>
        <a:lstStyle/>
        <a:p>
          <a:pPr>
            <a:defRPr sz="1100" baseline="0"/>
          </a:pPr>
          <a:endParaRPr lang="cs-CZ"/>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1000" b="1" i="0" baseline="0">
          <a:latin typeface="Calibri" panose="020F0502020204030204" pitchFamily="34"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9708833218452"/>
          <c:y val="7.8665011832841275E-2"/>
          <c:w val="0.79631205264723559"/>
          <c:h val="0.78305994282953784"/>
        </c:manualLayout>
      </c:layout>
      <c:lineChart>
        <c:grouping val="stacked"/>
        <c:varyColors val="0"/>
        <c:ser>
          <c:idx val="0"/>
          <c:order val="0"/>
          <c:tx>
            <c:strRef>
              <c:f>' počet'!$B$92</c:f>
              <c:strCache>
                <c:ptCount val="1"/>
                <c:pt idx="0">
                  <c:v>cizinci celkem</c:v>
                </c:pt>
              </c:strCache>
            </c:strRef>
          </c:tx>
          <c:marker>
            <c:symbol val="square"/>
            <c:size val="5"/>
          </c:marker>
          <c:dLbls>
            <c:dLbl>
              <c:idx val="0"/>
              <c:layout>
                <c:manualLayout>
                  <c:x val="-2.1202775636083269E-2"/>
                  <c:y val="5.07416081186573E-2"/>
                </c:manualLayout>
              </c:layout>
              <c:showLegendKey val="0"/>
              <c:showVal val="1"/>
              <c:showCatName val="0"/>
              <c:showSerName val="0"/>
              <c:showPercent val="0"/>
              <c:showBubbleSize val="0"/>
            </c:dLbl>
            <c:dLbl>
              <c:idx val="1"/>
              <c:delete val="1"/>
            </c:dLbl>
            <c:dLbl>
              <c:idx val="2"/>
              <c:layout>
                <c:manualLayout>
                  <c:x val="-3.8550501156515038E-2"/>
                  <c:y val="-3.1225604996096799E-2"/>
                </c:manualLayout>
              </c:layout>
              <c:showLegendKey val="0"/>
              <c:showVal val="1"/>
              <c:showCatName val="0"/>
              <c:showSerName val="0"/>
              <c:showPercent val="0"/>
              <c:showBubbleSize val="0"/>
            </c:dLbl>
            <c:dLbl>
              <c:idx val="3"/>
              <c:delete val="1"/>
            </c:dLbl>
            <c:dLbl>
              <c:idx val="4"/>
              <c:delete val="1"/>
            </c:dLbl>
            <c:dLbl>
              <c:idx val="5"/>
              <c:layout>
                <c:manualLayout>
                  <c:x val="-4.818812644564379E-2"/>
                  <c:y val="3.903200624512107E-2"/>
                </c:manualLayout>
              </c:layout>
              <c:showLegendKey val="0"/>
              <c:showVal val="1"/>
              <c:showCatName val="0"/>
              <c:showSerName val="0"/>
              <c:showPercent val="0"/>
              <c:showBubbleSize val="0"/>
            </c:dLbl>
            <c:dLbl>
              <c:idx val="6"/>
              <c:delete val="1"/>
            </c:dLbl>
            <c:dLbl>
              <c:idx val="7"/>
              <c:layout>
                <c:manualLayout>
                  <c:x val="-2.8912875867386275E-2"/>
                  <c:y val="-2.7322404371584699E-2"/>
                </c:manualLayout>
              </c:layout>
              <c:showLegendKey val="0"/>
              <c:showVal val="1"/>
              <c:showCatName val="0"/>
              <c:showSerName val="0"/>
              <c:showPercent val="0"/>
              <c:showBubbleSize val="0"/>
            </c:dLbl>
            <c:dLbl>
              <c:idx val="8"/>
              <c:layout>
                <c:manualLayout>
                  <c:x val="-2.8912875867386275E-2"/>
                  <c:y val="3.90320062451210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 počet'!$C$85:$K$85</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 počet'!$C$92:$K$92</c:f>
              <c:numCache>
                <c:formatCode>#,##0</c:formatCode>
                <c:ptCount val="9"/>
                <c:pt idx="0">
                  <c:v>24083</c:v>
                </c:pt>
                <c:pt idx="1">
                  <c:v>27839</c:v>
                </c:pt>
                <c:pt idx="2">
                  <c:v>35529</c:v>
                </c:pt>
                <c:pt idx="3">
                  <c:v>33581</c:v>
                </c:pt>
                <c:pt idx="4">
                  <c:v>34316</c:v>
                </c:pt>
                <c:pt idx="5">
                  <c:v>29193</c:v>
                </c:pt>
                <c:pt idx="6">
                  <c:v>36848</c:v>
                </c:pt>
                <c:pt idx="7">
                  <c:v>41206</c:v>
                </c:pt>
                <c:pt idx="8">
                  <c:v>38758</c:v>
                </c:pt>
              </c:numCache>
            </c:numRef>
          </c:val>
          <c:smooth val="0"/>
        </c:ser>
        <c:dLbls>
          <c:showLegendKey val="0"/>
          <c:showVal val="0"/>
          <c:showCatName val="0"/>
          <c:showSerName val="0"/>
          <c:showPercent val="0"/>
          <c:showBubbleSize val="0"/>
        </c:dLbls>
        <c:marker val="1"/>
        <c:smooth val="0"/>
        <c:axId val="181088256"/>
        <c:axId val="181089792"/>
      </c:lineChart>
      <c:catAx>
        <c:axId val="181088256"/>
        <c:scaling>
          <c:orientation val="minMax"/>
        </c:scaling>
        <c:delete val="0"/>
        <c:axPos val="b"/>
        <c:majorGridlines/>
        <c:numFmt formatCode="General" sourceLinked="1"/>
        <c:majorTickMark val="out"/>
        <c:minorTickMark val="none"/>
        <c:tickLblPos val="nextTo"/>
        <c:txPr>
          <a:bodyPr/>
          <a:lstStyle/>
          <a:p>
            <a:pPr>
              <a:defRPr b="1" i="0" baseline="0"/>
            </a:pPr>
            <a:endParaRPr lang="cs-CZ"/>
          </a:p>
        </c:txPr>
        <c:crossAx val="181089792"/>
        <c:crosses val="autoZero"/>
        <c:auto val="1"/>
        <c:lblAlgn val="ctr"/>
        <c:lblOffset val="100"/>
        <c:noMultiLvlLbl val="0"/>
      </c:catAx>
      <c:valAx>
        <c:axId val="181089792"/>
        <c:scaling>
          <c:orientation val="minMax"/>
          <c:min val="15000"/>
        </c:scaling>
        <c:delete val="0"/>
        <c:axPos val="l"/>
        <c:majorGridlines/>
        <c:title>
          <c:tx>
            <c:rich>
              <a:bodyPr rot="-5400000" vert="horz"/>
              <a:lstStyle/>
              <a:p>
                <a:pPr>
                  <a:defRPr/>
                </a:pPr>
                <a:r>
                  <a:rPr lang="en-US"/>
                  <a:t>počet cizinců</a:t>
                </a:r>
              </a:p>
            </c:rich>
          </c:tx>
          <c:layout>
            <c:manualLayout>
              <c:xMode val="edge"/>
              <c:yMode val="edge"/>
              <c:x val="1.3521920871002235E-2"/>
              <c:y val="0.37423913745834525"/>
            </c:manualLayout>
          </c:layout>
          <c:overlay val="0"/>
        </c:title>
        <c:numFmt formatCode="#,##0" sourceLinked="1"/>
        <c:majorTickMark val="out"/>
        <c:minorTickMark val="none"/>
        <c:tickLblPos val="nextTo"/>
        <c:txPr>
          <a:bodyPr/>
          <a:lstStyle/>
          <a:p>
            <a:pPr>
              <a:defRPr b="1" i="0" baseline="0"/>
            </a:pPr>
            <a:endParaRPr lang="cs-CZ"/>
          </a:p>
        </c:txPr>
        <c:crossAx val="181088256"/>
        <c:crosses val="autoZero"/>
        <c:crossBetween val="between"/>
      </c:valAx>
    </c:plotArea>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ysClr val="windowText" lastClr="000000"/>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48201327775205"/>
          <c:y val="6.0787783834111653E-2"/>
          <c:w val="0.82695965087697376"/>
          <c:h val="0.63756720964974656"/>
        </c:manualLayout>
      </c:layout>
      <c:lineChart>
        <c:grouping val="standard"/>
        <c:varyColors val="0"/>
        <c:ser>
          <c:idx val="0"/>
          <c:order val="0"/>
          <c:tx>
            <c:strRef>
              <c:f>' počet'!$B$87</c:f>
              <c:strCache>
                <c:ptCount val="1"/>
                <c:pt idx="0">
                  <c:v>Pracovní povolení</c:v>
                </c:pt>
              </c:strCache>
            </c:strRef>
          </c:tx>
          <c:spPr>
            <a:ln w="41275"/>
          </c:spPr>
          <c:marker>
            <c:symbol val="diamond"/>
            <c:size val="6"/>
          </c:marker>
          <c:dLbls>
            <c:dLbl>
              <c:idx val="0"/>
              <c:layout>
                <c:manualLayout>
                  <c:x val="-4.9037192442007126E-2"/>
                  <c:y val="-2.9333699414596837E-2"/>
                </c:manualLayout>
              </c:layout>
              <c:dLblPos val="r"/>
              <c:showLegendKey val="0"/>
              <c:showVal val="1"/>
              <c:showCatName val="0"/>
              <c:showSerName val="0"/>
              <c:showPercent val="0"/>
              <c:showBubbleSize val="0"/>
            </c:dLbl>
            <c:dLbl>
              <c:idx val="1"/>
              <c:delete val="1"/>
            </c:dLbl>
            <c:dLbl>
              <c:idx val="2"/>
              <c:layout>
                <c:manualLayout>
                  <c:x val="-3.5892234058977922E-2"/>
                  <c:y val="4.035273029895653E-2"/>
                </c:manualLayout>
              </c:layout>
              <c:dLblPos val="r"/>
              <c:showLegendKey val="0"/>
              <c:showVal val="1"/>
              <c:showCatName val="0"/>
              <c:showSerName val="0"/>
              <c:showPercent val="0"/>
              <c:showBubbleSize val="0"/>
            </c:dLbl>
            <c:dLbl>
              <c:idx val="3"/>
              <c:delete val="1"/>
            </c:dLbl>
            <c:dLbl>
              <c:idx val="4"/>
              <c:delete val="1"/>
            </c:dLbl>
            <c:dLbl>
              <c:idx val="5"/>
              <c:delete val="1"/>
            </c:dLbl>
            <c:dLbl>
              <c:idx val="6"/>
              <c:delete val="1"/>
            </c:dLbl>
            <c:dLbl>
              <c:idx val="7"/>
              <c:delete val="1"/>
            </c:dLbl>
            <c:dLbl>
              <c:idx val="8"/>
              <c:layout>
                <c:manualLayout>
                  <c:x val="-6.4063346248385625E-2"/>
                  <c:y val="-3.1749129996388466E-2"/>
                </c:manualLayout>
              </c:layout>
              <c:dLblPos val="r"/>
              <c:showLegendKey val="0"/>
              <c:showVal val="1"/>
              <c:showCatName val="0"/>
              <c:showSerName val="0"/>
              <c:showPercent val="0"/>
              <c:showBubbleSize val="0"/>
            </c:dLbl>
            <c:txPr>
              <a:bodyPr/>
              <a:lstStyle/>
              <a:p>
                <a:pPr>
                  <a:defRPr sz="1000" baseline="0"/>
                </a:pPr>
                <a:endParaRPr lang="cs-CZ"/>
              </a:p>
            </c:txPr>
            <c:dLblPos val="t"/>
            <c:showLegendKey val="0"/>
            <c:showVal val="1"/>
            <c:showCatName val="0"/>
            <c:showSerName val="0"/>
            <c:showPercent val="0"/>
            <c:showBubbleSize val="0"/>
            <c:showLeaderLines val="0"/>
          </c:dLbls>
          <c:cat>
            <c:numRef>
              <c:f>' počet'!$C$85:$K$85</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 počet'!$C$87:$K$87</c:f>
              <c:numCache>
                <c:formatCode>#,##0</c:formatCode>
                <c:ptCount val="9"/>
                <c:pt idx="0">
                  <c:v>6436</c:v>
                </c:pt>
                <c:pt idx="1">
                  <c:v>6639</c:v>
                </c:pt>
                <c:pt idx="2">
                  <c:v>13380</c:v>
                </c:pt>
                <c:pt idx="3">
                  <c:v>11540</c:v>
                </c:pt>
                <c:pt idx="4">
                  <c:v>9223</c:v>
                </c:pt>
                <c:pt idx="5">
                  <c:v>2093</c:v>
                </c:pt>
                <c:pt idx="6">
                  <c:v>1664</c:v>
                </c:pt>
                <c:pt idx="7">
                  <c:v>1779</c:v>
                </c:pt>
                <c:pt idx="8">
                  <c:v>1090</c:v>
                </c:pt>
              </c:numCache>
            </c:numRef>
          </c:val>
          <c:smooth val="0"/>
        </c:ser>
        <c:ser>
          <c:idx val="1"/>
          <c:order val="1"/>
          <c:tx>
            <c:strRef>
              <c:f>' počet'!$B$88</c:f>
              <c:strCache>
                <c:ptCount val="1"/>
                <c:pt idx="0">
                  <c:v>Informace - občané EU/EHP a Švýcarska</c:v>
                </c:pt>
              </c:strCache>
            </c:strRef>
          </c:tx>
          <c:marker>
            <c:symbol val="square"/>
            <c:size val="4"/>
          </c:marker>
          <c:dLbls>
            <c:dLbl>
              <c:idx val="0"/>
              <c:layout>
                <c:manualLayout>
                  <c:x val="-5.733558178752108E-2"/>
                  <c:y val="-4.2341220423412207E-2"/>
                </c:manualLayout>
              </c:layout>
              <c:showLegendKey val="0"/>
              <c:showVal val="1"/>
              <c:showCatName val="0"/>
              <c:showSerName val="0"/>
              <c:showPercent val="0"/>
              <c:showBubbleSize val="0"/>
            </c:dLbl>
            <c:dLbl>
              <c:idx val="2"/>
              <c:layout>
                <c:manualLayout>
                  <c:x val="-3.7099494097807759E-2"/>
                  <c:y val="-2.988792029887925E-2"/>
                </c:manualLayout>
              </c:layout>
              <c:showLegendKey val="0"/>
              <c:showVal val="1"/>
              <c:showCatName val="0"/>
              <c:showSerName val="0"/>
              <c:showPercent val="0"/>
              <c:showBubbleSize val="0"/>
            </c:dLbl>
            <c:dLbl>
              <c:idx val="5"/>
              <c:layout>
                <c:manualLayout>
                  <c:x val="5.6925176019665021E-3"/>
                  <c:y val="-3.3756348886583259E-3"/>
                </c:manualLayout>
              </c:layout>
              <c:showLegendKey val="0"/>
              <c:showVal val="1"/>
              <c:showCatName val="0"/>
              <c:showSerName val="0"/>
              <c:showPercent val="0"/>
              <c:showBubbleSize val="0"/>
            </c:dLbl>
            <c:dLbl>
              <c:idx val="8"/>
              <c:layout>
                <c:manualLayout>
                  <c:x val="-3.968253968253968E-2"/>
                  <c:y val="-4.3082662346744717E-2"/>
                </c:manualLayout>
              </c:layout>
              <c:showLegendKey val="0"/>
              <c:showVal val="1"/>
              <c:showCatName val="0"/>
              <c:showSerName val="0"/>
              <c:showPercent val="0"/>
              <c:showBubbleSize val="0"/>
            </c:dLbl>
            <c:txPr>
              <a:bodyPr/>
              <a:lstStyle/>
              <a:p>
                <a:pPr>
                  <a:defRPr sz="1000" baseline="0"/>
                </a:pPr>
                <a:endParaRPr lang="cs-CZ"/>
              </a:p>
            </c:txPr>
            <c:showLegendKey val="0"/>
            <c:showVal val="0"/>
            <c:showCatName val="0"/>
            <c:showSerName val="0"/>
            <c:showPercent val="0"/>
            <c:showBubbleSize val="0"/>
          </c:dLbls>
          <c:cat>
            <c:numRef>
              <c:f>' počet'!$C$85:$K$85</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 počet'!$C$88:$K$88</c:f>
              <c:numCache>
                <c:formatCode>#,##0</c:formatCode>
                <c:ptCount val="9"/>
                <c:pt idx="0">
                  <c:v>11520</c:v>
                </c:pt>
                <c:pt idx="1">
                  <c:v>14539</c:v>
                </c:pt>
                <c:pt idx="2">
                  <c:v>14911</c:v>
                </c:pt>
                <c:pt idx="3">
                  <c:v>14319</c:v>
                </c:pt>
                <c:pt idx="4">
                  <c:v>15462</c:v>
                </c:pt>
                <c:pt idx="5">
                  <c:v>16054</c:v>
                </c:pt>
                <c:pt idx="6">
                  <c:v>22267</c:v>
                </c:pt>
                <c:pt idx="7">
                  <c:v>26623</c:v>
                </c:pt>
                <c:pt idx="8">
                  <c:v>25375</c:v>
                </c:pt>
              </c:numCache>
            </c:numRef>
          </c:val>
          <c:smooth val="0"/>
        </c:ser>
        <c:ser>
          <c:idx val="2"/>
          <c:order val="2"/>
          <c:tx>
            <c:strRef>
              <c:f>' počet'!$B$89</c:f>
              <c:strCache>
                <c:ptCount val="1"/>
                <c:pt idx="0">
                  <c:v>Informace - cizinci na území ČR</c:v>
                </c:pt>
              </c:strCache>
            </c:strRef>
          </c:tx>
          <c:marker>
            <c:symbol val="triangle"/>
            <c:size val="5"/>
          </c:marker>
          <c:dLbls>
            <c:dLbl>
              <c:idx val="0"/>
              <c:layout>
                <c:manualLayout>
                  <c:x val="-3.0354131534569982E-2"/>
                  <c:y val="-2.4906600249066095E-2"/>
                </c:manualLayout>
              </c:layout>
              <c:showLegendKey val="0"/>
              <c:showVal val="1"/>
              <c:showCatName val="0"/>
              <c:showSerName val="0"/>
              <c:showPercent val="0"/>
              <c:showBubbleSize val="0"/>
            </c:dLbl>
            <c:dLbl>
              <c:idx val="1"/>
              <c:delete val="1"/>
            </c:dLbl>
            <c:dLbl>
              <c:idx val="2"/>
              <c:layout>
                <c:manualLayout>
                  <c:x val="-3.0354131534569982E-2"/>
                  <c:y val="-2.9887920298879204E-2"/>
                </c:manualLayout>
              </c:layout>
              <c:showLegendKey val="0"/>
              <c:showVal val="1"/>
              <c:showCatName val="0"/>
              <c:showSerName val="0"/>
              <c:showPercent val="0"/>
              <c:showBubbleSize val="0"/>
            </c:dLbl>
            <c:dLbl>
              <c:idx val="3"/>
              <c:delete val="1"/>
            </c:dLbl>
            <c:dLbl>
              <c:idx val="4"/>
              <c:delete val="1"/>
            </c:dLbl>
            <c:dLbl>
              <c:idx val="5"/>
              <c:layout>
                <c:manualLayout>
                  <c:x val="-3.0354131534569982E-2"/>
                  <c:y val="1.9925084084290209E-2"/>
                </c:manualLayout>
              </c:layout>
              <c:showLegendKey val="0"/>
              <c:showVal val="1"/>
              <c:showCatName val="0"/>
              <c:showSerName val="0"/>
              <c:showPercent val="0"/>
              <c:showBubbleSize val="0"/>
            </c:dLbl>
            <c:dLbl>
              <c:idx val="6"/>
              <c:delete val="1"/>
            </c:dLbl>
            <c:dLbl>
              <c:idx val="7"/>
              <c:delete val="1"/>
            </c:dLbl>
            <c:dLbl>
              <c:idx val="8"/>
              <c:layout>
                <c:manualLayout>
                  <c:x val="-2.2045855379188711E-2"/>
                  <c:y val="2.9826458547746341E-2"/>
                </c:manualLayout>
              </c:layout>
              <c:showLegendKey val="0"/>
              <c:showVal val="1"/>
              <c:showCatName val="0"/>
              <c:showSerName val="0"/>
              <c:showPercent val="0"/>
              <c:showBubbleSize val="0"/>
            </c:dLbl>
            <c:txPr>
              <a:bodyPr/>
              <a:lstStyle/>
              <a:p>
                <a:pPr>
                  <a:defRPr sz="1000" baseline="0"/>
                </a:pPr>
                <a:endParaRPr lang="cs-CZ"/>
              </a:p>
            </c:txPr>
            <c:showLegendKey val="0"/>
            <c:showVal val="1"/>
            <c:showCatName val="0"/>
            <c:showSerName val="0"/>
            <c:showPercent val="0"/>
            <c:showBubbleSize val="0"/>
            <c:showLeaderLines val="0"/>
          </c:dLbls>
          <c:cat>
            <c:numRef>
              <c:f>' počet'!$C$85:$K$85</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 počet'!$C$89:$K$89</c:f>
              <c:numCache>
                <c:formatCode>#,##0</c:formatCode>
                <c:ptCount val="9"/>
                <c:pt idx="0">
                  <c:v>465</c:v>
                </c:pt>
                <c:pt idx="1">
                  <c:v>760</c:v>
                </c:pt>
                <c:pt idx="2">
                  <c:v>1090</c:v>
                </c:pt>
                <c:pt idx="3">
                  <c:v>1151</c:v>
                </c:pt>
                <c:pt idx="4">
                  <c:v>1696</c:v>
                </c:pt>
                <c:pt idx="5">
                  <c:v>2044</c:v>
                </c:pt>
                <c:pt idx="6">
                  <c:v>4312</c:v>
                </c:pt>
                <c:pt idx="7">
                  <c:v>5516</c:v>
                </c:pt>
                <c:pt idx="8">
                  <c:v>5357</c:v>
                </c:pt>
              </c:numCache>
            </c:numRef>
          </c:val>
          <c:smooth val="0"/>
        </c:ser>
        <c:ser>
          <c:idx val="3"/>
          <c:order val="3"/>
          <c:tx>
            <c:strRef>
              <c:f>' počet'!$B$90</c:f>
              <c:strCache>
                <c:ptCount val="1"/>
                <c:pt idx="0">
                  <c:v>cizinci - podnikatelé registrovaní živnostenskými úřady</c:v>
                </c:pt>
              </c:strCache>
            </c:strRef>
          </c:tx>
          <c:dLbls>
            <c:dLbl>
              <c:idx val="0"/>
              <c:delete val="1"/>
            </c:dLbl>
            <c:dLbl>
              <c:idx val="1"/>
              <c:delete val="1"/>
            </c:dLbl>
            <c:dLbl>
              <c:idx val="2"/>
              <c:layout>
                <c:manualLayout>
                  <c:x val="-3.2040472175379427E-2"/>
                  <c:y val="-2.7397260273972601E-2"/>
                </c:manualLayout>
              </c:layout>
              <c:showLegendKey val="0"/>
              <c:showVal val="1"/>
              <c:showCatName val="0"/>
              <c:showSerName val="0"/>
              <c:showPercent val="0"/>
              <c:showBubbleSize val="0"/>
            </c:dLbl>
            <c:dLbl>
              <c:idx val="3"/>
              <c:delete val="1"/>
            </c:dLbl>
            <c:dLbl>
              <c:idx val="4"/>
              <c:delete val="1"/>
            </c:dLbl>
            <c:dLbl>
              <c:idx val="5"/>
              <c:layout>
                <c:manualLayout>
                  <c:x val="-3.2040472175379427E-2"/>
                  <c:y val="-2.9887920298879204E-2"/>
                </c:manualLayout>
              </c:layout>
              <c:showLegendKey val="0"/>
              <c:showVal val="1"/>
              <c:showCatName val="0"/>
              <c:showSerName val="0"/>
              <c:showPercent val="0"/>
              <c:showBubbleSize val="0"/>
            </c:dLbl>
            <c:dLbl>
              <c:idx val="6"/>
              <c:delete val="1"/>
            </c:dLbl>
            <c:dLbl>
              <c:idx val="7"/>
              <c:delete val="1"/>
            </c:dLbl>
            <c:dLbl>
              <c:idx val="8"/>
              <c:layout>
                <c:manualLayout>
                  <c:x val="-4.4091710758377423E-2"/>
                  <c:y val="-4.9710764246243905E-2"/>
                </c:manualLayout>
              </c:layout>
              <c:showLegendKey val="0"/>
              <c:showVal val="1"/>
              <c:showCatName val="0"/>
              <c:showSerName val="0"/>
              <c:showPercent val="0"/>
              <c:showBubbleSize val="0"/>
            </c:dLbl>
            <c:txPr>
              <a:bodyPr/>
              <a:lstStyle/>
              <a:p>
                <a:pPr>
                  <a:defRPr sz="1000" baseline="0"/>
                </a:pPr>
                <a:endParaRPr lang="cs-CZ"/>
              </a:p>
            </c:txPr>
            <c:showLegendKey val="0"/>
            <c:showVal val="1"/>
            <c:showCatName val="0"/>
            <c:showSerName val="0"/>
            <c:showPercent val="0"/>
            <c:showBubbleSize val="0"/>
            <c:showLeaderLines val="0"/>
          </c:dLbls>
          <c:cat>
            <c:numRef>
              <c:f>' počet'!$C$85:$K$85</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 počet'!$C$90:$K$90</c:f>
              <c:numCache>
                <c:formatCode>#,##0</c:formatCode>
                <c:ptCount val="9"/>
                <c:pt idx="0">
                  <c:v>5662</c:v>
                </c:pt>
                <c:pt idx="1">
                  <c:v>5901</c:v>
                </c:pt>
                <c:pt idx="2">
                  <c:v>6148</c:v>
                </c:pt>
                <c:pt idx="3">
                  <c:v>6570</c:v>
                </c:pt>
                <c:pt idx="4">
                  <c:v>7918</c:v>
                </c:pt>
                <c:pt idx="5">
                  <c:v>9002</c:v>
                </c:pt>
                <c:pt idx="6">
                  <c:v>8588</c:v>
                </c:pt>
                <c:pt idx="7">
                  <c:v>7288</c:v>
                </c:pt>
                <c:pt idx="8">
                  <c:v>6888</c:v>
                </c:pt>
              </c:numCache>
            </c:numRef>
          </c:val>
          <c:smooth val="0"/>
        </c:ser>
        <c:dLbls>
          <c:showLegendKey val="0"/>
          <c:showVal val="0"/>
          <c:showCatName val="0"/>
          <c:showSerName val="0"/>
          <c:showPercent val="0"/>
          <c:showBubbleSize val="0"/>
        </c:dLbls>
        <c:marker val="1"/>
        <c:smooth val="0"/>
        <c:axId val="181122176"/>
        <c:axId val="181123712"/>
      </c:lineChart>
      <c:catAx>
        <c:axId val="181122176"/>
        <c:scaling>
          <c:orientation val="minMax"/>
        </c:scaling>
        <c:delete val="0"/>
        <c:axPos val="b"/>
        <c:majorGridlines/>
        <c:numFmt formatCode="General" sourceLinked="1"/>
        <c:majorTickMark val="out"/>
        <c:minorTickMark val="none"/>
        <c:tickLblPos val="nextTo"/>
        <c:txPr>
          <a:bodyPr/>
          <a:lstStyle/>
          <a:p>
            <a:pPr>
              <a:defRPr sz="1000" baseline="0"/>
            </a:pPr>
            <a:endParaRPr lang="cs-CZ"/>
          </a:p>
        </c:txPr>
        <c:crossAx val="181123712"/>
        <c:crosses val="autoZero"/>
        <c:auto val="1"/>
        <c:lblAlgn val="ctr"/>
        <c:lblOffset val="100"/>
        <c:noMultiLvlLbl val="0"/>
      </c:catAx>
      <c:valAx>
        <c:axId val="181123712"/>
        <c:scaling>
          <c:orientation val="minMax"/>
        </c:scaling>
        <c:delete val="0"/>
        <c:axPos val="l"/>
        <c:majorGridlines/>
        <c:numFmt formatCode="#,##0" sourceLinked="1"/>
        <c:majorTickMark val="out"/>
        <c:minorTickMark val="none"/>
        <c:tickLblPos val="nextTo"/>
        <c:txPr>
          <a:bodyPr/>
          <a:lstStyle/>
          <a:p>
            <a:pPr>
              <a:defRPr sz="1000" baseline="0"/>
            </a:pPr>
            <a:endParaRPr lang="cs-CZ"/>
          </a:p>
        </c:txPr>
        <c:crossAx val="181122176"/>
        <c:crosses val="autoZero"/>
        <c:crossBetween val="between"/>
      </c:valAx>
    </c:plotArea>
    <c:legend>
      <c:legendPos val="b"/>
      <c:layout>
        <c:manualLayout>
          <c:xMode val="edge"/>
          <c:yMode val="edge"/>
          <c:x val="0"/>
          <c:y val="0.76699932806659321"/>
          <c:w val="1"/>
          <c:h val="0.20692411521034809"/>
        </c:manualLayout>
      </c:layout>
      <c:overlay val="0"/>
      <c:txPr>
        <a:bodyPr/>
        <a:lstStyle/>
        <a:p>
          <a:pPr>
            <a:defRPr sz="1100" baseline="0"/>
          </a:pPr>
          <a:endParaRPr lang="cs-CZ"/>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1400" b="1" i="0" baseline="0"/>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97656303430232"/>
          <c:y val="0.14458969872355701"/>
          <c:w val="0.51269312382722765"/>
          <c:h val="0.81979776566390739"/>
        </c:manualLayout>
      </c:layout>
      <c:pieChart>
        <c:varyColors val="1"/>
        <c:ser>
          <c:idx val="0"/>
          <c:order val="0"/>
          <c:spPr>
            <a:ln w="3175">
              <a:solidFill>
                <a:schemeClr val="tx1"/>
              </a:solidFill>
            </a:ln>
          </c:spPr>
          <c:dLbls>
            <c:dLbl>
              <c:idx val="0"/>
              <c:layout>
                <c:manualLayout>
                  <c:x val="9.9988638694712265E-2"/>
                  <c:y val="2.5432914945037809E-2"/>
                </c:manualLayout>
              </c:layout>
              <c:showLegendKey val="0"/>
              <c:showVal val="0"/>
              <c:showCatName val="1"/>
              <c:showSerName val="0"/>
              <c:showPercent val="1"/>
              <c:showBubbleSize val="0"/>
            </c:dLbl>
            <c:dLbl>
              <c:idx val="2"/>
              <c:layout>
                <c:manualLayout>
                  <c:x val="-1.9311908272590463E-2"/>
                  <c:y val="0.15841236512102655"/>
                </c:manualLayout>
              </c:layout>
              <c:showLegendKey val="0"/>
              <c:showVal val="0"/>
              <c:showCatName val="1"/>
              <c:showSerName val="0"/>
              <c:showPercent val="1"/>
              <c:showBubbleSize val="0"/>
            </c:dLbl>
            <c:dLbl>
              <c:idx val="3"/>
              <c:layout>
                <c:manualLayout>
                  <c:x val="-9.7202396116084111E-2"/>
                  <c:y val="0.10374685223629418"/>
                </c:manualLayout>
              </c:layout>
              <c:showLegendKey val="0"/>
              <c:showVal val="0"/>
              <c:showCatName val="1"/>
              <c:showSerName val="0"/>
              <c:showPercent val="1"/>
              <c:showBubbleSize val="0"/>
            </c:dLbl>
            <c:txPr>
              <a:bodyPr/>
              <a:lstStyle/>
              <a:p>
                <a:pPr>
                  <a:defRPr b="1" i="0" baseline="0"/>
                </a:pPr>
                <a:endParaRPr lang="cs-CZ"/>
              </a:p>
            </c:txPr>
            <c:showLegendKey val="0"/>
            <c:showVal val="0"/>
            <c:showCatName val="1"/>
            <c:showSerName val="0"/>
            <c:showPercent val="1"/>
            <c:showBubbleSize val="0"/>
            <c:showLeaderLines val="1"/>
          </c:dLbls>
          <c:cat>
            <c:strRef>
              <c:f>' počet'!$B$87:$B$90</c:f>
              <c:strCache>
                <c:ptCount val="4"/>
                <c:pt idx="0">
                  <c:v>Pracovní povolení</c:v>
                </c:pt>
                <c:pt idx="1">
                  <c:v>Informace - občané EU/EHP a Švýcarska</c:v>
                </c:pt>
                <c:pt idx="2">
                  <c:v>Informace - cizinci na území ČR</c:v>
                </c:pt>
                <c:pt idx="3">
                  <c:v>cizinci - podnikatelé registrovaní živnostenskými úřady</c:v>
                </c:pt>
              </c:strCache>
            </c:strRef>
          </c:cat>
          <c:val>
            <c:numRef>
              <c:f>' počet'!$K$87:$K$90</c:f>
              <c:numCache>
                <c:formatCode>#,##0</c:formatCode>
                <c:ptCount val="4"/>
                <c:pt idx="0">
                  <c:v>1090</c:v>
                </c:pt>
                <c:pt idx="1">
                  <c:v>25375</c:v>
                </c:pt>
                <c:pt idx="2">
                  <c:v>5357</c:v>
                </c:pt>
                <c:pt idx="3">
                  <c:v>6888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42567905548693"/>
          <c:y val="0.17376734158230223"/>
          <c:w val="0.45030316854057262"/>
          <c:h val="0.74655305579849063"/>
        </c:manualLayout>
      </c:layout>
      <c:pieChart>
        <c:varyColors val="1"/>
        <c:ser>
          <c:idx val="0"/>
          <c:order val="0"/>
          <c:spPr>
            <a:ln w="3175">
              <a:solidFill>
                <a:schemeClr val="tx1"/>
              </a:solidFill>
            </a:ln>
          </c:spPr>
          <c:explosion val="9"/>
          <c:dPt>
            <c:idx val="1"/>
            <c:bubble3D val="0"/>
            <c:explosion val="0"/>
          </c:dPt>
          <c:dLbls>
            <c:dLbl>
              <c:idx val="0"/>
              <c:layout>
                <c:manualLayout>
                  <c:x val="8.2091825231732585E-2"/>
                  <c:y val="-9.5203738672937372E-3"/>
                </c:manualLayout>
              </c:layout>
              <c:showLegendKey val="0"/>
              <c:showVal val="0"/>
              <c:showCatName val="1"/>
              <c:showSerName val="0"/>
              <c:showPercent val="1"/>
              <c:showBubbleSize val="0"/>
            </c:dLbl>
            <c:dLbl>
              <c:idx val="1"/>
              <c:layout>
                <c:manualLayout>
                  <c:x val="-0.12105023035005551"/>
                  <c:y val="-0.30223601857460125"/>
                </c:manualLayout>
              </c:layout>
              <c:showLegendKey val="0"/>
              <c:showVal val="0"/>
              <c:showCatName val="1"/>
              <c:showSerName val="0"/>
              <c:showPercent val="1"/>
              <c:showBubbleSize val="0"/>
            </c:dLbl>
            <c:dLbl>
              <c:idx val="2"/>
              <c:layout>
                <c:manualLayout>
                  <c:x val="-4.3846484343427895E-2"/>
                  <c:y val="5.6681630859490982E-2"/>
                </c:manualLayout>
              </c:layout>
              <c:showLegendKey val="0"/>
              <c:showVal val="0"/>
              <c:showCatName val="1"/>
              <c:showSerName val="0"/>
              <c:showPercent val="1"/>
              <c:showBubbleSize val="0"/>
            </c:dLbl>
            <c:dLbl>
              <c:idx val="3"/>
              <c:layout>
                <c:manualLayout>
                  <c:x val="-9.0826303721759247E-2"/>
                  <c:y val="5.9516217147064759E-2"/>
                </c:manualLayout>
              </c:layout>
              <c:showLegendKey val="0"/>
              <c:showVal val="0"/>
              <c:showCatName val="1"/>
              <c:showSerName val="0"/>
              <c:showPercent val="1"/>
              <c:showBubbleSize val="0"/>
            </c:dLbl>
            <c:dLbl>
              <c:idx val="4"/>
              <c:layout>
                <c:manualLayout>
                  <c:x val="-5.4409193583379062E-2"/>
                  <c:y val="3.4591335019774114E-2"/>
                </c:manualLayout>
              </c:layout>
              <c:showLegendKey val="0"/>
              <c:showVal val="0"/>
              <c:showCatName val="1"/>
              <c:showSerName val="0"/>
              <c:showPercent val="1"/>
              <c:showBubbleSize val="0"/>
            </c:dLbl>
            <c:dLbl>
              <c:idx val="5"/>
              <c:layout>
                <c:manualLayout>
                  <c:x val="-2.194366101319993E-2"/>
                  <c:y val="-2.5997315946366434E-3"/>
                </c:manualLayout>
              </c:layout>
              <c:showLegendKey val="0"/>
              <c:showVal val="0"/>
              <c:showCatName val="1"/>
              <c:showSerName val="0"/>
              <c:showPercent val="1"/>
              <c:showBubbleSize val="0"/>
            </c:dLbl>
            <c:dLbl>
              <c:idx val="6"/>
              <c:layout>
                <c:manualLayout>
                  <c:x val="2.0656210518255721E-2"/>
                  <c:y val="-1.791101055806938E-2"/>
                </c:manualLayout>
              </c:layout>
              <c:showLegendKey val="0"/>
              <c:showVal val="0"/>
              <c:showCatName val="1"/>
              <c:showSerName val="0"/>
              <c:showPercent val="1"/>
              <c:showBubbleSize val="0"/>
            </c:dLbl>
            <c:txPr>
              <a:bodyPr/>
              <a:lstStyle/>
              <a:p>
                <a:pPr>
                  <a:defRPr b="1" i="0" baseline="0"/>
                </a:pPr>
                <a:endParaRPr lang="cs-CZ"/>
              </a:p>
            </c:txPr>
            <c:showLegendKey val="0"/>
            <c:showVal val="0"/>
            <c:showCatName val="1"/>
            <c:showSerName val="0"/>
            <c:showPercent val="1"/>
            <c:showBubbleSize val="0"/>
            <c:showLeaderLines val="1"/>
          </c:dLbls>
          <c:cat>
            <c:strRef>
              <c:f>' počet'!$C$16:$I$16</c:f>
              <c:strCache>
                <c:ptCount val="7"/>
                <c:pt idx="0">
                  <c:v>Blansko</c:v>
                </c:pt>
                <c:pt idx="1">
                  <c:v>Brno-město</c:v>
                </c:pt>
                <c:pt idx="2">
                  <c:v>Brno-venkov</c:v>
                </c:pt>
                <c:pt idx="3">
                  <c:v>Břeclav</c:v>
                </c:pt>
                <c:pt idx="4">
                  <c:v>Hodonín</c:v>
                </c:pt>
                <c:pt idx="5">
                  <c:v>Vyškov</c:v>
                </c:pt>
                <c:pt idx="6">
                  <c:v>Znojmo</c:v>
                </c:pt>
              </c:strCache>
            </c:strRef>
          </c:cat>
          <c:val>
            <c:numRef>
              <c:f>' počet'!$C$26:$I$26</c:f>
              <c:numCache>
                <c:formatCode>#,##0</c:formatCode>
                <c:ptCount val="7"/>
                <c:pt idx="0">
                  <c:v>1458</c:v>
                </c:pt>
                <c:pt idx="1">
                  <c:v>27647</c:v>
                </c:pt>
                <c:pt idx="2">
                  <c:v>3068</c:v>
                </c:pt>
                <c:pt idx="3">
                  <c:v>2547</c:v>
                </c:pt>
                <c:pt idx="4">
                  <c:v>1870</c:v>
                </c:pt>
                <c:pt idx="5">
                  <c:v>1174</c:v>
                </c:pt>
                <c:pt idx="6">
                  <c:v>994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1638933272626"/>
          <c:y val="8.607258528524353E-2"/>
          <c:w val="0.74847473359218775"/>
          <c:h val="0.69020008177369785"/>
        </c:manualLayout>
      </c:layout>
      <c:barChart>
        <c:barDir val="bar"/>
        <c:grouping val="clustered"/>
        <c:varyColors val="0"/>
        <c:ser>
          <c:idx val="0"/>
          <c:order val="0"/>
          <c:tx>
            <c:strRef>
              <c:f>'kvalifikační struktura'!$A$188</c:f>
              <c:strCache>
                <c:ptCount val="1"/>
                <c:pt idx="0">
                  <c:v>Brno-město</c:v>
                </c:pt>
              </c:strCache>
            </c:strRef>
          </c:tx>
          <c:invertIfNegative val="0"/>
          <c:cat>
            <c:strRef>
              <c:f>'kvalifikační struktura'!$B$187:$E$187</c:f>
              <c:strCache>
                <c:ptCount val="4"/>
                <c:pt idx="0">
                  <c:v>základní</c:v>
                </c:pt>
                <c:pt idx="1">
                  <c:v>vyučen</c:v>
                </c:pt>
                <c:pt idx="2">
                  <c:v>SŠ s maturitou</c:v>
                </c:pt>
                <c:pt idx="3">
                  <c:v>VŠ</c:v>
                </c:pt>
              </c:strCache>
            </c:strRef>
          </c:cat>
          <c:val>
            <c:numRef>
              <c:f>'kvalifikační struktura'!$B$188:$E$188</c:f>
              <c:numCache>
                <c:formatCode>0.0</c:formatCode>
                <c:ptCount val="4"/>
                <c:pt idx="0">
                  <c:v>27.022448115205421</c:v>
                </c:pt>
                <c:pt idx="1">
                  <c:v>18.043202033036849</c:v>
                </c:pt>
                <c:pt idx="2">
                  <c:v>29.923761118170265</c:v>
                </c:pt>
                <c:pt idx="3">
                  <c:v>24.667513765353664</c:v>
                </c:pt>
              </c:numCache>
            </c:numRef>
          </c:val>
        </c:ser>
        <c:ser>
          <c:idx val="1"/>
          <c:order val="1"/>
          <c:tx>
            <c:strRef>
              <c:f>'kvalifikační struktura'!$A$189</c:f>
              <c:strCache>
                <c:ptCount val="1"/>
                <c:pt idx="0">
                  <c:v>venkovské okresy</c:v>
                </c:pt>
              </c:strCache>
            </c:strRef>
          </c:tx>
          <c:invertIfNegative val="0"/>
          <c:cat>
            <c:strRef>
              <c:f>'kvalifikační struktura'!$B$187:$E$187</c:f>
              <c:strCache>
                <c:ptCount val="4"/>
                <c:pt idx="0">
                  <c:v>základní</c:v>
                </c:pt>
                <c:pt idx="1">
                  <c:v>vyučen</c:v>
                </c:pt>
                <c:pt idx="2">
                  <c:v>SŠ s maturitou</c:v>
                </c:pt>
                <c:pt idx="3">
                  <c:v>VŠ</c:v>
                </c:pt>
              </c:strCache>
            </c:strRef>
          </c:cat>
          <c:val>
            <c:numRef>
              <c:f>'kvalifikační struktura'!$B$189:$E$189</c:f>
              <c:numCache>
                <c:formatCode>0.0</c:formatCode>
                <c:ptCount val="4"/>
                <c:pt idx="0">
                  <c:v>36.561743341404359</c:v>
                </c:pt>
                <c:pt idx="1">
                  <c:v>32.433414043583539</c:v>
                </c:pt>
                <c:pt idx="2">
                  <c:v>20.012106537530265</c:v>
                </c:pt>
                <c:pt idx="3">
                  <c:v>10.968523002421307</c:v>
                </c:pt>
              </c:numCache>
            </c:numRef>
          </c:val>
        </c:ser>
        <c:dLbls>
          <c:showLegendKey val="0"/>
          <c:showVal val="0"/>
          <c:showCatName val="0"/>
          <c:showSerName val="0"/>
          <c:showPercent val="0"/>
          <c:showBubbleSize val="0"/>
        </c:dLbls>
        <c:gapWidth val="150"/>
        <c:axId val="199343104"/>
        <c:axId val="199353088"/>
      </c:barChart>
      <c:catAx>
        <c:axId val="199343104"/>
        <c:scaling>
          <c:orientation val="minMax"/>
        </c:scaling>
        <c:delete val="0"/>
        <c:axPos val="l"/>
        <c:numFmt formatCode="General" sourceLinked="1"/>
        <c:majorTickMark val="out"/>
        <c:minorTickMark val="none"/>
        <c:tickLblPos val="nextTo"/>
        <c:txPr>
          <a:bodyPr/>
          <a:lstStyle/>
          <a:p>
            <a:pPr>
              <a:defRPr b="1" i="0" baseline="0"/>
            </a:pPr>
            <a:endParaRPr lang="cs-CZ"/>
          </a:p>
        </c:txPr>
        <c:crossAx val="199353088"/>
        <c:crosses val="autoZero"/>
        <c:auto val="1"/>
        <c:lblAlgn val="ctr"/>
        <c:lblOffset val="100"/>
        <c:noMultiLvlLbl val="0"/>
      </c:catAx>
      <c:valAx>
        <c:axId val="199353088"/>
        <c:scaling>
          <c:orientation val="minMax"/>
        </c:scaling>
        <c:delete val="0"/>
        <c:axPos val="b"/>
        <c:majorGridlines/>
        <c:title>
          <c:tx>
            <c:rich>
              <a:bodyPr/>
              <a:lstStyle/>
              <a:p>
                <a:pPr>
                  <a:defRPr/>
                </a:pPr>
                <a:r>
                  <a:rPr lang="en-US"/>
                  <a:t>%</a:t>
                </a:r>
              </a:p>
            </c:rich>
          </c:tx>
          <c:layout>
            <c:manualLayout>
              <c:xMode val="edge"/>
              <c:yMode val="edge"/>
              <c:x val="0.95584638828395352"/>
              <c:y val="0.78714285714285714"/>
            </c:manualLayout>
          </c:layout>
          <c:overlay val="0"/>
        </c:title>
        <c:numFmt formatCode="0.0" sourceLinked="1"/>
        <c:majorTickMark val="out"/>
        <c:minorTickMark val="none"/>
        <c:tickLblPos val="nextTo"/>
        <c:txPr>
          <a:bodyPr/>
          <a:lstStyle/>
          <a:p>
            <a:pPr>
              <a:defRPr b="1" i="0" baseline="0"/>
            </a:pPr>
            <a:endParaRPr lang="cs-CZ"/>
          </a:p>
        </c:txPr>
        <c:crossAx val="199343104"/>
        <c:crosses val="autoZero"/>
        <c:crossBetween val="between"/>
      </c:valAx>
    </c:plotArea>
    <c:legend>
      <c:legendPos val="b"/>
      <c:layout>
        <c:manualLayout>
          <c:xMode val="edge"/>
          <c:yMode val="edge"/>
          <c:x val="0.27902219959004687"/>
          <c:y val="0.87171280419215891"/>
          <c:w val="0.46229077244212141"/>
          <c:h val="6.868858729342249E-2"/>
        </c:manualLayout>
      </c:layout>
      <c:overlay val="0"/>
      <c:txPr>
        <a:bodyPr/>
        <a:lstStyle/>
        <a:p>
          <a:pPr>
            <a:defRPr sz="1200" b="1" i="0" baseline="0"/>
          </a:pPr>
          <a:endParaRPr lang="cs-CZ"/>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04C914-A566-4139-B077-C78A9F314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29874</Words>
  <Characters>176257</Characters>
  <Application>Microsoft Office Word</Application>
  <DocSecurity>0</DocSecurity>
  <Lines>1468</Lines>
  <Paragraphs>411</Paragraphs>
  <ScaleCrop>false</ScaleCrop>
  <HeadingPairs>
    <vt:vector size="2" baseType="variant">
      <vt:variant>
        <vt:lpstr>Název</vt:lpstr>
      </vt:variant>
      <vt:variant>
        <vt:i4>1</vt:i4>
      </vt:variant>
    </vt:vector>
  </HeadingPairs>
  <TitlesOfParts>
    <vt:vector size="1" baseType="lpstr">
      <vt:lpstr/>
    </vt:vector>
  </TitlesOfParts>
  <Company>MPSV</Company>
  <LinksUpToDate>false</LinksUpToDate>
  <CharactersWithSpaces>205720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Jirásek Petr Mgr. (BM)</dc:creator>
  <cp:lastModifiedBy>Jiříček Petr Ing. (MPSV)</cp:lastModifiedBy>
  <cp:revision>2</cp:revision>
  <cp:lastPrinted>2015-02-13T16:30:00Z</cp:lastPrinted>
  <dcterms:created xsi:type="dcterms:W3CDTF">2015-03-20T09:00:00Z</dcterms:created>
  <dcterms:modified xsi:type="dcterms:W3CDTF">2015-03-20T09:00:00Z</dcterms:modified>
</cp:coreProperties>
</file>