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B3370" w14:textId="77777777" w:rsidR="007435C5" w:rsidRDefault="007435C5" w:rsidP="007C7154">
      <w:pPr>
        <w:pStyle w:val="el"/>
        <w:spacing w:before="0" w:beforeAutospacing="0" w:after="0" w:afterAutospacing="0"/>
        <w:jc w:val="center"/>
        <w:rPr>
          <w:rFonts w:ascii="Roboto" w:hAnsi="Roboto"/>
          <w:b/>
          <w:bCs/>
        </w:rPr>
      </w:pPr>
    </w:p>
    <w:p w14:paraId="116968D5" w14:textId="77777777" w:rsidR="007435C5" w:rsidRPr="007435C5" w:rsidRDefault="007435C5" w:rsidP="007435C5">
      <w:pPr>
        <w:spacing w:after="150" w:line="240" w:lineRule="auto"/>
        <w:jc w:val="center"/>
        <w:rPr>
          <w:rFonts w:ascii="Helvetica" w:eastAsia="Times New Roman" w:hAnsi="Helvetica" w:cs="Arial"/>
          <w:b/>
          <w:bCs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b/>
          <w:bCs/>
          <w:color w:val="333333"/>
          <w:sz w:val="21"/>
          <w:szCs w:val="21"/>
          <w:lang w:eastAsia="cs-CZ"/>
        </w:rPr>
        <w:t>405</w:t>
      </w:r>
    </w:p>
    <w:p w14:paraId="13E76908" w14:textId="77777777" w:rsidR="007435C5" w:rsidRPr="007435C5" w:rsidRDefault="007435C5" w:rsidP="007435C5">
      <w:pPr>
        <w:spacing w:before="150" w:after="30" w:line="240" w:lineRule="auto"/>
        <w:jc w:val="center"/>
        <w:outlineLvl w:val="1"/>
        <w:rPr>
          <w:rFonts w:ascii="Helvetica" w:eastAsia="Times New Roman" w:hAnsi="Helvetica" w:cs="Arial"/>
          <w:color w:val="A00231"/>
          <w:kern w:val="36"/>
          <w:sz w:val="32"/>
          <w:szCs w:val="32"/>
          <w:lang w:eastAsia="cs-CZ"/>
        </w:rPr>
      </w:pPr>
      <w:r w:rsidRPr="007435C5">
        <w:rPr>
          <w:rFonts w:ascii="Helvetica" w:eastAsia="Times New Roman" w:hAnsi="Helvetica" w:cs="Arial"/>
          <w:color w:val="A00231"/>
          <w:kern w:val="36"/>
          <w:sz w:val="32"/>
          <w:szCs w:val="32"/>
          <w:lang w:eastAsia="cs-CZ"/>
        </w:rPr>
        <w:t>NAŘÍZENÍ VLÁDY</w:t>
      </w:r>
    </w:p>
    <w:p w14:paraId="2FB50D7B" w14:textId="77777777" w:rsidR="007435C5" w:rsidRPr="007435C5" w:rsidRDefault="007435C5" w:rsidP="007435C5">
      <w:pPr>
        <w:spacing w:before="30" w:after="30" w:line="240" w:lineRule="auto"/>
        <w:jc w:val="center"/>
        <w:outlineLvl w:val="1"/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  <w:t>ze dne 5. listopadu 2021,</w:t>
      </w:r>
    </w:p>
    <w:p w14:paraId="4FD2FCA7" w14:textId="28891D02" w:rsidR="007435C5" w:rsidRPr="007435C5" w:rsidRDefault="007435C5" w:rsidP="007435C5">
      <w:pPr>
        <w:spacing w:before="30" w:after="300" w:line="240" w:lineRule="auto"/>
        <w:jc w:val="center"/>
        <w:outlineLvl w:val="1"/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  <w:t>kterým se mění nařízení vlády č. 567/2006</w:t>
      </w:r>
      <w:r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  <w:t xml:space="preserve"> </w:t>
      </w:r>
      <w:r w:rsidRPr="007435C5">
        <w:rPr>
          <w:rFonts w:ascii="Helvetica" w:eastAsia="Times New Roman" w:hAnsi="Helvetica" w:cs="Arial"/>
          <w:color w:val="A00231"/>
          <w:kern w:val="36"/>
          <w:sz w:val="21"/>
          <w:szCs w:val="21"/>
          <w:lang w:eastAsia="cs-CZ"/>
        </w:rPr>
        <w:t>Sb., o minimální mzdě, o nejnižších úrovních zaručené mzdy, o vymezení ztíženého pracovního prostředí a o výši příplatku ke mzdě za práci ve ztíženém pracovním prostředí, ve znění pozdějších předpisů</w:t>
      </w:r>
    </w:p>
    <w:p w14:paraId="6C336BC1" w14:textId="77777777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Vláda nařizuje podle § 111 odst. 2 a § 112 odst. 2 zákona č. 262/2006 Sb., zákoník práce:</w:t>
      </w:r>
    </w:p>
    <w:p w14:paraId="0BB9CA32" w14:textId="77777777" w:rsidR="007435C5" w:rsidRPr="007435C5" w:rsidRDefault="007435C5" w:rsidP="007435C5">
      <w:pPr>
        <w:spacing w:before="225" w:after="150" w:line="240" w:lineRule="auto"/>
        <w:jc w:val="center"/>
        <w:outlineLvl w:val="1"/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  <w:t>Čl. I</w:t>
      </w:r>
    </w:p>
    <w:p w14:paraId="718E9609" w14:textId="12B2648B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Nařízení vlády č. 567/2006 Sb., o minimální mzdě, o nejnižších úrovních zaručené mzdy, o vymezení ztíženého pracovního prostředí a o výši příplatku ke mzdě za práci ve ztíženém pracovním prostředí, ve znění nařízení vlády č. 249/2007</w:t>
      </w:r>
      <w:r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 xml:space="preserve"> 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Sb., nařízení vlády č. 452/2009 Sb., nařízení vlády č. 246/2012 Sb., nařízení vlády č. 210/2013 Sb., nařízení vlády č. 204/2014 Sb., nařízení vlády č. 233/2015 Sb., nařízení vlády č. 336/2016 Sb., nařízení vlády č. 337/2016 Sb., nařízení vlády č.  286/2017 Sb., nařízení vlády č. 273/2018 Sb., nařízení vlády č. 347/2019 Sb. a nařízení vlády č. 487/2020 Sb., se mění takto:</w:t>
      </w:r>
    </w:p>
    <w:p w14:paraId="061EC81E" w14:textId="77777777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1. V § 2 se částka „90,50 Kč“ nahrazuje částkou „96,40 Kč“ a částka „15 200 Kč“ se nahrazuje částkou „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highlight w:val="yellow"/>
          <w:lang w:eastAsia="cs-CZ"/>
        </w:rPr>
        <w:t>16 200 Kč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“.</w:t>
      </w:r>
    </w:p>
    <w:p w14:paraId="65EFC94A" w14:textId="77777777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2. V § 3 odstavec 1 zní:</w:t>
      </w:r>
    </w:p>
    <w:p w14:paraId="3B0A0409" w14:textId="77777777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„(1) Nejnižší úrovně zaručené mzdy pro stanovenou týdenní pracovní dobu 40 hodin jsou odstupňovány podle složitosti, odpovědnosti a namáhavosti vykonávaných prací, zařazených do 8 skupin, a činí: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435C5" w:rsidRPr="007435C5" w14:paraId="6EC266F0" w14:textId="77777777" w:rsidTr="007435C5">
        <w:tc>
          <w:tcPr>
            <w:tcW w:w="250" w:type="pct"/>
            <w:vMerge w:val="restar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A49932E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Skupina prací</w:t>
            </w:r>
          </w:p>
        </w:tc>
        <w:tc>
          <w:tcPr>
            <w:tcW w:w="250" w:type="pct"/>
            <w:gridSpan w:val="2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43A0113F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Nejnižší úroveň zaručené mzdy</w:t>
            </w:r>
          </w:p>
        </w:tc>
      </w:tr>
      <w:tr w:rsidR="007435C5" w:rsidRPr="007435C5" w14:paraId="1F5444AE" w14:textId="77777777" w:rsidTr="007435C5">
        <w:tc>
          <w:tcPr>
            <w:tcW w:w="0" w:type="auto"/>
            <w:vMerge/>
            <w:shd w:val="clear" w:color="auto" w:fill="F3F3F3"/>
            <w:vAlign w:val="center"/>
            <w:hideMark/>
          </w:tcPr>
          <w:p w14:paraId="32F40936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5712388E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v Kč za hodinu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7110748D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v Kč za měsíc</w:t>
            </w:r>
          </w:p>
        </w:tc>
      </w:tr>
      <w:tr w:rsidR="007435C5" w:rsidRPr="007435C5" w14:paraId="7933BE32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7EDB79A2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44D6456C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96,40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6B320697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16 200</w:t>
            </w:r>
          </w:p>
        </w:tc>
      </w:tr>
      <w:tr w:rsidR="007435C5" w:rsidRPr="007435C5" w14:paraId="5ED12337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5114815E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2.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1AB3E112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106,50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1CE34ED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17 900</w:t>
            </w:r>
          </w:p>
        </w:tc>
      </w:tr>
      <w:tr w:rsidR="007435C5" w:rsidRPr="007435C5" w14:paraId="118AC2C9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1840DAE3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3.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B1A0225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117,50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7FD10A72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19 700</w:t>
            </w:r>
          </w:p>
        </w:tc>
      </w:tr>
      <w:tr w:rsidR="007435C5" w:rsidRPr="007435C5" w14:paraId="30D222AC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135F46CE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4.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492BFFA3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129,80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37FAEFE6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21 800</w:t>
            </w:r>
          </w:p>
        </w:tc>
      </w:tr>
      <w:tr w:rsidR="007435C5" w:rsidRPr="007435C5" w14:paraId="27354EAB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888EB57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5.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7B92DB1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143,30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661AA4E8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24 100</w:t>
            </w:r>
          </w:p>
        </w:tc>
      </w:tr>
      <w:tr w:rsidR="007435C5" w:rsidRPr="007435C5" w14:paraId="22AD3A99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4317CFA9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6.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0386628F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158,20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557FCB75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26 600</w:t>
            </w:r>
          </w:p>
        </w:tc>
      </w:tr>
      <w:tr w:rsidR="007435C5" w:rsidRPr="007435C5" w14:paraId="68D272E4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6AADB30E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7.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24BB1820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174,70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389936A7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29 400</w:t>
            </w:r>
          </w:p>
        </w:tc>
      </w:tr>
      <w:tr w:rsidR="007435C5" w:rsidRPr="007435C5" w14:paraId="22F73E61" w14:textId="77777777" w:rsidTr="007435C5"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6C8E86F1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8.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32DBBDE4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192,80</w:t>
            </w:r>
          </w:p>
        </w:tc>
        <w:tc>
          <w:tcPr>
            <w:tcW w:w="250" w:type="pct"/>
            <w:shd w:val="clear" w:color="auto" w:fill="auto"/>
            <w:tcMar>
              <w:top w:w="45" w:type="dxa"/>
              <w:left w:w="120" w:type="dxa"/>
              <w:bottom w:w="0" w:type="dxa"/>
              <w:right w:w="120" w:type="dxa"/>
            </w:tcMar>
            <w:hideMark/>
          </w:tcPr>
          <w:p w14:paraId="3310B4DD" w14:textId="77777777" w:rsidR="007435C5" w:rsidRPr="007435C5" w:rsidRDefault="007435C5" w:rsidP="007435C5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</w:pPr>
            <w:r w:rsidRPr="007435C5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cs-CZ"/>
              </w:rPr>
              <w:t>32 400.“.</w:t>
            </w:r>
          </w:p>
        </w:tc>
      </w:tr>
    </w:tbl>
    <w:p w14:paraId="0220DCA5" w14:textId="77777777" w:rsidR="007435C5" w:rsidRPr="007435C5" w:rsidRDefault="007435C5" w:rsidP="007435C5">
      <w:pPr>
        <w:spacing w:before="225" w:after="150" w:line="240" w:lineRule="auto"/>
        <w:jc w:val="center"/>
        <w:outlineLvl w:val="1"/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  <w:t>Čl. II</w:t>
      </w:r>
    </w:p>
    <w:p w14:paraId="41BD4B68" w14:textId="77777777" w:rsidR="007435C5" w:rsidRPr="007435C5" w:rsidRDefault="007435C5" w:rsidP="007435C5">
      <w:pPr>
        <w:spacing w:before="225" w:after="150" w:line="240" w:lineRule="auto"/>
        <w:jc w:val="center"/>
        <w:outlineLvl w:val="1"/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b/>
          <w:bCs/>
          <w:color w:val="006B00"/>
          <w:kern w:val="36"/>
          <w:sz w:val="21"/>
          <w:szCs w:val="21"/>
          <w:lang w:eastAsia="cs-CZ"/>
        </w:rPr>
        <w:t>Účinnost</w:t>
      </w:r>
    </w:p>
    <w:p w14:paraId="1602A7BB" w14:textId="77777777" w:rsidR="007435C5" w:rsidRPr="007435C5" w:rsidRDefault="007435C5" w:rsidP="007435C5">
      <w:pPr>
        <w:spacing w:before="120" w:after="120" w:line="240" w:lineRule="auto"/>
        <w:ind w:firstLine="480"/>
        <w:jc w:val="both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 xml:space="preserve">Toto nařízení nabývá účinnosti dnem 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highlight w:val="yellow"/>
          <w:lang w:eastAsia="cs-CZ"/>
        </w:rPr>
        <w:t>1. ledna 2022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.</w:t>
      </w:r>
    </w:p>
    <w:p w14:paraId="61206AC9" w14:textId="4B75E32F" w:rsidR="0067269F" w:rsidRDefault="007435C5" w:rsidP="007435C5">
      <w:pPr>
        <w:spacing w:after="150" w:line="240" w:lineRule="auto"/>
        <w:jc w:val="center"/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</w:pP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Předseda vlády: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br/>
        <w:t xml:space="preserve">Ing. </w:t>
      </w:r>
      <w:r w:rsidRPr="007435C5">
        <w:rPr>
          <w:rFonts w:ascii="Helvetica" w:eastAsia="Times New Roman" w:hAnsi="Helvetica" w:cs="Arial"/>
          <w:b/>
          <w:bCs/>
          <w:color w:val="333333"/>
          <w:sz w:val="21"/>
          <w:szCs w:val="21"/>
          <w:lang w:eastAsia="cs-CZ"/>
        </w:rPr>
        <w:t>Babiš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 xml:space="preserve"> v. r.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br/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br/>
        <w:t>Ministryně práce a sociálních věcí: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br/>
        <w:t xml:space="preserve">Dipl.-Pol. </w:t>
      </w:r>
      <w:r w:rsidRPr="007435C5">
        <w:rPr>
          <w:rFonts w:ascii="Helvetica" w:eastAsia="Times New Roman" w:hAnsi="Helvetica" w:cs="Arial"/>
          <w:b/>
          <w:bCs/>
          <w:color w:val="333333"/>
          <w:sz w:val="21"/>
          <w:szCs w:val="21"/>
          <w:lang w:eastAsia="cs-CZ"/>
        </w:rPr>
        <w:t>Maláčová</w:t>
      </w:r>
      <w:r w:rsidRPr="007435C5">
        <w:rPr>
          <w:rFonts w:ascii="Helvetica" w:eastAsia="Times New Roman" w:hAnsi="Helvetica" w:cs="Arial"/>
          <w:color w:val="333333"/>
          <w:sz w:val="21"/>
          <w:szCs w:val="21"/>
          <w:lang w:eastAsia="cs-CZ"/>
        </w:rPr>
        <w:t>, MSc., v. r.</w:t>
      </w:r>
    </w:p>
    <w:p w14:paraId="1B2EA922" w14:textId="77777777" w:rsidR="00326AC7" w:rsidRDefault="00326AC7" w:rsidP="00326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</w:p>
    <w:p w14:paraId="7A2F4404" w14:textId="56E74AA4" w:rsidR="00326AC7" w:rsidRDefault="00326AC7" w:rsidP="00326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Pozn.</w:t>
      </w:r>
    </w:p>
    <w:p w14:paraId="3B4E7E46" w14:textId="681B4B93" w:rsidR="00326AC7" w:rsidRPr="00326AC7" w:rsidRDefault="00326AC7" w:rsidP="00326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Kategorie prací v jednotlivých skupinách zaručené mzdy:</w:t>
      </w:r>
    </w:p>
    <w:p w14:paraId="4D4F1986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 (minimální mzda)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Pomocnice v kuchyni, švadlena drobných úprav, uklízečka, doručovatel zásilek, nosič zavazadel </w:t>
      </w:r>
    </w:p>
    <w:p w14:paraId="6E92F834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Kopáč, lešenář do 10 m, sanitář, pokojská, trafikant asfaltér </w:t>
      </w:r>
    </w:p>
    <w:p w14:paraId="1748CA85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Zedník, klempíř, instalatér, topenář, číšník, barman, holič, kadeřník </w:t>
      </w:r>
    </w:p>
    <w:p w14:paraId="5E8E0BE2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 - 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>Průvodce s tlumočením, kuchař specialista, krejčí v modelové a zakázkové výrobě </w:t>
      </w:r>
    </w:p>
    <w:p w14:paraId="0A6AC674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 - 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>Řidič autobusu, mistr, dispečer, záchranář, všeobecná zdravotní sestra, porodní asistentka, personální a mzdová účetní, průzkumník trhu, učitel ve školce </w:t>
      </w:r>
    </w:p>
    <w:p w14:paraId="3D4C1274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Skupina - 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>Obchodní referent, speciální pedagog, správce sítí, tvůrce IT systému, samostatný projektant rozsáhlých a náročných staveb </w:t>
      </w:r>
    </w:p>
    <w:p w14:paraId="2A6CBC77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Finanční expert, lékař, zubař, farmaceut, expert na marketing, programátor </w:t>
      </w:r>
    </w:p>
    <w:p w14:paraId="2886F048" w14:textId="77777777" w:rsidR="00326AC7" w:rsidRPr="00326AC7" w:rsidRDefault="00326AC7" w:rsidP="00326A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AC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Skupina - </w:t>
      </w:r>
      <w:r w:rsidRPr="00326AC7">
        <w:rPr>
          <w:rFonts w:ascii="Times New Roman" w:eastAsia="Times New Roman" w:hAnsi="Times New Roman" w:cs="Times New Roman"/>
          <w:sz w:val="24"/>
          <w:szCs w:val="24"/>
          <w:lang w:eastAsia="cs-CZ"/>
        </w:rPr>
        <w:t>Odborník na finanční a obchodní strategii organizací, makléř na finančním a kapitálovém trhu, špičkový vědecký pracovník řešící principálně nové vědeckovýzkumné okruhy</w:t>
      </w:r>
    </w:p>
    <w:p w14:paraId="04994C68" w14:textId="77777777" w:rsidR="00326AC7" w:rsidRDefault="00326AC7" w:rsidP="007435C5">
      <w:pPr>
        <w:spacing w:after="150" w:line="240" w:lineRule="auto"/>
        <w:jc w:val="center"/>
      </w:pPr>
    </w:p>
    <w:sectPr w:rsidR="00326A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E1B50" w14:textId="77777777" w:rsidR="00FE1B69" w:rsidRDefault="00FE1B69" w:rsidP="00BE58C0">
      <w:pPr>
        <w:spacing w:after="0" w:line="240" w:lineRule="auto"/>
      </w:pPr>
      <w:r>
        <w:separator/>
      </w:r>
    </w:p>
  </w:endnote>
  <w:endnote w:type="continuationSeparator" w:id="0">
    <w:p w14:paraId="5607268A" w14:textId="77777777" w:rsidR="00FE1B69" w:rsidRDefault="00FE1B69" w:rsidP="00BE5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7B021" w14:textId="77777777" w:rsidR="00FE1B69" w:rsidRDefault="00FE1B69" w:rsidP="00BE58C0">
      <w:pPr>
        <w:spacing w:after="0" w:line="240" w:lineRule="auto"/>
      </w:pPr>
      <w:r>
        <w:separator/>
      </w:r>
    </w:p>
  </w:footnote>
  <w:footnote w:type="continuationSeparator" w:id="0">
    <w:p w14:paraId="62D6CE47" w14:textId="77777777" w:rsidR="00FE1B69" w:rsidRDefault="00FE1B69" w:rsidP="00BE5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C73C2" w14:textId="20029374" w:rsidR="00BE58C0" w:rsidRDefault="0067269F">
    <w:pPr>
      <w:pStyle w:val="Zhlav"/>
    </w:pPr>
    <w:r>
      <w:rPr>
        <w:noProof/>
      </w:rPr>
      <w:drawing>
        <wp:inline distT="0" distB="0" distL="0" distR="0" wp14:anchorId="1DDF8E3A" wp14:editId="4E08F7F9">
          <wp:extent cx="5760720" cy="2311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231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16C44"/>
    <w:multiLevelType w:val="multilevel"/>
    <w:tmpl w:val="96689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066AD2"/>
    <w:multiLevelType w:val="hybridMultilevel"/>
    <w:tmpl w:val="374A83F6"/>
    <w:lvl w:ilvl="0" w:tplc="EA182380">
      <w:start w:val="1"/>
      <w:numFmt w:val="decimal"/>
      <w:lvlText w:val="(%1)"/>
      <w:lvlJc w:val="left"/>
      <w:pPr>
        <w:ind w:left="1069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B34E34"/>
    <w:multiLevelType w:val="hybridMultilevel"/>
    <w:tmpl w:val="E056F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C0"/>
    <w:rsid w:val="001F5CDF"/>
    <w:rsid w:val="002501EC"/>
    <w:rsid w:val="00326AC7"/>
    <w:rsid w:val="0067269F"/>
    <w:rsid w:val="007435C5"/>
    <w:rsid w:val="007C7154"/>
    <w:rsid w:val="00876EBC"/>
    <w:rsid w:val="008E69AF"/>
    <w:rsid w:val="00A156C6"/>
    <w:rsid w:val="00BE58C0"/>
    <w:rsid w:val="00EB5CDD"/>
    <w:rsid w:val="00F9290B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6430A"/>
  <w15:chartTrackingRefBased/>
  <w15:docId w15:val="{8B773BF7-CB2A-40B7-A674-ED248689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5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58C0"/>
  </w:style>
  <w:style w:type="paragraph" w:styleId="Zpat">
    <w:name w:val="footer"/>
    <w:basedOn w:val="Normln"/>
    <w:link w:val="ZpatChar"/>
    <w:uiPriority w:val="99"/>
    <w:unhideWhenUsed/>
    <w:rsid w:val="00BE5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58C0"/>
  </w:style>
  <w:style w:type="character" w:styleId="Hypertextovodkaz">
    <w:name w:val="Hyperlink"/>
    <w:basedOn w:val="Standardnpsmoodstavce"/>
    <w:uiPriority w:val="99"/>
    <w:semiHidden/>
    <w:unhideWhenUsed/>
    <w:rsid w:val="0067269F"/>
    <w:rPr>
      <w:color w:val="1B55C5"/>
      <w:u w:val="single"/>
      <w:shd w:val="clear" w:color="auto" w:fill="auto"/>
    </w:rPr>
  </w:style>
  <w:style w:type="paragraph" w:customStyle="1" w:styleId="el">
    <w:name w:val="el"/>
    <w:basedOn w:val="Normln"/>
    <w:rsid w:val="00672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0147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030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1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90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9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53014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80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7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44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49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97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0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39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70953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811966">
                                                      <w:marLeft w:val="567"/>
                                                      <w:marRight w:val="567"/>
                                                      <w:marTop w:val="2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0406794">
                                                      <w:marLeft w:val="567"/>
                                                      <w:marRight w:val="567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903575">
                                                      <w:marLeft w:val="567"/>
                                                      <w:marRight w:val="567"/>
                                                      <w:marTop w:val="20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3907763">
                                                      <w:marLeft w:val="567"/>
                                                      <w:marRight w:val="567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3897131">
                                                      <w:marLeft w:val="0"/>
                                                      <w:marRight w:val="0"/>
                                                      <w:marTop w:val="2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4493354">
                                                      <w:marLeft w:val="567"/>
                                                      <w:marRight w:val="567"/>
                                                      <w:marTop w:val="2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58259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688334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43125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87890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77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55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35502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6352842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9037167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7009077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604351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973188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4926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5908597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436373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6081771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197368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672969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155076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2723725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308612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81097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4209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3295508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1730968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8588464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464066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644756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0758518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7400403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310883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211277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9048190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471343">
                                                                  <w:marLeft w:val="6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7312832">
                                                      <w:marLeft w:val="567"/>
                                                      <w:marRight w:val="567"/>
                                                      <w:marTop w:val="2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7729721">
                                                      <w:marLeft w:val="567"/>
                                                      <w:marRight w:val="567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745805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770761">
                                                      <w:marLeft w:val="567"/>
                                                      <w:marRight w:val="567"/>
                                                      <w:marTop w:val="2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595666">
                                                          <w:marLeft w:val="567"/>
                                                          <w:marRight w:val="567"/>
                                                          <w:marTop w:val="2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216420">
                                                              <w:marLeft w:val="567"/>
                                                              <w:marRight w:val="567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9091758">
                                                              <w:marLeft w:val="567"/>
                                                              <w:marRight w:val="567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4405776">
                                                          <w:marLeft w:val="567"/>
                                                          <w:marRight w:val="567"/>
                                                          <w:marTop w:val="2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40298">
                                                              <w:marLeft w:val="567"/>
                                                              <w:marRight w:val="567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9953453">
                                                              <w:marLeft w:val="567"/>
                                                              <w:marRight w:val="567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5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1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Jana Ing. (UPB-KRP)</dc:creator>
  <cp:keywords/>
  <dc:description/>
  <cp:lastModifiedBy>Malá Jana Ing. (UPB-KRP)</cp:lastModifiedBy>
  <cp:revision>5</cp:revision>
  <dcterms:created xsi:type="dcterms:W3CDTF">2020-12-02T07:41:00Z</dcterms:created>
  <dcterms:modified xsi:type="dcterms:W3CDTF">2021-12-08T07:55:00Z</dcterms:modified>
</cp:coreProperties>
</file>