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140"/>
          <w:szCs w:val="140"/>
          <w:lang w:eastAsia="en-US"/>
        </w:rPr>
        <w:id w:val="1884365248"/>
        <w:docPartObj>
          <w:docPartGallery w:val="Cover Pages"/>
          <w:docPartUnique/>
        </w:docPartObj>
      </w:sdtPr>
      <w:sdtEndPr>
        <w:rPr>
          <w:caps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070"/>
          </w:tblGrid>
          <w:tr w:rsidR="00946114" w:rsidTr="00FC23E4">
            <w:tc>
              <w:tcPr>
                <w:tcW w:w="9288" w:type="dxa"/>
              </w:tcPr>
              <w:p w:rsidR="00946114" w:rsidRDefault="00B24E8C" w:rsidP="00E83356">
                <w:pPr>
                  <w:pStyle w:val="Nzev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30"/>
                      <w:szCs w:val="130"/>
                    </w:rPr>
                    <w:alias w:val="Název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46114" w:rsidRPr="00946114">
                      <w:rPr>
                        <w:sz w:val="130"/>
                        <w:szCs w:val="130"/>
                      </w:rPr>
                      <w:t>Příručka pro zaměstnavatele</w:t>
                    </w:r>
                  </w:sdtContent>
                </w:sdt>
              </w:p>
            </w:tc>
          </w:tr>
          <w:tr w:rsidR="00946114">
            <w:tc>
              <w:tcPr>
                <w:tcW w:w="0" w:type="auto"/>
                <w:vAlign w:val="bottom"/>
              </w:tcPr>
              <w:p w:rsidR="00946114" w:rsidRPr="00946114" w:rsidRDefault="00B24E8C" w:rsidP="00D14E7D">
                <w:pPr>
                  <w:pStyle w:val="Podnadpis"/>
                  <w:jc w:val="center"/>
                  <w:rPr>
                    <w:sz w:val="40"/>
                    <w:szCs w:val="40"/>
                  </w:rPr>
                </w:pPr>
                <w:sdt>
                  <w:sdtPr>
                    <w:rPr>
                      <w:sz w:val="40"/>
                      <w:szCs w:val="40"/>
                    </w:rPr>
                    <w:alias w:val="Podtitu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946114" w:rsidRPr="00946114">
                      <w:rPr>
                        <w:sz w:val="40"/>
                        <w:szCs w:val="40"/>
                      </w:rPr>
                      <w:t>k pr</w:t>
                    </w:r>
                    <w:r w:rsidR="00D14E7D">
                      <w:rPr>
                        <w:sz w:val="40"/>
                        <w:szCs w:val="40"/>
                      </w:rPr>
                      <w:t>ojektu „Záruky pro mladé na Vysočině</w:t>
                    </w:r>
                    <w:r w:rsidR="00946114" w:rsidRPr="00946114">
                      <w:rPr>
                        <w:sz w:val="40"/>
                        <w:szCs w:val="40"/>
                      </w:rPr>
                      <w:t>“</w:t>
                    </w:r>
                    <w:r w:rsidR="00E83356">
                      <w:rPr>
                        <w:sz w:val="40"/>
                        <w:szCs w:val="40"/>
                      </w:rPr>
                      <w:t xml:space="preserve"> </w:t>
                    </w:r>
                    <w:r w:rsidR="00D14E7D">
                      <w:rPr>
                        <w:sz w:val="40"/>
                        <w:szCs w:val="40"/>
                      </w:rPr>
                      <w:t xml:space="preserve">      </w:t>
                    </w:r>
                    <w:r w:rsidR="00E83356">
                      <w:rPr>
                        <w:sz w:val="40"/>
                        <w:szCs w:val="40"/>
                      </w:rPr>
                      <w:t>reg. č. CZ.03.1.</w:t>
                    </w:r>
                    <w:r w:rsidR="00264AA8">
                      <w:rPr>
                        <w:sz w:val="40"/>
                        <w:szCs w:val="40"/>
                      </w:rPr>
                      <w:t>48/0.0/0.0/15_004/0000010</w:t>
                    </w:r>
                  </w:sdtContent>
                </w:sdt>
              </w:p>
            </w:tc>
          </w:tr>
          <w:tr w:rsidR="00946114">
            <w:trPr>
              <w:trHeight w:val="1152"/>
            </w:trPr>
            <w:tc>
              <w:tcPr>
                <w:tcW w:w="0" w:type="auto"/>
                <w:vAlign w:val="bottom"/>
              </w:tcPr>
              <w:p w:rsidR="00946114" w:rsidRDefault="00946114">
                <w:pPr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A82ABE" w:rsidRPr="001258E6" w:rsidRDefault="00946114" w:rsidP="001258E6">
          <w:pPr>
            <w:rPr>
              <w:rStyle w:val="Zdraznnintenzivn"/>
              <w:rFonts w:asciiTheme="majorHAnsi" w:eastAsiaTheme="majorEastAsia" w:hAnsiTheme="majorHAnsi" w:cstheme="majorBidi"/>
              <w:b w:val="0"/>
              <w:bCs w:val="0"/>
              <w:i w:val="0"/>
              <w:iCs w:val="0"/>
              <w:caps/>
              <w:noProof w:val="0"/>
              <w:color w:val="auto"/>
              <w:lang w:eastAsia="cs-CZ"/>
            </w:rPr>
          </w:pP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DACD32B" wp14:editId="1A2DFF9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Obdélník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54E8980C" id="Obdélník 52" o:spid="_x0000_s1026" style="position:absolute;margin-left:0;margin-top:0;width:612pt;height:11in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" filled="f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B2740E" wp14:editId="661B2C21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900430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xtové pol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46114" w:rsidRPr="00962B7A" w:rsidRDefault="0003649D">
                                <w:pPr>
                                  <w:pStyle w:val="Podnadpis"/>
                                  <w:spacing w:after="0" w:line="240" w:lineRule="auto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>1. 9. 2019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71B274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3" o:spid="_x0000_s1026" type="#_x0000_t202" style="position:absolute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" filled="f" stroked="f" strokeweight=".5pt">
                    <v:textbox style="mso-fit-shape-to-text:t">
                      <w:txbxContent>
                        <w:p w:rsidR="00946114" w:rsidRPr="00962B7A" w:rsidRDefault="0003649D">
                          <w:pPr>
                            <w:pStyle w:val="Podnadpis"/>
                            <w:spacing w:after="0" w:line="240" w:lineRule="aut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1. 9. 2019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B78CF52" wp14:editId="24B654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Obdélník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E7BA0B" id="Obdélník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 w:val="0"/>
              <w:lang w:eastAsia="cs-CZ"/>
            </w:rPr>
            <w:br w:type="page"/>
          </w:r>
        </w:p>
      </w:sdtContent>
    </w:sdt>
    <w:p w:rsidR="00340AF2" w:rsidRPr="000453BD" w:rsidRDefault="00340AF2" w:rsidP="00297D30">
      <w:pPr>
        <w:pStyle w:val="Nadpis1"/>
        <w:spacing w:before="120"/>
        <w:rPr>
          <w:rStyle w:val="Zdraznnintenzivn"/>
          <w:b/>
          <w:bCs/>
          <w:i w:val="0"/>
          <w:iCs w:val="0"/>
          <w:color w:val="365F91" w:themeColor="accent1" w:themeShade="BF"/>
        </w:rPr>
      </w:pPr>
      <w:r w:rsidRPr="000453BD">
        <w:rPr>
          <w:rStyle w:val="Zdraznnintenzivn"/>
          <w:b/>
          <w:bCs/>
          <w:i w:val="0"/>
          <w:iCs w:val="0"/>
          <w:color w:val="365F91" w:themeColor="accent1" w:themeShade="BF"/>
        </w:rPr>
        <w:lastRenderedPageBreak/>
        <w:t>Základní informace</w:t>
      </w:r>
    </w:p>
    <w:p w:rsidR="003E0062" w:rsidRDefault="00340AF2" w:rsidP="001A6730">
      <w:pPr>
        <w:spacing w:line="240" w:lineRule="auto"/>
        <w:jc w:val="both"/>
      </w:pPr>
      <w:r>
        <w:t xml:space="preserve">Projekt „Záruky pro mladé </w:t>
      </w:r>
      <w:r w:rsidR="00E20788">
        <w:t>na V</w:t>
      </w:r>
      <w:r>
        <w:t>ysočin</w:t>
      </w:r>
      <w:r w:rsidR="00E20788">
        <w:t>ě</w:t>
      </w:r>
      <w:r>
        <w:t xml:space="preserve"> byl připraven Úřadem práce ČR v souladu s Operačním programem Zaměstnanost.</w:t>
      </w:r>
      <w:r w:rsidR="00DE1BF1">
        <w:t xml:space="preserve"> Jeh</w:t>
      </w:r>
      <w:r w:rsidR="002B07AF">
        <w:t>o cílem je pomoci mladým lidem k získání odborné</w:t>
      </w:r>
      <w:r w:rsidR="00C10994">
        <w:t xml:space="preserve"> </w:t>
      </w:r>
      <w:r w:rsidR="0079447E">
        <w:t xml:space="preserve">praxe a zaměstnavatelům </w:t>
      </w:r>
      <w:r w:rsidR="002B07AF">
        <w:t>k získání</w:t>
      </w:r>
      <w:r w:rsidR="00C10994">
        <w:t xml:space="preserve"> nové</w:t>
      </w:r>
      <w:r w:rsidR="002B07AF">
        <w:t>ho</w:t>
      </w:r>
      <w:r w:rsidR="00C10994">
        <w:t xml:space="preserve"> zaměstnance, které</w:t>
      </w:r>
      <w:r w:rsidR="002B07AF">
        <w:t>ho</w:t>
      </w:r>
      <w:r w:rsidR="00C10994">
        <w:t xml:space="preserve"> si vyzkouší a vychovají.</w:t>
      </w:r>
    </w:p>
    <w:p w:rsidR="00D01F08" w:rsidRDefault="00D01F08" w:rsidP="001258E6">
      <w:pPr>
        <w:pStyle w:val="Nadpis2"/>
      </w:pPr>
      <w:r>
        <w:t>Předpoklady zapojení mladých osob do projektu:</w:t>
      </w:r>
    </w:p>
    <w:p w:rsidR="00D01F08" w:rsidRDefault="00D01F08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>
        <w:t>osoba musí být uchazečem o zaměstnání, který je evidován na jakémkoli kontaktním pracoviš</w:t>
      </w:r>
      <w:r w:rsidR="00302019">
        <w:t>t</w:t>
      </w:r>
      <w:r>
        <w:t>i ÚP ČR v Kraji Vysočina</w:t>
      </w:r>
    </w:p>
    <w:p w:rsidR="0056198A" w:rsidRDefault="00895CFE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 w:rsidRPr="00895CFE">
        <w:t>délka ev</w:t>
      </w:r>
      <w:r w:rsidR="00D31CEB">
        <w:t xml:space="preserve">idence více jak 3 měsíce </w:t>
      </w:r>
    </w:p>
    <w:p w:rsidR="00D01F08" w:rsidRPr="00936E25" w:rsidRDefault="00D01F08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>
        <w:t>osoba je do 29 let (</w:t>
      </w:r>
      <w:r w:rsidR="00936E25" w:rsidRPr="0056198A">
        <w:rPr>
          <w:rFonts w:ascii="Calibri" w:hAnsi="Calibri" w:cs="Calibri"/>
          <w:noProof w:val="0"/>
        </w:rPr>
        <w:t>včetně</w:t>
      </w:r>
      <w:r w:rsidRPr="0056198A">
        <w:rPr>
          <w:rFonts w:ascii="Calibri" w:hAnsi="Calibri" w:cs="Calibri"/>
          <w:noProof w:val="0"/>
        </w:rPr>
        <w:t>)</w:t>
      </w:r>
    </w:p>
    <w:p w:rsidR="00100FBF" w:rsidRDefault="00D01F08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</w:pPr>
      <w:r w:rsidRPr="00D01F08">
        <w:t xml:space="preserve">osoba </w:t>
      </w:r>
      <w:r w:rsidR="00936E25">
        <w:t xml:space="preserve">je </w:t>
      </w:r>
      <w:r w:rsidRPr="00D01F08">
        <w:t>bez praxe nebo s m</w:t>
      </w:r>
      <w:r>
        <w:t xml:space="preserve">ax. </w:t>
      </w:r>
      <w:r w:rsidR="00474A2C">
        <w:t>3</w:t>
      </w:r>
      <w:r>
        <w:t>letou praxí</w:t>
      </w:r>
      <w:r w:rsidR="00F00632">
        <w:t xml:space="preserve"> po ukončení přípravy na budoucí povolání (sčítají se i dílčí dosavadní pracovní poměry, ale </w:t>
      </w:r>
      <w:r>
        <w:t>nezapočítávají</w:t>
      </w:r>
      <w:r w:rsidR="00936E25">
        <w:t xml:space="preserve"> se</w:t>
      </w:r>
      <w:r>
        <w:t xml:space="preserve"> dohody o provedení práce a</w:t>
      </w:r>
      <w:r w:rsidRPr="00D01F08">
        <w:t xml:space="preserve"> praxe OSVČ</w:t>
      </w:r>
      <w:r>
        <w:t xml:space="preserve"> se započítává</w:t>
      </w:r>
      <w:r w:rsidRPr="00D01F08">
        <w:t xml:space="preserve"> dle individuálního posouzení)</w:t>
      </w:r>
    </w:p>
    <w:p w:rsidR="00100FBF" w:rsidRDefault="00100FBF" w:rsidP="001258E6">
      <w:pPr>
        <w:pStyle w:val="Nadpis2"/>
      </w:pPr>
      <w:r>
        <w:t>Předpoklady zapojení zaměstnavatelů do projektu</w:t>
      </w:r>
    </w:p>
    <w:p w:rsidR="00100FBF" w:rsidRDefault="00100FBF" w:rsidP="001A6730">
      <w:pPr>
        <w:pStyle w:val="Odstavecseseznamem"/>
        <w:numPr>
          <w:ilvl w:val="0"/>
          <w:numId w:val="1"/>
        </w:numPr>
        <w:spacing w:line="240" w:lineRule="auto"/>
        <w:ind w:left="714" w:hanging="357"/>
      </w:pPr>
      <w:r>
        <w:t>veškeré právnické osoby a fyzické osoby</w:t>
      </w:r>
      <w:r w:rsidR="003E0062">
        <w:t xml:space="preserve"> (vyjma organizačních složek státu a příspěvkových organizací státu, těm nelze poskytnout žádné příspěvky)</w:t>
      </w:r>
    </w:p>
    <w:p w:rsidR="001A6730" w:rsidRPr="001258E6" w:rsidRDefault="00642E21" w:rsidP="001258E6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Style w:val="Zdraznnintenzivn"/>
          <w:b w:val="0"/>
          <w:bCs w:val="0"/>
          <w:i w:val="0"/>
          <w:iCs w:val="0"/>
          <w:color w:val="auto"/>
        </w:rPr>
      </w:pPr>
      <w:r>
        <w:t xml:space="preserve">volné </w:t>
      </w:r>
      <w:r w:rsidR="00543A69">
        <w:t>pracovní míst</w:t>
      </w:r>
      <w:r>
        <w:t>o (</w:t>
      </w:r>
      <w:r w:rsidR="00543A69">
        <w:t>míst</w:t>
      </w:r>
      <w:r>
        <w:t>a</w:t>
      </w:r>
      <w:r w:rsidR="00543A69">
        <w:t>) vhodné pro odbornou praxi</w:t>
      </w:r>
    </w:p>
    <w:p w:rsidR="00A82ABE" w:rsidRPr="000453BD" w:rsidRDefault="006403C5" w:rsidP="001258E6">
      <w:pPr>
        <w:pStyle w:val="Nadpis1"/>
        <w:rPr>
          <w:rStyle w:val="Zdraznnintenzivn"/>
          <w:b/>
          <w:bCs/>
          <w:i w:val="0"/>
          <w:iCs w:val="0"/>
          <w:color w:val="365F91" w:themeColor="accent1" w:themeShade="BF"/>
        </w:rPr>
      </w:pPr>
      <w:r>
        <w:rPr>
          <w:rStyle w:val="Zdraznnintenzivn"/>
          <w:b/>
          <w:bCs/>
          <w:i w:val="0"/>
          <w:iCs w:val="0"/>
          <w:color w:val="365F91" w:themeColor="accent1" w:themeShade="BF"/>
        </w:rPr>
        <w:t xml:space="preserve">Specifikace </w:t>
      </w:r>
      <w:r w:rsidR="00A82ABE" w:rsidRPr="000453BD">
        <w:rPr>
          <w:rStyle w:val="Zdraznnintenzivn"/>
          <w:b/>
          <w:bCs/>
          <w:i w:val="0"/>
          <w:iCs w:val="0"/>
          <w:color w:val="365F91" w:themeColor="accent1" w:themeShade="BF"/>
        </w:rPr>
        <w:t>nástrojů aktivní politiky zaměstnanosti</w:t>
      </w:r>
      <w:r w:rsidR="0007636C">
        <w:rPr>
          <w:rStyle w:val="Zdraznnintenzivn"/>
          <w:b/>
          <w:bCs/>
          <w:i w:val="0"/>
          <w:iCs w:val="0"/>
          <w:color w:val="365F91" w:themeColor="accent1" w:themeShade="BF"/>
        </w:rPr>
        <w:t xml:space="preserve"> (APZ)</w:t>
      </w:r>
      <w:r w:rsidR="00A82ABE" w:rsidRPr="000453BD">
        <w:rPr>
          <w:rStyle w:val="Zdraznnintenzivn"/>
          <w:b/>
          <w:bCs/>
          <w:i w:val="0"/>
          <w:iCs w:val="0"/>
          <w:color w:val="365F91" w:themeColor="accent1" w:themeShade="BF"/>
        </w:rPr>
        <w:t xml:space="preserve"> využívané v rámci projektu</w:t>
      </w:r>
    </w:p>
    <w:p w:rsidR="00A82ABE" w:rsidRPr="00A937FA" w:rsidRDefault="00BB6D80" w:rsidP="001258E6">
      <w:pPr>
        <w:pStyle w:val="Nadpis2"/>
      </w:pPr>
      <w:r>
        <w:t>Práce na zkoušku (k</w:t>
      </w:r>
      <w:r w:rsidR="00A82ABE" w:rsidRPr="00A937FA">
        <w:t>rátkodobá pracov</w:t>
      </w:r>
      <w:r>
        <w:t>ní příležitost</w:t>
      </w:r>
      <w:r w:rsidR="00A82ABE">
        <w:t>)</w:t>
      </w:r>
    </w:p>
    <w:p w:rsidR="002B07AF" w:rsidRDefault="00A82ABE" w:rsidP="001A6730">
      <w:pPr>
        <w:spacing w:line="240" w:lineRule="auto"/>
        <w:jc w:val="both"/>
      </w:pPr>
      <w:r w:rsidRPr="002E2D5C">
        <w:t xml:space="preserve">Krátkodobé zaměstnávání je definováno v ustanovení § 25 odst. 6 zákona o zaměstnanosti. </w:t>
      </w:r>
      <w:r w:rsidR="00BB6D80">
        <w:t xml:space="preserve">Uchazeč </w:t>
      </w:r>
      <w:r w:rsidR="005A4678">
        <w:t xml:space="preserve">o zaměstnání (UoZ) </w:t>
      </w:r>
      <w:r w:rsidR="00BB6D80">
        <w:t xml:space="preserve">zůstává v průběhu celé práce na zkoušku nadále v evidenci ÚP ČR. </w:t>
      </w:r>
      <w:r w:rsidRPr="002E2D5C">
        <w:t>Tento nástroj bude poskytován v případě, že si účastník projektu bude chtít nejdříve vyzkoušet práci u zaměstnavatele, příp. zaměstnavatel si bude chtít vyzkoušet svého budoucího zaměstnance. Jde pouze o možnost a předpokládáme, že bude využíváno v menší míře. Využití tohoto nástroje nezavírá zaměstnavateli možnost využít dalších nástrojů.</w:t>
      </w:r>
      <w:r>
        <w:t xml:space="preserve"> </w:t>
      </w:r>
      <w:r w:rsidR="0007636C">
        <w:t>Příspěvek lze získat na základě Žádosti o vyhrazení společensky účelného pracovního místa (SÚPM) – Práce na zkoušku, která se předkládá na vybraných kontaktních pracovišítích ÚP ČR v Kraji Vysočina a musí být schválena komisí APZ příslušného vybraného kontaktního pracoviště. Po schválení žádosti je se zaměstnavatelem uzavírána Dohoda o poskytnutí příspěvku</w:t>
      </w:r>
      <w:r w:rsidR="00E2788D">
        <w:t xml:space="preserve">. Dohoda bude mít náležitosti uvedené v ustanovení </w:t>
      </w:r>
      <w:r w:rsidR="00E2788D" w:rsidRPr="002E2D5C">
        <w:t>§ 119 zákona o zaměstnanosti</w:t>
      </w:r>
      <w:r w:rsidR="00E2788D">
        <w:t xml:space="preserve"> a na uzavření není právní nárok.</w:t>
      </w:r>
    </w:p>
    <w:p w:rsidR="00C77F94" w:rsidRPr="00C77F94" w:rsidRDefault="00C77F94" w:rsidP="00BB4781">
      <w:pPr>
        <w:spacing w:after="120" w:line="240" w:lineRule="auto"/>
        <w:jc w:val="both"/>
        <w:rPr>
          <w:b/>
        </w:rPr>
      </w:pPr>
      <w:r w:rsidRPr="00C77F94">
        <w:rPr>
          <w:b/>
        </w:rPr>
        <w:t>Specifikace 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5"/>
      </w:tblGrid>
      <w:tr w:rsidR="00C77F94" w:rsidTr="00C77F94">
        <w:tc>
          <w:tcPr>
            <w:tcW w:w="2093" w:type="dxa"/>
          </w:tcPr>
          <w:p w:rsidR="00C77F94" w:rsidRDefault="00C77F94" w:rsidP="001A6730">
            <w:pPr>
              <w:jc w:val="both"/>
            </w:pPr>
            <w:r>
              <w:t xml:space="preserve">Název: </w:t>
            </w:r>
          </w:p>
        </w:tc>
        <w:tc>
          <w:tcPr>
            <w:tcW w:w="7119" w:type="dxa"/>
          </w:tcPr>
          <w:p w:rsidR="00C77F94" w:rsidRDefault="00C77F94" w:rsidP="001A6730">
            <w:pPr>
              <w:jc w:val="both"/>
            </w:pPr>
            <w:r>
              <w:t>S</w:t>
            </w:r>
            <w:r w:rsidR="00D372BE">
              <w:t>ÚPM</w:t>
            </w:r>
            <w:r>
              <w:t xml:space="preserve"> – Práce na zkoušku</w:t>
            </w:r>
          </w:p>
        </w:tc>
      </w:tr>
      <w:tr w:rsidR="00C77F94" w:rsidTr="00C77F94">
        <w:tc>
          <w:tcPr>
            <w:tcW w:w="2093" w:type="dxa"/>
          </w:tcPr>
          <w:p w:rsidR="00C77F94" w:rsidRDefault="00C77F94" w:rsidP="001A6730">
            <w:pPr>
              <w:jc w:val="both"/>
            </w:pPr>
            <w:r>
              <w:t>Výše:</w:t>
            </w:r>
          </w:p>
        </w:tc>
        <w:tc>
          <w:tcPr>
            <w:tcW w:w="7119" w:type="dxa"/>
          </w:tcPr>
          <w:p w:rsidR="00C77F94" w:rsidRDefault="00C77F94" w:rsidP="001A6730">
            <w:pPr>
              <w:jc w:val="both"/>
            </w:pPr>
            <w:r>
              <w:t xml:space="preserve">max. </w:t>
            </w:r>
            <w:r w:rsidR="00474A2C">
              <w:t>10</w:t>
            </w:r>
            <w:r>
              <w:t xml:space="preserve"> 000,- </w:t>
            </w:r>
            <w:r w:rsidR="00E57708">
              <w:t xml:space="preserve">Kč </w:t>
            </w:r>
            <w:r>
              <w:t>(</w:t>
            </w:r>
            <w:r w:rsidR="005A4678">
              <w:t>UoZ</w:t>
            </w:r>
            <w:r>
              <w:t xml:space="preserve"> se středním a nižším vzděláním)</w:t>
            </w:r>
          </w:p>
          <w:p w:rsidR="00C77F94" w:rsidRDefault="00C77F94" w:rsidP="001A6730">
            <w:pPr>
              <w:jc w:val="both"/>
            </w:pPr>
            <w:r>
              <w:t xml:space="preserve">max. </w:t>
            </w:r>
            <w:r w:rsidR="00474A2C">
              <w:t>12</w:t>
            </w:r>
            <w:r>
              <w:t> </w:t>
            </w:r>
            <w:r w:rsidR="00474A2C">
              <w:t>0</w:t>
            </w:r>
            <w:r>
              <w:t>00,</w:t>
            </w:r>
            <w:r w:rsidR="005A4678">
              <w:t>-</w:t>
            </w:r>
            <w:r w:rsidR="00E57708">
              <w:t xml:space="preserve"> Kč</w:t>
            </w:r>
            <w:r w:rsidR="005A4678">
              <w:t xml:space="preserve"> (UoZ</w:t>
            </w:r>
            <w:r>
              <w:t xml:space="preserve"> s vysokoškoským vzděláním)</w:t>
            </w:r>
          </w:p>
        </w:tc>
      </w:tr>
      <w:tr w:rsidR="00BB3A21" w:rsidTr="00C77F94">
        <w:tc>
          <w:tcPr>
            <w:tcW w:w="2093" w:type="dxa"/>
          </w:tcPr>
          <w:p w:rsidR="00BB3A21" w:rsidRDefault="00BB3A21" w:rsidP="001A6730">
            <w:pPr>
              <w:jc w:val="both"/>
            </w:pPr>
            <w:r>
              <w:t>Výpočet výše:</w:t>
            </w:r>
          </w:p>
        </w:tc>
        <w:tc>
          <w:tcPr>
            <w:tcW w:w="7119" w:type="dxa"/>
          </w:tcPr>
          <w:p w:rsidR="00BB3A21" w:rsidRDefault="00E57708" w:rsidP="001A6730">
            <w:pPr>
              <w:jc w:val="both"/>
            </w:pPr>
            <w:r>
              <w:t>dle skutečně vynaložených mzdových nákladů, tj. superhrubé mzdy</w:t>
            </w:r>
          </w:p>
        </w:tc>
      </w:tr>
      <w:tr w:rsidR="00C77F94" w:rsidTr="00C77F94">
        <w:tc>
          <w:tcPr>
            <w:tcW w:w="2093" w:type="dxa"/>
          </w:tcPr>
          <w:p w:rsidR="00C77F94" w:rsidRDefault="00C77F94" w:rsidP="001A6730">
            <w:pPr>
              <w:jc w:val="both"/>
            </w:pPr>
            <w:r>
              <w:t xml:space="preserve">Délka poskytování: </w:t>
            </w:r>
          </w:p>
        </w:tc>
        <w:tc>
          <w:tcPr>
            <w:tcW w:w="7119" w:type="dxa"/>
          </w:tcPr>
          <w:p w:rsidR="00C77F94" w:rsidRDefault="00C77F94" w:rsidP="001A6730">
            <w:pPr>
              <w:jc w:val="both"/>
            </w:pPr>
            <w:r>
              <w:t>max. 3 měsíce</w:t>
            </w:r>
          </w:p>
        </w:tc>
      </w:tr>
      <w:tr w:rsidR="00C77F94" w:rsidTr="00C77F94">
        <w:tc>
          <w:tcPr>
            <w:tcW w:w="2093" w:type="dxa"/>
          </w:tcPr>
          <w:p w:rsidR="00C77F94" w:rsidRDefault="00C77F94" w:rsidP="001A6730">
            <w:pPr>
              <w:jc w:val="both"/>
            </w:pPr>
            <w:r>
              <w:t>Podmínka:</w:t>
            </w:r>
          </w:p>
        </w:tc>
        <w:tc>
          <w:tcPr>
            <w:tcW w:w="7119" w:type="dxa"/>
          </w:tcPr>
          <w:p w:rsidR="00C77F94" w:rsidRDefault="00BB4781" w:rsidP="001A6730">
            <w:pPr>
              <w:jc w:val="both"/>
            </w:pPr>
            <w:r>
              <w:t>Zaměstnavatel uzavře prac.</w:t>
            </w:r>
            <w:r w:rsidR="00C77F94">
              <w:t xml:space="preserve"> smlouvu s max. úvazkem 0,5</w:t>
            </w:r>
            <w:r>
              <w:t xml:space="preserve"> a max.</w:t>
            </w:r>
            <w:r w:rsidR="00A831C3">
              <w:t xml:space="preserve"> na dobu 3 měsíců.</w:t>
            </w:r>
            <w:r w:rsidR="00E57708">
              <w:t xml:space="preserve"> V případě,</w:t>
            </w:r>
            <w:r>
              <w:t xml:space="preserve"> že prac.</w:t>
            </w:r>
            <w:r w:rsidR="00E57708">
              <w:t xml:space="preserve"> úvazek bude kratší, než pol</w:t>
            </w:r>
            <w:r>
              <w:t>ovina stanovené týdenní prac.</w:t>
            </w:r>
            <w:r w:rsidR="00E57708">
              <w:t xml:space="preserve"> doby, sjednaná měsíční výše příspěvku se poměrně krátí ve vztahu k délce </w:t>
            </w:r>
            <w:r>
              <w:t>prac.</w:t>
            </w:r>
            <w:r w:rsidR="00E57708">
              <w:t xml:space="preserve"> úvazku.</w:t>
            </w:r>
          </w:p>
        </w:tc>
      </w:tr>
      <w:tr w:rsidR="001A4827" w:rsidTr="00C77F94">
        <w:tc>
          <w:tcPr>
            <w:tcW w:w="2093" w:type="dxa"/>
          </w:tcPr>
          <w:p w:rsidR="001A4827" w:rsidRDefault="001A4827" w:rsidP="00636D39">
            <w:pPr>
              <w:jc w:val="both"/>
            </w:pPr>
            <w:r>
              <w:t>Obsazování místa:</w:t>
            </w:r>
          </w:p>
        </w:tc>
        <w:tc>
          <w:tcPr>
            <w:tcW w:w="7119" w:type="dxa"/>
          </w:tcPr>
          <w:p w:rsidR="001A4827" w:rsidRDefault="001A4827" w:rsidP="00636D39">
            <w:pPr>
              <w:jc w:val="both"/>
            </w:pPr>
            <w:r>
              <w:t>vždy od 1. dne v měsíci či od prvního pracovního dne v měsíci</w:t>
            </w:r>
          </w:p>
        </w:tc>
      </w:tr>
    </w:tbl>
    <w:p w:rsidR="00297D30" w:rsidRDefault="00297D30" w:rsidP="00297D30">
      <w:pPr>
        <w:pStyle w:val="Nadpis2"/>
        <w:spacing w:before="0"/>
      </w:pPr>
    </w:p>
    <w:p w:rsidR="00A82ABE" w:rsidRPr="002C03EB" w:rsidRDefault="00BB6D80" w:rsidP="001258E6">
      <w:pPr>
        <w:pStyle w:val="Nadpis2"/>
      </w:pPr>
      <w:r>
        <w:t>Odborná</w:t>
      </w:r>
      <w:r w:rsidR="00A82ABE" w:rsidRPr="002C03EB">
        <w:t xml:space="preserve"> praxe</w:t>
      </w:r>
      <w:r w:rsidR="00034B6A">
        <w:t xml:space="preserve"> </w:t>
      </w:r>
    </w:p>
    <w:p w:rsidR="0079447E" w:rsidRDefault="00A82ABE" w:rsidP="007B45B5">
      <w:pPr>
        <w:spacing w:line="240" w:lineRule="auto"/>
        <w:jc w:val="both"/>
      </w:pPr>
      <w:r w:rsidRPr="002E2D5C">
        <w:t>Odborné praxe budou probíhat u vybraných zaměstnavatelů, které vytipovali odb. pracovníci, příp.</w:t>
      </w:r>
      <w:r>
        <w:t xml:space="preserve"> </w:t>
      </w:r>
      <w:r w:rsidRPr="002E2D5C">
        <w:t>sami účastní</w:t>
      </w:r>
      <w:r>
        <w:t>ci p</w:t>
      </w:r>
      <w:r w:rsidR="00BB3A21">
        <w:t>rojektu</w:t>
      </w:r>
      <w:r>
        <w:t xml:space="preserve">. </w:t>
      </w:r>
      <w:r w:rsidR="001A4827">
        <w:t>Příspěvek lze získat na základě Žádosti o vyhrazení společensky účelného pracovního místa (SÚPM) – Odborná praxe, která se předkládá na vybraných kontaktních pracovišítích ÚP ČR v Kraji Vysočina a musí být schválena komisí APZ příslušného vybraného kontaktního pracoviště. Po schválení žádosti je se zaměstnavatelem uzavírána Dohoda o poskytnutí příspěvku. Na uzavření dohody není právní nárok.</w:t>
      </w:r>
      <w:r w:rsidRPr="002E2D5C">
        <w:t xml:space="preserve"> Součástí každé dohody bude plán, obsah a harmonogram odborné praxe, který stanoví cíle pro účastníka i zaměstnavatele, kterých se má praxí dosáhnout. Za plnění plánu bude odpovědný zaměstnavatel či mentor zaměstnavatele</w:t>
      </w:r>
      <w:r w:rsidR="00F63570">
        <w:t xml:space="preserve"> (viz příspěvek na mentora</w:t>
      </w:r>
      <w:r w:rsidR="001A4827">
        <w:t>).</w:t>
      </w:r>
      <w:r>
        <w:t xml:space="preserve"> </w:t>
      </w:r>
      <w:r w:rsidRPr="002E2D5C">
        <w:t xml:space="preserve">Praxe bude možné realizovat jak u zaměstnavatelů v soukromé sféře, tak u zaměstnavatelů ve veřejné správě s výjimkou organizačních složek státu a státních příspěvkových organizací (jsou vyloučeni na základě § 107 odst. 2 zákona o zaměstnanosti), přičemž počet praxí resp. pracovních míst ve veřejné správě nepřekročí 49% z celkového počtu praxí. </w:t>
      </w:r>
      <w:r w:rsidR="00781CD1" w:rsidRPr="007A74E1">
        <w:rPr>
          <w:b/>
        </w:rPr>
        <w:t>Odborné praxe nebude možné realizovat u zaměstnavatelů, u kterých uchazeč o zaměstnání pracoval na nekolidujícím zaměstnání</w:t>
      </w:r>
      <w:r w:rsidR="00DE03C1" w:rsidRPr="007A74E1">
        <w:rPr>
          <w:b/>
        </w:rPr>
        <w:t xml:space="preserve"> v měsíci podání žádosti a v období šesti měsíců před měsícem, ve kterém byla žádost podána</w:t>
      </w:r>
      <w:r w:rsidR="00DE03C1">
        <w:rPr>
          <w:b/>
        </w:rPr>
        <w:t>,</w:t>
      </w:r>
      <w:r w:rsidR="00DE03C1" w:rsidRPr="007A74E1">
        <w:rPr>
          <w:b/>
        </w:rPr>
        <w:t xml:space="preserve"> a</w:t>
      </w:r>
      <w:r w:rsidR="00DE03C1">
        <w:rPr>
          <w:b/>
        </w:rPr>
        <w:t xml:space="preserve"> zároveň</w:t>
      </w:r>
      <w:r w:rsidR="00DE03C1" w:rsidRPr="007A74E1">
        <w:rPr>
          <w:b/>
        </w:rPr>
        <w:t xml:space="preserve"> délka nekolidujícího zaměstnání je nebo byla v souhrnu </w:t>
      </w:r>
      <w:r w:rsidR="00DE03C1">
        <w:rPr>
          <w:b/>
        </w:rPr>
        <w:t>ke dni podání žádosti delší</w:t>
      </w:r>
      <w:r w:rsidR="00DE03C1" w:rsidRPr="007A74E1">
        <w:rPr>
          <w:b/>
        </w:rPr>
        <w:t xml:space="preserve"> než tři měsíce.</w:t>
      </w:r>
    </w:p>
    <w:p w:rsidR="00E57708" w:rsidRPr="00C77F94" w:rsidRDefault="00E57708" w:rsidP="00E57708">
      <w:pPr>
        <w:spacing w:line="240" w:lineRule="auto"/>
        <w:jc w:val="both"/>
        <w:rPr>
          <w:b/>
        </w:rPr>
      </w:pPr>
      <w:r w:rsidRPr="00C77F94">
        <w:rPr>
          <w:b/>
        </w:rPr>
        <w:t>Specifikace 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5"/>
      </w:tblGrid>
      <w:tr w:rsidR="00E57708" w:rsidTr="00636D39">
        <w:tc>
          <w:tcPr>
            <w:tcW w:w="2093" w:type="dxa"/>
          </w:tcPr>
          <w:p w:rsidR="00E57708" w:rsidRDefault="00E57708" w:rsidP="00636D39">
            <w:pPr>
              <w:jc w:val="both"/>
            </w:pPr>
            <w:r>
              <w:t xml:space="preserve">Název: </w:t>
            </w:r>
          </w:p>
        </w:tc>
        <w:tc>
          <w:tcPr>
            <w:tcW w:w="7119" w:type="dxa"/>
          </w:tcPr>
          <w:p w:rsidR="00E57708" w:rsidRDefault="00E57708" w:rsidP="00636D39">
            <w:pPr>
              <w:jc w:val="both"/>
            </w:pPr>
            <w:r>
              <w:t>SÚPM – odborná praxe</w:t>
            </w:r>
          </w:p>
        </w:tc>
      </w:tr>
      <w:tr w:rsidR="00E57708" w:rsidTr="00636D39">
        <w:tc>
          <w:tcPr>
            <w:tcW w:w="2093" w:type="dxa"/>
          </w:tcPr>
          <w:p w:rsidR="00E57708" w:rsidRDefault="00E57708" w:rsidP="00636D39">
            <w:pPr>
              <w:jc w:val="both"/>
            </w:pPr>
            <w:r>
              <w:t>Výše:</w:t>
            </w:r>
          </w:p>
        </w:tc>
        <w:tc>
          <w:tcPr>
            <w:tcW w:w="7119" w:type="dxa"/>
          </w:tcPr>
          <w:p w:rsidR="00E57708" w:rsidRDefault="00E57708" w:rsidP="00807326">
            <w:pPr>
              <w:jc w:val="both"/>
            </w:pPr>
            <w:r>
              <w:t>max. 1</w:t>
            </w:r>
            <w:r w:rsidR="00807326">
              <w:t>3</w:t>
            </w:r>
            <w:r>
              <w:t> 000,- Kč</w:t>
            </w:r>
          </w:p>
        </w:tc>
      </w:tr>
      <w:tr w:rsidR="00E57708" w:rsidTr="00636D39">
        <w:tc>
          <w:tcPr>
            <w:tcW w:w="2093" w:type="dxa"/>
          </w:tcPr>
          <w:p w:rsidR="00E57708" w:rsidRDefault="00E57708" w:rsidP="00636D39">
            <w:pPr>
              <w:jc w:val="both"/>
            </w:pPr>
            <w:r>
              <w:t>Výpočet výše:</w:t>
            </w:r>
          </w:p>
        </w:tc>
        <w:tc>
          <w:tcPr>
            <w:tcW w:w="7119" w:type="dxa"/>
          </w:tcPr>
          <w:p w:rsidR="00921800" w:rsidRDefault="00921800" w:rsidP="00636D39">
            <w:pPr>
              <w:jc w:val="both"/>
            </w:pPr>
            <w:r w:rsidRPr="00921800">
              <w:t xml:space="preserve">procentní sazba ze skutečně vynaložených prostředků na mzdy nebo platy vč. pojistného na sociální zabezpečení a příspěvku na státní politiku zaměstnanosti a pojistného na veřejné zdravotní pojištění, maximálně však do 100 %  těchto nákladů a stanovené maximální výše příspěvku – </w:t>
            </w:r>
            <w:r w:rsidRPr="00962B7A">
              <w:rPr>
                <w:b/>
              </w:rPr>
              <w:t>kombinací</w:t>
            </w:r>
            <w:r w:rsidRPr="00921800">
              <w:t xml:space="preserve"> </w:t>
            </w:r>
            <w:r w:rsidRPr="00962B7A">
              <w:rPr>
                <w:b/>
              </w:rPr>
              <w:t>doby vedení uchazeče o zaměstnání v evidenci u</w:t>
            </w:r>
            <w:r w:rsidR="0023388A" w:rsidRPr="00962B7A">
              <w:rPr>
                <w:b/>
              </w:rPr>
              <w:t>chazečů a jeho znevýhodnění</w:t>
            </w:r>
          </w:p>
        </w:tc>
      </w:tr>
      <w:tr w:rsidR="00E57708" w:rsidTr="00636D39">
        <w:tc>
          <w:tcPr>
            <w:tcW w:w="2093" w:type="dxa"/>
          </w:tcPr>
          <w:p w:rsidR="00E57708" w:rsidRDefault="00E57708" w:rsidP="00636D39">
            <w:pPr>
              <w:jc w:val="both"/>
            </w:pPr>
            <w:r>
              <w:t xml:space="preserve">Délka poskytování: </w:t>
            </w:r>
          </w:p>
        </w:tc>
        <w:tc>
          <w:tcPr>
            <w:tcW w:w="7119" w:type="dxa"/>
          </w:tcPr>
          <w:p w:rsidR="00E57708" w:rsidRDefault="00FE761B" w:rsidP="00636D39">
            <w:pPr>
              <w:jc w:val="both"/>
            </w:pPr>
            <w:r>
              <w:t>min. 6 měsíců a max. 12 měsíců</w:t>
            </w:r>
          </w:p>
        </w:tc>
      </w:tr>
      <w:tr w:rsidR="00E57708" w:rsidTr="00636D39">
        <w:tc>
          <w:tcPr>
            <w:tcW w:w="2093" w:type="dxa"/>
          </w:tcPr>
          <w:p w:rsidR="00E57708" w:rsidRDefault="00E57708" w:rsidP="00636D39">
            <w:pPr>
              <w:jc w:val="both"/>
            </w:pPr>
            <w:r>
              <w:t>Podmínka:</w:t>
            </w:r>
          </w:p>
        </w:tc>
        <w:tc>
          <w:tcPr>
            <w:tcW w:w="7119" w:type="dxa"/>
          </w:tcPr>
          <w:p w:rsidR="00E57708" w:rsidRDefault="00E57708" w:rsidP="00636D39">
            <w:pPr>
              <w:jc w:val="both"/>
            </w:pPr>
            <w:r>
              <w:t>V </w:t>
            </w:r>
            <w:r w:rsidR="00FE761B">
              <w:t xml:space="preserve">případě zkráceného </w:t>
            </w:r>
            <w:r>
              <w:t>pracovní</w:t>
            </w:r>
            <w:r w:rsidR="00FE761B">
              <w:t>ho úvaz</w:t>
            </w:r>
            <w:r>
              <w:t>k</w:t>
            </w:r>
            <w:r w:rsidR="00FE761B">
              <w:t xml:space="preserve">u bude </w:t>
            </w:r>
            <w:r>
              <w:t>sje</w:t>
            </w:r>
            <w:r w:rsidR="00FE761B">
              <w:t xml:space="preserve">dnaná měsíční výše příspěvku </w:t>
            </w:r>
            <w:r>
              <w:t xml:space="preserve">poměrně </w:t>
            </w:r>
            <w:r w:rsidR="00FE761B">
              <w:t>zkrácena</w:t>
            </w:r>
            <w:r>
              <w:t>.</w:t>
            </w:r>
          </w:p>
        </w:tc>
      </w:tr>
      <w:tr w:rsidR="001A4827" w:rsidTr="00636D39">
        <w:tc>
          <w:tcPr>
            <w:tcW w:w="2093" w:type="dxa"/>
          </w:tcPr>
          <w:p w:rsidR="001A4827" w:rsidRDefault="001A4827" w:rsidP="00636D39">
            <w:pPr>
              <w:jc w:val="both"/>
            </w:pPr>
            <w:r>
              <w:t>Obsazování místa:</w:t>
            </w:r>
          </w:p>
        </w:tc>
        <w:tc>
          <w:tcPr>
            <w:tcW w:w="7119" w:type="dxa"/>
          </w:tcPr>
          <w:p w:rsidR="001A4827" w:rsidRDefault="001A4827" w:rsidP="00636D39">
            <w:pPr>
              <w:jc w:val="both"/>
            </w:pPr>
            <w:r>
              <w:t>vždy od 1. dne v měsíci či od prvního pracovního dne v měsíci</w:t>
            </w:r>
          </w:p>
        </w:tc>
      </w:tr>
    </w:tbl>
    <w:p w:rsidR="00E57708" w:rsidRDefault="00E57708" w:rsidP="00132AD0">
      <w:pPr>
        <w:pStyle w:val="Nadpis2"/>
        <w:spacing w:before="0"/>
      </w:pPr>
    </w:p>
    <w:p w:rsidR="00B50DCF" w:rsidRPr="0079447E" w:rsidRDefault="00B50DCF" w:rsidP="00132AD0">
      <w:pPr>
        <w:pStyle w:val="Nadpis2"/>
        <w:spacing w:before="0"/>
      </w:pPr>
    </w:p>
    <w:p w:rsidR="00946114" w:rsidRDefault="00F63570" w:rsidP="00132AD0">
      <w:pPr>
        <w:pStyle w:val="Nadpis2"/>
        <w:spacing w:before="0"/>
      </w:pPr>
      <w:r>
        <w:t>Příspěvek na mentora</w:t>
      </w:r>
    </w:p>
    <w:p w:rsidR="00B50DCF" w:rsidRDefault="00AD3881" w:rsidP="00F63570">
      <w:pPr>
        <w:spacing w:line="240" w:lineRule="auto"/>
        <w:jc w:val="both"/>
      </w:pPr>
      <w:r>
        <w:t xml:space="preserve">Mentor </w:t>
      </w:r>
      <w:r w:rsidRPr="002E2D5C">
        <w:t>bude věnovat předem definovanou část své pracovní doby zaučování a zaškolování účastníka praxe.</w:t>
      </w:r>
      <w:r>
        <w:t xml:space="preserve"> Mentor musí být kmenový zaměstnanec v pracovním poměru u zaměstnavatele minimálně 6 měsíců. Jeho odbornost musí odpovídat oblasti vykonávané odborné praxi účastníkem praxe</w:t>
      </w:r>
      <w:r w:rsidRPr="00DD009C">
        <w:rPr>
          <w:b/>
        </w:rPr>
        <w:t xml:space="preserve">. </w:t>
      </w:r>
      <w:r w:rsidR="00F63570" w:rsidRPr="00DD009C">
        <w:rPr>
          <w:b/>
        </w:rPr>
        <w:t>O</w:t>
      </w:r>
      <w:r w:rsidR="009A5BDD" w:rsidRPr="00DD009C">
        <w:rPr>
          <w:b/>
        </w:rPr>
        <w:t xml:space="preserve"> tento příspěvek lze požádat pouze</w:t>
      </w:r>
      <w:r w:rsidR="00F63570" w:rsidRPr="00DD009C">
        <w:rPr>
          <w:b/>
        </w:rPr>
        <w:t xml:space="preserve"> současně s</w:t>
      </w:r>
      <w:r w:rsidR="00DB7A1B" w:rsidRPr="00DD009C">
        <w:rPr>
          <w:b/>
        </w:rPr>
        <w:t xml:space="preserve"> předkládanou</w:t>
      </w:r>
      <w:r w:rsidR="00F63570" w:rsidRPr="00DD009C">
        <w:rPr>
          <w:b/>
        </w:rPr>
        <w:t> žádostí o příspěvek na vyhrazení SÚPM – odborná praxe.</w:t>
      </w:r>
      <w:r w:rsidR="00F63570">
        <w:t xml:space="preserve"> </w:t>
      </w:r>
      <w:r w:rsidR="00DB7A1B">
        <w:t>Po schválení žádosti je se zaměstnavatelem uzavírána Dohoda o poskytnutí příspěvku. Na uzavření dohody není právní nárok.</w:t>
      </w:r>
    </w:p>
    <w:p w:rsidR="00B0499F" w:rsidRPr="00C77F94" w:rsidRDefault="00B0499F" w:rsidP="00B0499F">
      <w:pPr>
        <w:spacing w:line="240" w:lineRule="auto"/>
        <w:jc w:val="both"/>
        <w:rPr>
          <w:b/>
        </w:rPr>
      </w:pPr>
      <w:r w:rsidRPr="00C77F94">
        <w:rPr>
          <w:b/>
        </w:rPr>
        <w:t>Specifikace 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5"/>
      </w:tblGrid>
      <w:tr w:rsidR="00B0499F" w:rsidTr="00636D39">
        <w:tc>
          <w:tcPr>
            <w:tcW w:w="2093" w:type="dxa"/>
          </w:tcPr>
          <w:p w:rsidR="00B0499F" w:rsidRDefault="00B0499F" w:rsidP="00636D39">
            <w:pPr>
              <w:jc w:val="both"/>
            </w:pPr>
            <w:r>
              <w:t xml:space="preserve">Název: </w:t>
            </w:r>
          </w:p>
        </w:tc>
        <w:tc>
          <w:tcPr>
            <w:tcW w:w="7119" w:type="dxa"/>
          </w:tcPr>
          <w:p w:rsidR="00B0499F" w:rsidRDefault="00B0499F" w:rsidP="00636D39">
            <w:pPr>
              <w:jc w:val="both"/>
            </w:pPr>
            <w:r>
              <w:t>Příspěvek na úhradu mzdových nákladů mentora</w:t>
            </w:r>
          </w:p>
        </w:tc>
      </w:tr>
      <w:tr w:rsidR="00B0499F" w:rsidTr="00636D39">
        <w:tc>
          <w:tcPr>
            <w:tcW w:w="2093" w:type="dxa"/>
          </w:tcPr>
          <w:p w:rsidR="00B0499F" w:rsidRDefault="00B0499F" w:rsidP="00636D39">
            <w:pPr>
              <w:jc w:val="both"/>
            </w:pPr>
            <w:r>
              <w:t>Výše:</w:t>
            </w:r>
          </w:p>
        </w:tc>
        <w:tc>
          <w:tcPr>
            <w:tcW w:w="7119" w:type="dxa"/>
          </w:tcPr>
          <w:p w:rsidR="00B0499F" w:rsidRDefault="00855F9B" w:rsidP="00636D39">
            <w:pPr>
              <w:jc w:val="both"/>
            </w:pPr>
            <w:r>
              <w:t>max. 1</w:t>
            </w:r>
            <w:r w:rsidR="00474A2C">
              <w:t>98</w:t>
            </w:r>
            <w:r w:rsidR="00AD3881">
              <w:t xml:space="preserve">,- </w:t>
            </w:r>
            <w:r w:rsidR="005C5F90">
              <w:t xml:space="preserve">Kč </w:t>
            </w:r>
            <w:r w:rsidR="00AD3881">
              <w:t>za hodinu</w:t>
            </w:r>
            <w:r w:rsidR="00284272">
              <w:t xml:space="preserve"> při stanovené týdenní prac. době u zaměstnavatele dle § 79 respektive § 80 zákoníku práce</w:t>
            </w:r>
          </w:p>
        </w:tc>
      </w:tr>
      <w:tr w:rsidR="00B0499F" w:rsidTr="00636D39">
        <w:tc>
          <w:tcPr>
            <w:tcW w:w="2093" w:type="dxa"/>
          </w:tcPr>
          <w:p w:rsidR="00B0499F" w:rsidRDefault="00B0499F" w:rsidP="00636D39">
            <w:pPr>
              <w:jc w:val="both"/>
            </w:pPr>
            <w:r>
              <w:t>Výpočet výše:</w:t>
            </w:r>
          </w:p>
        </w:tc>
        <w:tc>
          <w:tcPr>
            <w:tcW w:w="7119" w:type="dxa"/>
          </w:tcPr>
          <w:p w:rsidR="00B0499F" w:rsidRDefault="00B0499F" w:rsidP="00636D39">
            <w:pPr>
              <w:jc w:val="both"/>
            </w:pPr>
            <w:r>
              <w:t>dle skutečně vynaložených mzdových nákladů, tj. superhrubé mzdy</w:t>
            </w:r>
            <w:r w:rsidR="00104A5D">
              <w:t xml:space="preserve"> přepočt</w:t>
            </w:r>
            <w:r w:rsidR="00563015">
              <w:t>e</w:t>
            </w:r>
            <w:r w:rsidR="00104A5D">
              <w:t>né dle odpracovaných hodin</w:t>
            </w:r>
          </w:p>
        </w:tc>
      </w:tr>
      <w:tr w:rsidR="00B0499F" w:rsidTr="00636D39">
        <w:tc>
          <w:tcPr>
            <w:tcW w:w="2093" w:type="dxa"/>
          </w:tcPr>
          <w:p w:rsidR="00B0499F" w:rsidRDefault="00B0499F" w:rsidP="00636D39">
            <w:pPr>
              <w:jc w:val="both"/>
            </w:pPr>
            <w:r>
              <w:t xml:space="preserve">Délka poskytování: </w:t>
            </w:r>
          </w:p>
        </w:tc>
        <w:tc>
          <w:tcPr>
            <w:tcW w:w="7119" w:type="dxa"/>
          </w:tcPr>
          <w:p w:rsidR="00B0499F" w:rsidRDefault="00B0499F" w:rsidP="00636D39">
            <w:pPr>
              <w:jc w:val="both"/>
            </w:pPr>
            <w:r>
              <w:t>4 měsíce</w:t>
            </w:r>
          </w:p>
        </w:tc>
      </w:tr>
      <w:tr w:rsidR="00B0499F" w:rsidTr="00636D39">
        <w:tc>
          <w:tcPr>
            <w:tcW w:w="2093" w:type="dxa"/>
          </w:tcPr>
          <w:p w:rsidR="00B0499F" w:rsidRDefault="00B0499F" w:rsidP="00636D39">
            <w:pPr>
              <w:jc w:val="both"/>
            </w:pPr>
            <w:r>
              <w:t>Podmínka:</w:t>
            </w:r>
          </w:p>
        </w:tc>
        <w:tc>
          <w:tcPr>
            <w:tcW w:w="7119" w:type="dxa"/>
          </w:tcPr>
          <w:p w:rsidR="002D22B7" w:rsidRDefault="002D22B7" w:rsidP="00636D39">
            <w:pPr>
              <w:jc w:val="both"/>
            </w:pPr>
            <w:r w:rsidRPr="002E2D5C">
              <w:t>první 3 měsíce může činit zaškolo</w:t>
            </w:r>
            <w:r>
              <w:t>vání maximálně 15 hodin týdně</w:t>
            </w:r>
          </w:p>
          <w:p w:rsidR="00B0499F" w:rsidRDefault="002D22B7">
            <w:pPr>
              <w:jc w:val="both"/>
            </w:pPr>
            <w:r>
              <w:t xml:space="preserve">4 . měsíc </w:t>
            </w:r>
            <w:r w:rsidRPr="002E2D5C">
              <w:t>může činit zaškolování maximálně 5 hodin týdně</w:t>
            </w:r>
          </w:p>
        </w:tc>
      </w:tr>
    </w:tbl>
    <w:p w:rsidR="00946114" w:rsidRPr="000453BD" w:rsidRDefault="00543A69" w:rsidP="00297D30">
      <w:pPr>
        <w:pStyle w:val="Nadpis1"/>
        <w:spacing w:before="600"/>
        <w:rPr>
          <w:rStyle w:val="Zdraznnintenzivn"/>
          <w:b/>
          <w:bCs/>
          <w:i w:val="0"/>
          <w:iCs w:val="0"/>
          <w:color w:val="365F91" w:themeColor="accent1" w:themeShade="BF"/>
        </w:rPr>
      </w:pPr>
      <w:r w:rsidRPr="000453BD">
        <w:rPr>
          <w:rStyle w:val="Zdraznnintenzivn"/>
          <w:b/>
          <w:bCs/>
          <w:i w:val="0"/>
          <w:iCs w:val="0"/>
          <w:color w:val="365F91" w:themeColor="accent1" w:themeShade="BF"/>
        </w:rPr>
        <w:t xml:space="preserve">Jak se </w:t>
      </w:r>
      <w:r w:rsidR="00B276FD">
        <w:rPr>
          <w:rStyle w:val="Zdraznnintenzivn"/>
          <w:b/>
          <w:bCs/>
          <w:i w:val="0"/>
          <w:iCs w:val="0"/>
          <w:color w:val="365F91" w:themeColor="accent1" w:themeShade="BF"/>
        </w:rPr>
        <w:t xml:space="preserve">mohou zaměstnavatelé </w:t>
      </w:r>
      <w:r w:rsidRPr="000453BD">
        <w:rPr>
          <w:rStyle w:val="Zdraznnintenzivn"/>
          <w:b/>
          <w:bCs/>
          <w:i w:val="0"/>
          <w:iCs w:val="0"/>
          <w:color w:val="365F91" w:themeColor="accent1" w:themeShade="BF"/>
        </w:rPr>
        <w:t>zapojit?</w:t>
      </w:r>
    </w:p>
    <w:p w:rsidR="00E65D3E" w:rsidRPr="0086008F" w:rsidRDefault="00E65D3E" w:rsidP="00C973D3">
      <w:pPr>
        <w:spacing w:line="240" w:lineRule="auto"/>
        <w:jc w:val="both"/>
        <w:rPr>
          <w:b/>
          <w:sz w:val="18"/>
          <w:szCs w:val="18"/>
        </w:rPr>
      </w:pPr>
    </w:p>
    <w:p w:rsidR="00B42354" w:rsidRDefault="00C454D5" w:rsidP="00B42354">
      <w:pPr>
        <w:spacing w:line="240" w:lineRule="auto"/>
        <w:jc w:val="both"/>
      </w:pPr>
      <w:r>
        <w:rPr>
          <w:b/>
        </w:rPr>
        <w:t>V případě zájmu si</w:t>
      </w:r>
      <w:r w:rsidR="00642E21" w:rsidRPr="00266875">
        <w:rPr>
          <w:b/>
        </w:rPr>
        <w:t xml:space="preserve"> zaměstnavatel</w:t>
      </w:r>
      <w:r>
        <w:rPr>
          <w:b/>
        </w:rPr>
        <w:t xml:space="preserve"> stáhne formulář Nabídka pracovního místa a s vyplněným formulářem se</w:t>
      </w:r>
      <w:r w:rsidR="00642E21" w:rsidRPr="00266875">
        <w:rPr>
          <w:b/>
        </w:rPr>
        <w:t xml:space="preserve"> obrací na příslušného odborného pracovníka</w:t>
      </w:r>
      <w:r w:rsidR="00BD1509" w:rsidRPr="00266875">
        <w:rPr>
          <w:b/>
        </w:rPr>
        <w:t xml:space="preserve"> ESF</w:t>
      </w:r>
      <w:r w:rsidR="00E24CD9">
        <w:rPr>
          <w:b/>
        </w:rPr>
        <w:t xml:space="preserve"> pro daný region</w:t>
      </w:r>
      <w:r w:rsidRPr="00C454D5">
        <w:rPr>
          <w:b/>
        </w:rPr>
        <w:t>, příp projek</w:t>
      </w:r>
      <w:r w:rsidR="00B276FD">
        <w:rPr>
          <w:b/>
        </w:rPr>
        <w:t>t</w:t>
      </w:r>
      <w:r w:rsidRPr="00C454D5">
        <w:rPr>
          <w:b/>
        </w:rPr>
        <w:t>ového manažera</w:t>
      </w:r>
      <w:r w:rsidR="00470650" w:rsidRPr="00642E21">
        <w:t>.</w:t>
      </w:r>
      <w:r w:rsidR="00470650">
        <w:t xml:space="preserve"> Odborný pracovník ESF na základě této specifikace informuje zaměstnavatele o reálnosti obsazení místa. Tedy buď lze doporučit z aktuálních účastníků projektu osobu, která je vhodná pro dané pracovní místo</w:t>
      </w:r>
      <w:r w:rsidR="000E4B34">
        <w:t>,</w:t>
      </w:r>
      <w:r w:rsidR="00470650">
        <w:t xml:space="preserve"> nebo doporučit osobu nelze, protože žádná osoba </w:t>
      </w:r>
      <w:r w:rsidR="006838A1">
        <w:t xml:space="preserve">ze stávajících účastníků projektu </w:t>
      </w:r>
      <w:r w:rsidR="00470650">
        <w:t xml:space="preserve">nesplňuje </w:t>
      </w:r>
      <w:r w:rsidR="00820113">
        <w:t>dané podmínky.</w:t>
      </w:r>
      <w:r w:rsidR="006838A1">
        <w:t xml:space="preserve"> Pokud tedy v projektu není vhodná osoba a zaměstnavatel může s obsazením místa ještě počkat, lze při dalším náboru účasníků do projektu zařadit více osob, které by byly vhodné pro dané místo, tak aby</w:t>
      </w:r>
      <w:r w:rsidR="000E4B34">
        <w:t xml:space="preserve"> toto místo mohlo být v budoucnu  obsazeno. Pokud </w:t>
      </w:r>
      <w:r w:rsidR="00283228">
        <w:t>lze doporučit z aktuálních účastníků projektu osobu, která je vhodná pro dané pracovní místo, je doporučen následující postup.</w:t>
      </w:r>
    </w:p>
    <w:p w:rsidR="00642E21" w:rsidRPr="00642E21" w:rsidRDefault="001C70B2" w:rsidP="00642E21">
      <w:pPr>
        <w:pStyle w:val="Nadpis2"/>
      </w:pPr>
      <w:r>
        <w:t>P</w:t>
      </w:r>
      <w:r w:rsidR="00470650">
        <w:t>ostup</w:t>
      </w:r>
      <w:r>
        <w:t xml:space="preserve"> pro předložení žádosti o příspěvek</w:t>
      </w:r>
      <w:r w:rsidR="00642E21" w:rsidRPr="00642E21">
        <w:t xml:space="preserve"> </w:t>
      </w:r>
    </w:p>
    <w:p w:rsidR="00283228" w:rsidRDefault="00283228" w:rsidP="00C973D3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>
        <w:t xml:space="preserve">odborný pracovník ESF doporučí </w:t>
      </w:r>
      <w:r w:rsidR="00470650">
        <w:t>účastníka na dané prac</w:t>
      </w:r>
      <w:r>
        <w:t>ovní místo,</w:t>
      </w:r>
    </w:p>
    <w:p w:rsidR="00AB14DA" w:rsidRDefault="00470650" w:rsidP="00016A05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zaměstnavatel</w:t>
      </w:r>
      <w:r w:rsidR="00DD009C">
        <w:t xml:space="preserve"> si může podat</w:t>
      </w:r>
      <w:r>
        <w:t xml:space="preserve"> </w:t>
      </w:r>
      <w:r w:rsidR="00DD009C">
        <w:t>ž</w:t>
      </w:r>
      <w:r w:rsidRPr="00642E21">
        <w:t>ádost o příspěvek</w:t>
      </w:r>
      <w:r w:rsidR="00DD009C">
        <w:t xml:space="preserve"> (</w:t>
      </w:r>
      <w:r w:rsidRPr="00642E21">
        <w:t xml:space="preserve">na </w:t>
      </w:r>
      <w:r w:rsidR="00AB14DA">
        <w:t>vyhrazení</w:t>
      </w:r>
      <w:r w:rsidR="00DD009C">
        <w:t xml:space="preserve"> SÚPM – práce na zkoušku, na vyhrazení SÚPM – odborná praxe, příp. na mentora) </w:t>
      </w:r>
      <w:r w:rsidRPr="00642E21">
        <w:t>včetně jejíc</w:t>
      </w:r>
      <w:r w:rsidR="00980A4C">
        <w:t>h příloh.</w:t>
      </w:r>
      <w:r w:rsidR="00D621B0">
        <w:t xml:space="preserve"> </w:t>
      </w:r>
      <w:r w:rsidR="00980A4C">
        <w:t>Aktuální formuláře žá</w:t>
      </w:r>
      <w:r w:rsidR="00090C1A">
        <w:t>dostí</w:t>
      </w:r>
      <w:r w:rsidRPr="00642E21">
        <w:t xml:space="preserve"> a jejích příloh </w:t>
      </w:r>
      <w:r w:rsidR="00980A4C">
        <w:t xml:space="preserve">jsou </w:t>
      </w:r>
      <w:r w:rsidRPr="00642E21">
        <w:t xml:space="preserve">dostupné na </w:t>
      </w:r>
      <w:hyperlink r:id="rId9" w:history="1">
        <w:r w:rsidR="00016A05" w:rsidRPr="00320E4C">
          <w:rPr>
            <w:rStyle w:val="Hypertextovodkaz"/>
          </w:rPr>
          <w:t>http://portal.mpsv.cz/upcr/kp/vys/projekty_evropskeho_socialniho_fondu/projekty_v_realizaci/regionalni_individualni_projekty/zaruky_pro_mlade</w:t>
        </w:r>
      </w:hyperlink>
      <w:r w:rsidR="00016A05">
        <w:t xml:space="preserve"> </w:t>
      </w:r>
      <w:r w:rsidRPr="00642E21">
        <w:t>(</w:t>
      </w:r>
      <w:r w:rsidR="003F69EB">
        <w:t>dále jen portál MPSV),</w:t>
      </w:r>
    </w:p>
    <w:p w:rsidR="00CD246E" w:rsidRDefault="00CD246E" w:rsidP="00C973D3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CD246E">
        <w:rPr>
          <w:b/>
        </w:rPr>
        <w:t>Žádost o příspěvek</w:t>
      </w:r>
      <w:r w:rsidR="00A02095">
        <w:rPr>
          <w:b/>
        </w:rPr>
        <w:t xml:space="preserve"> </w:t>
      </w:r>
      <w:r w:rsidR="00A02095" w:rsidRPr="00A02095">
        <w:t>(viz náležitosti)</w:t>
      </w:r>
      <w:r>
        <w:t xml:space="preserve"> je možné předložit prostřednictvím datové schránky nebo v tištěné formě doručit na příslušnou podatelnu kontaktního pracoviště (vhodné je žádost před odevzdáním konzultovat s odborným pracovníkem),</w:t>
      </w:r>
    </w:p>
    <w:p w:rsidR="00CD246E" w:rsidRPr="00B239F9" w:rsidRDefault="00B239F9" w:rsidP="00C973D3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B239F9">
        <w:t xml:space="preserve">po </w:t>
      </w:r>
      <w:r w:rsidR="00CD246E" w:rsidRPr="00B239F9">
        <w:t xml:space="preserve">posouzení úplnosti, formální a věcné správnosti předložené žádosti (vč. příloh), </w:t>
      </w:r>
      <w:r w:rsidRPr="00B239F9">
        <w:t xml:space="preserve">je případně </w:t>
      </w:r>
      <w:r w:rsidR="00CD246E" w:rsidRPr="00B239F9">
        <w:t>žadatel vyzván k doplnění podkladů,</w:t>
      </w:r>
    </w:p>
    <w:p w:rsidR="00CD246E" w:rsidRDefault="00CD246E" w:rsidP="00C973D3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>
        <w:t>pokud žádost splňuje všechny náležitosti je postoupena komisi aktivní politiky zaměstnanosti (APZ),</w:t>
      </w:r>
    </w:p>
    <w:p w:rsidR="00B42354" w:rsidRDefault="00B239F9" w:rsidP="00B83698">
      <w:pPr>
        <w:pStyle w:val="Odstavecseseznamem"/>
        <w:numPr>
          <w:ilvl w:val="0"/>
          <w:numId w:val="5"/>
        </w:numPr>
        <w:spacing w:line="240" w:lineRule="auto"/>
        <w:ind w:left="714" w:hanging="357"/>
        <w:jc w:val="both"/>
      </w:pPr>
      <w:r w:rsidRPr="00B239F9">
        <w:t xml:space="preserve">po </w:t>
      </w:r>
      <w:r w:rsidR="00CD246E" w:rsidRPr="00B239F9">
        <w:t>vyrozumění o výsledku posouzení žádosti</w:t>
      </w:r>
      <w:r w:rsidR="00036042" w:rsidRPr="00B239F9">
        <w:t xml:space="preserve">, </w:t>
      </w:r>
      <w:r w:rsidRPr="00B239F9">
        <w:t xml:space="preserve">je se zaměstnavatelem </w:t>
      </w:r>
      <w:r w:rsidR="00036042" w:rsidRPr="00B239F9">
        <w:t>v pří</w:t>
      </w:r>
      <w:r w:rsidR="00843D0D" w:rsidRPr="00B239F9">
        <w:t>pa</w:t>
      </w:r>
      <w:r w:rsidR="00036042" w:rsidRPr="00B239F9">
        <w:t xml:space="preserve">dě </w:t>
      </w:r>
      <w:r w:rsidRPr="00B239F9">
        <w:t>schvá</w:t>
      </w:r>
      <w:r w:rsidR="00D621B0">
        <w:t xml:space="preserve">lení </w:t>
      </w:r>
      <w:r w:rsidRPr="00B239F9">
        <w:t xml:space="preserve"> </w:t>
      </w:r>
      <w:r w:rsidR="00036042" w:rsidRPr="00B239F9">
        <w:t>uzavřena Dohoda o vyhrazení SÚPM</w:t>
      </w:r>
    </w:p>
    <w:p w:rsidR="00642E21" w:rsidRDefault="00B83698" w:rsidP="00B83698">
      <w:pPr>
        <w:pStyle w:val="Nadpis2"/>
      </w:pPr>
      <w:r>
        <w:t>Náležitosti žádosti o příspěvek</w:t>
      </w:r>
    </w:p>
    <w:p w:rsidR="00B83698" w:rsidRPr="00B83698" w:rsidRDefault="00B83698" w:rsidP="00B83698">
      <w:pPr>
        <w:spacing w:line="240" w:lineRule="auto"/>
        <w:jc w:val="both"/>
      </w:pPr>
      <w:r>
        <w:t>Pro všechny nástroje aktivní politiky zaměstnosti , tedy práce na zkoušku, odborná praxe a mentor, jsou náležitosti společné. K žádosti je nutné doložit tyto přílohy:</w:t>
      </w:r>
    </w:p>
    <w:p w:rsidR="00543A69" w:rsidRPr="00B83698" w:rsidRDefault="00B83698" w:rsidP="00B83698">
      <w:pPr>
        <w:pStyle w:val="Odstavecseseznamem"/>
        <w:numPr>
          <w:ilvl w:val="0"/>
          <w:numId w:val="6"/>
        </w:numPr>
        <w:rPr>
          <w:b/>
        </w:rPr>
      </w:pPr>
      <w:r w:rsidRPr="00B83698">
        <w:rPr>
          <w:b/>
        </w:rPr>
        <w:t>Potvrzení o bezdlužnosti</w:t>
      </w:r>
      <w:r>
        <w:t xml:space="preserve"> (FÚ, OSSZ, CÚ a všech ZP, u kterých jsou pojištěni zaměstnanci) </w:t>
      </w:r>
      <w:r w:rsidRPr="00B83698">
        <w:rPr>
          <w:b/>
        </w:rPr>
        <w:t>nesmí být starší 30 dnů přede dnem podání žádosti</w:t>
      </w:r>
    </w:p>
    <w:p w:rsidR="00B83698" w:rsidRPr="00B83698" w:rsidRDefault="00B83698" w:rsidP="00B83698">
      <w:pPr>
        <w:pStyle w:val="Odstavecseseznamem"/>
        <w:numPr>
          <w:ilvl w:val="0"/>
          <w:numId w:val="6"/>
        </w:numPr>
        <w:rPr>
          <w:b/>
        </w:rPr>
      </w:pPr>
      <w:r w:rsidRPr="00B83698">
        <w:rPr>
          <w:b/>
        </w:rPr>
        <w:t>Doklad o zřízení bankovní účtu</w:t>
      </w:r>
    </w:p>
    <w:p w:rsidR="00B83698" w:rsidRDefault="00B83698" w:rsidP="00B83698">
      <w:pPr>
        <w:pStyle w:val="Odstavecseseznamem"/>
        <w:numPr>
          <w:ilvl w:val="0"/>
          <w:numId w:val="6"/>
        </w:numPr>
      </w:pPr>
      <w:r w:rsidRPr="00B83698">
        <w:rPr>
          <w:b/>
        </w:rPr>
        <w:t>Charakteristika pracovního místa</w:t>
      </w:r>
      <w:r>
        <w:t xml:space="preserve"> (příloha je součástí formuláře žádosti)</w:t>
      </w:r>
    </w:p>
    <w:p w:rsidR="00B42354" w:rsidRDefault="00B83698" w:rsidP="0086008F">
      <w:pPr>
        <w:pStyle w:val="Odstavecseseznamem"/>
        <w:numPr>
          <w:ilvl w:val="0"/>
          <w:numId w:val="6"/>
        </w:numPr>
      </w:pPr>
      <w:r w:rsidRPr="00B83698">
        <w:rPr>
          <w:i/>
        </w:rPr>
        <w:t>Jiné doklady, které si může vyžádat zaměstnanec ÚP ČR</w:t>
      </w:r>
    </w:p>
    <w:p w:rsidR="0079447E" w:rsidRDefault="0079447E" w:rsidP="002F6A5B">
      <w:pPr>
        <w:pStyle w:val="Nadpis2"/>
        <w:spacing w:before="0"/>
      </w:pPr>
      <w:r w:rsidRPr="0079447E">
        <w:t xml:space="preserve">Úhrada </w:t>
      </w:r>
      <w:r w:rsidR="00DB7A1B">
        <w:t>příspěvků</w:t>
      </w:r>
    </w:p>
    <w:p w:rsidR="0079447E" w:rsidRPr="00AA6316" w:rsidRDefault="000E5085" w:rsidP="000E5085">
      <w:pPr>
        <w:spacing w:line="240" w:lineRule="auto"/>
        <w:jc w:val="both"/>
      </w:pPr>
      <w:r w:rsidRPr="00AA6316">
        <w:t>Zaměstnavatel měsíčně, nejpozději do konce kalendářního měsíce následujícího po uplynutí vykazovaného měsíčního období, předkládá výkaz Vyúčtování mzdových nákladů</w:t>
      </w:r>
      <w:r w:rsidR="008753E1">
        <w:t xml:space="preserve"> včetně </w:t>
      </w:r>
      <w:r w:rsidR="00B276FD">
        <w:t>Průběžného hodnocení odborné praxe</w:t>
      </w:r>
      <w:r w:rsidRPr="00AA6316">
        <w:t>.</w:t>
      </w:r>
    </w:p>
    <w:p w:rsidR="00AA6316" w:rsidRPr="00132AD0" w:rsidRDefault="00AA6316" w:rsidP="00AA6316">
      <w:pPr>
        <w:spacing w:line="240" w:lineRule="auto"/>
        <w:jc w:val="both"/>
      </w:pPr>
      <w:r w:rsidRPr="00132AD0">
        <w:rPr>
          <w:b/>
          <w:color w:val="FF0000"/>
        </w:rPr>
        <w:t>V případě, že výkaz Vyúčtování mz</w:t>
      </w:r>
      <w:r w:rsidR="008753E1" w:rsidRPr="00132AD0">
        <w:rPr>
          <w:b/>
          <w:color w:val="FF0000"/>
        </w:rPr>
        <w:t>dových nákladů</w:t>
      </w:r>
      <w:r w:rsidR="00B276FD" w:rsidRPr="00132AD0">
        <w:rPr>
          <w:b/>
          <w:color w:val="FF0000"/>
        </w:rPr>
        <w:t xml:space="preserve"> včetně Průběžného hodnocení odborné praxe</w:t>
      </w:r>
      <w:r w:rsidR="008753E1" w:rsidRPr="00132AD0">
        <w:rPr>
          <w:b/>
          <w:color w:val="FF0000"/>
        </w:rPr>
        <w:t xml:space="preserve"> </w:t>
      </w:r>
      <w:r w:rsidRPr="00132AD0">
        <w:rPr>
          <w:b/>
          <w:color w:val="FF0000"/>
        </w:rPr>
        <w:t>nebudou do konce kalendářního měsíce následujícího po uplynutí vykazovaného měsíčního období</w:t>
      </w:r>
      <w:r w:rsidR="00412235">
        <w:rPr>
          <w:b/>
          <w:color w:val="FF0000"/>
        </w:rPr>
        <w:t xml:space="preserve"> </w:t>
      </w:r>
      <w:r w:rsidRPr="00132AD0">
        <w:rPr>
          <w:b/>
          <w:color w:val="FF0000"/>
        </w:rPr>
        <w:t>doloženy, příspěvek za příslušný měsíc nebude úřadem práce poskytnut</w:t>
      </w:r>
      <w:r w:rsidR="00B276FD" w:rsidRPr="00132AD0">
        <w:rPr>
          <w:b/>
          <w:color w:val="FF0000"/>
        </w:rPr>
        <w:t>!!!</w:t>
      </w:r>
    </w:p>
    <w:p w:rsidR="008753E1" w:rsidRDefault="00AA6316" w:rsidP="00AA6316">
      <w:pPr>
        <w:spacing w:line="240" w:lineRule="auto"/>
        <w:jc w:val="both"/>
      </w:pPr>
      <w:r w:rsidRPr="00AA6316">
        <w:t>Příspěvek je vyplácen měsíčně převodem na bankovní účet uvedený v dohodě. Příspěvek je splatný do 3</w:t>
      </w:r>
      <w:r w:rsidR="008753E1">
        <w:t>0 kalendářních dnů ode dne doložení</w:t>
      </w:r>
      <w:r>
        <w:t xml:space="preserve"> </w:t>
      </w:r>
      <w:r w:rsidRPr="00AA6316">
        <w:t>výkaz</w:t>
      </w:r>
      <w:r w:rsidR="008753E1">
        <w:t>u</w:t>
      </w:r>
      <w:r w:rsidRPr="00AA6316">
        <w:t xml:space="preserve"> </w:t>
      </w:r>
      <w:r>
        <w:t>Vyúčto</w:t>
      </w:r>
      <w:r w:rsidR="008753E1">
        <w:t>vání</w:t>
      </w:r>
      <w:r w:rsidRPr="00AA6316">
        <w:t xml:space="preserve"> </w:t>
      </w:r>
      <w:r w:rsidR="008753E1">
        <w:t>a potřebných dokladů úřadu práce</w:t>
      </w:r>
      <w:r>
        <w:t xml:space="preserve">. </w:t>
      </w:r>
    </w:p>
    <w:p w:rsidR="00AA6316" w:rsidRPr="0079447E" w:rsidRDefault="00AA6316" w:rsidP="00AA6316">
      <w:pPr>
        <w:spacing w:line="240" w:lineRule="auto"/>
        <w:jc w:val="both"/>
      </w:pPr>
      <w:r w:rsidRPr="00AA6316">
        <w:t>V případě, že pracovní poměr zaměstnance skončí předčasně, bude příspěvek poskytován do dne skončení pracovního poměru.</w:t>
      </w:r>
      <w:r w:rsidR="00B276FD">
        <w:t xml:space="preserve"> Zaměstnavatel je povinnen toto oznámit nejpozději ke dni doložení výkazu Vyúčtování za měsíc, ve kterém byl pracovní poměr zaměstnance skončen.</w:t>
      </w:r>
    </w:p>
    <w:p w:rsidR="00AA6316" w:rsidRDefault="00AA6316" w:rsidP="000E5085">
      <w:pPr>
        <w:pStyle w:val="Nadpis3"/>
      </w:pPr>
    </w:p>
    <w:p w:rsidR="000E5085" w:rsidRDefault="008A562B" w:rsidP="000E5085">
      <w:pPr>
        <w:pStyle w:val="Nadpis3"/>
      </w:pPr>
      <w:r>
        <w:t>Potřebné doklady pro proplace</w:t>
      </w:r>
      <w:r w:rsidR="005B5833">
        <w:t>ní</w:t>
      </w:r>
      <w:r>
        <w:t xml:space="preserve"> příspěvku - </w:t>
      </w:r>
      <w:r w:rsidR="000E5085">
        <w:t>Práce na zkoušku</w:t>
      </w:r>
    </w:p>
    <w:p w:rsidR="00CC1531" w:rsidRPr="0093493E" w:rsidRDefault="00CC1531" w:rsidP="00132AD0">
      <w:pPr>
        <w:spacing w:after="0"/>
        <w:jc w:val="both"/>
      </w:pPr>
      <w:r>
        <w:t>Povinné doklady:</w:t>
      </w:r>
    </w:p>
    <w:p w:rsidR="000E5085" w:rsidRDefault="003A6D51">
      <w:pPr>
        <w:pStyle w:val="Odstavecseseznamem"/>
        <w:numPr>
          <w:ilvl w:val="0"/>
          <w:numId w:val="1"/>
        </w:numPr>
        <w:jc w:val="both"/>
      </w:pPr>
      <w:r w:rsidRPr="00F0026F">
        <w:rPr>
          <w:b/>
        </w:rPr>
        <w:t>Vyúčtování mzd. nákladů</w:t>
      </w:r>
      <w:r w:rsidRPr="00132AD0">
        <w:t xml:space="preserve"> – SÚPM vyhrazené Práce na zkoušku</w:t>
      </w:r>
      <w:r w:rsidR="008A562B">
        <w:t xml:space="preserve"> (formulář</w:t>
      </w:r>
      <w:r w:rsidR="00016A05">
        <w:t xml:space="preserve"> ke stažení na portále MPSV</w:t>
      </w:r>
      <w:r w:rsidR="008A562B">
        <w:t>)</w:t>
      </w:r>
    </w:p>
    <w:p w:rsidR="003A6D51" w:rsidRDefault="008A562B" w:rsidP="003A6D51">
      <w:pPr>
        <w:pStyle w:val="Odstavecseseznamem"/>
        <w:numPr>
          <w:ilvl w:val="0"/>
          <w:numId w:val="1"/>
        </w:numPr>
        <w:jc w:val="both"/>
      </w:pPr>
      <w:r w:rsidRPr="008A562B">
        <w:t>S první</w:t>
      </w:r>
      <w:r>
        <w:t>m</w:t>
      </w:r>
      <w:r w:rsidRPr="008A562B">
        <w:t xml:space="preserve"> vyúčtováním</w:t>
      </w:r>
      <w:r>
        <w:rPr>
          <w:b/>
        </w:rPr>
        <w:t xml:space="preserve"> </w:t>
      </w:r>
      <w:r w:rsidRPr="008A562B">
        <w:rPr>
          <w:b/>
        </w:rPr>
        <w:t>kopie</w:t>
      </w:r>
      <w:r w:rsidR="003A6D51" w:rsidRPr="008A562B">
        <w:rPr>
          <w:b/>
        </w:rPr>
        <w:t xml:space="preserve"> pracovní smlouvy</w:t>
      </w:r>
      <w:r>
        <w:t xml:space="preserve"> uzavřené</w:t>
      </w:r>
      <w:r w:rsidR="003A6D51" w:rsidRPr="003A6D51">
        <w:t xml:space="preserve"> </w:t>
      </w:r>
      <w:r w:rsidR="003A6D51">
        <w:t xml:space="preserve">s účastníkem </w:t>
      </w:r>
      <w:r>
        <w:t xml:space="preserve">práce na zkoušku, případně </w:t>
      </w:r>
      <w:r w:rsidR="003A6D51" w:rsidRPr="003A6D51">
        <w:t xml:space="preserve">i </w:t>
      </w:r>
      <w:r>
        <w:t>mzdový/platový výměr, pokud není součástí prac. smlouvy</w:t>
      </w:r>
    </w:p>
    <w:p w:rsidR="00CC1531" w:rsidRDefault="00CC1531" w:rsidP="00132AD0">
      <w:pPr>
        <w:spacing w:after="0"/>
        <w:jc w:val="both"/>
      </w:pPr>
      <w:r>
        <w:t>Nepovinné doklady</w:t>
      </w:r>
    </w:p>
    <w:p w:rsidR="008A562B" w:rsidRDefault="008A562B" w:rsidP="00132AD0">
      <w:pPr>
        <w:pStyle w:val="Odstavecseseznamem"/>
        <w:numPr>
          <w:ilvl w:val="0"/>
          <w:numId w:val="1"/>
        </w:numPr>
        <w:spacing w:after="0"/>
        <w:jc w:val="both"/>
      </w:pPr>
      <w:r w:rsidRPr="008A562B">
        <w:rPr>
          <w:b/>
        </w:rPr>
        <w:t>K</w:t>
      </w:r>
      <w:r w:rsidR="0037530C">
        <w:rPr>
          <w:b/>
        </w:rPr>
        <w:t>opie</w:t>
      </w:r>
      <w:r w:rsidRPr="008A562B">
        <w:rPr>
          <w:b/>
        </w:rPr>
        <w:t xml:space="preserve"> výplatní pásky</w:t>
      </w:r>
      <w:r w:rsidR="00F177D0">
        <w:t xml:space="preserve"> účastníka</w:t>
      </w:r>
      <w:r>
        <w:t xml:space="preserve"> práce na zkoušku</w:t>
      </w:r>
    </w:p>
    <w:p w:rsidR="008A562B" w:rsidRDefault="008A562B" w:rsidP="003A6D51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Kopie dokladů o vyplacení mzdy</w:t>
      </w:r>
      <w:r>
        <w:t xml:space="preserve"> účastníkovi práce na zkoušku </w:t>
      </w:r>
      <w:r w:rsidRPr="008A562B">
        <w:rPr>
          <w:b/>
        </w:rPr>
        <w:t>a zaplacení odvodů SP a ZP</w:t>
      </w:r>
      <w:r>
        <w:t xml:space="preserve"> (výpis z BÚ nebo výdajový pokladní doklad)</w:t>
      </w:r>
    </w:p>
    <w:p w:rsidR="005250E9" w:rsidRDefault="005250E9" w:rsidP="005250E9">
      <w:pPr>
        <w:ind w:left="360"/>
        <w:jc w:val="both"/>
      </w:pPr>
    </w:p>
    <w:p w:rsidR="006E0AD9" w:rsidRDefault="006E0AD9" w:rsidP="005250E9">
      <w:pPr>
        <w:ind w:left="360"/>
        <w:jc w:val="both"/>
      </w:pPr>
    </w:p>
    <w:p w:rsidR="000E5085" w:rsidRDefault="00B34915" w:rsidP="000E5085">
      <w:pPr>
        <w:pStyle w:val="Nadpis3"/>
      </w:pPr>
      <w:r>
        <w:t xml:space="preserve">Potřebné doklady pro proplacení příspěvku - </w:t>
      </w:r>
      <w:r w:rsidR="000E5085">
        <w:t>Odborná praxe</w:t>
      </w:r>
    </w:p>
    <w:p w:rsidR="00F0026F" w:rsidRPr="0093493E" w:rsidRDefault="00F0026F" w:rsidP="00132AD0">
      <w:pPr>
        <w:spacing w:after="0"/>
        <w:jc w:val="both"/>
      </w:pPr>
      <w:r>
        <w:t>Povinné doklady:</w:t>
      </w:r>
    </w:p>
    <w:p w:rsidR="00F177D0" w:rsidRPr="00F0026F" w:rsidRDefault="00F177D0">
      <w:pPr>
        <w:pStyle w:val="Odstavecseseznamem"/>
        <w:numPr>
          <w:ilvl w:val="0"/>
          <w:numId w:val="1"/>
        </w:numPr>
        <w:jc w:val="both"/>
      </w:pPr>
      <w:r w:rsidRPr="00F0026F">
        <w:rPr>
          <w:b/>
        </w:rPr>
        <w:t xml:space="preserve">Vyúčtování mzd. nákladů – </w:t>
      </w:r>
      <w:r w:rsidRPr="00132AD0">
        <w:t>SÚPM vyhrazené Odborné praxe (formulář</w:t>
      </w:r>
      <w:r w:rsidR="00016A05" w:rsidRPr="00F0026F">
        <w:t xml:space="preserve"> ke stažení na portále MPSV</w:t>
      </w:r>
      <w:r w:rsidRPr="00F0026F">
        <w:t>)</w:t>
      </w:r>
    </w:p>
    <w:p w:rsidR="00F177D0" w:rsidRPr="00132AD0" w:rsidRDefault="00F177D0">
      <w:pPr>
        <w:pStyle w:val="Odstavecseseznamem"/>
        <w:numPr>
          <w:ilvl w:val="0"/>
          <w:numId w:val="1"/>
        </w:numPr>
        <w:jc w:val="both"/>
      </w:pPr>
      <w:r w:rsidRPr="00F0026F">
        <w:t>S prvním vyúčtováním</w:t>
      </w:r>
      <w:r w:rsidRPr="00F0026F">
        <w:rPr>
          <w:b/>
        </w:rPr>
        <w:t xml:space="preserve"> kopie pracovní smlouvy </w:t>
      </w:r>
      <w:r w:rsidRPr="00F0026F">
        <w:t>uzavřené s účastníkem odborné praxe, případně i mzdový/platový výměr, pokud není součástí prac. smlouvy</w:t>
      </w:r>
    </w:p>
    <w:p w:rsidR="00F0026F" w:rsidRDefault="00F0026F" w:rsidP="00F0026F">
      <w:pPr>
        <w:pStyle w:val="Odstavecseseznamem"/>
        <w:numPr>
          <w:ilvl w:val="0"/>
          <w:numId w:val="1"/>
        </w:numPr>
        <w:jc w:val="both"/>
      </w:pPr>
      <w:r>
        <w:t xml:space="preserve">měsíční </w:t>
      </w:r>
      <w:r w:rsidRPr="00AA6316">
        <w:rPr>
          <w:b/>
        </w:rPr>
        <w:t>Průběžné hodnocení</w:t>
      </w:r>
      <w:r w:rsidRPr="003A6D51">
        <w:t xml:space="preserve"> </w:t>
      </w:r>
      <w:r w:rsidRPr="00A63653">
        <w:rPr>
          <w:b/>
        </w:rPr>
        <w:t>Odborné praxe</w:t>
      </w:r>
      <w:r w:rsidRPr="003A6D51">
        <w:t xml:space="preserve"> </w:t>
      </w:r>
      <w:r>
        <w:t>(formulář ke stažení na portále MPSV)</w:t>
      </w:r>
    </w:p>
    <w:p w:rsidR="00F0026F" w:rsidRPr="00AA6316" w:rsidRDefault="00F0026F" w:rsidP="00F0026F">
      <w:pPr>
        <w:pStyle w:val="Odstavecseseznamem"/>
        <w:numPr>
          <w:ilvl w:val="0"/>
          <w:numId w:val="1"/>
        </w:numPr>
        <w:jc w:val="both"/>
      </w:pPr>
      <w:r>
        <w:t>s posledním vyúčtováním</w:t>
      </w:r>
      <w:r w:rsidRPr="00AA6316">
        <w:t xml:space="preserve"> provede zaměstnavatel </w:t>
      </w:r>
      <w:r w:rsidRPr="00AA6316">
        <w:rPr>
          <w:b/>
        </w:rPr>
        <w:t>Závěrečné hodnocení</w:t>
      </w:r>
      <w:r w:rsidRPr="00AA6316">
        <w:t xml:space="preserve"> </w:t>
      </w:r>
      <w:r w:rsidRPr="00A63653">
        <w:rPr>
          <w:b/>
        </w:rPr>
        <w:t>odborné praxe</w:t>
      </w:r>
      <w:r>
        <w:t xml:space="preserve"> (formulář na portále</w:t>
      </w:r>
      <w:r w:rsidRPr="00AA6316">
        <w:t xml:space="preserve"> MPSV) a vydá </w:t>
      </w:r>
      <w:r w:rsidRPr="009C4667">
        <w:rPr>
          <w:b/>
        </w:rPr>
        <w:t>Osvědčení o absolvování Oborné praxe</w:t>
      </w:r>
      <w:r>
        <w:t xml:space="preserve"> (formulář na portále</w:t>
      </w:r>
      <w:r w:rsidRPr="00AA6316">
        <w:t xml:space="preserve"> MPSV). </w:t>
      </w:r>
    </w:p>
    <w:p w:rsidR="00F0026F" w:rsidRPr="00D65202" w:rsidRDefault="00F0026F" w:rsidP="00F0026F">
      <w:pPr>
        <w:pStyle w:val="Odstavecseseznamem"/>
        <w:numPr>
          <w:ilvl w:val="0"/>
          <w:numId w:val="1"/>
        </w:numPr>
        <w:jc w:val="both"/>
      </w:pPr>
      <w:r w:rsidRPr="00D65202">
        <w:t>V případě, že si zaměstnavatel účastníka odborné p</w:t>
      </w:r>
      <w:r>
        <w:t xml:space="preserve">raxe neponechává v pracovním poměru, poskytne </w:t>
      </w:r>
      <w:r w:rsidRPr="00D65202">
        <w:rPr>
          <w:b/>
        </w:rPr>
        <w:t xml:space="preserve">Reference </w:t>
      </w:r>
      <w:r>
        <w:t>o pracovním poměru ve volné formě</w:t>
      </w:r>
      <w:r w:rsidRPr="00D65202">
        <w:t>.</w:t>
      </w:r>
    </w:p>
    <w:p w:rsidR="00F0026F" w:rsidRPr="00F0026F" w:rsidRDefault="00F0026F" w:rsidP="00132AD0">
      <w:pPr>
        <w:spacing w:after="0"/>
        <w:jc w:val="both"/>
      </w:pPr>
      <w:r w:rsidRPr="00132AD0">
        <w:t>Nepovinné doklady</w:t>
      </w:r>
    </w:p>
    <w:p w:rsidR="00F177D0" w:rsidRDefault="00F177D0" w:rsidP="00132AD0">
      <w:pPr>
        <w:pStyle w:val="Odstavecseseznamem"/>
        <w:numPr>
          <w:ilvl w:val="0"/>
          <w:numId w:val="1"/>
        </w:numPr>
        <w:spacing w:after="0"/>
        <w:jc w:val="both"/>
      </w:pPr>
      <w:r w:rsidRPr="008A562B">
        <w:rPr>
          <w:b/>
        </w:rPr>
        <w:t>K</w:t>
      </w:r>
      <w:r w:rsidR="0037530C">
        <w:rPr>
          <w:b/>
        </w:rPr>
        <w:t>opie</w:t>
      </w:r>
      <w:r w:rsidRPr="008A562B">
        <w:rPr>
          <w:b/>
        </w:rPr>
        <w:t xml:space="preserve"> výplatní pásky</w:t>
      </w:r>
      <w:r>
        <w:t xml:space="preserve"> účastníka odborné praxe</w:t>
      </w:r>
    </w:p>
    <w:p w:rsidR="00F177D0" w:rsidRDefault="00F177D0" w:rsidP="00F177D0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Kopie dokladů o vyplacení mzdy</w:t>
      </w:r>
      <w:r>
        <w:t xml:space="preserve"> účastn</w:t>
      </w:r>
      <w:r w:rsidR="00A63653">
        <w:t>íkovi odborné praxe</w:t>
      </w:r>
      <w:r>
        <w:t xml:space="preserve"> </w:t>
      </w:r>
      <w:r w:rsidRPr="008A562B">
        <w:rPr>
          <w:b/>
        </w:rPr>
        <w:t>a zaplacení odvodů SP a ZP</w:t>
      </w:r>
      <w:r>
        <w:t xml:space="preserve"> (výpis z BÚ nebo výdajový pokladní doklad)</w:t>
      </w:r>
    </w:p>
    <w:p w:rsidR="000E5085" w:rsidRDefault="000E5085" w:rsidP="000E5085"/>
    <w:p w:rsidR="0037530C" w:rsidRDefault="0037530C" w:rsidP="0037530C">
      <w:pPr>
        <w:pStyle w:val="Nadpis3"/>
      </w:pPr>
      <w:r>
        <w:t xml:space="preserve">Potřebné doklady pro proplacení příspěvku </w:t>
      </w:r>
      <w:r w:rsidR="00F0026F">
        <w:t>–</w:t>
      </w:r>
      <w:r>
        <w:t xml:space="preserve"> Mentor</w:t>
      </w:r>
    </w:p>
    <w:p w:rsidR="00F0026F" w:rsidRPr="0093493E" w:rsidRDefault="00F0026F" w:rsidP="00132AD0">
      <w:pPr>
        <w:spacing w:after="0"/>
      </w:pPr>
      <w:r>
        <w:t>Povinné doklady</w:t>
      </w:r>
      <w:r w:rsidR="00B24E8C">
        <w:t>:</w:t>
      </w:r>
    </w:p>
    <w:p w:rsidR="004D4F95" w:rsidRDefault="004D4F95" w:rsidP="00132AD0">
      <w:pPr>
        <w:pStyle w:val="Odstavecseseznamem"/>
        <w:numPr>
          <w:ilvl w:val="0"/>
          <w:numId w:val="1"/>
        </w:numPr>
        <w:spacing w:after="0"/>
        <w:jc w:val="both"/>
      </w:pPr>
      <w:r w:rsidRPr="00AA6316">
        <w:rPr>
          <w:b/>
        </w:rPr>
        <w:t xml:space="preserve">Vyúčtování mzd. nákladů </w:t>
      </w:r>
      <w:r w:rsidR="0093493E">
        <w:rPr>
          <w:b/>
        </w:rPr>
        <w:t>a pracovní výkaz mentora</w:t>
      </w:r>
      <w:r w:rsidR="00B34915">
        <w:t xml:space="preserve"> (formulář </w:t>
      </w:r>
      <w:r>
        <w:t xml:space="preserve">ke stažení </w:t>
      </w:r>
      <w:r w:rsidR="00016A05">
        <w:t>na portále MPSV</w:t>
      </w:r>
      <w:r w:rsidR="00B34915">
        <w:t>)</w:t>
      </w:r>
    </w:p>
    <w:p w:rsidR="004D4F95" w:rsidRDefault="004D4F95" w:rsidP="004D4F95">
      <w:pPr>
        <w:pStyle w:val="Odstavecseseznamem"/>
        <w:numPr>
          <w:ilvl w:val="0"/>
          <w:numId w:val="1"/>
        </w:numPr>
        <w:jc w:val="both"/>
      </w:pPr>
      <w:r>
        <w:t>S</w:t>
      </w:r>
      <w:r w:rsidRPr="003A6D51">
        <w:t xml:space="preserve"> prvním výkazem </w:t>
      </w:r>
      <w:r>
        <w:t>Vyúčtování</w:t>
      </w:r>
      <w:r w:rsidRPr="003A6D51">
        <w:t xml:space="preserve"> </w:t>
      </w:r>
      <w:r>
        <w:t xml:space="preserve">je zaměstnavatel povinen </w:t>
      </w:r>
      <w:r w:rsidRPr="003A6D51">
        <w:t xml:space="preserve">předložit </w:t>
      </w:r>
      <w:r w:rsidRPr="004D4F95">
        <w:rPr>
          <w:b/>
        </w:rPr>
        <w:t>kopii pracovní smlouvy</w:t>
      </w:r>
      <w:r>
        <w:t xml:space="preserve"> uzavřenou s</w:t>
      </w:r>
      <w:r w:rsidR="00B34915">
        <w:t> </w:t>
      </w:r>
      <w:r>
        <w:t>mentrorem</w:t>
      </w:r>
      <w:r w:rsidR="00B34915">
        <w:t xml:space="preserve">, případně </w:t>
      </w:r>
      <w:r w:rsidR="00B34915" w:rsidRPr="003A6D51">
        <w:t xml:space="preserve">i </w:t>
      </w:r>
      <w:r w:rsidR="00B34915">
        <w:t>mzdový/platový výměr, pokud není součástí prac. smlouvy.</w:t>
      </w:r>
    </w:p>
    <w:p w:rsidR="00F0026F" w:rsidRDefault="00F0026F" w:rsidP="00132AD0">
      <w:pPr>
        <w:spacing w:after="0"/>
        <w:jc w:val="both"/>
      </w:pPr>
      <w:r>
        <w:t>Nepovinné doklady</w:t>
      </w:r>
    </w:p>
    <w:p w:rsidR="0037530C" w:rsidRDefault="0037530C" w:rsidP="00132AD0">
      <w:pPr>
        <w:pStyle w:val="Odstavecseseznamem"/>
        <w:numPr>
          <w:ilvl w:val="0"/>
          <w:numId w:val="1"/>
        </w:numPr>
        <w:spacing w:after="0"/>
        <w:jc w:val="both"/>
      </w:pPr>
      <w:r w:rsidRPr="008A562B">
        <w:rPr>
          <w:b/>
        </w:rPr>
        <w:t>K</w:t>
      </w:r>
      <w:r>
        <w:rPr>
          <w:b/>
        </w:rPr>
        <w:t>opie</w:t>
      </w:r>
      <w:r w:rsidRPr="008A562B">
        <w:rPr>
          <w:b/>
        </w:rPr>
        <w:t xml:space="preserve"> výplatní pásky</w:t>
      </w:r>
      <w:r>
        <w:t xml:space="preserve"> mentora</w:t>
      </w:r>
    </w:p>
    <w:p w:rsidR="0037530C" w:rsidRDefault="0037530C" w:rsidP="0037530C">
      <w:pPr>
        <w:pStyle w:val="Odstavecseseznamem"/>
        <w:numPr>
          <w:ilvl w:val="0"/>
          <w:numId w:val="1"/>
        </w:numPr>
        <w:jc w:val="both"/>
      </w:pPr>
      <w:r w:rsidRPr="008A562B">
        <w:rPr>
          <w:b/>
        </w:rPr>
        <w:t>Kopie dokladů o vyplacení mzdy</w:t>
      </w:r>
      <w:r>
        <w:t xml:space="preserve"> mentorovi </w:t>
      </w:r>
      <w:r w:rsidRPr="008A562B">
        <w:rPr>
          <w:b/>
        </w:rPr>
        <w:t>a zaplacení odvodů SP a ZP</w:t>
      </w:r>
      <w:r>
        <w:t xml:space="preserve"> (výpis z BÚ nebo výdajový pokladní doklad)</w:t>
      </w:r>
    </w:p>
    <w:p w:rsidR="00316D77" w:rsidRPr="000E5085" w:rsidRDefault="00316D77" w:rsidP="00016A05">
      <w:pPr>
        <w:pStyle w:val="Odstavecseseznamem"/>
        <w:jc w:val="both"/>
      </w:pPr>
      <w:bookmarkStart w:id="0" w:name="_GoBack"/>
      <w:bookmarkEnd w:id="0"/>
    </w:p>
    <w:p w:rsidR="0023388A" w:rsidRDefault="0023388A" w:rsidP="007805B2">
      <w:pPr>
        <w:rPr>
          <w:b/>
          <w:sz w:val="28"/>
          <w:szCs w:val="28"/>
        </w:rPr>
      </w:pPr>
    </w:p>
    <w:p w:rsidR="00BD6C68" w:rsidRDefault="00BD6C68" w:rsidP="007805B2">
      <w:pPr>
        <w:rPr>
          <w:b/>
          <w:sz w:val="28"/>
          <w:szCs w:val="28"/>
        </w:rPr>
      </w:pPr>
    </w:p>
    <w:p w:rsidR="00BD6C68" w:rsidRDefault="00BD6C68" w:rsidP="007805B2">
      <w:pPr>
        <w:rPr>
          <w:b/>
          <w:sz w:val="28"/>
          <w:szCs w:val="28"/>
        </w:rPr>
      </w:pPr>
    </w:p>
    <w:p w:rsidR="0079447E" w:rsidRPr="00BD6C68" w:rsidRDefault="007805B2" w:rsidP="007805B2">
      <w:pPr>
        <w:rPr>
          <w:b/>
          <w:sz w:val="24"/>
          <w:szCs w:val="24"/>
        </w:rPr>
      </w:pPr>
      <w:r w:rsidRPr="00BD6C68">
        <w:rPr>
          <w:b/>
          <w:sz w:val="24"/>
          <w:szCs w:val="24"/>
        </w:rPr>
        <w:t>Všechny potřebné formuláře a jejich přílohy jsou v aktuální verzi dostupné na portále MPSV:</w:t>
      </w:r>
    </w:p>
    <w:p w:rsidR="00BD6C68" w:rsidRPr="00BD6C68" w:rsidRDefault="00B24E8C" w:rsidP="005A4678">
      <w:pPr>
        <w:pStyle w:val="Nadpis2"/>
        <w:rPr>
          <w:sz w:val="24"/>
          <w:szCs w:val="24"/>
        </w:rPr>
      </w:pPr>
      <w:hyperlink r:id="rId10" w:history="1">
        <w:r w:rsidR="00BD6C68" w:rsidRPr="00BD6C68">
          <w:rPr>
            <w:rStyle w:val="Hypertextovodkaz"/>
            <w:sz w:val="24"/>
            <w:szCs w:val="24"/>
          </w:rPr>
          <w:t>http://portal.mpsv.cz/upcr/kp/vys/projekty_evropskeho_socialniho_fondu/projekty_v_realizaci/regionalni_individualni_projekty/zaruky_pro_mlade</w:t>
        </w:r>
      </w:hyperlink>
      <w:r w:rsidR="00BD6C68" w:rsidRPr="00BD6C68">
        <w:rPr>
          <w:sz w:val="24"/>
          <w:szCs w:val="24"/>
        </w:rPr>
        <w:t xml:space="preserve">  </w:t>
      </w:r>
    </w:p>
    <w:p w:rsidR="005A4678" w:rsidRDefault="005A4678" w:rsidP="005A4678">
      <w:pPr>
        <w:pStyle w:val="Nadpis2"/>
      </w:pPr>
      <w:r>
        <w:t>Seznam zkratek</w:t>
      </w:r>
    </w:p>
    <w:p w:rsidR="005A4678" w:rsidRDefault="005A4678" w:rsidP="005A4678">
      <w:pPr>
        <w:spacing w:after="0" w:line="240" w:lineRule="auto"/>
      </w:pPr>
      <w:r>
        <w:t>APZ – aktivní politika zaměstnanosti</w:t>
      </w:r>
    </w:p>
    <w:p w:rsidR="005A4678" w:rsidRDefault="005A4678" w:rsidP="005A4678">
      <w:pPr>
        <w:spacing w:after="0" w:line="240" w:lineRule="auto"/>
      </w:pPr>
      <w:r>
        <w:t>SÚPM – společensky účelné pracovní místo</w:t>
      </w:r>
      <w:r w:rsidR="0023388A">
        <w:t xml:space="preserve"> </w:t>
      </w:r>
    </w:p>
    <w:p w:rsidR="005A4678" w:rsidRPr="005A4678" w:rsidRDefault="005A4678" w:rsidP="005A4678">
      <w:pPr>
        <w:spacing w:after="0" w:line="240" w:lineRule="auto"/>
      </w:pPr>
      <w:r>
        <w:t>UoZ – uchazeč o zaměstnání</w:t>
      </w:r>
    </w:p>
    <w:p w:rsidR="00946114" w:rsidRDefault="00946114" w:rsidP="00946114"/>
    <w:p w:rsidR="0096200F" w:rsidRPr="00946114" w:rsidRDefault="00946114" w:rsidP="00340AF2">
      <w:pPr>
        <w:pStyle w:val="Nadpis1"/>
      </w:pPr>
      <w:r>
        <w:tab/>
      </w:r>
    </w:p>
    <w:sectPr w:rsidR="0096200F" w:rsidRPr="00946114" w:rsidSect="00962B7A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3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3C" w:rsidRDefault="0030483C" w:rsidP="00C00D6C">
      <w:pPr>
        <w:spacing w:after="0" w:line="240" w:lineRule="auto"/>
      </w:pPr>
      <w:r>
        <w:separator/>
      </w:r>
    </w:p>
  </w:endnote>
  <w:endnote w:type="continuationSeparator" w:id="0">
    <w:p w:rsidR="0030483C" w:rsidRDefault="0030483C" w:rsidP="00C0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56" w:rsidRDefault="00E83356">
    <w:pPr>
      <w:pStyle w:val="Zpat"/>
      <w:rPr>
        <w:color w:val="000000" w:themeColor="text1"/>
        <w:sz w:val="20"/>
        <w:szCs w:val="20"/>
      </w:rPr>
    </w:pPr>
  </w:p>
  <w:p w:rsidR="00946114" w:rsidRPr="00FC23E4" w:rsidRDefault="00B24E8C">
    <w:pPr>
      <w:pStyle w:val="Zpat"/>
      <w:rPr>
        <w:color w:val="000000" w:themeColor="text1"/>
        <w:sz w:val="20"/>
        <w:szCs w:val="20"/>
      </w:rPr>
    </w:pPr>
    <w:sdt>
      <w:sdt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64AA8" w:rsidRPr="00264AA8">
          <w:t>CZ.03.1.48/0.0/0.0/15_004/0000010                                                                                                                                                Tento projekt je spolufinancován Evropským sociálním fondem a státním rozpočtem České republiky</w:t>
        </w:r>
      </w:sdtContent>
    </w:sdt>
  </w:p>
  <w:p w:rsidR="00946114" w:rsidRDefault="00946114">
    <w:pPr>
      <w:pStyle w:val="Zpat"/>
    </w:pPr>
    <w:r>
      <w:rPr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6114" w:rsidRDefault="0094611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24E8C" w:rsidRPr="00B24E8C">
                            <w:rPr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946114" w:rsidRDefault="0094611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24E8C" w:rsidRPr="00B24E8C">
                      <w:rPr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4F81BD" w:themeColor="accent1"/>
        <w:lang w:eastAsia="cs-CZ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Obdélní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FCBE6" id="Obdélník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3C" w:rsidRDefault="0030483C" w:rsidP="00C00D6C">
      <w:pPr>
        <w:spacing w:after="0" w:line="240" w:lineRule="auto"/>
      </w:pPr>
      <w:r>
        <w:separator/>
      </w:r>
    </w:p>
  </w:footnote>
  <w:footnote w:type="continuationSeparator" w:id="0">
    <w:p w:rsidR="0030483C" w:rsidRDefault="0030483C" w:rsidP="00C0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68" w:rsidRDefault="00BD6C68">
    <w:pPr>
      <w:pStyle w:val="Zhlav"/>
    </w:pPr>
    <w:r>
      <w:rPr>
        <w:lang w:eastAsia="cs-CZ"/>
      </w:rPr>
      <w:drawing>
        <wp:inline distT="0" distB="0" distL="0" distR="0">
          <wp:extent cx="5039790" cy="1123315"/>
          <wp:effectExtent l="0" t="0" r="889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941" cy="1142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E4" w:rsidRDefault="005960E3">
    <w:pPr>
      <w:pStyle w:val="Zhlav"/>
    </w:pPr>
    <w:r>
      <w:rPr>
        <w:lang w:eastAsia="cs-CZ"/>
      </w:rPr>
      <w:drawing>
        <wp:inline distT="0" distB="0" distL="0" distR="0">
          <wp:extent cx="5519651" cy="1259378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9651" cy="125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A48"/>
    <w:multiLevelType w:val="hybridMultilevel"/>
    <w:tmpl w:val="2DC680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81220"/>
    <w:multiLevelType w:val="hybridMultilevel"/>
    <w:tmpl w:val="30629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B05C7"/>
    <w:multiLevelType w:val="hybridMultilevel"/>
    <w:tmpl w:val="F93ABD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3665"/>
    <w:multiLevelType w:val="hybridMultilevel"/>
    <w:tmpl w:val="E1E0E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C4C41"/>
    <w:multiLevelType w:val="hybridMultilevel"/>
    <w:tmpl w:val="BB16C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4C31"/>
    <w:multiLevelType w:val="hybridMultilevel"/>
    <w:tmpl w:val="CE94B168"/>
    <w:lvl w:ilvl="0" w:tplc="1780F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6"/>
    <w:rsid w:val="00002327"/>
    <w:rsid w:val="00016A05"/>
    <w:rsid w:val="00034B6A"/>
    <w:rsid w:val="00036042"/>
    <w:rsid w:val="0003649D"/>
    <w:rsid w:val="000453BD"/>
    <w:rsid w:val="00053F20"/>
    <w:rsid w:val="0007636C"/>
    <w:rsid w:val="00090C1A"/>
    <w:rsid w:val="000B60DD"/>
    <w:rsid w:val="000C4A0F"/>
    <w:rsid w:val="000E4B34"/>
    <w:rsid w:val="000E5085"/>
    <w:rsid w:val="0010008F"/>
    <w:rsid w:val="00100FBF"/>
    <w:rsid w:val="00104A5D"/>
    <w:rsid w:val="001258E6"/>
    <w:rsid w:val="00132AD0"/>
    <w:rsid w:val="00150ABD"/>
    <w:rsid w:val="00151548"/>
    <w:rsid w:val="00164EA9"/>
    <w:rsid w:val="001A4827"/>
    <w:rsid w:val="001A6730"/>
    <w:rsid w:val="001C70B2"/>
    <w:rsid w:val="001F770D"/>
    <w:rsid w:val="0023388A"/>
    <w:rsid w:val="00264AA8"/>
    <w:rsid w:val="00266875"/>
    <w:rsid w:val="00283228"/>
    <w:rsid w:val="00284272"/>
    <w:rsid w:val="00286812"/>
    <w:rsid w:val="00297D30"/>
    <w:rsid w:val="002B07AF"/>
    <w:rsid w:val="002C03EB"/>
    <w:rsid w:val="002D22B7"/>
    <w:rsid w:val="002E2D5C"/>
    <w:rsid w:val="002F028E"/>
    <w:rsid w:val="002F6A5B"/>
    <w:rsid w:val="00302019"/>
    <w:rsid w:val="0030483C"/>
    <w:rsid w:val="00316D77"/>
    <w:rsid w:val="00340AF2"/>
    <w:rsid w:val="0037530C"/>
    <w:rsid w:val="00391CF4"/>
    <w:rsid w:val="003A6D51"/>
    <w:rsid w:val="003E0062"/>
    <w:rsid w:val="003F69EB"/>
    <w:rsid w:val="00412235"/>
    <w:rsid w:val="00470637"/>
    <w:rsid w:val="00470650"/>
    <w:rsid w:val="00474A2C"/>
    <w:rsid w:val="00494E16"/>
    <w:rsid w:val="004D4F95"/>
    <w:rsid w:val="005250E9"/>
    <w:rsid w:val="00543A69"/>
    <w:rsid w:val="005542D6"/>
    <w:rsid w:val="00557B28"/>
    <w:rsid w:val="0056198A"/>
    <w:rsid w:val="00562828"/>
    <w:rsid w:val="00563015"/>
    <w:rsid w:val="005960E3"/>
    <w:rsid w:val="00597693"/>
    <w:rsid w:val="005A4678"/>
    <w:rsid w:val="005B5833"/>
    <w:rsid w:val="005C5F90"/>
    <w:rsid w:val="005E379F"/>
    <w:rsid w:val="00600CB3"/>
    <w:rsid w:val="006403C5"/>
    <w:rsid w:val="00641A46"/>
    <w:rsid w:val="00642E21"/>
    <w:rsid w:val="006709C6"/>
    <w:rsid w:val="006838A1"/>
    <w:rsid w:val="00697224"/>
    <w:rsid w:val="006D48C0"/>
    <w:rsid w:val="006E0AD9"/>
    <w:rsid w:val="0070541A"/>
    <w:rsid w:val="00722743"/>
    <w:rsid w:val="0075593C"/>
    <w:rsid w:val="007805B2"/>
    <w:rsid w:val="00781CD1"/>
    <w:rsid w:val="0078221C"/>
    <w:rsid w:val="0079447E"/>
    <w:rsid w:val="007A74E1"/>
    <w:rsid w:val="007B45B5"/>
    <w:rsid w:val="007C4FC2"/>
    <w:rsid w:val="007E040B"/>
    <w:rsid w:val="00807326"/>
    <w:rsid w:val="00820113"/>
    <w:rsid w:val="008432EE"/>
    <w:rsid w:val="00843D0D"/>
    <w:rsid w:val="00855F9B"/>
    <w:rsid w:val="0086008F"/>
    <w:rsid w:val="008753E1"/>
    <w:rsid w:val="00895CFE"/>
    <w:rsid w:val="008A562B"/>
    <w:rsid w:val="008B3580"/>
    <w:rsid w:val="008C2800"/>
    <w:rsid w:val="008D0C41"/>
    <w:rsid w:val="00921800"/>
    <w:rsid w:val="00922267"/>
    <w:rsid w:val="0093493E"/>
    <w:rsid w:val="00936E25"/>
    <w:rsid w:val="00946114"/>
    <w:rsid w:val="0096200F"/>
    <w:rsid w:val="00962B7A"/>
    <w:rsid w:val="00980A4C"/>
    <w:rsid w:val="00990911"/>
    <w:rsid w:val="009A2631"/>
    <w:rsid w:val="009A5BDD"/>
    <w:rsid w:val="009C4667"/>
    <w:rsid w:val="009F3FC9"/>
    <w:rsid w:val="00A02095"/>
    <w:rsid w:val="00A43810"/>
    <w:rsid w:val="00A63653"/>
    <w:rsid w:val="00A82ABE"/>
    <w:rsid w:val="00A831C3"/>
    <w:rsid w:val="00A937FA"/>
    <w:rsid w:val="00A97407"/>
    <w:rsid w:val="00AA6316"/>
    <w:rsid w:val="00AB14DA"/>
    <w:rsid w:val="00AC4691"/>
    <w:rsid w:val="00AD3881"/>
    <w:rsid w:val="00B0499F"/>
    <w:rsid w:val="00B239F9"/>
    <w:rsid w:val="00B24E8C"/>
    <w:rsid w:val="00B276FD"/>
    <w:rsid w:val="00B34915"/>
    <w:rsid w:val="00B42354"/>
    <w:rsid w:val="00B50DCF"/>
    <w:rsid w:val="00B759AC"/>
    <w:rsid w:val="00B83698"/>
    <w:rsid w:val="00BB0B9B"/>
    <w:rsid w:val="00BB3A21"/>
    <w:rsid w:val="00BB4781"/>
    <w:rsid w:val="00BB6D80"/>
    <w:rsid w:val="00BD1509"/>
    <w:rsid w:val="00BD6C68"/>
    <w:rsid w:val="00BE67CE"/>
    <w:rsid w:val="00C00D6C"/>
    <w:rsid w:val="00C10994"/>
    <w:rsid w:val="00C454D5"/>
    <w:rsid w:val="00C60B56"/>
    <w:rsid w:val="00C77F94"/>
    <w:rsid w:val="00C973D3"/>
    <w:rsid w:val="00CC1531"/>
    <w:rsid w:val="00CD246E"/>
    <w:rsid w:val="00D01F08"/>
    <w:rsid w:val="00D05C05"/>
    <w:rsid w:val="00D14E7D"/>
    <w:rsid w:val="00D31CEB"/>
    <w:rsid w:val="00D372BE"/>
    <w:rsid w:val="00D621B0"/>
    <w:rsid w:val="00D65202"/>
    <w:rsid w:val="00D73BA7"/>
    <w:rsid w:val="00D95CA5"/>
    <w:rsid w:val="00DB7A1B"/>
    <w:rsid w:val="00DD009C"/>
    <w:rsid w:val="00DE03C1"/>
    <w:rsid w:val="00DE1BF1"/>
    <w:rsid w:val="00E023CD"/>
    <w:rsid w:val="00E20788"/>
    <w:rsid w:val="00E24CD9"/>
    <w:rsid w:val="00E24FF6"/>
    <w:rsid w:val="00E2788D"/>
    <w:rsid w:val="00E57708"/>
    <w:rsid w:val="00E65D3E"/>
    <w:rsid w:val="00E83356"/>
    <w:rsid w:val="00ED6823"/>
    <w:rsid w:val="00EE4032"/>
    <w:rsid w:val="00F0026F"/>
    <w:rsid w:val="00F00632"/>
    <w:rsid w:val="00F177D0"/>
    <w:rsid w:val="00F2275C"/>
    <w:rsid w:val="00F30C01"/>
    <w:rsid w:val="00F55A29"/>
    <w:rsid w:val="00F63570"/>
    <w:rsid w:val="00F71097"/>
    <w:rsid w:val="00FC23E4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56FD31"/>
  <w15:docId w15:val="{2F0CE11F-1BE7-4BCE-85A7-82F7EA46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34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0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0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D6C"/>
    <w:rPr>
      <w:noProof/>
    </w:rPr>
  </w:style>
  <w:style w:type="paragraph" w:styleId="Zpat">
    <w:name w:val="footer"/>
    <w:basedOn w:val="Normln"/>
    <w:link w:val="ZpatChar"/>
    <w:uiPriority w:val="99"/>
    <w:unhideWhenUsed/>
    <w:rsid w:val="00C0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D6C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6C"/>
    <w:rPr>
      <w:rFonts w:ascii="Tahoma" w:hAnsi="Tahoma" w:cs="Tahoma"/>
      <w:noProof/>
      <w:sz w:val="16"/>
      <w:szCs w:val="16"/>
    </w:rPr>
  </w:style>
  <w:style w:type="paragraph" w:styleId="Bezmezer">
    <w:name w:val="No Spacing"/>
    <w:link w:val="BezmezerChar"/>
    <w:uiPriority w:val="1"/>
    <w:qFormat/>
    <w:rsid w:val="00C00D6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00D6C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46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46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6114"/>
    <w:pPr>
      <w:numPr>
        <w:ilvl w:val="1"/>
      </w:numPr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946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customStyle="1" w:styleId="3CBD5A742C28424DA5172AD252E32316">
    <w:name w:val="3CBD5A742C28424DA5172AD252E32316"/>
    <w:rsid w:val="00946114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0AF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40AF2"/>
    <w:rPr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340AF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40AF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01F08"/>
    <w:pPr>
      <w:ind w:left="720"/>
      <w:contextualSpacing/>
    </w:pPr>
  </w:style>
  <w:style w:type="paragraph" w:customStyle="1" w:styleId="Default">
    <w:name w:val="Default"/>
    <w:rsid w:val="00642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6A05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0C4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0C41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0C4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0C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0C41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0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mpsv.cz/upcr/kp/vys/projekty_evropskeho_socialniho_fondu/projekty_v_realizaci/regionalni_individualni_projekty/zaruky_pro_mlade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mpsv.cz/upcr/kp/vys/projekty_evropskeho_socialniho_fondu/projekty_v_realizaci/regionalni_individualni_projekty/zaruky_pro_mla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k projektu Záruky pro mladé v Kraji Vysočina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1F46A-ACDD-4C6B-9233-7F20C7E4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7</Pages>
  <Words>1744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pro zaměstnavatele</vt:lpstr>
    </vt:vector>
  </TitlesOfParts>
  <Company>MPSV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Příručka pro zaměstnavatele</dc:title>
  <dc:subject>k projektu „Záruky pro mladé na Vysočině“       reg. č. CZ.03.1.48/0.0/0.0/15_004/0000010</dc:subject>
  <dc:creator>CZ.03.1.48/0.0/0.0/15_004/0000010                                                                                                                                                Tento projekt je spolufinancován Evropským sociálním fondem a státním rozpočtem České republiky</dc:creator>
  <cp:lastModifiedBy>Pechová Aneta Mgr. (UPJ-KRP)</cp:lastModifiedBy>
  <cp:revision>145</cp:revision>
  <cp:lastPrinted>2019-09-03T05:57:00Z</cp:lastPrinted>
  <dcterms:created xsi:type="dcterms:W3CDTF">2015-09-10T10:56:00Z</dcterms:created>
  <dcterms:modified xsi:type="dcterms:W3CDTF">2019-09-03T08:23:00Z</dcterms:modified>
</cp:coreProperties>
</file>