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</w:t>
      </w:r>
      <w:r w:rsidR="00C25D31">
        <w:rPr>
          <w:rFonts w:cs="Times New Roman"/>
          <w:b/>
          <w:color w:val="FF0000"/>
          <w:sz w:val="24"/>
          <w:u w:val="single"/>
        </w:rPr>
        <w:t xml:space="preserve"> </w:t>
      </w:r>
      <w:r w:rsidR="00C25D31">
        <w:rPr>
          <w:rFonts w:cs="Times New Roman"/>
          <w:b/>
          <w:sz w:val="24"/>
          <w:u w:val="single"/>
        </w:rPr>
        <w:t>k </w:t>
      </w:r>
      <w:r w:rsidRPr="005B6D21">
        <w:rPr>
          <w:rFonts w:cs="Times New Roman"/>
          <w:b/>
          <w:sz w:val="24"/>
          <w:u w:val="single"/>
        </w:rPr>
        <w:t xml:space="preserve">VZ „ÚP ČR – Mimoň – rekonstrukce budovy“ </w:t>
      </w:r>
    </w:p>
    <w:p w:rsidR="00063AF8" w:rsidRDefault="00CD5259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>
        <w:rPr>
          <w:rFonts w:cs="Times New Roman"/>
          <w:b/>
          <w:sz w:val="24"/>
          <w:u w:val="single"/>
        </w:rPr>
        <w:t>Výkon technického dozoru investora a koordinátora BOZP</w:t>
      </w:r>
    </w:p>
    <w:p w:rsidR="008D6E10" w:rsidRPr="005B6D21" w:rsidRDefault="008D6E10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</w:p>
    <w:p w:rsidR="00A27163" w:rsidRPr="00250C04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250C04">
        <w:rPr>
          <w:rFonts w:cs="Times New Roman"/>
          <w:b/>
          <w:sz w:val="24"/>
          <w:u w:val="single"/>
        </w:rPr>
        <w:t xml:space="preserve">Dotaz č. </w:t>
      </w:r>
      <w:r w:rsidR="008D6E10" w:rsidRPr="00250C04">
        <w:rPr>
          <w:rFonts w:cs="Times New Roman"/>
          <w:b/>
          <w:sz w:val="24"/>
          <w:u w:val="single"/>
        </w:rPr>
        <w:t>2</w:t>
      </w:r>
      <w:r w:rsidRPr="00250C04">
        <w:rPr>
          <w:rFonts w:cs="Times New Roman"/>
          <w:b/>
          <w:sz w:val="24"/>
          <w:u w:val="single"/>
        </w:rPr>
        <w:t>:</w:t>
      </w:r>
    </w:p>
    <w:p w:rsidR="00045C63" w:rsidRPr="00250C04" w:rsidRDefault="003E30FB" w:rsidP="000863D4">
      <w:pPr>
        <w:pStyle w:val="Prosttext"/>
        <w:rPr>
          <w:rFonts w:asciiTheme="minorHAnsi" w:hAnsiTheme="minorHAnsi"/>
          <w:color w:val="FF0000"/>
        </w:rPr>
      </w:pPr>
      <w:r w:rsidRPr="00250C04">
        <w:rPr>
          <w:rFonts w:asciiTheme="minorHAnsi" w:eastAsia="Times New Roman" w:hAnsiTheme="minorHAnsi"/>
        </w:rPr>
        <w:t>Dobrý den,</w:t>
      </w:r>
      <w:r w:rsidRPr="00250C04">
        <w:rPr>
          <w:rFonts w:asciiTheme="minorHAnsi" w:eastAsia="Times New Roman" w:hAnsiTheme="minorHAnsi"/>
        </w:rPr>
        <w:br/>
        <w:t xml:space="preserve">k výše uvedené zadávací dokumentaci mám následující </w:t>
      </w:r>
      <w:proofErr w:type="gramStart"/>
      <w:r w:rsidRPr="00250C04">
        <w:rPr>
          <w:rFonts w:asciiTheme="minorHAnsi" w:eastAsia="Times New Roman" w:hAnsiTheme="minorHAnsi"/>
        </w:rPr>
        <w:t>dotaz :</w:t>
      </w:r>
      <w:r w:rsidRPr="00250C04">
        <w:rPr>
          <w:rFonts w:asciiTheme="minorHAnsi" w:eastAsia="Times New Roman" w:hAnsiTheme="minorHAnsi"/>
        </w:rPr>
        <w:br/>
      </w:r>
      <w:r w:rsidRPr="00250C04">
        <w:rPr>
          <w:rFonts w:asciiTheme="minorHAnsi" w:eastAsia="Times New Roman" w:hAnsiTheme="minorHAnsi"/>
          <w:b/>
          <w:bCs/>
        </w:rPr>
        <w:br/>
        <w:t>Jaká</w:t>
      </w:r>
      <w:proofErr w:type="gramEnd"/>
      <w:r w:rsidRPr="00250C04">
        <w:rPr>
          <w:rFonts w:asciiTheme="minorHAnsi" w:eastAsia="Times New Roman" w:hAnsiTheme="minorHAnsi"/>
          <w:b/>
          <w:bCs/>
        </w:rPr>
        <w:t xml:space="preserve"> je předpokládaná doba stavby v měsících ?</w:t>
      </w:r>
      <w:r w:rsidRPr="00250C04">
        <w:rPr>
          <w:rFonts w:asciiTheme="minorHAnsi" w:eastAsia="Times New Roman" w:hAnsiTheme="minorHAnsi"/>
        </w:rPr>
        <w:br/>
        <w:t>V čl. 4 je pouze "předpokládané ukončení plnění: vydání kolaudačního souhlasu", což je pro stanovení ceny plnění zcela nedostatečné.</w:t>
      </w:r>
      <w:r w:rsidRPr="00250C04">
        <w:rPr>
          <w:rFonts w:asciiTheme="minorHAnsi" w:eastAsia="Times New Roman" w:hAnsiTheme="minorHAnsi"/>
        </w:rPr>
        <w:br/>
      </w:r>
      <w:r w:rsidRPr="00250C04">
        <w:rPr>
          <w:rFonts w:asciiTheme="minorHAnsi" w:eastAsia="Times New Roman" w:hAnsiTheme="minorHAnsi"/>
        </w:rPr>
        <w:br/>
      </w:r>
    </w:p>
    <w:p w:rsidR="00A4539D" w:rsidRPr="00250C04" w:rsidRDefault="00A27163" w:rsidP="00967BBD">
      <w:pPr>
        <w:spacing w:line="360" w:lineRule="auto"/>
        <w:jc w:val="both"/>
        <w:rPr>
          <w:rFonts w:cs="Times New Roman"/>
          <w:sz w:val="24"/>
        </w:rPr>
      </w:pPr>
      <w:r w:rsidRPr="00250C04">
        <w:rPr>
          <w:rFonts w:cs="Times New Roman"/>
          <w:b/>
          <w:sz w:val="24"/>
          <w:u w:val="single"/>
        </w:rPr>
        <w:t xml:space="preserve">Odpověď č. </w:t>
      </w:r>
      <w:r w:rsidR="008D6E10" w:rsidRPr="00250C04">
        <w:rPr>
          <w:rFonts w:cs="Times New Roman"/>
          <w:b/>
          <w:sz w:val="24"/>
          <w:u w:val="single"/>
        </w:rPr>
        <w:t>2</w:t>
      </w:r>
      <w:r w:rsidRPr="00250C04">
        <w:rPr>
          <w:rFonts w:cs="Times New Roman"/>
          <w:b/>
          <w:sz w:val="24"/>
          <w:u w:val="single"/>
        </w:rPr>
        <w:t>:</w:t>
      </w:r>
    </w:p>
    <w:p w:rsidR="00250C04" w:rsidRPr="00250C04" w:rsidRDefault="001C2DE1" w:rsidP="00250C04">
      <w:pPr>
        <w:jc w:val="both"/>
        <w:rPr>
          <w:sz w:val="24"/>
          <w:szCs w:val="24"/>
        </w:rPr>
      </w:pPr>
      <w:r>
        <w:t>K V</w:t>
      </w:r>
      <w:r w:rsidR="00CD5259" w:rsidRPr="00250C04">
        <w:t>ašemu dotazu sdělujeme:</w:t>
      </w:r>
    </w:p>
    <w:p w:rsidR="00250C04" w:rsidRPr="00250C04" w:rsidRDefault="00250C04" w:rsidP="00250C04">
      <w:pPr>
        <w:spacing w:after="120"/>
        <w:jc w:val="both"/>
        <w:rPr>
          <w:sz w:val="24"/>
          <w:szCs w:val="24"/>
        </w:rPr>
      </w:pPr>
      <w:r w:rsidRPr="00250C04">
        <w:rPr>
          <w:sz w:val="24"/>
          <w:szCs w:val="24"/>
        </w:rPr>
        <w:t xml:space="preserve">Závazná lhůta pro dokončení předmětu plnění veřejné zakázky je následující: ukončení výkonu činnosti technického dozoru investora je vázáno ukončením rekonstrukce, kolaudačním souhlasem, předáním stavby investorovi a věcnou kontrolou předložených faktur. </w:t>
      </w:r>
      <w:bookmarkStart w:id="0" w:name="_GoBack"/>
      <w:bookmarkEnd w:id="0"/>
    </w:p>
    <w:p w:rsidR="00250C04" w:rsidRPr="00250C04" w:rsidRDefault="00250C04" w:rsidP="00250C04">
      <w:pPr>
        <w:spacing w:after="120"/>
        <w:jc w:val="both"/>
        <w:rPr>
          <w:sz w:val="24"/>
          <w:szCs w:val="24"/>
        </w:rPr>
      </w:pPr>
      <w:r w:rsidRPr="00250C04">
        <w:rPr>
          <w:sz w:val="24"/>
          <w:szCs w:val="24"/>
        </w:rPr>
        <w:t xml:space="preserve">Předpokládaná realizace investiční akce rekonstrukce je 2. pol. r. 2013. </w:t>
      </w:r>
    </w:p>
    <w:p w:rsidR="00250C04" w:rsidRPr="00250C04" w:rsidRDefault="00250C04" w:rsidP="00250C04">
      <w:pPr>
        <w:spacing w:after="120"/>
        <w:jc w:val="both"/>
        <w:rPr>
          <w:sz w:val="24"/>
          <w:szCs w:val="24"/>
        </w:rPr>
      </w:pPr>
      <w:r w:rsidRPr="00250C04">
        <w:rPr>
          <w:rFonts w:cs="Times New Roman"/>
          <w:sz w:val="24"/>
        </w:rPr>
        <w:t xml:space="preserve">Není ovšem vyloučeno </w:t>
      </w:r>
      <w:r w:rsidRPr="00250C04">
        <w:rPr>
          <w:sz w:val="24"/>
          <w:szCs w:val="24"/>
        </w:rPr>
        <w:t>prodloužení</w:t>
      </w:r>
      <w:r w:rsidRPr="00250C04">
        <w:rPr>
          <w:rFonts w:cs="Times New Roman"/>
          <w:sz w:val="24"/>
        </w:rPr>
        <w:t xml:space="preserve"> termínu na cca 1. čtvrtletí roku 2014 </w:t>
      </w:r>
      <w:r w:rsidRPr="00250C04">
        <w:rPr>
          <w:sz w:val="24"/>
          <w:szCs w:val="24"/>
        </w:rPr>
        <w:t>(dle objektivních podmínek).</w:t>
      </w:r>
    </w:p>
    <w:p w:rsidR="003E30FB" w:rsidRPr="00250C04" w:rsidRDefault="003E30FB" w:rsidP="00CD5259">
      <w:pPr>
        <w:spacing w:line="360" w:lineRule="auto"/>
        <w:jc w:val="both"/>
        <w:rPr>
          <w:rFonts w:ascii="Calibri" w:hAnsi="Calibri" w:cs="Times New Roman"/>
          <w:sz w:val="24"/>
        </w:rPr>
      </w:pPr>
    </w:p>
    <w:p w:rsidR="00412C8A" w:rsidRPr="00250C04" w:rsidRDefault="00412C8A" w:rsidP="00CD5259">
      <w:pPr>
        <w:spacing w:line="360" w:lineRule="auto"/>
        <w:jc w:val="both"/>
        <w:rPr>
          <w:rFonts w:cs="Times New Roman"/>
          <w:sz w:val="24"/>
        </w:rPr>
      </w:pPr>
      <w:r w:rsidRPr="00250C04">
        <w:rPr>
          <w:rFonts w:cs="Times New Roman"/>
          <w:sz w:val="24"/>
        </w:rPr>
        <w:t xml:space="preserve">V České Lípě dne </w:t>
      </w:r>
      <w:r w:rsidR="00D6594D" w:rsidRPr="00250C04">
        <w:rPr>
          <w:rFonts w:cs="Times New Roman"/>
          <w:sz w:val="24"/>
        </w:rPr>
        <w:t>2</w:t>
      </w:r>
      <w:r w:rsidR="00997092">
        <w:rPr>
          <w:rFonts w:cs="Times New Roman"/>
          <w:sz w:val="24"/>
        </w:rPr>
        <w:t>5</w:t>
      </w:r>
      <w:r w:rsidR="00CD5259" w:rsidRPr="00250C04">
        <w:rPr>
          <w:rFonts w:cs="Times New Roman"/>
          <w:sz w:val="24"/>
        </w:rPr>
        <w:t>.2</w:t>
      </w:r>
      <w:r w:rsidR="00046AAB" w:rsidRPr="00250C04">
        <w:rPr>
          <w:rFonts w:cs="Times New Roman"/>
          <w:sz w:val="24"/>
        </w:rPr>
        <w:t>.2013</w:t>
      </w:r>
    </w:p>
    <w:p w:rsidR="00CD5259" w:rsidRPr="00CD5259" w:rsidRDefault="00CD5259">
      <w:pPr>
        <w:spacing w:line="360" w:lineRule="auto"/>
        <w:jc w:val="both"/>
        <w:rPr>
          <w:rFonts w:ascii="Calibri" w:hAnsi="Calibri" w:cs="Times New Roman"/>
          <w:sz w:val="24"/>
        </w:rPr>
      </w:pPr>
    </w:p>
    <w:sectPr w:rsidR="00CD5259" w:rsidRPr="00CD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4428"/>
    <w:multiLevelType w:val="hybridMultilevel"/>
    <w:tmpl w:val="09321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35E65"/>
    <w:multiLevelType w:val="hybridMultilevel"/>
    <w:tmpl w:val="62085A10"/>
    <w:lvl w:ilvl="0" w:tplc="7EF4CF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D2982"/>
    <w:multiLevelType w:val="hybridMultilevel"/>
    <w:tmpl w:val="AFC8F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D244F"/>
    <w:multiLevelType w:val="hybridMultilevel"/>
    <w:tmpl w:val="662E9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3"/>
    <w:rsid w:val="00045C63"/>
    <w:rsid w:val="00046AAB"/>
    <w:rsid w:val="00063AF8"/>
    <w:rsid w:val="00071441"/>
    <w:rsid w:val="0007787B"/>
    <w:rsid w:val="000863D4"/>
    <w:rsid w:val="00112AA9"/>
    <w:rsid w:val="001A5BBA"/>
    <w:rsid w:val="001C2DE1"/>
    <w:rsid w:val="00214173"/>
    <w:rsid w:val="00250C04"/>
    <w:rsid w:val="002533C8"/>
    <w:rsid w:val="00264CD2"/>
    <w:rsid w:val="0027051C"/>
    <w:rsid w:val="003601B9"/>
    <w:rsid w:val="003A1471"/>
    <w:rsid w:val="003E30FB"/>
    <w:rsid w:val="00412C8A"/>
    <w:rsid w:val="004A5D54"/>
    <w:rsid w:val="005B6D21"/>
    <w:rsid w:val="006A4573"/>
    <w:rsid w:val="006E1119"/>
    <w:rsid w:val="00762129"/>
    <w:rsid w:val="007E1FEA"/>
    <w:rsid w:val="008D6E10"/>
    <w:rsid w:val="00967BBD"/>
    <w:rsid w:val="00997092"/>
    <w:rsid w:val="00A27163"/>
    <w:rsid w:val="00A37CF1"/>
    <w:rsid w:val="00A4539D"/>
    <w:rsid w:val="00AD6A8A"/>
    <w:rsid w:val="00AD7B81"/>
    <w:rsid w:val="00B4128B"/>
    <w:rsid w:val="00B97703"/>
    <w:rsid w:val="00BA26D8"/>
    <w:rsid w:val="00C25D31"/>
    <w:rsid w:val="00C733D0"/>
    <w:rsid w:val="00C772A5"/>
    <w:rsid w:val="00C85288"/>
    <w:rsid w:val="00CA7DBC"/>
    <w:rsid w:val="00CC460D"/>
    <w:rsid w:val="00CD5259"/>
    <w:rsid w:val="00D202D6"/>
    <w:rsid w:val="00D6594D"/>
    <w:rsid w:val="00DD70B9"/>
    <w:rsid w:val="00EB245E"/>
    <w:rsid w:val="00EE39FA"/>
    <w:rsid w:val="00F72B44"/>
    <w:rsid w:val="00F75028"/>
    <w:rsid w:val="00F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863D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863D4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CD52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863D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863D4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CD52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Rajtrová Jana Ing. (CL)</dc:creator>
  <cp:lastModifiedBy>Rajtrová Jana Ing. (CL)</cp:lastModifiedBy>
  <cp:revision>7</cp:revision>
  <cp:lastPrinted>2013-01-28T11:10:00Z</cp:lastPrinted>
  <dcterms:created xsi:type="dcterms:W3CDTF">2013-02-25T13:52:00Z</dcterms:created>
  <dcterms:modified xsi:type="dcterms:W3CDTF">2013-02-25T15:53:00Z</dcterms:modified>
</cp:coreProperties>
</file>