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46" w:rsidRPr="000E58E7" w:rsidRDefault="00F56246">
      <w:pPr>
        <w:rPr>
          <w:rFonts w:ascii="Arial" w:hAnsi="Arial" w:cs="Arial"/>
          <w:sz w:val="22"/>
          <w:szCs w:val="22"/>
        </w:rPr>
      </w:pPr>
    </w:p>
    <w:p w:rsidR="00377793" w:rsidRPr="00377793" w:rsidRDefault="00377793" w:rsidP="008468EE">
      <w:pPr>
        <w:pStyle w:val="Nadpis1"/>
        <w:ind w:left="720" w:hanging="720"/>
        <w:jc w:val="center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77793">
        <w:rPr>
          <w:sz w:val="22"/>
          <w:szCs w:val="22"/>
        </w:rPr>
        <w:t xml:space="preserve">Příloha č. </w:t>
      </w:r>
      <w:r w:rsidR="007B76DB">
        <w:rPr>
          <w:sz w:val="22"/>
          <w:szCs w:val="22"/>
        </w:rPr>
        <w:t>3</w:t>
      </w:r>
      <w:bookmarkStart w:id="0" w:name="_GoBack"/>
      <w:bookmarkEnd w:id="0"/>
      <w:r w:rsidRPr="00377793">
        <w:rPr>
          <w:sz w:val="22"/>
          <w:szCs w:val="22"/>
        </w:rPr>
        <w:t xml:space="preserve"> k ZD</w:t>
      </w:r>
    </w:p>
    <w:p w:rsidR="00377793" w:rsidRDefault="00377793" w:rsidP="008468EE">
      <w:pPr>
        <w:pStyle w:val="Nadpis1"/>
        <w:ind w:left="720" w:hanging="720"/>
        <w:jc w:val="center"/>
        <w:rPr>
          <w:sz w:val="28"/>
          <w:szCs w:val="28"/>
        </w:rPr>
      </w:pPr>
    </w:p>
    <w:p w:rsidR="008468EE" w:rsidRDefault="000E58E7" w:rsidP="008468EE">
      <w:pPr>
        <w:pStyle w:val="Nadpis1"/>
        <w:ind w:left="720" w:hanging="720"/>
        <w:jc w:val="center"/>
        <w:rPr>
          <w:sz w:val="28"/>
          <w:szCs w:val="28"/>
        </w:rPr>
      </w:pPr>
      <w:r w:rsidRPr="000E58E7">
        <w:rPr>
          <w:sz w:val="28"/>
          <w:szCs w:val="28"/>
        </w:rPr>
        <w:t>Systém obecných kritérií a podmínek</w:t>
      </w:r>
      <w:r w:rsidR="00003345">
        <w:rPr>
          <w:sz w:val="28"/>
          <w:szCs w:val="28"/>
        </w:rPr>
        <w:t xml:space="preserve"> z dokumentace </w:t>
      </w:r>
    </w:p>
    <w:p w:rsidR="00003345" w:rsidRDefault="00003345" w:rsidP="008468EE">
      <w:pPr>
        <w:pStyle w:val="Nadpis1"/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>programu 113 </w:t>
      </w:r>
      <w:r w:rsidR="009B1AED">
        <w:rPr>
          <w:sz w:val="28"/>
          <w:szCs w:val="28"/>
        </w:rPr>
        <w:t>340</w:t>
      </w:r>
    </w:p>
    <w:p w:rsidR="000E58E7" w:rsidRPr="009B3C17" w:rsidRDefault="00003345" w:rsidP="000E58E7">
      <w:pPr>
        <w:pStyle w:val="Nadpis1"/>
        <w:spacing w:line="360" w:lineRule="auto"/>
        <w:ind w:left="720" w:hanging="720"/>
        <w:jc w:val="center"/>
        <w:rPr>
          <w:b w:val="0"/>
          <w:i/>
          <w:sz w:val="24"/>
          <w:szCs w:val="24"/>
        </w:rPr>
      </w:pPr>
      <w:r w:rsidRPr="009B3C17">
        <w:rPr>
          <w:b w:val="0"/>
          <w:i/>
          <w:sz w:val="24"/>
          <w:szCs w:val="24"/>
        </w:rPr>
        <w:t xml:space="preserve">Integrovaný operační program v oblastech intervence zaměstnanosti a sociálních služeb </w:t>
      </w:r>
      <w:r w:rsidR="009B1AED" w:rsidRPr="009B3C17">
        <w:rPr>
          <w:b w:val="0"/>
          <w:i/>
          <w:sz w:val="24"/>
          <w:szCs w:val="24"/>
        </w:rPr>
        <w:t xml:space="preserve"> </w:t>
      </w:r>
    </w:p>
    <w:p w:rsidR="000E58E7" w:rsidRDefault="000E58E7" w:rsidP="000E58E7">
      <w:pPr>
        <w:spacing w:line="360" w:lineRule="auto"/>
        <w:rPr>
          <w:rFonts w:ascii="Arial" w:hAnsi="Arial" w:cs="Arial"/>
          <w:sz w:val="22"/>
          <w:szCs w:val="22"/>
        </w:rPr>
      </w:pPr>
    </w:p>
    <w:p w:rsidR="0047344E" w:rsidRPr="00645FE9" w:rsidRDefault="0047344E" w:rsidP="00645FE9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645FE9">
        <w:rPr>
          <w:rFonts w:ascii="Arial" w:hAnsi="Arial" w:cs="Arial"/>
          <w:b/>
          <w:u w:val="single"/>
        </w:rPr>
        <w:t xml:space="preserve">Oblast intervence </w:t>
      </w:r>
      <w:smartTag w:uri="urn:schemas-microsoft-com:office:smarttags" w:element="metricconverter">
        <w:smartTagPr>
          <w:attr w:name="ProductID" w:val="3.3 a"/>
        </w:smartTagPr>
        <w:r w:rsidRPr="00645FE9">
          <w:rPr>
            <w:rFonts w:ascii="Arial" w:hAnsi="Arial" w:cs="Arial"/>
            <w:b/>
            <w:u w:val="single"/>
          </w:rPr>
          <w:t>3.3 a</w:t>
        </w:r>
      </w:smartTag>
      <w:r w:rsidRPr="00645FE9">
        <w:rPr>
          <w:rFonts w:ascii="Arial" w:hAnsi="Arial" w:cs="Arial"/>
          <w:b/>
          <w:u w:val="single"/>
        </w:rPr>
        <w:t>)</w:t>
      </w:r>
    </w:p>
    <w:p w:rsidR="00645FE9" w:rsidRPr="009B3C17" w:rsidRDefault="00645FE9" w:rsidP="00645FE9">
      <w:pPr>
        <w:spacing w:line="360" w:lineRule="auto"/>
        <w:jc w:val="center"/>
        <w:rPr>
          <w:rFonts w:ascii="Arial" w:hAnsi="Arial" w:cs="Arial"/>
          <w:b/>
        </w:rPr>
      </w:pPr>
    </w:p>
    <w:p w:rsidR="000E58E7" w:rsidRPr="00846D5E" w:rsidRDefault="000E58E7" w:rsidP="000E58E7">
      <w:pPr>
        <w:pStyle w:val="Zkladntext3"/>
        <w:spacing w:after="0" w:line="360" w:lineRule="auto"/>
        <w:ind w:left="360"/>
        <w:jc w:val="both"/>
        <w:rPr>
          <w:rStyle w:val="Nadpis3Char"/>
          <w:rFonts w:cs="Arial"/>
          <w:color w:val="auto"/>
          <w:kern w:val="32"/>
          <w:sz w:val="22"/>
          <w:szCs w:val="22"/>
        </w:rPr>
      </w:pPr>
      <w:bookmarkStart w:id="1" w:name="_Toc231025022"/>
      <w:r w:rsidRPr="00846D5E">
        <w:rPr>
          <w:rFonts w:ascii="Arial" w:hAnsi="Arial" w:cs="Arial"/>
          <w:b/>
          <w:sz w:val="22"/>
          <w:szCs w:val="22"/>
        </w:rPr>
        <w:t xml:space="preserve">Nadefinování parametrů, podmínek a kritérií pro </w:t>
      </w:r>
      <w:r w:rsidRPr="00846D5E">
        <w:rPr>
          <w:rStyle w:val="Nadpis3Char"/>
          <w:rFonts w:cs="Arial"/>
          <w:color w:val="auto"/>
          <w:sz w:val="22"/>
          <w:szCs w:val="22"/>
        </w:rPr>
        <w:t>podporu transformace</w:t>
      </w:r>
      <w:r w:rsidR="00846D5E">
        <w:rPr>
          <w:rStyle w:val="Nadpis3Char"/>
          <w:rFonts w:cs="Arial"/>
          <w:color w:val="auto"/>
          <w:sz w:val="22"/>
          <w:szCs w:val="22"/>
        </w:rPr>
        <w:t xml:space="preserve"> </w:t>
      </w:r>
      <w:r w:rsidRPr="00846D5E">
        <w:rPr>
          <w:rStyle w:val="Nadpis3Char"/>
          <w:rFonts w:cs="Arial"/>
          <w:color w:val="auto"/>
          <w:sz w:val="22"/>
          <w:szCs w:val="22"/>
        </w:rPr>
        <w:t xml:space="preserve">a posilování služeb zaměstnanosti, včetně vytvoření nestátních institucí trhu práce  </w:t>
      </w:r>
      <w:bookmarkEnd w:id="1"/>
    </w:p>
    <w:p w:rsidR="000E58E7" w:rsidRPr="000E58E7" w:rsidRDefault="000E58E7" w:rsidP="000E58E7">
      <w:pPr>
        <w:rPr>
          <w:rFonts w:ascii="Arial" w:hAnsi="Arial" w:cs="Arial"/>
          <w:sz w:val="22"/>
          <w:szCs w:val="22"/>
        </w:rPr>
      </w:pPr>
    </w:p>
    <w:p w:rsidR="000E58E7" w:rsidRPr="000E58E7" w:rsidRDefault="000E58E7" w:rsidP="000E58E7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Podlahová plocha kanceláří, pracoven, zasedacích místností, archivů, učeben a všech pracovišť pro jednání s klienty, studenty, apod. musí tvořit minimálně 50% celkové podlahové plochy komplexně rekonstruovaných objektů </w:t>
      </w:r>
      <w:r w:rsidR="004224D4">
        <w:rPr>
          <w:rFonts w:ascii="Arial" w:hAnsi="Arial" w:cs="Arial"/>
          <w:sz w:val="22"/>
          <w:szCs w:val="22"/>
        </w:rPr>
        <w:t>a</w:t>
      </w:r>
      <w:r w:rsidRPr="000E58E7">
        <w:rPr>
          <w:rFonts w:ascii="Arial" w:hAnsi="Arial" w:cs="Arial"/>
          <w:sz w:val="22"/>
          <w:szCs w:val="22"/>
        </w:rPr>
        <w:t xml:space="preserve"> novostaveb. Maximální podlahová plocha nově pořizovaných kanceláří nesmí překročit limit </w:t>
      </w:r>
      <w:smartTag w:uri="urn:schemas-microsoft-com:office:smarttags" w:element="metricconverter">
        <w:smartTagPr>
          <w:attr w:name="ProductID" w:val="16 m2"/>
        </w:smartTagPr>
        <w:r w:rsidRPr="000E58E7">
          <w:rPr>
            <w:rFonts w:ascii="Arial" w:hAnsi="Arial" w:cs="Arial"/>
            <w:sz w:val="22"/>
            <w:szCs w:val="22"/>
          </w:rPr>
          <w:t>16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 xml:space="preserve"> na jednoho pracovníka, pro vedoucí pracovníky je tento limit stanoven na </w:t>
      </w:r>
      <w:smartTag w:uri="urn:schemas-microsoft-com:office:smarttags" w:element="metricconverter">
        <w:smartTagPr>
          <w:attr w:name="ProductID" w:val="30 m2"/>
        </w:smartTagPr>
        <w:r w:rsidRPr="000E58E7">
          <w:rPr>
            <w:rFonts w:ascii="Arial" w:hAnsi="Arial" w:cs="Arial"/>
            <w:sz w:val="22"/>
            <w:szCs w:val="22"/>
          </w:rPr>
          <w:t>30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Pr="000E58E7">
        <w:rPr>
          <w:rFonts w:ascii="Arial" w:hAnsi="Arial" w:cs="Arial"/>
          <w:sz w:val="22"/>
          <w:szCs w:val="22"/>
        </w:rPr>
        <w:t>.</w:t>
      </w:r>
    </w:p>
    <w:p w:rsidR="000E58E7" w:rsidRPr="000E58E7" w:rsidRDefault="000E58E7" w:rsidP="000E58E7">
      <w:pPr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 w:rsidRPr="000E58E7">
        <w:rPr>
          <w:rFonts w:ascii="Arial" w:hAnsi="Arial" w:cs="Arial"/>
          <w:b/>
          <w:sz w:val="22"/>
          <w:szCs w:val="22"/>
        </w:rPr>
        <w:t>Podíl nákladů přípravy a zabezpečení akce</w:t>
      </w:r>
      <w:r w:rsidRPr="000E58E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b/>
          <w:sz w:val="22"/>
          <w:szCs w:val="22"/>
        </w:rPr>
        <w:t>z celkových nákladů akce</w:t>
      </w:r>
      <w:r w:rsidRPr="000E58E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b/>
          <w:sz w:val="22"/>
          <w:szCs w:val="22"/>
        </w:rPr>
        <w:t>nepřesáhne 10% z celkových nákladů akce.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Celkové náklady na pořízení pracovního místa nepřekročí částku </w:t>
      </w:r>
      <w:smartTag w:uri="urn:schemas-microsoft-com:office:smarttags" w:element="metricconverter">
        <w:smartTagPr>
          <w:attr w:name="ProductID" w:val="1,6 mil"/>
        </w:smartTagPr>
        <w:r w:rsidRPr="000E58E7">
          <w:rPr>
            <w:rFonts w:ascii="Arial" w:hAnsi="Arial" w:cs="Arial"/>
            <w:sz w:val="22"/>
            <w:szCs w:val="22"/>
          </w:rPr>
          <w:t>1,6 mil</w:t>
        </w:r>
      </w:smartTag>
      <w:r w:rsidRPr="000E58E7">
        <w:rPr>
          <w:rFonts w:ascii="Arial" w:hAnsi="Arial" w:cs="Arial"/>
          <w:sz w:val="22"/>
          <w:szCs w:val="22"/>
        </w:rPr>
        <w:t>.</w:t>
      </w:r>
      <w:r w:rsidR="00BF6AC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sz w:val="22"/>
          <w:szCs w:val="22"/>
        </w:rPr>
        <w:t xml:space="preserve">Kč u novostaveb (bez nákladů na pořízení pozemků a případné odstranění stávajících staveb a porostů), na rekonstrukci pracovního místa </w:t>
      </w:r>
      <w:smartTag w:uri="urn:schemas-microsoft-com:office:smarttags" w:element="metricconverter">
        <w:smartTagPr>
          <w:attr w:name="ProductID" w:val="1,0 mil"/>
        </w:smartTagPr>
        <w:r w:rsidRPr="000E58E7">
          <w:rPr>
            <w:rFonts w:ascii="Arial" w:hAnsi="Arial" w:cs="Arial"/>
            <w:sz w:val="22"/>
            <w:szCs w:val="22"/>
          </w:rPr>
          <w:t>1,0 mil</w:t>
        </w:r>
      </w:smartTag>
      <w:r w:rsidRPr="000E58E7">
        <w:rPr>
          <w:rFonts w:ascii="Arial" w:hAnsi="Arial" w:cs="Arial"/>
          <w:sz w:val="22"/>
          <w:szCs w:val="22"/>
        </w:rPr>
        <w:t>.</w:t>
      </w:r>
      <w:r w:rsidR="00BF6AC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sz w:val="22"/>
          <w:szCs w:val="22"/>
        </w:rPr>
        <w:t xml:space="preserve">Kč. 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b/>
          <w:bCs/>
          <w:sz w:val="22"/>
          <w:szCs w:val="22"/>
        </w:rPr>
        <w:t xml:space="preserve">Celkové stavební náklady na výstavbu nových objektů nesmí překročit částku 7 tis. Kč za </w:t>
      </w:r>
      <w:smartTag w:uri="urn:schemas-microsoft-com:office:smarttags" w:element="metricconverter">
        <w:smartTagPr>
          <w:attr w:name="ProductID" w:val="1 m3"/>
        </w:smartTagPr>
        <w:r w:rsidRPr="000E58E7">
          <w:rPr>
            <w:rFonts w:ascii="Arial" w:hAnsi="Arial" w:cs="Arial"/>
            <w:b/>
            <w:bCs/>
            <w:sz w:val="22"/>
            <w:szCs w:val="22"/>
          </w:rPr>
          <w:t>1 m</w:t>
        </w:r>
        <w:r w:rsidRPr="000E58E7">
          <w:rPr>
            <w:rFonts w:ascii="Arial" w:hAnsi="Arial" w:cs="Arial"/>
            <w:b/>
            <w:bCs/>
            <w:sz w:val="22"/>
            <w:szCs w:val="22"/>
            <w:vertAlign w:val="superscript"/>
          </w:rPr>
          <w:t>3</w:t>
        </w:r>
      </w:smartTag>
      <w:r w:rsidRPr="000E58E7">
        <w:rPr>
          <w:rFonts w:ascii="Arial" w:hAnsi="Arial" w:cs="Arial"/>
          <w:b/>
          <w:bCs/>
          <w:sz w:val="22"/>
          <w:szCs w:val="22"/>
        </w:rPr>
        <w:t xml:space="preserve"> obestavěného prostoru.</w:t>
      </w:r>
    </w:p>
    <w:p w:rsid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Celkové stavební náklady na </w:t>
      </w:r>
      <w:r w:rsidRPr="000E58E7">
        <w:rPr>
          <w:rFonts w:ascii="Arial" w:hAnsi="Arial" w:cs="Arial"/>
          <w:b/>
          <w:sz w:val="22"/>
          <w:szCs w:val="22"/>
        </w:rPr>
        <w:t>rekonstrukci</w:t>
      </w:r>
      <w:r w:rsidRPr="000E58E7">
        <w:rPr>
          <w:rFonts w:ascii="Arial" w:hAnsi="Arial" w:cs="Arial"/>
          <w:b/>
          <w:bCs/>
          <w:sz w:val="22"/>
          <w:szCs w:val="22"/>
        </w:rPr>
        <w:t xml:space="preserve"> podlahových ploch objektů</w:t>
      </w:r>
      <w:r w:rsidRPr="000E58E7">
        <w:rPr>
          <w:rFonts w:ascii="Arial" w:hAnsi="Arial" w:cs="Arial"/>
          <w:sz w:val="22"/>
          <w:szCs w:val="22"/>
        </w:rPr>
        <w:t xml:space="preserve"> nesmí překročit částku 16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b/>
          <w:bCs/>
          <w:sz w:val="22"/>
          <w:szCs w:val="22"/>
        </w:rPr>
        <w:t>podlahových ploch kanceláří, pracoven, archivů, skladů, učeben, školících místností, jídelen, jednacích a zasedacích místností</w:t>
      </w:r>
      <w:r w:rsidRPr="000E58E7">
        <w:rPr>
          <w:rFonts w:ascii="Arial" w:hAnsi="Arial" w:cs="Arial"/>
          <w:sz w:val="22"/>
          <w:szCs w:val="22"/>
        </w:rPr>
        <w:t xml:space="preserve">, částku 14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b/>
          <w:sz w:val="22"/>
          <w:szCs w:val="22"/>
        </w:rPr>
        <w:t xml:space="preserve">podlahových ploch </w:t>
      </w:r>
      <w:r w:rsidRPr="000E58E7">
        <w:rPr>
          <w:rFonts w:ascii="Arial" w:hAnsi="Arial" w:cs="Arial"/>
          <w:b/>
          <w:bCs/>
          <w:sz w:val="22"/>
          <w:szCs w:val="22"/>
        </w:rPr>
        <w:t>komunikačních prostor</w:t>
      </w:r>
      <w:r w:rsidRPr="000E58E7">
        <w:rPr>
          <w:rFonts w:ascii="Arial" w:hAnsi="Arial" w:cs="Arial"/>
          <w:sz w:val="22"/>
          <w:szCs w:val="22"/>
        </w:rPr>
        <w:t xml:space="preserve">, částku 13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b/>
          <w:sz w:val="22"/>
          <w:szCs w:val="22"/>
        </w:rPr>
        <w:t>podlahových ploch</w:t>
      </w:r>
      <w:r w:rsidRPr="000E58E7">
        <w:rPr>
          <w:rFonts w:ascii="Arial" w:hAnsi="Arial" w:cs="Arial"/>
          <w:b/>
          <w:bCs/>
          <w:sz w:val="22"/>
          <w:szCs w:val="22"/>
        </w:rPr>
        <w:t xml:space="preserve"> kotelen a jiných výše neuvedených prostor</w:t>
      </w:r>
      <w:r w:rsidRPr="000E58E7">
        <w:rPr>
          <w:rFonts w:ascii="Arial" w:hAnsi="Arial" w:cs="Arial"/>
          <w:sz w:val="22"/>
          <w:szCs w:val="22"/>
        </w:rPr>
        <w:t>. V případech, kdy bude kompletně demontován obvodový plášť objektu, nebo bude rekonstrukce probíhat ve zvlášť ztížených podmínkách 22 tis. Kč za</w:t>
      </w:r>
      <w:r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sz w:val="22"/>
          <w:szCs w:val="22"/>
        </w:rPr>
        <w:t>1 m</w:t>
      </w:r>
      <w:r w:rsidRPr="000E58E7">
        <w:rPr>
          <w:rFonts w:ascii="Arial" w:hAnsi="Arial" w:cs="Arial"/>
          <w:sz w:val="22"/>
          <w:szCs w:val="22"/>
          <w:vertAlign w:val="superscript"/>
        </w:rPr>
        <w:t>2</w:t>
      </w:r>
      <w:r w:rsidRPr="000E58E7">
        <w:rPr>
          <w:rFonts w:ascii="Arial" w:hAnsi="Arial" w:cs="Arial"/>
          <w:sz w:val="22"/>
          <w:szCs w:val="22"/>
        </w:rPr>
        <w:t>.</w:t>
      </w:r>
    </w:p>
    <w:p w:rsidR="000E58E7" w:rsidRPr="00844CEC" w:rsidRDefault="000E58E7" w:rsidP="000E58E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lastRenderedPageBreak/>
        <w:t xml:space="preserve">Celkové stavební náklady na </w:t>
      </w:r>
      <w:r w:rsidRPr="000E58E7">
        <w:rPr>
          <w:rFonts w:ascii="Arial" w:hAnsi="Arial" w:cs="Arial"/>
          <w:b/>
          <w:bCs/>
          <w:sz w:val="22"/>
          <w:szCs w:val="22"/>
        </w:rPr>
        <w:t>pořízení a technické zhodnocení ploch charakteru</w:t>
      </w:r>
      <w:r w:rsidRPr="000E58E7">
        <w:rPr>
          <w:rFonts w:ascii="Arial" w:hAnsi="Arial" w:cs="Arial"/>
          <w:sz w:val="22"/>
          <w:szCs w:val="22"/>
        </w:rPr>
        <w:t xml:space="preserve"> </w:t>
      </w:r>
      <w:r w:rsidRPr="000E58E7">
        <w:rPr>
          <w:rFonts w:ascii="Arial" w:hAnsi="Arial" w:cs="Arial"/>
          <w:b/>
          <w:bCs/>
          <w:sz w:val="22"/>
          <w:szCs w:val="22"/>
        </w:rPr>
        <w:t xml:space="preserve">pozemních komunikací </w:t>
      </w:r>
      <w:r w:rsidRPr="000E58E7">
        <w:rPr>
          <w:rFonts w:ascii="Arial" w:hAnsi="Arial" w:cs="Arial"/>
          <w:sz w:val="22"/>
          <w:szCs w:val="22"/>
        </w:rPr>
        <w:t>nesmí překročit částku 4 tis. Kč/m</w:t>
      </w:r>
      <w:r w:rsidRPr="000E58E7">
        <w:rPr>
          <w:rFonts w:ascii="Arial" w:hAnsi="Arial" w:cs="Arial"/>
          <w:sz w:val="22"/>
          <w:szCs w:val="22"/>
          <w:vertAlign w:val="superscript"/>
        </w:rPr>
        <w:t>2</w:t>
      </w:r>
      <w:r w:rsidRPr="000E58E7">
        <w:rPr>
          <w:rFonts w:ascii="Arial" w:hAnsi="Arial" w:cs="Arial"/>
          <w:sz w:val="22"/>
          <w:szCs w:val="22"/>
        </w:rPr>
        <w:t>.</w:t>
      </w:r>
    </w:p>
    <w:p w:rsidR="00844CEC" w:rsidRPr="000E58E7" w:rsidRDefault="00844CEC" w:rsidP="00844CE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</w:t>
      </w:r>
      <w:r w:rsidRPr="000E58E7">
        <w:rPr>
          <w:rFonts w:ascii="Arial" w:hAnsi="Arial" w:cs="Arial"/>
          <w:b/>
          <w:sz w:val="22"/>
          <w:szCs w:val="22"/>
        </w:rPr>
        <w:t xml:space="preserve">pořízení </w:t>
      </w:r>
      <w:r w:rsidRPr="000E58E7">
        <w:rPr>
          <w:rFonts w:ascii="Arial" w:hAnsi="Arial" w:cs="Arial"/>
          <w:b/>
          <w:bCs/>
          <w:sz w:val="22"/>
          <w:szCs w:val="22"/>
        </w:rPr>
        <w:t>elektronických zabezpečovacích systémů</w:t>
      </w:r>
      <w:r w:rsidRPr="000E58E7">
        <w:rPr>
          <w:rFonts w:ascii="Arial" w:hAnsi="Arial" w:cs="Arial"/>
          <w:bCs/>
          <w:sz w:val="22"/>
          <w:szCs w:val="22"/>
        </w:rPr>
        <w:t xml:space="preserve"> nesmí překročit </w:t>
      </w:r>
      <w:r w:rsidRPr="000E58E7">
        <w:rPr>
          <w:rFonts w:ascii="Arial" w:hAnsi="Arial" w:cs="Arial"/>
          <w:sz w:val="22"/>
          <w:szCs w:val="22"/>
        </w:rPr>
        <w:t xml:space="preserve">částku 500 tis. Kč za 1 soubor, </w:t>
      </w:r>
      <w:r w:rsidRPr="000E58E7">
        <w:rPr>
          <w:rFonts w:ascii="Arial" w:hAnsi="Arial" w:cs="Arial"/>
          <w:b/>
          <w:bCs/>
          <w:sz w:val="22"/>
          <w:szCs w:val="22"/>
        </w:rPr>
        <w:t>elektronické požární signalizace</w:t>
      </w:r>
      <w:r w:rsidRPr="000E58E7">
        <w:rPr>
          <w:rFonts w:ascii="Arial" w:hAnsi="Arial" w:cs="Arial"/>
          <w:sz w:val="22"/>
          <w:szCs w:val="22"/>
        </w:rPr>
        <w:t xml:space="preserve"> částku 600 tis. Kč za 1 soubor, </w:t>
      </w:r>
      <w:r w:rsidRPr="000E58E7">
        <w:rPr>
          <w:rFonts w:ascii="Arial" w:hAnsi="Arial" w:cs="Arial"/>
          <w:b/>
          <w:bCs/>
          <w:sz w:val="22"/>
          <w:szCs w:val="22"/>
        </w:rPr>
        <w:t>náhradních zdrojů</w:t>
      </w:r>
      <w:r w:rsidRPr="000E58E7">
        <w:rPr>
          <w:rFonts w:ascii="Arial" w:hAnsi="Arial" w:cs="Arial"/>
          <w:sz w:val="22"/>
          <w:szCs w:val="22"/>
        </w:rPr>
        <w:t xml:space="preserve"> částku 2 000 tis. Kč za soubor a </w:t>
      </w:r>
      <w:r w:rsidRPr="000E58E7">
        <w:rPr>
          <w:rFonts w:ascii="Arial" w:hAnsi="Arial" w:cs="Arial"/>
          <w:b/>
          <w:sz w:val="22"/>
          <w:szCs w:val="22"/>
        </w:rPr>
        <w:t>vyvolávacích systémů</w:t>
      </w:r>
      <w:r w:rsidRPr="000E58E7">
        <w:rPr>
          <w:rFonts w:ascii="Arial" w:hAnsi="Arial" w:cs="Arial"/>
          <w:sz w:val="22"/>
          <w:szCs w:val="22"/>
        </w:rPr>
        <w:t xml:space="preserve"> částku 700 tis. Kč za 1 soubor, </w:t>
      </w:r>
      <w:r w:rsidRPr="000E58E7">
        <w:rPr>
          <w:rFonts w:ascii="Arial" w:hAnsi="Arial" w:cs="Arial"/>
          <w:b/>
          <w:sz w:val="22"/>
          <w:szCs w:val="22"/>
        </w:rPr>
        <w:t>docházkových systémů</w:t>
      </w:r>
      <w:r w:rsidRPr="000E58E7">
        <w:rPr>
          <w:rFonts w:ascii="Arial" w:hAnsi="Arial" w:cs="Arial"/>
          <w:sz w:val="22"/>
          <w:szCs w:val="22"/>
        </w:rPr>
        <w:t xml:space="preserve"> částku 300 tis. Kč za 1 soubor.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technického zhodnocení </w:t>
      </w:r>
      <w:r w:rsidRPr="000E58E7">
        <w:rPr>
          <w:rFonts w:ascii="Arial" w:hAnsi="Arial" w:cs="Arial"/>
          <w:b/>
          <w:sz w:val="22"/>
          <w:szCs w:val="22"/>
        </w:rPr>
        <w:t>elektronických zabezpečovacích systémů</w:t>
      </w:r>
      <w:r w:rsidRPr="000E58E7">
        <w:rPr>
          <w:rFonts w:ascii="Arial" w:hAnsi="Arial" w:cs="Arial"/>
          <w:sz w:val="22"/>
          <w:szCs w:val="22"/>
        </w:rPr>
        <w:t xml:space="preserve"> a </w:t>
      </w:r>
      <w:r w:rsidRPr="000E58E7">
        <w:rPr>
          <w:rFonts w:ascii="Arial" w:hAnsi="Arial" w:cs="Arial"/>
          <w:b/>
          <w:sz w:val="22"/>
          <w:szCs w:val="22"/>
        </w:rPr>
        <w:t>elektronické požární signalizace</w:t>
      </w:r>
      <w:r w:rsidRPr="000E58E7">
        <w:rPr>
          <w:rFonts w:ascii="Arial" w:hAnsi="Arial" w:cs="Arial"/>
          <w:sz w:val="22"/>
          <w:szCs w:val="22"/>
        </w:rPr>
        <w:t xml:space="preserve"> nesmí překročit částku 300 tis. Kč za 1 soubor, </w:t>
      </w:r>
      <w:r w:rsidRPr="000E58E7">
        <w:rPr>
          <w:rFonts w:ascii="Arial" w:hAnsi="Arial" w:cs="Arial"/>
          <w:b/>
          <w:sz w:val="22"/>
          <w:szCs w:val="22"/>
        </w:rPr>
        <w:t>vyvolávacích systémů</w:t>
      </w:r>
      <w:r w:rsidRPr="000E58E7">
        <w:rPr>
          <w:rFonts w:ascii="Arial" w:hAnsi="Arial" w:cs="Arial"/>
          <w:sz w:val="22"/>
          <w:szCs w:val="22"/>
        </w:rPr>
        <w:t xml:space="preserve"> částku 400 tis. Kč za 1 soubor, </w:t>
      </w:r>
      <w:r w:rsidRPr="000E58E7">
        <w:rPr>
          <w:rFonts w:ascii="Arial" w:hAnsi="Arial" w:cs="Arial"/>
          <w:b/>
          <w:sz w:val="22"/>
          <w:szCs w:val="22"/>
        </w:rPr>
        <w:t>docházkových systémů</w:t>
      </w:r>
      <w:r w:rsidRPr="000E58E7">
        <w:rPr>
          <w:rFonts w:ascii="Arial" w:hAnsi="Arial" w:cs="Arial"/>
          <w:sz w:val="22"/>
          <w:szCs w:val="22"/>
        </w:rPr>
        <w:t xml:space="preserve"> částku 200 tis. Kč za 1 soubor a </w:t>
      </w:r>
      <w:r w:rsidRPr="000E58E7">
        <w:rPr>
          <w:rFonts w:ascii="Arial" w:hAnsi="Arial" w:cs="Arial"/>
          <w:b/>
          <w:sz w:val="22"/>
          <w:szCs w:val="22"/>
        </w:rPr>
        <w:t>náhradních zdrojů</w:t>
      </w:r>
      <w:r w:rsidRPr="000E58E7">
        <w:rPr>
          <w:rFonts w:ascii="Arial" w:hAnsi="Arial" w:cs="Arial"/>
          <w:sz w:val="22"/>
          <w:szCs w:val="22"/>
        </w:rPr>
        <w:t xml:space="preserve"> částku 1 000 tis. Kč za 1 soubor. 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výstavby a zhodnocení </w:t>
      </w:r>
      <w:r w:rsidRPr="000E58E7">
        <w:rPr>
          <w:rFonts w:ascii="Arial" w:hAnsi="Arial" w:cs="Arial"/>
          <w:b/>
          <w:sz w:val="22"/>
          <w:szCs w:val="22"/>
        </w:rPr>
        <w:t>strukturované kabeláže</w:t>
      </w:r>
      <w:r w:rsidRPr="000E58E7">
        <w:rPr>
          <w:rFonts w:ascii="Arial" w:hAnsi="Arial" w:cs="Arial"/>
          <w:sz w:val="22"/>
          <w:szCs w:val="22"/>
        </w:rPr>
        <w:t xml:space="preserve"> v objektech ÚP nepřekročí částku 0,1 tis. Kč za </w:t>
      </w:r>
      <w:smartTag w:uri="urn:schemas-microsoft-com:office:smarttags" w:element="metricconverter">
        <w:smartTagPr>
          <w:attr w:name="ProductID" w:val="1 m"/>
        </w:smartTagPr>
        <w:r w:rsidRPr="000E58E7">
          <w:rPr>
            <w:rFonts w:ascii="Arial" w:hAnsi="Arial" w:cs="Arial"/>
            <w:sz w:val="22"/>
            <w:szCs w:val="22"/>
          </w:rPr>
          <w:t>1 m</w:t>
        </w:r>
      </w:smartTag>
      <w:r w:rsidRPr="000E58E7">
        <w:rPr>
          <w:rFonts w:ascii="Arial" w:hAnsi="Arial" w:cs="Arial"/>
          <w:sz w:val="22"/>
          <w:szCs w:val="22"/>
        </w:rPr>
        <w:t>.</w:t>
      </w:r>
    </w:p>
    <w:p w:rsidR="000E58E7" w:rsidRPr="000E58E7" w:rsidRDefault="000E58E7" w:rsidP="000E58E7">
      <w:pPr>
        <w:numPr>
          <w:ilvl w:val="0"/>
          <w:numId w:val="9"/>
        </w:numPr>
        <w:spacing w:line="360" w:lineRule="auto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pořízení </w:t>
      </w:r>
      <w:r w:rsidRPr="000E58E7">
        <w:rPr>
          <w:rFonts w:ascii="Arial" w:hAnsi="Arial" w:cs="Arial"/>
          <w:b/>
          <w:sz w:val="22"/>
          <w:szCs w:val="22"/>
        </w:rPr>
        <w:t>zvedacích plošin</w:t>
      </w:r>
      <w:r w:rsidRPr="000E58E7">
        <w:rPr>
          <w:rFonts w:ascii="Arial" w:hAnsi="Arial" w:cs="Arial"/>
          <w:sz w:val="22"/>
          <w:szCs w:val="22"/>
        </w:rPr>
        <w:t xml:space="preserve"> nepřekročí částku 500 tis. Kč.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Limitní náklady na </w:t>
      </w:r>
      <w:r w:rsidRPr="000E58E7">
        <w:rPr>
          <w:rFonts w:ascii="Arial" w:hAnsi="Arial" w:cs="Arial"/>
          <w:b/>
          <w:bCs/>
          <w:sz w:val="22"/>
          <w:szCs w:val="22"/>
        </w:rPr>
        <w:t>pořízení výtahů</w:t>
      </w:r>
      <w:r w:rsidRPr="000E58E7">
        <w:rPr>
          <w:rFonts w:ascii="Arial" w:hAnsi="Arial" w:cs="Arial"/>
          <w:sz w:val="22"/>
          <w:szCs w:val="22"/>
        </w:rPr>
        <w:t xml:space="preserve"> v budovách ÚP nesmí překročit částku 2 300 tis. Kč za 1 výtah, limit pro </w:t>
      </w:r>
      <w:r w:rsidRPr="000E58E7">
        <w:rPr>
          <w:rFonts w:ascii="Arial" w:hAnsi="Arial" w:cs="Arial"/>
          <w:b/>
          <w:bCs/>
          <w:sz w:val="22"/>
          <w:szCs w:val="22"/>
        </w:rPr>
        <w:t>rekonstrukci</w:t>
      </w:r>
      <w:r w:rsidRPr="000E58E7">
        <w:rPr>
          <w:rFonts w:ascii="Arial" w:hAnsi="Arial" w:cs="Arial"/>
          <w:sz w:val="22"/>
          <w:szCs w:val="22"/>
        </w:rPr>
        <w:t xml:space="preserve"> jednoho </w:t>
      </w:r>
      <w:r w:rsidRPr="000E58E7">
        <w:rPr>
          <w:rFonts w:ascii="Arial" w:hAnsi="Arial" w:cs="Arial"/>
          <w:b/>
          <w:bCs/>
          <w:sz w:val="22"/>
          <w:szCs w:val="22"/>
        </w:rPr>
        <w:t>výtahu</w:t>
      </w:r>
      <w:r w:rsidRPr="000E58E7">
        <w:rPr>
          <w:rFonts w:ascii="Arial" w:hAnsi="Arial" w:cs="Arial"/>
          <w:sz w:val="22"/>
          <w:szCs w:val="22"/>
        </w:rPr>
        <w:t xml:space="preserve"> byl stanoven na částku 2 000 tis. Kč. Limity jsou uvažovány pro výtahy do max. 5 nástupních stanic a nosnosti nad </w:t>
      </w:r>
      <w:smartTag w:uri="urn:schemas-microsoft-com:office:smarttags" w:element="metricconverter">
        <w:smartTagPr>
          <w:attr w:name="ProductID" w:val="320 kg"/>
        </w:smartTagPr>
        <w:r w:rsidRPr="000E58E7">
          <w:rPr>
            <w:rFonts w:ascii="Arial" w:hAnsi="Arial" w:cs="Arial"/>
            <w:sz w:val="22"/>
            <w:szCs w:val="22"/>
          </w:rPr>
          <w:t>320 kg</w:t>
        </w:r>
      </w:smartTag>
      <w:r w:rsidRPr="000E58E7">
        <w:rPr>
          <w:rFonts w:ascii="Arial" w:hAnsi="Arial" w:cs="Arial"/>
          <w:sz w:val="22"/>
          <w:szCs w:val="22"/>
        </w:rPr>
        <w:t>.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na realizaci </w:t>
      </w:r>
      <w:r w:rsidRPr="000E58E7">
        <w:rPr>
          <w:rFonts w:ascii="Arial" w:hAnsi="Arial" w:cs="Arial"/>
          <w:b/>
          <w:bCs/>
          <w:sz w:val="22"/>
          <w:szCs w:val="22"/>
        </w:rPr>
        <w:t>rekonstrukce fasády</w:t>
      </w:r>
      <w:r w:rsidRPr="000E58E7">
        <w:rPr>
          <w:rFonts w:ascii="Arial" w:hAnsi="Arial" w:cs="Arial"/>
          <w:sz w:val="22"/>
          <w:szCs w:val="22"/>
        </w:rPr>
        <w:t xml:space="preserve"> prováděné z důvodu realizace opatření snižujících energetickou náročnost objektu nepřevýší 3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>
        <w:rPr>
          <w:rFonts w:ascii="Arial" w:hAnsi="Arial" w:cs="Arial"/>
          <w:sz w:val="22"/>
          <w:szCs w:val="22"/>
        </w:rPr>
        <w:t xml:space="preserve">. V odůvodněných případech lze čerpat 5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>.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na provedení </w:t>
      </w:r>
      <w:r w:rsidRPr="000E58E7">
        <w:rPr>
          <w:rFonts w:ascii="Arial" w:hAnsi="Arial" w:cs="Arial"/>
          <w:b/>
          <w:bCs/>
          <w:sz w:val="22"/>
          <w:szCs w:val="22"/>
        </w:rPr>
        <w:t>rekonstrukce a zateplení střech</w:t>
      </w:r>
      <w:r w:rsidRPr="000E58E7">
        <w:rPr>
          <w:rFonts w:ascii="Arial" w:hAnsi="Arial" w:cs="Arial"/>
          <w:sz w:val="22"/>
          <w:szCs w:val="22"/>
        </w:rPr>
        <w:t xml:space="preserve"> nepřevýší </w:t>
      </w:r>
      <w:r w:rsidRPr="000E58E7">
        <w:rPr>
          <w:rFonts w:ascii="Arial" w:hAnsi="Arial" w:cs="Arial"/>
          <w:sz w:val="22"/>
          <w:szCs w:val="22"/>
        </w:rPr>
        <w:br/>
        <w:t xml:space="preserve">2,1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 xml:space="preserve">. Náklady na provedení oprav střech nepřevýší 1,8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 xml:space="preserve">. V odůvodněných případech stanovit limit 10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>.</w:t>
      </w:r>
    </w:p>
    <w:p w:rsid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</w:t>
      </w:r>
      <w:r w:rsidRPr="000E58E7">
        <w:rPr>
          <w:rFonts w:ascii="Arial" w:hAnsi="Arial" w:cs="Arial"/>
          <w:b/>
          <w:bCs/>
          <w:sz w:val="22"/>
          <w:szCs w:val="22"/>
        </w:rPr>
        <w:t>technického zhodnocení okenních otvorů</w:t>
      </w:r>
      <w:r w:rsidRPr="000E58E7">
        <w:rPr>
          <w:rFonts w:ascii="Arial" w:hAnsi="Arial" w:cs="Arial"/>
          <w:sz w:val="22"/>
          <w:szCs w:val="22"/>
        </w:rPr>
        <w:t xml:space="preserve"> nepřekročí částku 5 tis. Kč za 1 m</w:t>
      </w:r>
      <w:r w:rsidRPr="000E58E7">
        <w:rPr>
          <w:rFonts w:ascii="Arial" w:hAnsi="Arial" w:cs="Arial"/>
          <w:sz w:val="22"/>
          <w:szCs w:val="22"/>
          <w:vertAlign w:val="superscript"/>
        </w:rPr>
        <w:t>2</w:t>
      </w:r>
      <w:r w:rsidRPr="000E58E7">
        <w:rPr>
          <w:rFonts w:ascii="Arial" w:hAnsi="Arial" w:cs="Arial"/>
          <w:sz w:val="22"/>
          <w:szCs w:val="22"/>
        </w:rPr>
        <w:t xml:space="preserve">, náklady </w:t>
      </w:r>
      <w:r w:rsidRPr="000E58E7">
        <w:rPr>
          <w:rFonts w:ascii="Arial" w:hAnsi="Arial" w:cs="Arial"/>
          <w:b/>
          <w:bCs/>
          <w:sz w:val="22"/>
          <w:szCs w:val="22"/>
        </w:rPr>
        <w:t>technického zhodnocení dveřních otvorů</w:t>
      </w:r>
      <w:r w:rsidRPr="000E58E7">
        <w:rPr>
          <w:rFonts w:ascii="Arial" w:hAnsi="Arial" w:cs="Arial"/>
          <w:sz w:val="22"/>
          <w:szCs w:val="22"/>
        </w:rPr>
        <w:t xml:space="preserve"> rovněž nepřekročí částku 5 tis. Kč za </w:t>
      </w:r>
      <w:smartTag w:uri="urn:schemas-microsoft-com:office:smarttags" w:element="metricconverter">
        <w:smartTagPr>
          <w:attr w:name="ProductID" w:val="1 m2"/>
        </w:smartTagPr>
        <w:r w:rsidRPr="000E58E7">
          <w:rPr>
            <w:rFonts w:ascii="Arial" w:hAnsi="Arial" w:cs="Arial"/>
            <w:sz w:val="22"/>
            <w:szCs w:val="22"/>
          </w:rPr>
          <w:t>1 m</w:t>
        </w:r>
        <w:r w:rsidRPr="000E58E7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0E58E7">
        <w:rPr>
          <w:rFonts w:ascii="Arial" w:hAnsi="Arial" w:cs="Arial"/>
          <w:sz w:val="22"/>
          <w:szCs w:val="22"/>
        </w:rPr>
        <w:t>. V odůvodněných případech (zejm. památkově chráněné budovy, bezpečnostní dveře) je stanoven limit pro technické zhodnocení okenních a dveřních otvorů ve výši 10 tis. Kč.</w:t>
      </w:r>
    </w:p>
    <w:p w:rsidR="00844CEC" w:rsidRDefault="000E58E7" w:rsidP="00844CEC">
      <w:pPr>
        <w:numPr>
          <w:ilvl w:val="0"/>
          <w:numId w:val="9"/>
        </w:numPr>
        <w:tabs>
          <w:tab w:val="clear" w:pos="72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44CEC">
        <w:rPr>
          <w:rFonts w:ascii="Arial" w:hAnsi="Arial" w:cs="Arial"/>
          <w:sz w:val="22"/>
          <w:szCs w:val="22"/>
        </w:rPr>
        <w:t xml:space="preserve">Náklady na pořízení (i rekonstrukce) </w:t>
      </w:r>
      <w:r w:rsidRPr="00844CEC">
        <w:rPr>
          <w:rFonts w:ascii="Arial" w:hAnsi="Arial" w:cs="Arial"/>
          <w:b/>
          <w:bCs/>
          <w:sz w:val="22"/>
          <w:szCs w:val="22"/>
        </w:rPr>
        <w:t xml:space="preserve">trubních vedení vodovodů </w:t>
      </w:r>
      <w:r w:rsidRPr="00844CEC">
        <w:rPr>
          <w:rFonts w:ascii="Arial" w:hAnsi="Arial" w:cs="Arial"/>
          <w:sz w:val="22"/>
          <w:szCs w:val="22"/>
        </w:rPr>
        <w:t>nesmí překročit částku</w:t>
      </w:r>
      <w:r w:rsidRPr="00844CEC">
        <w:rPr>
          <w:rFonts w:ascii="Arial" w:hAnsi="Arial" w:cs="Arial"/>
          <w:b/>
          <w:bCs/>
          <w:sz w:val="22"/>
          <w:szCs w:val="22"/>
        </w:rPr>
        <w:t xml:space="preserve"> </w:t>
      </w:r>
      <w:r w:rsidRPr="00844CEC">
        <w:rPr>
          <w:rFonts w:ascii="Arial" w:hAnsi="Arial" w:cs="Arial"/>
          <w:sz w:val="22"/>
          <w:szCs w:val="22"/>
        </w:rPr>
        <w:t xml:space="preserve">10 tis. Kč za </w:t>
      </w:r>
      <w:smartTag w:uri="urn:schemas-microsoft-com:office:smarttags" w:element="metricconverter">
        <w:smartTagPr>
          <w:attr w:name="ProductID" w:val="1 m"/>
        </w:smartTagPr>
        <w:r w:rsidRPr="00844CEC">
          <w:rPr>
            <w:rFonts w:ascii="Arial" w:hAnsi="Arial" w:cs="Arial"/>
            <w:sz w:val="22"/>
            <w:szCs w:val="22"/>
          </w:rPr>
          <w:t>1 m</w:t>
        </w:r>
      </w:smartTag>
      <w:r w:rsidRPr="00844CEC">
        <w:rPr>
          <w:rFonts w:ascii="Arial" w:hAnsi="Arial" w:cs="Arial"/>
          <w:sz w:val="22"/>
          <w:szCs w:val="22"/>
        </w:rPr>
        <w:t>, u</w:t>
      </w:r>
      <w:r w:rsidRPr="00844CEC">
        <w:rPr>
          <w:rFonts w:ascii="Arial" w:hAnsi="Arial" w:cs="Arial"/>
          <w:b/>
          <w:bCs/>
          <w:sz w:val="22"/>
          <w:szCs w:val="22"/>
        </w:rPr>
        <w:t xml:space="preserve"> </w:t>
      </w:r>
      <w:r w:rsidRPr="00844CEC">
        <w:rPr>
          <w:rFonts w:ascii="Arial" w:hAnsi="Arial" w:cs="Arial"/>
          <w:sz w:val="22"/>
          <w:szCs w:val="22"/>
        </w:rPr>
        <w:t xml:space="preserve">rekonstrukcí 9 tis. Kč za </w:t>
      </w:r>
      <w:smartTag w:uri="urn:schemas-microsoft-com:office:smarttags" w:element="metricconverter">
        <w:smartTagPr>
          <w:attr w:name="ProductID" w:val="1 m"/>
        </w:smartTagPr>
        <w:r w:rsidRPr="00844CEC">
          <w:rPr>
            <w:rFonts w:ascii="Arial" w:hAnsi="Arial" w:cs="Arial"/>
            <w:sz w:val="22"/>
            <w:szCs w:val="22"/>
          </w:rPr>
          <w:t>1 m</w:t>
        </w:r>
      </w:smartTag>
      <w:r w:rsidRPr="00844CEC">
        <w:rPr>
          <w:rFonts w:ascii="Arial" w:hAnsi="Arial" w:cs="Arial"/>
          <w:sz w:val="22"/>
          <w:szCs w:val="22"/>
        </w:rPr>
        <w:t xml:space="preserve"> (pro profil potrubí DN do </w:t>
      </w:r>
      <w:smartTag w:uri="urn:schemas-microsoft-com:office:smarttags" w:element="metricconverter">
        <w:smartTagPr>
          <w:attr w:name="ProductID" w:val="100 mm"/>
        </w:smartTagPr>
        <w:r w:rsidRPr="00844CEC">
          <w:rPr>
            <w:rFonts w:ascii="Arial" w:hAnsi="Arial" w:cs="Arial"/>
            <w:sz w:val="22"/>
            <w:szCs w:val="22"/>
          </w:rPr>
          <w:t>100 mm</w:t>
        </w:r>
      </w:smartTag>
      <w:r w:rsidRPr="00844CEC">
        <w:rPr>
          <w:rFonts w:ascii="Arial" w:hAnsi="Arial" w:cs="Arial"/>
          <w:sz w:val="22"/>
          <w:szCs w:val="22"/>
        </w:rPr>
        <w:t xml:space="preserve">), u </w:t>
      </w:r>
      <w:r w:rsidRPr="00844CEC">
        <w:rPr>
          <w:rFonts w:ascii="Arial" w:hAnsi="Arial" w:cs="Arial"/>
          <w:b/>
          <w:bCs/>
          <w:sz w:val="22"/>
          <w:szCs w:val="22"/>
        </w:rPr>
        <w:t xml:space="preserve">trubních kanalizací </w:t>
      </w:r>
      <w:r w:rsidRPr="00844CEC">
        <w:rPr>
          <w:rFonts w:ascii="Arial" w:hAnsi="Arial" w:cs="Arial"/>
          <w:sz w:val="22"/>
          <w:szCs w:val="22"/>
        </w:rPr>
        <w:t xml:space="preserve">pak náklady na pořízení nesmí překročit částku 15 tis. Kč za </w:t>
      </w:r>
      <w:smartTag w:uri="urn:schemas-microsoft-com:office:smarttags" w:element="metricconverter">
        <w:smartTagPr>
          <w:attr w:name="ProductID" w:val="1 m"/>
        </w:smartTagPr>
        <w:r w:rsidRPr="00844CEC">
          <w:rPr>
            <w:rFonts w:ascii="Arial" w:hAnsi="Arial" w:cs="Arial"/>
            <w:sz w:val="22"/>
            <w:szCs w:val="22"/>
          </w:rPr>
          <w:t>1 m</w:t>
        </w:r>
      </w:smartTag>
      <w:r w:rsidRPr="00844CEC">
        <w:rPr>
          <w:rFonts w:ascii="Arial" w:hAnsi="Arial" w:cs="Arial"/>
          <w:sz w:val="22"/>
          <w:szCs w:val="22"/>
        </w:rPr>
        <w:t xml:space="preserve"> (pro profil potrubí DN do </w:t>
      </w:r>
      <w:smartTag w:uri="urn:schemas-microsoft-com:office:smarttags" w:element="metricconverter">
        <w:smartTagPr>
          <w:attr w:name="ProductID" w:val="800 mm"/>
        </w:smartTagPr>
        <w:r w:rsidRPr="00844CEC">
          <w:rPr>
            <w:rFonts w:ascii="Arial" w:hAnsi="Arial" w:cs="Arial"/>
            <w:sz w:val="22"/>
            <w:szCs w:val="22"/>
          </w:rPr>
          <w:t>800 mm</w:t>
        </w:r>
      </w:smartTag>
      <w:r w:rsidRPr="00844CEC">
        <w:rPr>
          <w:rFonts w:ascii="Arial" w:hAnsi="Arial" w:cs="Arial"/>
          <w:sz w:val="22"/>
          <w:szCs w:val="22"/>
        </w:rPr>
        <w:t>), resp. částku 14 tis. Kč u rekonstrukcí. Náklady na trubní vedení větších profilů nesmí překročit příslušné hodnoty uvedené v tabulkách vydaných ÚRS pro daný rok.</w:t>
      </w:r>
    </w:p>
    <w:p w:rsidR="00844CEC" w:rsidRPr="00377793" w:rsidRDefault="000E58E7" w:rsidP="00377793">
      <w:pPr>
        <w:numPr>
          <w:ilvl w:val="0"/>
          <w:numId w:val="9"/>
        </w:numPr>
        <w:tabs>
          <w:tab w:val="clear" w:pos="72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44CEC">
        <w:rPr>
          <w:rFonts w:ascii="Arial" w:hAnsi="Arial" w:cs="Arial"/>
          <w:sz w:val="22"/>
          <w:szCs w:val="22"/>
        </w:rPr>
        <w:lastRenderedPageBreak/>
        <w:t xml:space="preserve">Náklady na pořízení </w:t>
      </w:r>
      <w:r w:rsidRPr="00844CEC">
        <w:rPr>
          <w:rFonts w:ascii="Arial" w:hAnsi="Arial" w:cs="Arial"/>
          <w:b/>
          <w:sz w:val="22"/>
          <w:szCs w:val="22"/>
        </w:rPr>
        <w:t>oplocení</w:t>
      </w:r>
      <w:r w:rsidRPr="00844CEC">
        <w:rPr>
          <w:rFonts w:ascii="Arial" w:hAnsi="Arial" w:cs="Arial"/>
          <w:sz w:val="22"/>
          <w:szCs w:val="22"/>
        </w:rPr>
        <w:t xml:space="preserve"> nesmí překročit částku 6 tis. Kč za </w:t>
      </w:r>
      <w:smartTag w:uri="urn:schemas-microsoft-com:office:smarttags" w:element="metricconverter">
        <w:smartTagPr>
          <w:attr w:name="ProductID" w:val="1 m"/>
        </w:smartTagPr>
        <w:r w:rsidRPr="00844CEC">
          <w:rPr>
            <w:rFonts w:ascii="Arial" w:hAnsi="Arial" w:cs="Arial"/>
            <w:sz w:val="22"/>
            <w:szCs w:val="22"/>
          </w:rPr>
          <w:t>1 m</w:t>
        </w:r>
      </w:smartTag>
      <w:r w:rsidRPr="00844CEC">
        <w:rPr>
          <w:rFonts w:ascii="Arial" w:hAnsi="Arial" w:cs="Arial"/>
          <w:sz w:val="22"/>
          <w:szCs w:val="22"/>
        </w:rPr>
        <w:t xml:space="preserve">, náklady na jejich rekonstrukce nesmí překročit částku 4 tis. Kč za </w:t>
      </w:r>
      <w:smartTag w:uri="urn:schemas-microsoft-com:office:smarttags" w:element="metricconverter">
        <w:smartTagPr>
          <w:attr w:name="ProductID" w:val="1 m"/>
        </w:smartTagPr>
        <w:r w:rsidRPr="00844CEC">
          <w:rPr>
            <w:rFonts w:ascii="Arial" w:hAnsi="Arial" w:cs="Arial"/>
            <w:sz w:val="22"/>
            <w:szCs w:val="22"/>
          </w:rPr>
          <w:t>1 m</w:t>
        </w:r>
      </w:smartTag>
      <w:r w:rsidRPr="00844CEC">
        <w:rPr>
          <w:rFonts w:ascii="Arial" w:hAnsi="Arial" w:cs="Arial"/>
          <w:sz w:val="22"/>
          <w:szCs w:val="22"/>
        </w:rPr>
        <w:t>.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pořízení </w:t>
      </w:r>
      <w:r w:rsidRPr="000E58E7">
        <w:rPr>
          <w:rFonts w:ascii="Arial" w:hAnsi="Arial" w:cs="Arial"/>
          <w:b/>
          <w:bCs/>
          <w:sz w:val="22"/>
          <w:szCs w:val="22"/>
        </w:rPr>
        <w:t>nábytkových sestav</w:t>
      </w:r>
      <w:r w:rsidRPr="000E58E7">
        <w:rPr>
          <w:rFonts w:ascii="Arial" w:hAnsi="Arial" w:cs="Arial"/>
          <w:sz w:val="22"/>
          <w:szCs w:val="22"/>
        </w:rPr>
        <w:t xml:space="preserve"> nesmí překročit částku 40 tis. Kč za </w:t>
      </w:r>
      <w:r w:rsidR="00844CEC">
        <w:rPr>
          <w:rFonts w:ascii="Arial" w:hAnsi="Arial" w:cs="Arial"/>
          <w:sz w:val="22"/>
          <w:szCs w:val="22"/>
        </w:rPr>
        <w:t>1</w:t>
      </w:r>
      <w:r w:rsidRPr="000E58E7">
        <w:rPr>
          <w:rFonts w:ascii="Arial" w:hAnsi="Arial" w:cs="Arial"/>
          <w:sz w:val="22"/>
          <w:szCs w:val="22"/>
        </w:rPr>
        <w:t xml:space="preserve"> soubor (částku 50 tis. Kč za 1 soubor,  pouze pro vedoucí pracovníky). 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pořízení jedné </w:t>
      </w:r>
      <w:r w:rsidRPr="000E58E7">
        <w:rPr>
          <w:rFonts w:ascii="Arial" w:hAnsi="Arial" w:cs="Arial"/>
          <w:b/>
          <w:sz w:val="22"/>
          <w:szCs w:val="22"/>
        </w:rPr>
        <w:t>vnitřní klimatizační jednotky</w:t>
      </w:r>
      <w:r w:rsidRPr="000E58E7">
        <w:rPr>
          <w:rFonts w:ascii="Arial" w:hAnsi="Arial" w:cs="Arial"/>
          <w:sz w:val="22"/>
          <w:szCs w:val="22"/>
        </w:rPr>
        <w:t xml:space="preserve"> v systému </w:t>
      </w:r>
      <w:proofErr w:type="spellStart"/>
      <w:r w:rsidRPr="000E58E7">
        <w:rPr>
          <w:rFonts w:ascii="Arial" w:hAnsi="Arial" w:cs="Arial"/>
          <w:sz w:val="22"/>
          <w:szCs w:val="22"/>
        </w:rPr>
        <w:t>multisplit</w:t>
      </w:r>
      <w:proofErr w:type="spellEnd"/>
      <w:r w:rsidRPr="000E58E7">
        <w:rPr>
          <w:rFonts w:ascii="Arial" w:hAnsi="Arial" w:cs="Arial"/>
          <w:sz w:val="22"/>
          <w:szCs w:val="22"/>
        </w:rPr>
        <w:t xml:space="preserve">  nesmí překročit 60 tis. Kč na jednu kancelář, 80 tis. Kč v místnostech s celoročním provozem klimatizace a 75 tis. Kč na každou místnost v případech, kdy je klimatizováno celé patro, </w:t>
      </w:r>
      <w:r w:rsidRPr="000E58E7">
        <w:rPr>
          <w:rFonts w:ascii="Arial" w:hAnsi="Arial" w:cs="Arial"/>
          <w:b/>
          <w:bCs/>
          <w:sz w:val="22"/>
          <w:szCs w:val="22"/>
        </w:rPr>
        <w:t>klimatizačních jednotek</w:t>
      </w:r>
      <w:r w:rsidRPr="000E58E7">
        <w:rPr>
          <w:rFonts w:ascii="Arial" w:hAnsi="Arial" w:cs="Arial"/>
          <w:bCs/>
          <w:sz w:val="22"/>
          <w:szCs w:val="22"/>
        </w:rPr>
        <w:t xml:space="preserve"> nižších a středních </w:t>
      </w:r>
      <w:r w:rsidRPr="000E58E7">
        <w:rPr>
          <w:rFonts w:ascii="Arial" w:hAnsi="Arial" w:cs="Arial"/>
          <w:b/>
          <w:bCs/>
          <w:sz w:val="22"/>
          <w:szCs w:val="22"/>
        </w:rPr>
        <w:t xml:space="preserve">výkonů </w:t>
      </w:r>
    </w:p>
    <w:p w:rsidR="000E58E7" w:rsidRPr="000E58E7" w:rsidRDefault="000E58E7" w:rsidP="00844CEC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b/>
          <w:bCs/>
          <w:sz w:val="22"/>
          <w:szCs w:val="22"/>
        </w:rPr>
        <w:t>(2-8 kW)</w:t>
      </w:r>
      <w:r w:rsidRPr="000E58E7">
        <w:rPr>
          <w:rFonts w:ascii="Arial" w:hAnsi="Arial" w:cs="Arial"/>
          <w:sz w:val="22"/>
          <w:szCs w:val="22"/>
        </w:rPr>
        <w:t xml:space="preserve"> částku 73 tis. Kč za 1 ks/soubor, </w:t>
      </w:r>
      <w:r w:rsidRPr="000E58E7">
        <w:rPr>
          <w:rFonts w:ascii="Arial" w:hAnsi="Arial" w:cs="Arial"/>
          <w:b/>
          <w:bCs/>
          <w:sz w:val="22"/>
          <w:szCs w:val="22"/>
        </w:rPr>
        <w:t>klimatizačních jednotek</w:t>
      </w:r>
      <w:r w:rsidRPr="000E58E7">
        <w:rPr>
          <w:rFonts w:ascii="Arial" w:hAnsi="Arial" w:cs="Arial"/>
          <w:bCs/>
          <w:sz w:val="22"/>
          <w:szCs w:val="22"/>
        </w:rPr>
        <w:t xml:space="preserve"> vyšších </w:t>
      </w:r>
      <w:r w:rsidRPr="000E58E7">
        <w:rPr>
          <w:rFonts w:ascii="Arial" w:hAnsi="Arial" w:cs="Arial"/>
          <w:b/>
          <w:bCs/>
          <w:sz w:val="22"/>
          <w:szCs w:val="22"/>
        </w:rPr>
        <w:t>výkonů (9-30 kW)</w:t>
      </w:r>
      <w:r w:rsidRPr="000E58E7">
        <w:rPr>
          <w:rFonts w:ascii="Arial" w:hAnsi="Arial" w:cs="Arial"/>
          <w:sz w:val="22"/>
          <w:szCs w:val="22"/>
        </w:rPr>
        <w:t xml:space="preserve"> částku 150 tis. Kč za 1 soubor (v obou případech jde o systém split). 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 xml:space="preserve">Náklady na pořízení </w:t>
      </w:r>
      <w:r w:rsidRPr="000E58E7">
        <w:rPr>
          <w:rFonts w:ascii="Arial" w:hAnsi="Arial" w:cs="Arial"/>
          <w:b/>
          <w:sz w:val="22"/>
          <w:szCs w:val="22"/>
        </w:rPr>
        <w:t>interaktivní tabule</w:t>
      </w:r>
      <w:r w:rsidRPr="000E58E7">
        <w:rPr>
          <w:rFonts w:ascii="Arial" w:hAnsi="Arial" w:cs="Arial"/>
          <w:sz w:val="22"/>
          <w:szCs w:val="22"/>
        </w:rPr>
        <w:t xml:space="preserve"> (v pořizovací ceně nad 40 tis. Kč) nesmí překročit částku 80 tis. Kč za 1 kus.</w:t>
      </w:r>
    </w:p>
    <w:p w:rsidR="000E58E7" w:rsidRPr="000E58E7" w:rsidRDefault="000E58E7" w:rsidP="000E58E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>Náklady pořízení</w:t>
      </w:r>
      <w:r w:rsidRPr="000E58E7">
        <w:rPr>
          <w:rFonts w:ascii="Arial" w:hAnsi="Arial" w:cs="Arial"/>
          <w:b/>
          <w:bCs/>
          <w:sz w:val="22"/>
          <w:szCs w:val="22"/>
        </w:rPr>
        <w:t xml:space="preserve"> úklidové a zahradní techniky </w:t>
      </w:r>
      <w:r w:rsidRPr="000E58E7">
        <w:rPr>
          <w:rFonts w:ascii="Arial" w:hAnsi="Arial" w:cs="Arial"/>
          <w:sz w:val="22"/>
          <w:szCs w:val="22"/>
        </w:rPr>
        <w:t xml:space="preserve">nesmí překročit </w:t>
      </w:r>
      <w:r w:rsidRPr="000E58E7">
        <w:rPr>
          <w:rFonts w:ascii="Arial" w:hAnsi="Arial" w:cs="Arial"/>
          <w:sz w:val="22"/>
          <w:szCs w:val="22"/>
        </w:rPr>
        <w:br/>
        <w:t>250 tis. Kč za 1soubor/kus.</w:t>
      </w:r>
    </w:p>
    <w:p w:rsidR="000E58E7" w:rsidRPr="000E58E7" w:rsidRDefault="000E58E7" w:rsidP="000E58E7">
      <w:pPr>
        <w:numPr>
          <w:ilvl w:val="0"/>
          <w:numId w:val="9"/>
        </w:numPr>
        <w:tabs>
          <w:tab w:val="clear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E58E7">
        <w:rPr>
          <w:rFonts w:ascii="Arial" w:hAnsi="Arial" w:cs="Arial"/>
          <w:sz w:val="22"/>
          <w:szCs w:val="22"/>
        </w:rPr>
        <w:t>Náklady pořízení a rekonstrukce movitého a nemovitého majetku, pro něž není v DP stanoven limit na jeden kus, nebo ukazatel na měrovou jednotku, musí být stanoveny v souladu s 3E, a s přihlédnutím k ukazatelům stanoveným ÚRS (nebo jiným ceníkem produkce) pro rok realizace, případně rok předcházející</w:t>
      </w:r>
    </w:p>
    <w:p w:rsidR="000E58E7" w:rsidRDefault="000E58E7" w:rsidP="000E58E7">
      <w:pPr>
        <w:jc w:val="both"/>
        <w:rPr>
          <w:rFonts w:ascii="Arial" w:hAnsi="Arial" w:cs="Arial"/>
          <w:sz w:val="22"/>
          <w:szCs w:val="22"/>
        </w:rPr>
      </w:pPr>
    </w:p>
    <w:p w:rsidR="000E58E7" w:rsidRPr="000E58E7" w:rsidRDefault="000E58E7" w:rsidP="000E58E7">
      <w:pPr>
        <w:jc w:val="both"/>
        <w:rPr>
          <w:rFonts w:ascii="Arial" w:hAnsi="Arial" w:cs="Arial"/>
          <w:sz w:val="22"/>
          <w:szCs w:val="22"/>
        </w:rPr>
      </w:pPr>
    </w:p>
    <w:p w:rsidR="000E58E7" w:rsidRDefault="000E58E7" w:rsidP="000E58E7">
      <w:pPr>
        <w:rPr>
          <w:rFonts w:ascii="Arial" w:hAnsi="Arial" w:cs="Arial"/>
          <w:sz w:val="22"/>
          <w:szCs w:val="22"/>
        </w:rPr>
      </w:pPr>
    </w:p>
    <w:p w:rsidR="00645FE9" w:rsidRDefault="00645FE9" w:rsidP="000E58E7">
      <w:pPr>
        <w:rPr>
          <w:rFonts w:ascii="Arial" w:hAnsi="Arial" w:cs="Arial"/>
          <w:sz w:val="22"/>
          <w:szCs w:val="22"/>
        </w:rPr>
      </w:pPr>
    </w:p>
    <w:p w:rsidR="00645FE9" w:rsidRPr="000E58E7" w:rsidRDefault="00645FE9" w:rsidP="000E58E7">
      <w:pPr>
        <w:rPr>
          <w:rFonts w:ascii="Arial" w:hAnsi="Arial" w:cs="Arial"/>
          <w:sz w:val="22"/>
          <w:szCs w:val="22"/>
        </w:rPr>
      </w:pPr>
    </w:p>
    <w:sectPr w:rsidR="00645FE9" w:rsidRPr="000E58E7">
      <w:headerReference w:type="default" r:id="rId8"/>
      <w:footerReference w:type="even" r:id="rId9"/>
      <w:footerReference w:type="default" r:id="rId10"/>
      <w:pgSz w:w="12240" w:h="15840"/>
      <w:pgMar w:top="1585" w:right="126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AC2" w:rsidRDefault="00146AC2">
      <w:r>
        <w:separator/>
      </w:r>
    </w:p>
  </w:endnote>
  <w:endnote w:type="continuationSeparator" w:id="0">
    <w:p w:rsidR="00146AC2" w:rsidRDefault="0014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EC" w:rsidRDefault="00844C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44CEC" w:rsidRDefault="00844C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EC" w:rsidRPr="00891B92" w:rsidRDefault="00844CEC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</w:p>
  <w:p w:rsidR="00844CEC" w:rsidRDefault="00844C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AC2" w:rsidRDefault="00146AC2">
      <w:r>
        <w:separator/>
      </w:r>
    </w:p>
  </w:footnote>
  <w:footnote w:type="continuationSeparator" w:id="0">
    <w:p w:rsidR="00146AC2" w:rsidRDefault="00146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EC" w:rsidRPr="00B5262D" w:rsidRDefault="00844CEC">
    <w:pPr>
      <w:pStyle w:val="Zhlav"/>
    </w:pPr>
    <w:r>
      <w:t xml:space="preserve">  </w:t>
    </w:r>
    <w:r w:rsidR="008A7243">
      <w:rPr>
        <w:noProof/>
      </w:rPr>
      <w:drawing>
        <wp:inline distT="0" distB="0" distL="0" distR="0" wp14:anchorId="6C886C0A" wp14:editId="48A5B76A">
          <wp:extent cx="5867400" cy="5619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C5B0F"/>
    <w:multiLevelType w:val="multilevel"/>
    <w:tmpl w:val="3A4004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B244314"/>
    <w:multiLevelType w:val="hybridMultilevel"/>
    <w:tmpl w:val="2A4E48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C835DF"/>
    <w:multiLevelType w:val="hybridMultilevel"/>
    <w:tmpl w:val="4B58BEBA"/>
    <w:lvl w:ilvl="0" w:tplc="50C051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C4614B"/>
    <w:multiLevelType w:val="hybridMultilevel"/>
    <w:tmpl w:val="9C0E71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F86736"/>
    <w:multiLevelType w:val="hybridMultilevel"/>
    <w:tmpl w:val="BF5A77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8976A4"/>
    <w:multiLevelType w:val="multilevel"/>
    <w:tmpl w:val="9790F4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0B80F9B"/>
    <w:multiLevelType w:val="hybridMultilevel"/>
    <w:tmpl w:val="605C43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0F0AE9"/>
    <w:multiLevelType w:val="multilevel"/>
    <w:tmpl w:val="4B58BE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CC0242"/>
    <w:multiLevelType w:val="hybridMultilevel"/>
    <w:tmpl w:val="B330EE36"/>
    <w:lvl w:ilvl="0" w:tplc="040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673628D"/>
    <w:multiLevelType w:val="hybridMultilevel"/>
    <w:tmpl w:val="A888DB0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B602F5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667E4E"/>
    <w:multiLevelType w:val="hybridMultilevel"/>
    <w:tmpl w:val="90D0F6F4"/>
    <w:lvl w:ilvl="0" w:tplc="0405000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070AFC"/>
    <w:multiLevelType w:val="multilevel"/>
    <w:tmpl w:val="4B58BE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FC0807"/>
    <w:multiLevelType w:val="hybridMultilevel"/>
    <w:tmpl w:val="69322CF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FC4E4E"/>
    <w:multiLevelType w:val="hybridMultilevel"/>
    <w:tmpl w:val="88E40E3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594767"/>
    <w:multiLevelType w:val="hybridMultilevel"/>
    <w:tmpl w:val="DAFEC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3"/>
  </w:num>
  <w:num w:numId="5">
    <w:abstractNumId w:val="8"/>
  </w:num>
  <w:num w:numId="6">
    <w:abstractNumId w:val="10"/>
  </w:num>
  <w:num w:numId="7">
    <w:abstractNumId w:val="12"/>
  </w:num>
  <w:num w:numId="8">
    <w:abstractNumId w:val="6"/>
  </w:num>
  <w:num w:numId="9">
    <w:abstractNumId w:val="9"/>
  </w:num>
  <w:num w:numId="10">
    <w:abstractNumId w:val="13"/>
  </w:num>
  <w:num w:numId="11">
    <w:abstractNumId w:val="2"/>
  </w:num>
  <w:num w:numId="12">
    <w:abstractNumId w:val="11"/>
  </w:num>
  <w:num w:numId="13">
    <w:abstractNumId w:val="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B3"/>
    <w:rsid w:val="00003345"/>
    <w:rsid w:val="000700C1"/>
    <w:rsid w:val="000A44FC"/>
    <w:rsid w:val="000C3609"/>
    <w:rsid w:val="000D0615"/>
    <w:rsid w:val="000E58E7"/>
    <w:rsid w:val="00130503"/>
    <w:rsid w:val="00134726"/>
    <w:rsid w:val="00146AC2"/>
    <w:rsid w:val="001544B6"/>
    <w:rsid w:val="001C2057"/>
    <w:rsid w:val="001E42A1"/>
    <w:rsid w:val="002606BB"/>
    <w:rsid w:val="003227C8"/>
    <w:rsid w:val="003422F2"/>
    <w:rsid w:val="00377793"/>
    <w:rsid w:val="004224D4"/>
    <w:rsid w:val="0047344E"/>
    <w:rsid w:val="004E66AD"/>
    <w:rsid w:val="005237C7"/>
    <w:rsid w:val="00645FE9"/>
    <w:rsid w:val="006505FA"/>
    <w:rsid w:val="006B4AD4"/>
    <w:rsid w:val="00773571"/>
    <w:rsid w:val="007B76DB"/>
    <w:rsid w:val="008015B3"/>
    <w:rsid w:val="00831998"/>
    <w:rsid w:val="00844CEC"/>
    <w:rsid w:val="008468EE"/>
    <w:rsid w:val="00846D5E"/>
    <w:rsid w:val="00874AD9"/>
    <w:rsid w:val="008759D0"/>
    <w:rsid w:val="00892F3B"/>
    <w:rsid w:val="008A7243"/>
    <w:rsid w:val="009B1AED"/>
    <w:rsid w:val="009B3C17"/>
    <w:rsid w:val="009C4DD7"/>
    <w:rsid w:val="009D378B"/>
    <w:rsid w:val="00A37CED"/>
    <w:rsid w:val="00AA2964"/>
    <w:rsid w:val="00AF2917"/>
    <w:rsid w:val="00B506B1"/>
    <w:rsid w:val="00B5262D"/>
    <w:rsid w:val="00BA6F87"/>
    <w:rsid w:val="00BF6AC7"/>
    <w:rsid w:val="00C2722B"/>
    <w:rsid w:val="00C72245"/>
    <w:rsid w:val="00C975D3"/>
    <w:rsid w:val="00D11BA1"/>
    <w:rsid w:val="00D35263"/>
    <w:rsid w:val="00DD35B6"/>
    <w:rsid w:val="00DE46A0"/>
    <w:rsid w:val="00E14862"/>
    <w:rsid w:val="00E15425"/>
    <w:rsid w:val="00E60104"/>
    <w:rsid w:val="00EA1EE6"/>
    <w:rsid w:val="00ED7F2B"/>
    <w:rsid w:val="00F224E7"/>
    <w:rsid w:val="00F5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5B3"/>
    <w:rPr>
      <w:sz w:val="24"/>
      <w:szCs w:val="24"/>
    </w:rPr>
  </w:style>
  <w:style w:type="paragraph" w:styleId="Nadpis1">
    <w:name w:val="heading 1"/>
    <w:basedOn w:val="Normln"/>
    <w:next w:val="Normln"/>
    <w:qFormat/>
    <w:rsid w:val="000E5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0E58E7"/>
    <w:pPr>
      <w:keepNext/>
      <w:spacing w:line="360" w:lineRule="auto"/>
      <w:jc w:val="center"/>
      <w:outlineLvl w:val="2"/>
    </w:pPr>
    <w:rPr>
      <w:rFonts w:ascii="Arial" w:hAnsi="Arial"/>
      <w:b/>
      <w:color w:val="0000FF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015B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015B3"/>
    <w:pPr>
      <w:tabs>
        <w:tab w:val="center" w:pos="4536"/>
        <w:tab w:val="right" w:pos="9072"/>
      </w:tabs>
    </w:pPr>
  </w:style>
  <w:style w:type="character" w:styleId="Hypertextovodkaz">
    <w:name w:val="Hyperlink"/>
    <w:rsid w:val="008015B3"/>
    <w:rPr>
      <w:color w:val="0000FF"/>
      <w:u w:val="single"/>
    </w:rPr>
  </w:style>
  <w:style w:type="paragraph" w:customStyle="1" w:styleId="odstavec">
    <w:name w:val="odstavec"/>
    <w:basedOn w:val="Normln"/>
    <w:rsid w:val="008015B3"/>
    <w:pPr>
      <w:spacing w:after="60"/>
      <w:jc w:val="both"/>
    </w:pPr>
    <w:rPr>
      <w:rFonts w:ascii="Arial" w:hAnsi="Arial" w:cs="Arial"/>
      <w:sz w:val="22"/>
      <w:szCs w:val="22"/>
    </w:rPr>
  </w:style>
  <w:style w:type="character" w:styleId="slostrnky">
    <w:name w:val="page number"/>
    <w:basedOn w:val="Standardnpsmoodstavce"/>
    <w:rsid w:val="008015B3"/>
  </w:style>
  <w:style w:type="paragraph" w:styleId="Zkladntext">
    <w:name w:val="Body Text"/>
    <w:basedOn w:val="Normln"/>
    <w:rsid w:val="008015B3"/>
    <w:pPr>
      <w:autoSpaceDE w:val="0"/>
      <w:autoSpaceDN w:val="0"/>
      <w:adjustRightInd w:val="0"/>
    </w:pPr>
    <w:rPr>
      <w:color w:val="000000"/>
    </w:rPr>
  </w:style>
  <w:style w:type="paragraph" w:customStyle="1" w:styleId="Pruka-ZkladnstylCharChar1Char">
    <w:name w:val="Příručka - Základní styl Char Char1 Char"/>
    <w:basedOn w:val="Normln"/>
    <w:rsid w:val="008015B3"/>
    <w:pPr>
      <w:spacing w:after="120"/>
      <w:jc w:val="both"/>
    </w:pPr>
    <w:rPr>
      <w:rFonts w:ascii="Arial" w:hAnsi="Arial"/>
      <w:szCs w:val="20"/>
    </w:rPr>
  </w:style>
  <w:style w:type="paragraph" w:styleId="Obsah1">
    <w:name w:val="toc 1"/>
    <w:basedOn w:val="Normln"/>
    <w:next w:val="Normln"/>
    <w:autoRedefine/>
    <w:semiHidden/>
    <w:rsid w:val="008015B3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sz w:val="20"/>
      <w:szCs w:val="20"/>
    </w:rPr>
  </w:style>
  <w:style w:type="paragraph" w:styleId="Textbubliny">
    <w:name w:val="Balloon Text"/>
    <w:basedOn w:val="Normln"/>
    <w:semiHidden/>
    <w:rsid w:val="00E14862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0E58E7"/>
    <w:pPr>
      <w:spacing w:after="120"/>
    </w:pPr>
    <w:rPr>
      <w:sz w:val="16"/>
      <w:szCs w:val="16"/>
    </w:rPr>
  </w:style>
  <w:style w:type="character" w:customStyle="1" w:styleId="Nadpis3Char">
    <w:name w:val="Nadpis 3 Char"/>
    <w:link w:val="Nadpis3"/>
    <w:rsid w:val="000E58E7"/>
    <w:rPr>
      <w:rFonts w:ascii="Arial" w:hAnsi="Arial"/>
      <w:b/>
      <w:color w:val="0000FF"/>
      <w:sz w:val="48"/>
      <w:szCs w:val="48"/>
      <w:lang w:val="cs-CZ" w:eastAsia="cs-CZ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5B3"/>
    <w:rPr>
      <w:sz w:val="24"/>
      <w:szCs w:val="24"/>
    </w:rPr>
  </w:style>
  <w:style w:type="paragraph" w:styleId="Nadpis1">
    <w:name w:val="heading 1"/>
    <w:basedOn w:val="Normln"/>
    <w:next w:val="Normln"/>
    <w:qFormat/>
    <w:rsid w:val="000E5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0E58E7"/>
    <w:pPr>
      <w:keepNext/>
      <w:spacing w:line="360" w:lineRule="auto"/>
      <w:jc w:val="center"/>
      <w:outlineLvl w:val="2"/>
    </w:pPr>
    <w:rPr>
      <w:rFonts w:ascii="Arial" w:hAnsi="Arial"/>
      <w:b/>
      <w:color w:val="0000FF"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015B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015B3"/>
    <w:pPr>
      <w:tabs>
        <w:tab w:val="center" w:pos="4536"/>
        <w:tab w:val="right" w:pos="9072"/>
      </w:tabs>
    </w:pPr>
  </w:style>
  <w:style w:type="character" w:styleId="Hypertextovodkaz">
    <w:name w:val="Hyperlink"/>
    <w:rsid w:val="008015B3"/>
    <w:rPr>
      <w:color w:val="0000FF"/>
      <w:u w:val="single"/>
    </w:rPr>
  </w:style>
  <w:style w:type="paragraph" w:customStyle="1" w:styleId="odstavec">
    <w:name w:val="odstavec"/>
    <w:basedOn w:val="Normln"/>
    <w:rsid w:val="008015B3"/>
    <w:pPr>
      <w:spacing w:after="60"/>
      <w:jc w:val="both"/>
    </w:pPr>
    <w:rPr>
      <w:rFonts w:ascii="Arial" w:hAnsi="Arial" w:cs="Arial"/>
      <w:sz w:val="22"/>
      <w:szCs w:val="22"/>
    </w:rPr>
  </w:style>
  <w:style w:type="character" w:styleId="slostrnky">
    <w:name w:val="page number"/>
    <w:basedOn w:val="Standardnpsmoodstavce"/>
    <w:rsid w:val="008015B3"/>
  </w:style>
  <w:style w:type="paragraph" w:styleId="Zkladntext">
    <w:name w:val="Body Text"/>
    <w:basedOn w:val="Normln"/>
    <w:rsid w:val="008015B3"/>
    <w:pPr>
      <w:autoSpaceDE w:val="0"/>
      <w:autoSpaceDN w:val="0"/>
      <w:adjustRightInd w:val="0"/>
    </w:pPr>
    <w:rPr>
      <w:color w:val="000000"/>
    </w:rPr>
  </w:style>
  <w:style w:type="paragraph" w:customStyle="1" w:styleId="Pruka-ZkladnstylCharChar1Char">
    <w:name w:val="Příručka - Základní styl Char Char1 Char"/>
    <w:basedOn w:val="Normln"/>
    <w:rsid w:val="008015B3"/>
    <w:pPr>
      <w:spacing w:after="120"/>
      <w:jc w:val="both"/>
    </w:pPr>
    <w:rPr>
      <w:rFonts w:ascii="Arial" w:hAnsi="Arial"/>
      <w:szCs w:val="20"/>
    </w:rPr>
  </w:style>
  <w:style w:type="paragraph" w:styleId="Obsah1">
    <w:name w:val="toc 1"/>
    <w:basedOn w:val="Normln"/>
    <w:next w:val="Normln"/>
    <w:autoRedefine/>
    <w:semiHidden/>
    <w:rsid w:val="008015B3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sz w:val="20"/>
      <w:szCs w:val="20"/>
    </w:rPr>
  </w:style>
  <w:style w:type="paragraph" w:styleId="Textbubliny">
    <w:name w:val="Balloon Text"/>
    <w:basedOn w:val="Normln"/>
    <w:semiHidden/>
    <w:rsid w:val="00E14862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0E58E7"/>
    <w:pPr>
      <w:spacing w:after="120"/>
    </w:pPr>
    <w:rPr>
      <w:sz w:val="16"/>
      <w:szCs w:val="16"/>
    </w:rPr>
  </w:style>
  <w:style w:type="character" w:customStyle="1" w:styleId="Nadpis3Char">
    <w:name w:val="Nadpis 3 Char"/>
    <w:link w:val="Nadpis3"/>
    <w:rsid w:val="000E58E7"/>
    <w:rPr>
      <w:rFonts w:ascii="Arial" w:hAnsi="Arial"/>
      <w:b/>
      <w:color w:val="0000FF"/>
      <w:sz w:val="48"/>
      <w:szCs w:val="48"/>
      <w:lang w:val="cs-CZ" w:eastAsia="cs-CZ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8E753B53</Template>
  <TotalTime>2</TotalTime>
  <Pages>3</Pages>
  <Words>864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 České republiky</vt:lpstr>
    </vt:vector>
  </TitlesOfParts>
  <Company>mpsv</Company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 České republiky</dc:title>
  <dc:creator>BrozkovaA</dc:creator>
  <cp:lastModifiedBy>fodorovar</cp:lastModifiedBy>
  <cp:revision>2</cp:revision>
  <cp:lastPrinted>2011-07-19T07:43:00Z</cp:lastPrinted>
  <dcterms:created xsi:type="dcterms:W3CDTF">2012-03-29T08:17:00Z</dcterms:created>
  <dcterms:modified xsi:type="dcterms:W3CDTF">2012-03-29T08:17:00Z</dcterms:modified>
</cp:coreProperties>
</file>