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BB" w:rsidRPr="004709BB" w:rsidRDefault="004709BB" w:rsidP="004709BB">
      <w:pPr>
        <w:spacing w:before="300" w:after="150" w:line="240" w:lineRule="auto"/>
        <w:outlineLvl w:val="0"/>
        <w:rPr>
          <w:rFonts w:ascii="Arial" w:eastAsia="Times New Roman" w:hAnsi="Arial" w:cs="Arial"/>
          <w:b/>
          <w:color w:val="333333"/>
          <w:kern w:val="36"/>
          <w:sz w:val="28"/>
          <w:szCs w:val="28"/>
          <w:lang w:eastAsia="cs-CZ"/>
        </w:rPr>
      </w:pPr>
      <w:r w:rsidRPr="004709BB">
        <w:rPr>
          <w:rFonts w:ascii="Arial" w:eastAsia="Times New Roman" w:hAnsi="Arial" w:cs="Arial"/>
          <w:b/>
          <w:color w:val="333333"/>
          <w:kern w:val="36"/>
          <w:sz w:val="28"/>
          <w:szCs w:val="28"/>
          <w:lang w:eastAsia="cs-CZ"/>
        </w:rPr>
        <w:t>Rekvalifikace</w:t>
      </w:r>
    </w:p>
    <w:p w:rsidR="004709BB" w:rsidRPr="004709BB" w:rsidRDefault="004709BB" w:rsidP="004709BB">
      <w:pPr>
        <w:spacing w:after="0" w:line="240" w:lineRule="auto"/>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 xml:space="preserve">Rekvalifikace umožňuje fyzickým osobám získat kvalifikaci pro nové zaměstnání nebo udržení stávajícího zaměstnání. </w:t>
      </w:r>
    </w:p>
    <w:p w:rsidR="004709BB" w:rsidRPr="004709BB" w:rsidRDefault="004709BB" w:rsidP="004709BB">
      <w:pPr>
        <w:spacing w:before="150" w:after="150" w:line="240" w:lineRule="auto"/>
        <w:outlineLvl w:val="3"/>
        <w:rPr>
          <w:rFonts w:ascii="Arial" w:eastAsia="Times New Roman" w:hAnsi="Arial" w:cs="Arial"/>
          <w:b/>
          <w:color w:val="333333"/>
          <w:sz w:val="24"/>
          <w:szCs w:val="24"/>
          <w:lang w:eastAsia="cs-CZ"/>
        </w:rPr>
      </w:pPr>
      <w:r w:rsidRPr="004709BB">
        <w:rPr>
          <w:rFonts w:ascii="Arial" w:eastAsia="Times New Roman" w:hAnsi="Arial" w:cs="Arial"/>
          <w:b/>
          <w:color w:val="333333"/>
          <w:sz w:val="24"/>
          <w:szCs w:val="24"/>
          <w:lang w:eastAsia="cs-CZ"/>
        </w:rPr>
        <w:t>Rekvalifikací se rozumí</w:t>
      </w:r>
    </w:p>
    <w:p w:rsidR="004709BB" w:rsidRPr="004709BB" w:rsidRDefault="004709BB" w:rsidP="004709BB">
      <w:pPr>
        <w:spacing w:after="150" w:line="240" w:lineRule="auto"/>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získání nové kvalifikace a zvýšení, rozšíření nebo prohloubení dosavadní kvalifikace, včetně jejího udržování nebo obnovování. Za rekvalifikaci se považuje i získání kvalifikace pro pracovní uplatnění fyzické osoby, která dosud žádnou kvalifikaci nezískala. Při určování obsahu a rozsahu rekvalifikace se vychází z dosavadní kvalifikace, zdravotního stavu, schopností a zkušeností fyzické osoby, která má být rekvalifikována formou získání nových teoretických a praktických dovedností v rámci dalšího profesního vzdělávání (§ 108 odst. 1 zákona č. 435/2004 Sb., o zaměstnanosti, ve znění pozdějších předpisů).</w:t>
      </w:r>
    </w:p>
    <w:p w:rsidR="004709BB" w:rsidRPr="004709BB" w:rsidRDefault="004709BB" w:rsidP="004709BB">
      <w:pPr>
        <w:spacing w:before="150" w:after="150" w:line="240" w:lineRule="auto"/>
        <w:outlineLvl w:val="3"/>
        <w:rPr>
          <w:rFonts w:ascii="Arial" w:eastAsia="Times New Roman" w:hAnsi="Arial" w:cs="Arial"/>
          <w:b/>
          <w:color w:val="333333"/>
          <w:sz w:val="24"/>
          <w:szCs w:val="24"/>
          <w:lang w:eastAsia="cs-CZ"/>
        </w:rPr>
      </w:pPr>
      <w:r w:rsidRPr="004709BB">
        <w:rPr>
          <w:rFonts w:ascii="Arial" w:eastAsia="Times New Roman" w:hAnsi="Arial" w:cs="Arial"/>
          <w:b/>
          <w:color w:val="333333"/>
          <w:sz w:val="24"/>
          <w:szCs w:val="24"/>
          <w:lang w:eastAsia="cs-CZ"/>
        </w:rPr>
        <w:t>Podmínky pro zařazení fyzické osoby do rekvalifikačního kurzu</w:t>
      </w:r>
    </w:p>
    <w:p w:rsidR="004709BB" w:rsidRPr="004709BB" w:rsidRDefault="004709BB" w:rsidP="004709BB">
      <w:pPr>
        <w:numPr>
          <w:ilvl w:val="0"/>
          <w:numId w:val="1"/>
        </w:numPr>
        <w:spacing w:before="100" w:beforeAutospacing="1" w:after="100" w:afterAutospacing="1" w:line="240" w:lineRule="auto"/>
        <w:ind w:left="495"/>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být v evidenci Úřadu práce jako uchazeč nebo zájemce o zaměstnání,</w:t>
      </w:r>
    </w:p>
    <w:p w:rsidR="004709BB" w:rsidRPr="004709BB" w:rsidRDefault="004709BB" w:rsidP="004709BB">
      <w:pPr>
        <w:numPr>
          <w:ilvl w:val="0"/>
          <w:numId w:val="1"/>
        </w:numPr>
        <w:spacing w:before="100" w:beforeAutospacing="1" w:after="100" w:afterAutospacing="1" w:line="240" w:lineRule="auto"/>
        <w:ind w:left="495"/>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mít odpovídající vstupní kvalifikační předpoklady pro daný rekvalifikační kurz a pro výkon profese, na kterou se rekvalifikuje (např. příslušný stupeň vzdělání, některé znalosti a dovednosti – záleží na typu rekvalifikace),</w:t>
      </w:r>
    </w:p>
    <w:p w:rsidR="004709BB" w:rsidRPr="004709BB" w:rsidRDefault="004709BB" w:rsidP="004709BB">
      <w:pPr>
        <w:numPr>
          <w:ilvl w:val="0"/>
          <w:numId w:val="1"/>
        </w:numPr>
        <w:spacing w:before="100" w:beforeAutospacing="1" w:after="100" w:afterAutospacing="1" w:line="240" w:lineRule="auto"/>
        <w:ind w:left="495"/>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být zdravotně způsobilý/</w:t>
      </w:r>
      <w:proofErr w:type="spellStart"/>
      <w:r w:rsidRPr="004709BB">
        <w:rPr>
          <w:rFonts w:ascii="Arial" w:eastAsia="Times New Roman" w:hAnsi="Arial" w:cs="Arial"/>
          <w:color w:val="333333"/>
          <w:sz w:val="24"/>
          <w:szCs w:val="24"/>
          <w:lang w:eastAsia="cs-CZ"/>
        </w:rPr>
        <w:t>lá</w:t>
      </w:r>
      <w:proofErr w:type="spellEnd"/>
      <w:r w:rsidRPr="004709BB">
        <w:rPr>
          <w:rFonts w:ascii="Arial" w:eastAsia="Times New Roman" w:hAnsi="Arial" w:cs="Arial"/>
          <w:color w:val="333333"/>
          <w:sz w:val="24"/>
          <w:szCs w:val="24"/>
          <w:lang w:eastAsia="cs-CZ"/>
        </w:rPr>
        <w:t xml:space="preserve"> pro absolvování rekvalifikačního kurzu a pro výkon nové profese,</w:t>
      </w:r>
    </w:p>
    <w:p w:rsidR="004709BB" w:rsidRPr="004709BB" w:rsidRDefault="004709BB" w:rsidP="004709BB">
      <w:pPr>
        <w:numPr>
          <w:ilvl w:val="0"/>
          <w:numId w:val="1"/>
        </w:numPr>
        <w:spacing w:before="100" w:beforeAutospacing="1" w:after="100" w:afterAutospacing="1" w:line="240" w:lineRule="auto"/>
        <w:ind w:left="495"/>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rekvalifikace musí být potřebná – dosavadní kvalifikace uchazeče nebo zájemce o zaměstnání neumožňuje získání vhodného pracovního místa,</w:t>
      </w:r>
    </w:p>
    <w:p w:rsidR="004709BB" w:rsidRPr="004709BB" w:rsidRDefault="004709BB" w:rsidP="004709BB">
      <w:pPr>
        <w:numPr>
          <w:ilvl w:val="0"/>
          <w:numId w:val="1"/>
        </w:numPr>
        <w:spacing w:before="100" w:beforeAutospacing="1" w:after="100" w:afterAutospacing="1" w:line="240" w:lineRule="auto"/>
        <w:ind w:left="495"/>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rekvalifikace musí být účelná - po ukončení rekvalifikace je reálná šance získat zaměstnání.</w:t>
      </w:r>
    </w:p>
    <w:p w:rsidR="004709BB" w:rsidRPr="004709BB" w:rsidRDefault="004709BB" w:rsidP="004709BB">
      <w:pPr>
        <w:spacing w:before="150" w:after="150" w:line="240" w:lineRule="auto"/>
        <w:outlineLvl w:val="3"/>
        <w:rPr>
          <w:rFonts w:ascii="Arial" w:eastAsia="Times New Roman" w:hAnsi="Arial" w:cs="Arial"/>
          <w:b/>
          <w:color w:val="333333"/>
          <w:sz w:val="24"/>
          <w:szCs w:val="24"/>
          <w:lang w:eastAsia="cs-CZ"/>
        </w:rPr>
      </w:pPr>
      <w:r w:rsidRPr="004709BB">
        <w:rPr>
          <w:rFonts w:ascii="Arial" w:eastAsia="Times New Roman" w:hAnsi="Arial" w:cs="Arial"/>
          <w:b/>
          <w:color w:val="333333"/>
          <w:sz w:val="24"/>
          <w:szCs w:val="24"/>
          <w:lang w:eastAsia="cs-CZ"/>
        </w:rPr>
        <w:t>Úhrada nákladů rekvalifikace</w:t>
      </w:r>
    </w:p>
    <w:p w:rsidR="004709BB" w:rsidRPr="004709BB" w:rsidRDefault="004709BB" w:rsidP="004709BB">
      <w:pPr>
        <w:spacing w:after="150" w:line="240" w:lineRule="auto"/>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Úřad práce hradí náklady rekvalifikace (kurzovné) za uchazeče nebo zájemce o zaměstnání pokud je na rekvalifikaci doporučí a uzavře s nimi, ještě před zahájením rekvalifikačního kurzu, písemnou dohodu o rekvalifikaci. Uchazeči o zaměstnání může dále poskytnout příspěvek na úhradu prokázaných nutných nákladů spojených s rekvalifikací (např. jízdní výdaje na cestu hromadnými dopravními prostředky, pojištění pro případ škody způsobené uchazečem o zaměstnání rekvalifikačnímu zařízení).</w:t>
      </w:r>
      <w:r w:rsidRPr="004709BB">
        <w:rPr>
          <w:rFonts w:ascii="Arial" w:eastAsia="Times New Roman" w:hAnsi="Arial" w:cs="Arial"/>
          <w:color w:val="333333"/>
          <w:sz w:val="24"/>
          <w:szCs w:val="24"/>
          <w:lang w:eastAsia="cs-CZ"/>
        </w:rPr>
        <w:br/>
        <w:t>V dohodě o rekvalifikaci je stanovena povinnost, uhradit plně náklady rekvalifikace, pokud uchazeč nebo zájemce o rekvalifikaci bez vážných důvodů nedokončí rekvalifikaci nebo odmítne nastoupit do vhodného zaměstnání odpovídajícího nově získané kvalifikaci</w:t>
      </w:r>
      <w:r w:rsidRPr="004709BB">
        <w:rPr>
          <w:rFonts w:ascii="Arial" w:eastAsia="Times New Roman" w:hAnsi="Arial" w:cs="Arial"/>
          <w:color w:val="333333"/>
          <w:sz w:val="24"/>
          <w:szCs w:val="24"/>
          <w:lang w:eastAsia="cs-CZ"/>
        </w:rPr>
        <w:br/>
        <w:t>Na úhradu nákladů rekvalifikace a nákladů spojených s rekvalifikací není právní nárok.</w:t>
      </w:r>
    </w:p>
    <w:p w:rsidR="004709BB" w:rsidRPr="004709BB" w:rsidRDefault="004709BB" w:rsidP="004709BB">
      <w:pPr>
        <w:spacing w:before="150" w:after="150" w:line="240" w:lineRule="auto"/>
        <w:outlineLvl w:val="3"/>
        <w:rPr>
          <w:rFonts w:ascii="Arial" w:eastAsia="Times New Roman" w:hAnsi="Arial" w:cs="Arial"/>
          <w:b/>
          <w:color w:val="333333"/>
          <w:sz w:val="24"/>
          <w:szCs w:val="24"/>
          <w:lang w:eastAsia="cs-CZ"/>
        </w:rPr>
      </w:pPr>
      <w:r w:rsidRPr="004709BB">
        <w:rPr>
          <w:rFonts w:ascii="Arial" w:eastAsia="Times New Roman" w:hAnsi="Arial" w:cs="Arial"/>
          <w:b/>
          <w:color w:val="333333"/>
          <w:sz w:val="24"/>
          <w:szCs w:val="24"/>
          <w:lang w:eastAsia="cs-CZ"/>
        </w:rPr>
        <w:t>Podpora při rekvalifikaci</w:t>
      </w:r>
    </w:p>
    <w:p w:rsidR="004709BB" w:rsidRPr="004709BB" w:rsidRDefault="004709BB" w:rsidP="004709BB">
      <w:pPr>
        <w:spacing w:after="150" w:line="240" w:lineRule="auto"/>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 xml:space="preserve">Nárok na podporu při rekvalifikaci má uchazeč o zaměstnání, který se zúčastní rekvalifikace zabezpečované krajskou pobočkou Úřadu práce a ke dni, k němuž má být podpora při rekvalifikaci přiznána, není poživatelem starobního důchodu. Výše podpory při rekvalifikaci činí 60 % průměrného měsíčního čistého výdělku, kterého uchazeč o zaměstnání dosáhl ve svém posledním zaměstnání. Uchazeči, který </w:t>
      </w:r>
      <w:r w:rsidRPr="004709BB">
        <w:rPr>
          <w:rFonts w:ascii="Arial" w:eastAsia="Times New Roman" w:hAnsi="Arial" w:cs="Arial"/>
          <w:color w:val="333333"/>
          <w:sz w:val="24"/>
          <w:szCs w:val="24"/>
          <w:lang w:eastAsia="cs-CZ"/>
        </w:rPr>
        <w:lastRenderedPageBreak/>
        <w:t xml:space="preserve">vykonával samostatnou výdělečnou činnost, se podpora při rekvalifikaci stanoví procentní sazbou z posledního vyměřovacího základu v rozhodném období přepočteného na 1 kalendářní měsíc. Uchazeči, kterému nelze stanovit vyměřovací základ nebo uchazeči, kterému vznikl nárok na podporu započtením náhradní doby nebo uchazeči, který bez svého zavinění nemůže osvědčit výši průměrného čistého výdělku, se podpora při rekvalifikaci stanoví ve výši 0,14násobku průměrné mzdy v národním hospodářství za první až třetí čtvrtletí kalendářního roku předcházejícímu kalendářnímu roku, ve kterém uchazeč o zaměstnání </w:t>
      </w:r>
      <w:proofErr w:type="gramStart"/>
      <w:r w:rsidRPr="004709BB">
        <w:rPr>
          <w:rFonts w:ascii="Arial" w:eastAsia="Times New Roman" w:hAnsi="Arial" w:cs="Arial"/>
          <w:color w:val="333333"/>
          <w:sz w:val="24"/>
          <w:szCs w:val="24"/>
          <w:lang w:eastAsia="cs-CZ"/>
        </w:rPr>
        <w:t>nastoupil</w:t>
      </w:r>
      <w:proofErr w:type="gramEnd"/>
      <w:r w:rsidRPr="004709BB">
        <w:rPr>
          <w:rFonts w:ascii="Arial" w:eastAsia="Times New Roman" w:hAnsi="Arial" w:cs="Arial"/>
          <w:color w:val="333333"/>
          <w:sz w:val="24"/>
          <w:szCs w:val="24"/>
          <w:lang w:eastAsia="cs-CZ"/>
        </w:rPr>
        <w:t xml:space="preserve"> na rekvalifikaci.</w:t>
      </w:r>
      <w:r w:rsidRPr="004709BB">
        <w:rPr>
          <w:rFonts w:ascii="Arial" w:eastAsia="Times New Roman" w:hAnsi="Arial" w:cs="Arial"/>
          <w:color w:val="333333"/>
          <w:sz w:val="24"/>
          <w:szCs w:val="24"/>
          <w:lang w:eastAsia="cs-CZ"/>
        </w:rPr>
        <w:br/>
        <w:t xml:space="preserve">Maximální výše podpory při rekvalifikaci </w:t>
      </w:r>
      <w:proofErr w:type="gramStart"/>
      <w:r w:rsidRPr="004709BB">
        <w:rPr>
          <w:rFonts w:ascii="Arial" w:eastAsia="Times New Roman" w:hAnsi="Arial" w:cs="Arial"/>
          <w:color w:val="333333"/>
          <w:sz w:val="24"/>
          <w:szCs w:val="24"/>
          <w:lang w:eastAsia="cs-CZ"/>
        </w:rPr>
        <w:t>činí</w:t>
      </w:r>
      <w:proofErr w:type="gramEnd"/>
      <w:r w:rsidRPr="004709BB">
        <w:rPr>
          <w:rFonts w:ascii="Arial" w:eastAsia="Times New Roman" w:hAnsi="Arial" w:cs="Arial"/>
          <w:color w:val="333333"/>
          <w:sz w:val="24"/>
          <w:szCs w:val="24"/>
          <w:lang w:eastAsia="cs-CZ"/>
        </w:rPr>
        <w:t xml:space="preserve"> 0,65násobek průměrné mzdy v národním hospodářství za první až třetí čtvrtletí kalendářního roku, ve kterém uchazeč o zaměstnání nastoupil na rekvalifikaci.</w:t>
      </w:r>
    </w:p>
    <w:p w:rsidR="004709BB" w:rsidRPr="004709BB" w:rsidRDefault="004709BB" w:rsidP="004709BB">
      <w:pPr>
        <w:spacing w:before="150" w:after="150" w:line="240" w:lineRule="auto"/>
        <w:outlineLvl w:val="3"/>
        <w:rPr>
          <w:rFonts w:ascii="Arial" w:eastAsia="Times New Roman" w:hAnsi="Arial" w:cs="Arial"/>
          <w:b/>
          <w:color w:val="333333"/>
          <w:sz w:val="24"/>
          <w:szCs w:val="24"/>
          <w:lang w:eastAsia="cs-CZ"/>
        </w:rPr>
      </w:pPr>
      <w:r w:rsidRPr="004709BB">
        <w:rPr>
          <w:rFonts w:ascii="Arial" w:eastAsia="Times New Roman" w:hAnsi="Arial" w:cs="Arial"/>
          <w:b/>
          <w:color w:val="333333"/>
          <w:sz w:val="24"/>
          <w:szCs w:val="24"/>
          <w:lang w:eastAsia="cs-CZ"/>
        </w:rPr>
        <w:t>Realizace rekvalifikace</w:t>
      </w:r>
    </w:p>
    <w:p w:rsidR="004709BB" w:rsidRPr="004709BB" w:rsidRDefault="004709BB" w:rsidP="004709BB">
      <w:pPr>
        <w:spacing w:after="150" w:line="240" w:lineRule="auto"/>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Krajské pobočky Úřadu práce zabezpečují rekvalifikaci na základě písemně uzavřené dohody o provedení rekvalifikace s rekvalifikačním zařízením (soukromé vzdělávací zařízení, podnikové zařízení, škola apod.). Rekvalifikace se provádí v rámci dalšího profesního vzdělávání, tj. mimo počáteční vzdělávání.</w:t>
      </w:r>
      <w:r w:rsidRPr="004709BB">
        <w:rPr>
          <w:rFonts w:ascii="Arial" w:eastAsia="Times New Roman" w:hAnsi="Arial" w:cs="Arial"/>
          <w:color w:val="333333"/>
          <w:sz w:val="24"/>
          <w:szCs w:val="24"/>
          <w:lang w:eastAsia="cs-CZ"/>
        </w:rPr>
        <w:br/>
        <w:t>Propojení rekvalifikací s Národní soustavou kvalifikací (zákon č. 179/2006 Sb., o ověřování a uznávání výsledků dalšího vzdělávání) umožňuje účastníkům rekvalifikačních kurzů získat nejen profesní kvalifikaci, ale i úplnou profesní kvalifikaci. Některé úplné profesní kvalifikace se skládají z několika profesních kvalifikací. Získá-li účastník rekvalifikace osvědčení o všech požadovaných profesních kvalifikacích, bude moci na příslušné škole nebo učilišti složit zkoušku předepsanou pro příslušný obor vzdělání (tzn. závěrečnou „učňovskou“ nebo maturitní zkoušku) a získat certifikát o dosažení odpovídajícího stupně vzdělání.</w:t>
      </w:r>
      <w:r w:rsidRPr="004709BB">
        <w:rPr>
          <w:rFonts w:ascii="Arial" w:eastAsia="Times New Roman" w:hAnsi="Arial" w:cs="Arial"/>
          <w:color w:val="333333"/>
          <w:sz w:val="24"/>
          <w:szCs w:val="24"/>
          <w:lang w:eastAsia="cs-CZ"/>
        </w:rPr>
        <w:br/>
        <w:t xml:space="preserve">Informaci k zaměření a realizaci rekvalifikačních kurzů lze získat na adrese: </w:t>
      </w:r>
      <w:hyperlink r:id="rId5" w:tgtFrame="_blank" w:history="1">
        <w:r w:rsidRPr="004709BB">
          <w:rPr>
            <w:rFonts w:ascii="Arial" w:eastAsia="Times New Roman" w:hAnsi="Arial" w:cs="Arial"/>
            <w:color w:val="337AB7"/>
            <w:sz w:val="24"/>
            <w:szCs w:val="24"/>
            <w:lang w:eastAsia="cs-CZ"/>
          </w:rPr>
          <w:t>www.eu-dat.cz</w:t>
        </w:r>
      </w:hyperlink>
      <w:r w:rsidRPr="004709BB">
        <w:rPr>
          <w:rFonts w:ascii="Arial" w:eastAsia="Times New Roman" w:hAnsi="Arial" w:cs="Arial"/>
          <w:color w:val="333333"/>
          <w:sz w:val="24"/>
          <w:szCs w:val="24"/>
          <w:lang w:eastAsia="cs-CZ"/>
        </w:rPr>
        <w:t>.</w:t>
      </w:r>
    </w:p>
    <w:p w:rsidR="004709BB" w:rsidRPr="004709BB" w:rsidRDefault="004709BB" w:rsidP="004709BB">
      <w:pPr>
        <w:spacing w:before="150" w:after="150" w:line="240" w:lineRule="auto"/>
        <w:outlineLvl w:val="3"/>
        <w:rPr>
          <w:rFonts w:ascii="Arial" w:eastAsia="Times New Roman" w:hAnsi="Arial" w:cs="Arial"/>
          <w:b/>
          <w:color w:val="333333"/>
          <w:sz w:val="24"/>
          <w:szCs w:val="24"/>
          <w:lang w:eastAsia="cs-CZ"/>
        </w:rPr>
      </w:pPr>
      <w:r w:rsidRPr="004709BB">
        <w:rPr>
          <w:rFonts w:ascii="Arial" w:eastAsia="Times New Roman" w:hAnsi="Arial" w:cs="Arial"/>
          <w:b/>
          <w:color w:val="333333"/>
          <w:sz w:val="24"/>
          <w:szCs w:val="24"/>
          <w:lang w:eastAsia="cs-CZ"/>
        </w:rPr>
        <w:t>Výběr a zařazování uchazečů/ zájemců o zaměstnání do rekvalifikace</w:t>
      </w:r>
    </w:p>
    <w:p w:rsidR="004709BB" w:rsidRPr="004709BB" w:rsidRDefault="004709BB" w:rsidP="004709BB">
      <w:pPr>
        <w:spacing w:after="150" w:line="240" w:lineRule="auto"/>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Výběru osob do rekvalifikací předchází profesně-poradenský pohovor, kterým je zjišťováno, zejména zda jsou splněny podmínky pro zařazení do rekvalifikačního kurzu, viz kapitola výše.</w:t>
      </w:r>
    </w:p>
    <w:p w:rsidR="004709BB" w:rsidRPr="004709BB" w:rsidRDefault="004709BB" w:rsidP="004709BB">
      <w:pPr>
        <w:spacing w:before="150" w:after="150" w:line="240" w:lineRule="auto"/>
        <w:outlineLvl w:val="3"/>
        <w:rPr>
          <w:rFonts w:ascii="Arial" w:eastAsia="Times New Roman" w:hAnsi="Arial" w:cs="Arial"/>
          <w:b/>
          <w:color w:val="333333"/>
          <w:sz w:val="24"/>
          <w:szCs w:val="24"/>
          <w:lang w:eastAsia="cs-CZ"/>
        </w:rPr>
      </w:pPr>
      <w:r w:rsidRPr="004709BB">
        <w:rPr>
          <w:rFonts w:ascii="Arial" w:eastAsia="Times New Roman" w:hAnsi="Arial" w:cs="Arial"/>
          <w:b/>
          <w:color w:val="333333"/>
          <w:sz w:val="24"/>
          <w:szCs w:val="24"/>
          <w:lang w:eastAsia="cs-CZ"/>
        </w:rPr>
        <w:t>Zvolená rekvalifikace</w:t>
      </w:r>
    </w:p>
    <w:p w:rsidR="004709BB" w:rsidRPr="004709BB" w:rsidRDefault="004709BB" w:rsidP="004709BB">
      <w:pPr>
        <w:spacing w:after="150" w:line="240" w:lineRule="auto"/>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Podle ustanovení §109a zákona o zaměstnanosti si může uchazeč/zájemce o zaměstnání (dále jen „zájemce o zvolenou rekvalifikaci“) zabezpečit rekvalifikaci sám. Za tím účelem si volí:</w:t>
      </w:r>
    </w:p>
    <w:p w:rsidR="004709BB" w:rsidRPr="004709BB" w:rsidRDefault="004709BB" w:rsidP="004709BB">
      <w:pPr>
        <w:spacing w:line="240" w:lineRule="auto"/>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 xml:space="preserve">a)    druh pracovní činnosti, na kterou se chce rekvalifikovat, </w:t>
      </w:r>
      <w:r w:rsidRPr="004709BB">
        <w:rPr>
          <w:rFonts w:ascii="Arial" w:eastAsia="Times New Roman" w:hAnsi="Arial" w:cs="Arial"/>
          <w:color w:val="333333"/>
          <w:sz w:val="24"/>
          <w:szCs w:val="24"/>
          <w:lang w:eastAsia="cs-CZ"/>
        </w:rPr>
        <w:br/>
        <w:t xml:space="preserve">b)    rekvalifikační zařízení, které má rekvalifikaci provést. </w:t>
      </w:r>
    </w:p>
    <w:p w:rsidR="004709BB" w:rsidRPr="004709BB" w:rsidRDefault="004709BB" w:rsidP="004709BB">
      <w:pPr>
        <w:spacing w:after="150" w:line="240" w:lineRule="auto"/>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Zájemce o zvolenou rekvalifikaci předloží Úřadu práce ČR (na kontaktním pracovišti dle svého místa trvalého bydliště) svůj požadavek na formuláři „Zájem o zvolenou rekvalifikaci“ – část A (viz Formuláře pro občany). Formulář je třeba předložit alespoň 30 dnů před termínem zahájení kurzu, aby bylo možné požadavek Úřadem práce posoudit a administrativně zpracovat. Zájemce podepíše „Poučení zájemce o zvolenou rekvalifikaci“ – část B formuláře „Zájem o zvolenou rekvalifikaci“. Požadavek bude posuzován v odborné komisi zejména z hlediska, zda zvolená rekvalifikace přispěje k uplatnění zájemce o zvolenou rekvalifikaci na trhu práce a zda je pro něho vzhledem k zdravotnímu stavu vhodná.</w:t>
      </w:r>
      <w:r w:rsidRPr="004709BB">
        <w:rPr>
          <w:rFonts w:ascii="Arial" w:eastAsia="Times New Roman" w:hAnsi="Arial" w:cs="Arial"/>
          <w:color w:val="333333"/>
          <w:sz w:val="24"/>
          <w:szCs w:val="24"/>
          <w:lang w:eastAsia="cs-CZ"/>
        </w:rPr>
        <w:br/>
        <w:t xml:space="preserve">Cenu rekvalifikace doloží zájemce o zvolenou rekvalifikaci Úřadu práce „Potvrzením </w:t>
      </w:r>
      <w:r w:rsidRPr="004709BB">
        <w:rPr>
          <w:rFonts w:ascii="Arial" w:eastAsia="Times New Roman" w:hAnsi="Arial" w:cs="Arial"/>
          <w:color w:val="333333"/>
          <w:sz w:val="24"/>
          <w:szCs w:val="24"/>
          <w:lang w:eastAsia="cs-CZ"/>
        </w:rPr>
        <w:lastRenderedPageBreak/>
        <w:t>rekvalifikačního zařízení o ceně rekvalifikačního kurzu“ – část C formuláře „Zájem o zvolenou rekvalifikaci“. Cena rekvalifikace musí obsahovat i náklady za závěrečnou zkoušku. Vynaložená finanční částka na zvolenou rekvalifikaci nesmí v období 3 po sobě následujících let ode dne prvního nástupu na zvolenou rekvalifikaci přesáhnout celkovou částku 50 000 Kč. Je-li rekvalifikace odbornou komisí doporučena, obdrží zájemce o zvolenou rekvalifikaci formulář „Potvrzení o úhradě ceny rekvalifikačního kurzu po úspěšném absolvování rekvalifikace“, které je určeno rekvalifikačnímu zařízení. Hrazení zvolené rekvalifikace Úřadem práce není nárokové, je plně na zvážení Úřadu práce, zda rekvalifikaci uhradí. Úřad práce uhradí cenu zvolené rekvalifikace po úspěšném absolvování rekvalifikace přímo rekvalifikačnímu zařízení.</w:t>
      </w:r>
      <w:r w:rsidRPr="004709BB">
        <w:rPr>
          <w:rFonts w:ascii="Arial" w:eastAsia="Times New Roman" w:hAnsi="Arial" w:cs="Arial"/>
          <w:color w:val="333333"/>
          <w:sz w:val="24"/>
          <w:szCs w:val="24"/>
          <w:lang w:eastAsia="cs-CZ"/>
        </w:rPr>
        <w:br/>
        <w:t>Úřad práce může hradit cenu rekvalifikace pouze za dobu, po kterou je zájemce o zvolenou rekvalifikaci veden v evidenci uchazečů o zaměstnání nebo zájemců o zaměstnání. Jiné náklady než cenu zvolené rekvalifikace Úřad práce nehradí. Náklady na případné lékařské vyšetření v souvislosti se zvolenou rekvalifikací si hradí zájemce o zvolenou rekvalifikaci sám. Pokud zájemce o zvolenou rekvalifikaci odmítne bez vážných důvodů nastoupit do zaměstnání odpovídajícího nově získané kvalifikaci, bude povinen cenu rekvalifikace Úřadu práce uhradit. Nedokončí-li rekvalifikaci bez vážných důvodů, Úřad práce za něho cenu zvolené rekvalifikace neuhradí.</w:t>
      </w:r>
      <w:r w:rsidRPr="004709BB">
        <w:rPr>
          <w:rFonts w:ascii="Arial" w:eastAsia="Times New Roman" w:hAnsi="Arial" w:cs="Arial"/>
          <w:color w:val="333333"/>
          <w:sz w:val="24"/>
          <w:szCs w:val="24"/>
          <w:lang w:eastAsia="cs-CZ"/>
        </w:rPr>
        <w:br/>
        <w:t>Uchazeči o zaměstnání nevzniká účastí na zvolené rekvalifikaci nárok na podporu při rekvalifikaci.</w:t>
      </w:r>
    </w:p>
    <w:p w:rsidR="004709BB" w:rsidRPr="004709BB" w:rsidRDefault="004709BB" w:rsidP="004709BB">
      <w:pPr>
        <w:spacing w:before="150" w:after="150" w:line="240" w:lineRule="auto"/>
        <w:outlineLvl w:val="3"/>
        <w:rPr>
          <w:rFonts w:ascii="Arial" w:eastAsia="Times New Roman" w:hAnsi="Arial" w:cs="Arial"/>
          <w:b/>
          <w:color w:val="333333"/>
          <w:sz w:val="24"/>
          <w:szCs w:val="24"/>
          <w:lang w:eastAsia="cs-CZ"/>
        </w:rPr>
      </w:pPr>
      <w:r w:rsidRPr="004709BB">
        <w:rPr>
          <w:rFonts w:ascii="Arial" w:eastAsia="Times New Roman" w:hAnsi="Arial" w:cs="Arial"/>
          <w:b/>
          <w:color w:val="333333"/>
          <w:sz w:val="24"/>
          <w:szCs w:val="24"/>
          <w:lang w:eastAsia="cs-CZ"/>
        </w:rPr>
        <w:t>Rekvalifikace zaměstnanců</w:t>
      </w:r>
    </w:p>
    <w:p w:rsidR="004709BB" w:rsidRPr="004709BB" w:rsidRDefault="004709BB" w:rsidP="004709BB">
      <w:pPr>
        <w:spacing w:after="150" w:line="240" w:lineRule="auto"/>
        <w:rPr>
          <w:rFonts w:ascii="Arial" w:eastAsia="Times New Roman" w:hAnsi="Arial" w:cs="Arial"/>
          <w:color w:val="333333"/>
          <w:sz w:val="24"/>
          <w:szCs w:val="24"/>
          <w:lang w:eastAsia="cs-CZ"/>
        </w:rPr>
      </w:pPr>
      <w:r w:rsidRPr="004709BB">
        <w:rPr>
          <w:rFonts w:ascii="Arial" w:eastAsia="Times New Roman" w:hAnsi="Arial" w:cs="Arial"/>
          <w:color w:val="333333"/>
          <w:sz w:val="24"/>
          <w:szCs w:val="24"/>
          <w:lang w:eastAsia="cs-CZ"/>
        </w:rPr>
        <w:t>Zaměstnavatelům, kteří provádějí rekvalifikaci v zájmu dalšího pracovního uplatnění svých zaměstnanců, mohou být na základě písemné dohody s Úřadem práce plně nebo částečně hrazeny náklady spojené s touto činností (§ 110 odst. 1 zákona č. 435/2004 Sb., o zaměstnanosti, ve znění pozdějších předpisů). V tomto případě lze hradit pouze náklady na realizaci rekvalifikačního kurzu (kurzovné), nikoli náhradu mzdy, která přísluší rekvalifikovanému zaměstnanci po dobu rekvalifikace realizované v pracovní době, ani např. c</w:t>
      </w:r>
      <w:bookmarkStart w:id="0" w:name="_GoBack"/>
      <w:bookmarkEnd w:id="0"/>
      <w:r w:rsidRPr="004709BB">
        <w:rPr>
          <w:rFonts w:ascii="Arial" w:eastAsia="Times New Roman" w:hAnsi="Arial" w:cs="Arial"/>
          <w:color w:val="333333"/>
          <w:sz w:val="24"/>
          <w:szCs w:val="24"/>
          <w:lang w:eastAsia="cs-CZ"/>
        </w:rPr>
        <w:t>estovné nebo náklady na ochranné pracovní prostředky.</w:t>
      </w:r>
      <w:r w:rsidRPr="004709BB">
        <w:rPr>
          <w:rFonts w:ascii="Arial" w:eastAsia="Times New Roman" w:hAnsi="Arial" w:cs="Arial"/>
          <w:color w:val="333333"/>
          <w:sz w:val="24"/>
          <w:szCs w:val="24"/>
          <w:lang w:eastAsia="cs-CZ"/>
        </w:rPr>
        <w:br/>
        <w:t>Žádost zaměstnavatele o úhradu nákladů na zabezpečení rekvalifikace zaměstnanců předloží (příp. doručí prostřednictvím datové schránky) zaměstnavatelé na Úřadu práce ČR (na kontaktní pracoviště, příslušné dle místa výkonu práce zaměstnanců) prostřednictvím formuláře „Žádost o úhradu nákladů na zabezpečení rekvalifikace zaměstnanců“ (viz Formuláře pro zaměstnavatele).</w:t>
      </w:r>
    </w:p>
    <w:p w:rsidR="009E5603" w:rsidRPr="004709BB" w:rsidRDefault="004709BB">
      <w:pPr>
        <w:rPr>
          <w:rFonts w:ascii="Arial" w:hAnsi="Arial" w:cs="Arial"/>
          <w:sz w:val="24"/>
          <w:szCs w:val="24"/>
        </w:rPr>
      </w:pPr>
    </w:p>
    <w:sectPr w:rsidR="009E5603" w:rsidRPr="00470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4B9D044E"/>
    <w:multiLevelType w:val="multilevel"/>
    <w:tmpl w:val="B36C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BB"/>
    <w:rsid w:val="000722D7"/>
    <w:rsid w:val="004709BB"/>
    <w:rsid w:val="00AC2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2D95E-DBFA-4861-8FC9-A52AE7CB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55464">
      <w:bodyDiv w:val="1"/>
      <w:marLeft w:val="0"/>
      <w:marRight w:val="0"/>
      <w:marTop w:val="0"/>
      <w:marBottom w:val="0"/>
      <w:divBdr>
        <w:top w:val="none" w:sz="0" w:space="0" w:color="auto"/>
        <w:left w:val="none" w:sz="0" w:space="0" w:color="auto"/>
        <w:bottom w:val="none" w:sz="0" w:space="0" w:color="auto"/>
        <w:right w:val="none" w:sz="0" w:space="0" w:color="auto"/>
      </w:divBdr>
      <w:divsChild>
        <w:div w:id="685057806">
          <w:marLeft w:val="0"/>
          <w:marRight w:val="0"/>
          <w:marTop w:val="0"/>
          <w:marBottom w:val="0"/>
          <w:divBdr>
            <w:top w:val="none" w:sz="0" w:space="0" w:color="auto"/>
            <w:left w:val="none" w:sz="0" w:space="0" w:color="auto"/>
            <w:bottom w:val="none" w:sz="0" w:space="0" w:color="auto"/>
            <w:right w:val="none" w:sz="0" w:space="0" w:color="auto"/>
          </w:divBdr>
          <w:divsChild>
            <w:div w:id="1862040018">
              <w:marLeft w:val="0"/>
              <w:marRight w:val="0"/>
              <w:marTop w:val="0"/>
              <w:marBottom w:val="0"/>
              <w:divBdr>
                <w:top w:val="none" w:sz="0" w:space="0" w:color="auto"/>
                <w:left w:val="none" w:sz="0" w:space="0" w:color="auto"/>
                <w:bottom w:val="none" w:sz="0" w:space="0" w:color="auto"/>
                <w:right w:val="none" w:sz="0" w:space="0" w:color="auto"/>
              </w:divBdr>
              <w:divsChild>
                <w:div w:id="1423793685">
                  <w:marLeft w:val="0"/>
                  <w:marRight w:val="0"/>
                  <w:marTop w:val="0"/>
                  <w:marBottom w:val="0"/>
                  <w:divBdr>
                    <w:top w:val="none" w:sz="0" w:space="0" w:color="auto"/>
                    <w:left w:val="none" w:sz="0" w:space="0" w:color="auto"/>
                    <w:bottom w:val="none" w:sz="0" w:space="0" w:color="auto"/>
                    <w:right w:val="none" w:sz="0" w:space="0" w:color="auto"/>
                  </w:divBdr>
                  <w:divsChild>
                    <w:div w:id="1589147455">
                      <w:marLeft w:val="-225"/>
                      <w:marRight w:val="-225"/>
                      <w:marTop w:val="0"/>
                      <w:marBottom w:val="0"/>
                      <w:divBdr>
                        <w:top w:val="none" w:sz="0" w:space="0" w:color="auto"/>
                        <w:left w:val="none" w:sz="0" w:space="0" w:color="auto"/>
                        <w:bottom w:val="none" w:sz="0" w:space="0" w:color="auto"/>
                        <w:right w:val="none" w:sz="0" w:space="0" w:color="auto"/>
                      </w:divBdr>
                      <w:divsChild>
                        <w:div w:id="939678365">
                          <w:marLeft w:val="0"/>
                          <w:marRight w:val="0"/>
                          <w:marTop w:val="0"/>
                          <w:marBottom w:val="0"/>
                          <w:divBdr>
                            <w:top w:val="none" w:sz="0" w:space="0" w:color="auto"/>
                            <w:left w:val="none" w:sz="0" w:space="0" w:color="auto"/>
                            <w:bottom w:val="none" w:sz="0" w:space="0" w:color="auto"/>
                            <w:right w:val="none" w:sz="0" w:space="0" w:color="auto"/>
                          </w:divBdr>
                          <w:divsChild>
                            <w:div w:id="1384331836">
                              <w:marLeft w:val="0"/>
                              <w:marRight w:val="0"/>
                              <w:marTop w:val="0"/>
                              <w:marBottom w:val="0"/>
                              <w:divBdr>
                                <w:top w:val="none" w:sz="0" w:space="0" w:color="auto"/>
                                <w:left w:val="none" w:sz="0" w:space="0" w:color="auto"/>
                                <w:bottom w:val="none" w:sz="0" w:space="0" w:color="auto"/>
                                <w:right w:val="none" w:sz="0" w:space="0" w:color="auto"/>
                              </w:divBdr>
                              <w:divsChild>
                                <w:div w:id="1999722090">
                                  <w:marLeft w:val="0"/>
                                  <w:marRight w:val="0"/>
                                  <w:marTop w:val="0"/>
                                  <w:marBottom w:val="0"/>
                                  <w:divBdr>
                                    <w:top w:val="none" w:sz="0" w:space="0" w:color="auto"/>
                                    <w:left w:val="none" w:sz="0" w:space="0" w:color="auto"/>
                                    <w:bottom w:val="none" w:sz="0" w:space="0" w:color="auto"/>
                                    <w:right w:val="none" w:sz="0" w:space="0" w:color="auto"/>
                                  </w:divBdr>
                                  <w:divsChild>
                                    <w:div w:id="1217817354">
                                      <w:marLeft w:val="0"/>
                                      <w:marRight w:val="0"/>
                                      <w:marTop w:val="0"/>
                                      <w:marBottom w:val="0"/>
                                      <w:divBdr>
                                        <w:top w:val="none" w:sz="0" w:space="0" w:color="auto"/>
                                        <w:left w:val="none" w:sz="0" w:space="0" w:color="auto"/>
                                        <w:bottom w:val="none" w:sz="0" w:space="0" w:color="auto"/>
                                        <w:right w:val="none" w:sz="0" w:space="0" w:color="auto"/>
                                      </w:divBdr>
                                      <w:divsChild>
                                        <w:div w:id="1110273877">
                                          <w:marLeft w:val="0"/>
                                          <w:marRight w:val="0"/>
                                          <w:marTop w:val="0"/>
                                          <w:marBottom w:val="0"/>
                                          <w:divBdr>
                                            <w:top w:val="none" w:sz="0" w:space="0" w:color="auto"/>
                                            <w:left w:val="none" w:sz="0" w:space="0" w:color="auto"/>
                                            <w:bottom w:val="none" w:sz="0" w:space="0" w:color="auto"/>
                                            <w:right w:val="none" w:sz="0" w:space="0" w:color="auto"/>
                                          </w:divBdr>
                                          <w:divsChild>
                                            <w:div w:id="179203508">
                                              <w:marLeft w:val="0"/>
                                              <w:marRight w:val="0"/>
                                              <w:marTop w:val="0"/>
                                              <w:marBottom w:val="0"/>
                                              <w:divBdr>
                                                <w:top w:val="none" w:sz="0" w:space="0" w:color="auto"/>
                                                <w:left w:val="none" w:sz="0" w:space="0" w:color="auto"/>
                                                <w:bottom w:val="none" w:sz="0" w:space="0" w:color="auto"/>
                                                <w:right w:val="none" w:sz="0" w:space="0" w:color="auto"/>
                                              </w:divBdr>
                                              <w:divsChild>
                                                <w:div w:id="761030100">
                                                  <w:marLeft w:val="0"/>
                                                  <w:marRight w:val="0"/>
                                                  <w:marTop w:val="0"/>
                                                  <w:marBottom w:val="0"/>
                                                  <w:divBdr>
                                                    <w:top w:val="none" w:sz="0" w:space="0" w:color="auto"/>
                                                    <w:left w:val="none" w:sz="0" w:space="0" w:color="auto"/>
                                                    <w:bottom w:val="none" w:sz="0" w:space="0" w:color="auto"/>
                                                    <w:right w:val="none" w:sz="0" w:space="0" w:color="auto"/>
                                                  </w:divBdr>
                                                  <w:divsChild>
                                                    <w:div w:id="1973899678">
                                                      <w:marLeft w:val="0"/>
                                                      <w:marRight w:val="0"/>
                                                      <w:marTop w:val="0"/>
                                                      <w:marBottom w:val="0"/>
                                                      <w:divBdr>
                                                        <w:top w:val="none" w:sz="0" w:space="0" w:color="auto"/>
                                                        <w:left w:val="none" w:sz="0" w:space="0" w:color="auto"/>
                                                        <w:bottom w:val="none" w:sz="0" w:space="0" w:color="auto"/>
                                                        <w:right w:val="none" w:sz="0" w:space="0" w:color="auto"/>
                                                      </w:divBdr>
                                                      <w:divsChild>
                                                        <w:div w:id="390344627">
                                                          <w:marLeft w:val="0"/>
                                                          <w:marRight w:val="0"/>
                                                          <w:marTop w:val="0"/>
                                                          <w:marBottom w:val="0"/>
                                                          <w:divBdr>
                                                            <w:top w:val="none" w:sz="0" w:space="0" w:color="auto"/>
                                                            <w:left w:val="none" w:sz="0" w:space="0" w:color="auto"/>
                                                            <w:bottom w:val="none" w:sz="0" w:space="0" w:color="auto"/>
                                                            <w:right w:val="none" w:sz="0" w:space="0" w:color="auto"/>
                                                          </w:divBdr>
                                                          <w:divsChild>
                                                            <w:div w:id="1985426723">
                                                              <w:marLeft w:val="0"/>
                                                              <w:marRight w:val="0"/>
                                                              <w:marTop w:val="0"/>
                                                              <w:marBottom w:val="0"/>
                                                              <w:divBdr>
                                                                <w:top w:val="none" w:sz="0" w:space="0" w:color="auto"/>
                                                                <w:left w:val="none" w:sz="0" w:space="0" w:color="auto"/>
                                                                <w:bottom w:val="none" w:sz="0" w:space="0" w:color="auto"/>
                                                                <w:right w:val="none" w:sz="0" w:space="0" w:color="auto"/>
                                                              </w:divBdr>
                                                              <w:divsChild>
                                                                <w:div w:id="714693451">
                                                                  <w:marLeft w:val="0"/>
                                                                  <w:marRight w:val="0"/>
                                                                  <w:marTop w:val="0"/>
                                                                  <w:marBottom w:val="0"/>
                                                                  <w:divBdr>
                                                                    <w:top w:val="none" w:sz="0" w:space="0" w:color="auto"/>
                                                                    <w:left w:val="none" w:sz="0" w:space="0" w:color="auto"/>
                                                                    <w:bottom w:val="none" w:sz="0" w:space="0" w:color="auto"/>
                                                                    <w:right w:val="none" w:sz="0" w:space="0" w:color="auto"/>
                                                                  </w:divBdr>
                                                                  <w:divsChild>
                                                                    <w:div w:id="1375344893">
                                                                      <w:marLeft w:val="0"/>
                                                                      <w:marRight w:val="0"/>
                                                                      <w:marTop w:val="0"/>
                                                                      <w:marBottom w:val="0"/>
                                                                      <w:divBdr>
                                                                        <w:top w:val="none" w:sz="0" w:space="0" w:color="auto"/>
                                                                        <w:left w:val="none" w:sz="0" w:space="0" w:color="auto"/>
                                                                        <w:bottom w:val="none" w:sz="0" w:space="0" w:color="auto"/>
                                                                        <w:right w:val="none" w:sz="0" w:space="0" w:color="auto"/>
                                                                      </w:divBdr>
                                                                      <w:divsChild>
                                                                        <w:div w:id="775519756">
                                                                          <w:marLeft w:val="0"/>
                                                                          <w:marRight w:val="0"/>
                                                                          <w:marTop w:val="0"/>
                                                                          <w:marBottom w:val="0"/>
                                                                          <w:divBdr>
                                                                            <w:top w:val="none" w:sz="0" w:space="0" w:color="auto"/>
                                                                            <w:left w:val="none" w:sz="0" w:space="0" w:color="auto"/>
                                                                            <w:bottom w:val="none" w:sz="0" w:space="0" w:color="auto"/>
                                                                            <w:right w:val="none" w:sz="0" w:space="0" w:color="auto"/>
                                                                          </w:divBdr>
                                                                          <w:divsChild>
                                                                            <w:div w:id="5651448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da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1238</Words>
  <Characters>7306</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Úřad práce ČR</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Pochylá Yvona Bc. (UPB-BMA)</dc:creator>
  <cp:keywords/>
  <dc:description/>
  <cp:lastModifiedBy>Pochylá Yvona Bc. (UPB-BMA)</cp:lastModifiedBy>
  <cp:revision>1</cp:revision>
  <dcterms:created xsi:type="dcterms:W3CDTF">2020-01-22T09:45:00Z</dcterms:created>
  <dcterms:modified xsi:type="dcterms:W3CDTF">2020-01-22T09:48:00Z</dcterms:modified>
</cp:coreProperties>
</file>